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B34F9">
      <w:pPr>
        <w:keepNext w:val="0"/>
        <w:keepLines w:val="0"/>
        <w:pageBreakBefore w:val="0"/>
        <w:widowControl w:val="0"/>
        <w:kinsoku/>
        <w:wordWrap/>
        <w:overflowPunct/>
        <w:topLinePunct w:val="0"/>
        <w:autoSpaceDE/>
        <w:autoSpaceDN/>
        <w:bidi w:val="0"/>
        <w:adjustRightInd w:val="0"/>
        <w:snapToGrid/>
        <w:spacing w:before="469" w:beforeLines="150" w:line="480" w:lineRule="auto"/>
        <w:ind w:firstLine="420" w:firstLineChars="0"/>
        <w:jc w:val="center"/>
        <w:textAlignment w:val="auto"/>
        <w:rPr>
          <w:rFonts w:hint="eastAsia" w:ascii="宋体" w:hAnsi="宋体" w:cs="宋体"/>
          <w:b/>
          <w:bCs/>
          <w:color w:val="auto"/>
          <w:sz w:val="60"/>
          <w:szCs w:val="60"/>
          <w:highlight w:val="none"/>
          <w:lang w:val="en-US" w:eastAsia="zh-CN"/>
        </w:rPr>
      </w:pPr>
      <w:r>
        <w:rPr>
          <w:rFonts w:hint="eastAsia" w:ascii="宋体" w:hAnsi="宋体" w:cs="宋体"/>
          <w:b/>
          <w:bCs/>
          <w:color w:val="auto"/>
          <w:sz w:val="60"/>
          <w:szCs w:val="60"/>
          <w:highlight w:val="none"/>
          <w:lang w:val="en-US" w:eastAsia="zh-CN"/>
        </w:rPr>
        <w:t>2025年诸暨市公共交通有限公司食堂劳务外包服务采购项目</w:t>
      </w:r>
    </w:p>
    <w:p w14:paraId="056BB16A">
      <w:pPr>
        <w:keepNext w:val="0"/>
        <w:keepLines w:val="0"/>
        <w:pageBreakBefore w:val="0"/>
        <w:widowControl w:val="0"/>
        <w:kinsoku/>
        <w:wordWrap/>
        <w:overflowPunct/>
        <w:topLinePunct w:val="0"/>
        <w:autoSpaceDE/>
        <w:autoSpaceDN/>
        <w:bidi w:val="0"/>
        <w:adjustRightInd w:val="0"/>
        <w:snapToGrid/>
        <w:spacing w:before="157" w:beforeLines="50" w:line="48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val="en-US" w:eastAsia="zh-CN"/>
        </w:rPr>
        <w:t>杭建集团2025-07-09</w:t>
      </w:r>
      <w:r>
        <w:rPr>
          <w:rFonts w:hint="eastAsia" w:ascii="宋体" w:hAnsi="宋体" w:eastAsia="宋体" w:cs="宋体"/>
          <w:b/>
          <w:bCs/>
          <w:color w:val="auto"/>
          <w:sz w:val="30"/>
          <w:szCs w:val="30"/>
          <w:highlight w:val="none"/>
        </w:rPr>
        <w:t>）</w:t>
      </w:r>
    </w:p>
    <w:p w14:paraId="596BF58A">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招</w:t>
      </w:r>
    </w:p>
    <w:p w14:paraId="7BEC13A9">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标</w:t>
      </w:r>
    </w:p>
    <w:p w14:paraId="3A660CF0">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default" w:ascii="宋体" w:hAnsi="宋体" w:eastAsia="宋体" w:cs="宋体"/>
          <w:b/>
          <w:bCs/>
          <w:color w:val="auto"/>
          <w:spacing w:val="-6"/>
          <w:sz w:val="96"/>
          <w:szCs w:val="96"/>
          <w:highlight w:val="none"/>
          <w:lang w:val="en-US" w:eastAsia="zh-CN"/>
        </w:rPr>
      </w:pPr>
      <w:r>
        <w:rPr>
          <w:rFonts w:hint="eastAsia" w:ascii="宋体" w:hAnsi="宋体" w:eastAsia="宋体" w:cs="宋体"/>
          <w:b/>
          <w:bCs/>
          <w:color w:val="auto"/>
          <w:spacing w:val="-6"/>
          <w:sz w:val="96"/>
          <w:szCs w:val="96"/>
          <w:highlight w:val="none"/>
        </w:rPr>
        <w:t>文</w:t>
      </w:r>
    </w:p>
    <w:p w14:paraId="41236213">
      <w:pPr>
        <w:keepNext w:val="0"/>
        <w:keepLines w:val="0"/>
        <w:pageBreakBefore w:val="0"/>
        <w:widowControl w:val="0"/>
        <w:kinsoku/>
        <w:wordWrap/>
        <w:overflowPunct/>
        <w:topLinePunct w:val="0"/>
        <w:autoSpaceDE/>
        <w:autoSpaceDN/>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件</w:t>
      </w:r>
    </w:p>
    <w:p w14:paraId="0A67E428">
      <w:pPr>
        <w:keepNext w:val="0"/>
        <w:keepLines w:val="0"/>
        <w:pageBreakBefore w:val="0"/>
        <w:widowControl w:val="0"/>
        <w:kinsoku/>
        <w:wordWrap/>
        <w:overflowPunct/>
        <w:topLinePunct w:val="0"/>
        <w:autoSpaceDE/>
        <w:autoSpaceDN/>
        <w:bidi w:val="0"/>
        <w:adjustRightInd w:val="0"/>
        <w:snapToGrid/>
        <w:spacing w:before="430" w:beforeLines="150" w:after="287" w:afterLines="10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电子招投标</w:t>
      </w:r>
      <w:r>
        <w:rPr>
          <w:rFonts w:hint="eastAsia" w:ascii="宋体" w:hAnsi="宋体" w:eastAsia="宋体" w:cs="宋体"/>
          <w:b/>
          <w:bCs/>
          <w:color w:val="auto"/>
          <w:sz w:val="30"/>
          <w:szCs w:val="30"/>
          <w:highlight w:val="none"/>
        </w:rPr>
        <w:t>）</w:t>
      </w:r>
    </w:p>
    <w:tbl>
      <w:tblPr>
        <w:tblStyle w:val="21"/>
        <w:tblW w:w="7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4"/>
      </w:tblGrid>
      <w:tr w14:paraId="7850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114" w:type="dxa"/>
            <w:vAlign w:val="center"/>
          </w:tcPr>
          <w:p w14:paraId="21D0122E">
            <w:pPr>
              <w:pStyle w:val="13"/>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pacing w:val="12"/>
                <w:w w:val="95"/>
                <w:kern w:val="0"/>
                <w:sz w:val="32"/>
                <w:szCs w:val="32"/>
                <w:highlight w:val="none"/>
              </w:rPr>
              <w:t>采购</w:t>
            </w:r>
            <w:r>
              <w:rPr>
                <w:rFonts w:hint="eastAsia" w:ascii="宋体" w:hAnsi="宋体" w:cs="宋体"/>
                <w:b/>
                <w:bCs/>
                <w:color w:val="auto"/>
                <w:spacing w:val="12"/>
                <w:w w:val="95"/>
                <w:kern w:val="0"/>
                <w:sz w:val="32"/>
                <w:szCs w:val="32"/>
                <w:highlight w:val="none"/>
                <w:lang w:val="en-US" w:eastAsia="zh-CN"/>
              </w:rPr>
              <w:t>人</w:t>
            </w:r>
            <w:r>
              <w:rPr>
                <w:rFonts w:hint="eastAsia" w:ascii="宋体" w:hAnsi="宋体" w:eastAsia="宋体" w:cs="宋体"/>
                <w:b/>
                <w:bCs/>
                <w:color w:val="auto"/>
                <w:spacing w:val="12"/>
                <w:w w:val="95"/>
                <w:kern w:val="0"/>
                <w:sz w:val="32"/>
                <w:szCs w:val="32"/>
                <w:highlight w:val="none"/>
              </w:rPr>
              <w:t>：</w:t>
            </w:r>
            <w:r>
              <w:rPr>
                <w:rFonts w:hint="eastAsia" w:ascii="宋体" w:hAnsi="宋体" w:cs="宋体"/>
                <w:b/>
                <w:bCs/>
                <w:color w:val="auto"/>
                <w:spacing w:val="12"/>
                <w:w w:val="95"/>
                <w:kern w:val="0"/>
                <w:sz w:val="32"/>
                <w:szCs w:val="32"/>
                <w:highlight w:val="none"/>
                <w:lang w:eastAsia="zh-CN"/>
              </w:rPr>
              <w:t>诸暨市公共交通有限公司</w:t>
            </w:r>
          </w:p>
        </w:tc>
      </w:tr>
      <w:tr w14:paraId="7ACA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114" w:type="dxa"/>
            <w:vAlign w:val="center"/>
          </w:tcPr>
          <w:p w14:paraId="2CB4E88D">
            <w:pPr>
              <w:pStyle w:val="13"/>
              <w:snapToGrid w:val="0"/>
              <w:spacing w:before="120" w:after="120" w:line="360" w:lineRule="auto"/>
              <w:jc w:val="center"/>
              <w:rPr>
                <w:rFonts w:hint="eastAsia" w:ascii="宋体" w:hAnsi="宋体" w:eastAsia="宋体" w:cs="宋体"/>
                <w:b/>
                <w:bCs/>
                <w:color w:val="auto"/>
                <w:w w:val="95"/>
                <w:kern w:val="0"/>
                <w:sz w:val="32"/>
                <w:szCs w:val="32"/>
                <w:highlight w:val="none"/>
                <w:lang w:eastAsia="zh-CN"/>
              </w:rPr>
            </w:pPr>
            <w:r>
              <w:rPr>
                <w:rFonts w:hint="eastAsia" w:ascii="宋体" w:hAnsi="宋体" w:eastAsia="宋体" w:cs="宋体"/>
                <w:b/>
                <w:bCs/>
                <w:color w:val="auto"/>
                <w:w w:val="95"/>
                <w:kern w:val="0"/>
                <w:sz w:val="32"/>
                <w:szCs w:val="32"/>
                <w:highlight w:val="none"/>
              </w:rPr>
              <w:t>采购代理机构：</w:t>
            </w:r>
            <w:r>
              <w:rPr>
                <w:rFonts w:hint="eastAsia" w:ascii="宋体" w:hAnsi="宋体" w:cs="宋体"/>
                <w:b/>
                <w:bCs/>
                <w:color w:val="auto"/>
                <w:w w:val="95"/>
                <w:kern w:val="0"/>
                <w:sz w:val="32"/>
                <w:szCs w:val="32"/>
                <w:highlight w:val="none"/>
                <w:lang w:eastAsia="zh-CN"/>
              </w:rPr>
              <w:t>杭州市建设工程管理集团有限公司</w:t>
            </w:r>
          </w:p>
        </w:tc>
      </w:tr>
    </w:tbl>
    <w:p w14:paraId="2FC2CA7B">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color w:val="auto"/>
          <w:w w:val="95"/>
          <w:sz w:val="32"/>
          <w:szCs w:val="32"/>
          <w:highlight w:val="none"/>
        </w:rPr>
        <w:t>二〇二</w:t>
      </w:r>
      <w:r>
        <w:rPr>
          <w:rFonts w:hint="eastAsia" w:ascii="宋体" w:hAnsi="宋体" w:cs="宋体"/>
          <w:b/>
          <w:bCs/>
          <w:color w:val="auto"/>
          <w:w w:val="95"/>
          <w:sz w:val="32"/>
          <w:szCs w:val="32"/>
          <w:highlight w:val="none"/>
          <w:lang w:eastAsia="zh-CN"/>
        </w:rPr>
        <w:t>五</w:t>
      </w:r>
      <w:r>
        <w:rPr>
          <w:rFonts w:hint="eastAsia" w:ascii="宋体" w:hAnsi="宋体" w:eastAsia="宋体" w:cs="宋体"/>
          <w:b/>
          <w:bCs/>
          <w:color w:val="auto"/>
          <w:w w:val="95"/>
          <w:sz w:val="32"/>
          <w:szCs w:val="32"/>
          <w:highlight w:val="none"/>
        </w:rPr>
        <w:t>年</w:t>
      </w:r>
      <w:r>
        <w:rPr>
          <w:rFonts w:hint="eastAsia" w:ascii="宋体" w:hAnsi="宋体" w:cs="宋体"/>
          <w:b/>
          <w:bCs/>
          <w:color w:val="auto"/>
          <w:w w:val="95"/>
          <w:sz w:val="32"/>
          <w:szCs w:val="32"/>
          <w:highlight w:val="none"/>
          <w:lang w:val="en-US" w:eastAsia="zh-CN"/>
        </w:rPr>
        <w:t>七</w:t>
      </w:r>
      <w:r>
        <w:rPr>
          <w:rFonts w:hint="eastAsia" w:ascii="宋体" w:hAnsi="宋体" w:eastAsia="宋体" w:cs="宋体"/>
          <w:b/>
          <w:bCs/>
          <w:color w:val="auto"/>
          <w:w w:val="95"/>
          <w:sz w:val="32"/>
          <w:szCs w:val="32"/>
          <w:highlight w:val="none"/>
        </w:rPr>
        <w:t>月</w:t>
      </w:r>
    </w:p>
    <w:p w14:paraId="11C9C3C0">
      <w:pPr>
        <w:ind w:firstLine="3975" w:firstLineChars="900"/>
        <w:jc w:val="both"/>
        <w:rPr>
          <w:rFonts w:hint="eastAsia" w:ascii="宋体" w:hAnsi="宋体" w:eastAsia="宋体" w:cs="宋体"/>
          <w:b/>
          <w:color w:val="auto"/>
          <w:sz w:val="44"/>
          <w:szCs w:val="44"/>
          <w:highlight w:val="none"/>
        </w:rPr>
      </w:pPr>
    </w:p>
    <w:p w14:paraId="24A52679">
      <w:pPr>
        <w:ind w:firstLine="3975" w:firstLineChars="900"/>
        <w:jc w:val="both"/>
        <w:rPr>
          <w:rFonts w:hint="eastAsia" w:ascii="宋体" w:hAnsi="宋体" w:eastAsia="宋体" w:cs="宋体"/>
          <w:b/>
          <w:color w:val="auto"/>
          <w:sz w:val="44"/>
          <w:szCs w:val="44"/>
          <w:highlight w:val="none"/>
        </w:rPr>
      </w:pPr>
    </w:p>
    <w:p w14:paraId="4CAE2715">
      <w:pPr>
        <w:ind w:firstLine="3975" w:firstLineChars="900"/>
        <w:jc w:val="both"/>
        <w:rPr>
          <w:rFonts w:hint="eastAsia" w:ascii="宋体" w:hAnsi="宋体" w:eastAsia="宋体" w:cs="宋体"/>
          <w:b/>
          <w:color w:val="auto"/>
          <w:sz w:val="44"/>
          <w:szCs w:val="44"/>
          <w:highlight w:val="none"/>
        </w:rPr>
      </w:pPr>
    </w:p>
    <w:p w14:paraId="7C6A4F1C">
      <w:pPr>
        <w:ind w:left="3360" w:leftChars="0" w:firstLine="420" w:firstLineChars="0"/>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03F86B13">
      <w:pPr>
        <w:jc w:val="both"/>
        <w:rPr>
          <w:rFonts w:hint="eastAsia" w:ascii="宋体" w:hAnsi="宋体" w:eastAsia="宋体" w:cs="宋体"/>
          <w:color w:val="auto"/>
          <w:highlight w:val="none"/>
          <w:lang w:eastAsia="zh-CN"/>
        </w:rPr>
      </w:pPr>
    </w:p>
    <w:p w14:paraId="30D7C373">
      <w:pPr>
        <w:pStyle w:val="26"/>
        <w:rPr>
          <w:rFonts w:hint="eastAsia"/>
          <w:color w:val="auto"/>
          <w:highlight w:val="none"/>
          <w:lang w:eastAsia="zh-CN"/>
        </w:rPr>
      </w:pPr>
    </w:p>
    <w:p w14:paraId="383C80DD">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    招标公告</w:t>
      </w:r>
    </w:p>
    <w:p w14:paraId="02D27784">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投标须知</w:t>
      </w:r>
    </w:p>
    <w:p w14:paraId="0C8DF8C4">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kern w:val="44"/>
          <w:sz w:val="36"/>
          <w:szCs w:val="36"/>
          <w:highlight w:val="none"/>
          <w:lang w:val="en-US" w:eastAsia="zh-CN" w:bidi="ar-SA"/>
        </w:rPr>
        <w:t>评分办法</w:t>
      </w:r>
    </w:p>
    <w:p w14:paraId="51B13201">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w:t>
      </w:r>
      <w:r>
        <w:rPr>
          <w:rFonts w:hint="eastAsia" w:ascii="宋体" w:hAnsi="宋体" w:eastAsia="宋体" w:cs="宋体"/>
          <w:b/>
          <w:color w:val="auto"/>
          <w:sz w:val="36"/>
          <w:szCs w:val="36"/>
          <w:highlight w:val="none"/>
          <w:lang w:val="en-US" w:eastAsia="zh-CN"/>
        </w:rPr>
        <w:t xml:space="preserve">    采购</w:t>
      </w:r>
      <w:r>
        <w:rPr>
          <w:rFonts w:hint="eastAsia" w:ascii="宋体" w:hAnsi="宋体" w:eastAsia="宋体" w:cs="宋体"/>
          <w:b/>
          <w:color w:val="auto"/>
          <w:sz w:val="36"/>
          <w:szCs w:val="36"/>
          <w:highlight w:val="none"/>
        </w:rPr>
        <w:t>需求</w:t>
      </w:r>
    </w:p>
    <w:p w14:paraId="5176FABA">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采购合同</w:t>
      </w:r>
    </w:p>
    <w:p w14:paraId="740CFE61">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    应提交的有关格式范例</w:t>
      </w:r>
    </w:p>
    <w:p w14:paraId="735D9D4E">
      <w:pPr>
        <w:spacing w:line="360" w:lineRule="auto"/>
        <w:ind w:firstLine="2257" w:firstLineChars="803"/>
        <w:jc w:val="both"/>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请各位投标人详细阅读各项条款</w:t>
      </w:r>
    </w:p>
    <w:p w14:paraId="05E47847">
      <w:pPr>
        <w:snapToGrid w:val="0"/>
        <w:spacing w:line="480" w:lineRule="auto"/>
        <w:ind w:firstLine="1807" w:firstLineChars="500"/>
        <w:jc w:val="left"/>
        <w:rPr>
          <w:rFonts w:hint="eastAsia" w:ascii="宋体" w:hAnsi="宋体" w:eastAsia="宋体" w:cs="宋体"/>
          <w:b/>
          <w:color w:val="auto"/>
          <w:sz w:val="36"/>
          <w:szCs w:val="36"/>
          <w:highlight w:val="none"/>
        </w:rPr>
      </w:pPr>
    </w:p>
    <w:p w14:paraId="55B1BD79">
      <w:pPr>
        <w:spacing w:line="500" w:lineRule="exact"/>
        <w:rPr>
          <w:rStyle w:val="25"/>
          <w:rFonts w:hint="eastAsia" w:ascii="宋体" w:hAnsi="宋体" w:eastAsia="宋体" w:cs="宋体"/>
          <w:color w:val="auto"/>
          <w:sz w:val="30"/>
          <w:highlight w:val="none"/>
        </w:rPr>
      </w:pPr>
    </w:p>
    <w:p w14:paraId="35F7BE77">
      <w:pPr>
        <w:spacing w:line="500" w:lineRule="exact"/>
        <w:rPr>
          <w:rStyle w:val="25"/>
          <w:rFonts w:hint="eastAsia" w:ascii="宋体" w:hAnsi="宋体" w:eastAsia="宋体" w:cs="宋体"/>
          <w:color w:val="auto"/>
          <w:sz w:val="30"/>
          <w:highlight w:val="none"/>
        </w:rPr>
      </w:pPr>
    </w:p>
    <w:p w14:paraId="506D9D3F">
      <w:pPr>
        <w:spacing w:line="500" w:lineRule="exact"/>
        <w:rPr>
          <w:rStyle w:val="25"/>
          <w:rFonts w:hint="eastAsia" w:ascii="宋体" w:hAnsi="宋体" w:eastAsia="宋体" w:cs="宋体"/>
          <w:color w:val="auto"/>
          <w:sz w:val="30"/>
          <w:highlight w:val="none"/>
        </w:rPr>
      </w:pPr>
    </w:p>
    <w:p w14:paraId="69E1F086">
      <w:pPr>
        <w:spacing w:line="500" w:lineRule="exact"/>
        <w:rPr>
          <w:rStyle w:val="25"/>
          <w:rFonts w:hint="eastAsia" w:ascii="宋体" w:hAnsi="宋体" w:eastAsia="宋体" w:cs="宋体"/>
          <w:color w:val="auto"/>
          <w:sz w:val="30"/>
          <w:highlight w:val="none"/>
        </w:rPr>
      </w:pPr>
    </w:p>
    <w:p w14:paraId="5453B3BD">
      <w:pPr>
        <w:spacing w:line="500" w:lineRule="exact"/>
        <w:rPr>
          <w:rStyle w:val="25"/>
          <w:rFonts w:hint="eastAsia" w:ascii="宋体" w:hAnsi="宋体" w:eastAsia="宋体" w:cs="宋体"/>
          <w:color w:val="auto"/>
          <w:sz w:val="30"/>
          <w:highlight w:val="none"/>
        </w:rPr>
      </w:pPr>
    </w:p>
    <w:p w14:paraId="709ECAAE">
      <w:pPr>
        <w:spacing w:line="500" w:lineRule="exact"/>
        <w:rPr>
          <w:rStyle w:val="25"/>
          <w:rFonts w:hint="eastAsia" w:ascii="宋体" w:hAnsi="宋体" w:eastAsia="宋体" w:cs="宋体"/>
          <w:color w:val="auto"/>
          <w:sz w:val="30"/>
          <w:highlight w:val="none"/>
        </w:rPr>
      </w:pPr>
    </w:p>
    <w:p w14:paraId="4C66B0BA">
      <w:pPr>
        <w:spacing w:line="500" w:lineRule="exact"/>
        <w:jc w:val="center"/>
        <w:rPr>
          <w:rFonts w:hint="eastAsia" w:ascii="宋体" w:hAnsi="宋体" w:eastAsia="宋体" w:cs="宋体"/>
          <w:b/>
          <w:bCs/>
          <w:color w:val="auto"/>
          <w:sz w:val="36"/>
          <w:szCs w:val="36"/>
          <w:highlight w:val="none"/>
        </w:rPr>
        <w:sectPr>
          <w:headerReference r:id="rId4" w:type="first"/>
          <w:headerReference r:id="rId3" w:type="default"/>
          <w:footerReference r:id="rId5" w:type="even"/>
          <w:pgSz w:w="11906" w:h="16838"/>
          <w:pgMar w:top="1236" w:right="1236" w:bottom="1236" w:left="1236" w:header="851" w:footer="907" w:gutter="0"/>
          <w:pgBorders>
            <w:top w:val="none" w:sz="0" w:space="0"/>
            <w:left w:val="none" w:sz="0" w:space="0"/>
            <w:bottom w:val="none" w:sz="0" w:space="0"/>
            <w:right w:val="none" w:sz="0" w:space="0"/>
          </w:pgBorders>
          <w:pgNumType w:fmt="decimal" w:start="0"/>
          <w:cols w:space="720" w:num="1"/>
          <w:titlePg/>
          <w:docGrid w:type="lines" w:linePitch="312" w:charSpace="0"/>
        </w:sectPr>
      </w:pPr>
    </w:p>
    <w:p w14:paraId="1336983E">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第一章  招标公告</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0"/>
      </w:tblGrid>
      <w:tr w14:paraId="38CC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650" w:type="dxa"/>
            <w:noWrap w:val="0"/>
            <w:vAlign w:val="top"/>
          </w:tcPr>
          <w:p w14:paraId="5FC6C18C">
            <w:pPr>
              <w:keepNext w:val="0"/>
              <w:keepLines w:val="0"/>
              <w:pageBreakBefore w:val="0"/>
              <w:widowControl/>
              <w:suppressLineNumbers w:val="0"/>
              <w:shd w:val="clear"/>
              <w:kinsoku/>
              <w:overflow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shd w:val="clear" w:color="auto" w:fill="FFFFFF"/>
                <w:lang w:val="en-US" w:eastAsia="zh-CN" w:bidi="ar-SA"/>
              </w:rPr>
              <w:t>项目概况</w:t>
            </w:r>
          </w:p>
          <w:p w14:paraId="7EB6DCCF">
            <w:pPr>
              <w:keepNext w:val="0"/>
              <w:keepLines w:val="0"/>
              <w:pageBreakBefore w:val="0"/>
              <w:widowControl/>
              <w:suppressLineNumbers w:val="0"/>
              <w:shd w:val="clear"/>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auto"/>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u w:val="single"/>
                <w:shd w:val="clear" w:color="auto" w:fill="FFFFFF"/>
                <w:lang w:val="en-US" w:eastAsia="zh-CN" w:bidi="ar-SA"/>
              </w:rPr>
              <w:t>2025年诸暨市公共交通有限公司食堂劳务外包服务采购项目</w:t>
            </w:r>
            <w:r>
              <w:rPr>
                <w:rFonts w:hint="eastAsia" w:ascii="宋体" w:hAnsi="宋体" w:eastAsia="宋体" w:cs="宋体"/>
                <w:b w:val="0"/>
                <w:bCs w:val="0"/>
                <w:i w:val="0"/>
                <w:iCs w:val="0"/>
                <w:color w:val="auto"/>
                <w:sz w:val="24"/>
                <w:szCs w:val="24"/>
                <w:highlight w:val="none"/>
                <w:u w:val="single"/>
                <w:shd w:val="clear" w:color="auto" w:fill="FFFFFF"/>
                <w:lang w:val="en-US" w:eastAsia="zh-CN" w:bidi="ar-SA"/>
              </w:rPr>
              <w:t xml:space="preserve"> </w:t>
            </w:r>
            <w:r>
              <w:rPr>
                <w:rFonts w:hint="eastAsia" w:ascii="宋体" w:hAnsi="宋体" w:eastAsia="宋体" w:cs="宋体"/>
                <w:b w:val="0"/>
                <w:bCs w:val="0"/>
                <w:i w:val="0"/>
                <w:iCs w:val="0"/>
                <w:color w:val="auto"/>
                <w:sz w:val="24"/>
                <w:szCs w:val="24"/>
                <w:highlight w:val="none"/>
                <w:shd w:val="clear" w:color="auto" w:fill="FFFFFF"/>
              </w:rPr>
              <w:t>招标项目的潜在投标人应</w:t>
            </w:r>
            <w:r>
              <w:rPr>
                <w:rFonts w:hint="eastAsia" w:ascii="宋体" w:hAnsi="宋体" w:eastAsia="宋体" w:cs="宋体"/>
                <w:b w:val="0"/>
                <w:bCs w:val="0"/>
                <w:i w:val="0"/>
                <w:iCs w:val="0"/>
                <w:color w:val="auto"/>
                <w:sz w:val="24"/>
                <w:szCs w:val="24"/>
                <w:highlight w:val="none"/>
                <w:u w:val="none"/>
                <w:shd w:val="clear" w:color="auto" w:fill="FFFFFF"/>
              </w:rPr>
              <w:t>在</w:t>
            </w:r>
            <w:r>
              <w:rPr>
                <w:rFonts w:hint="eastAsia" w:ascii="宋体" w:hAnsi="宋体" w:eastAsia="宋体" w:cs="宋体"/>
                <w:b w:val="0"/>
                <w:bCs w:val="0"/>
                <w:i w:val="0"/>
                <w:iCs w:val="0"/>
                <w:color w:val="auto"/>
                <w:sz w:val="24"/>
                <w:szCs w:val="24"/>
                <w:highlight w:val="none"/>
                <w:u w:val="single"/>
                <w:shd w:val="clear" w:color="auto" w:fill="FFFFFF"/>
              </w:rPr>
              <w:t>乐采云平台（https://www.lecaiyun.com/）</w:t>
            </w:r>
            <w:r>
              <w:rPr>
                <w:rFonts w:hint="eastAsia" w:ascii="宋体" w:hAnsi="宋体" w:eastAsia="宋体" w:cs="宋体"/>
                <w:b w:val="0"/>
                <w:bCs w:val="0"/>
                <w:i w:val="0"/>
                <w:iCs w:val="0"/>
                <w:color w:val="auto"/>
                <w:sz w:val="24"/>
                <w:szCs w:val="24"/>
                <w:highlight w:val="none"/>
                <w:shd w:val="clear" w:color="auto" w:fill="FFFFFF"/>
              </w:rPr>
              <w:t>获取（下载）招标文件，并于</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ascii="宋体" w:hAnsi="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ascii="宋体" w:hAnsi="宋体" w:cs="宋体"/>
                <w:b w:val="0"/>
                <w:bCs w:val="0"/>
                <w:i w:val="0"/>
                <w:iCs w:val="0"/>
                <w:color w:val="auto"/>
                <w:sz w:val="24"/>
                <w:szCs w:val="24"/>
                <w:highlight w:val="none"/>
                <w:u w:val="single"/>
                <w:shd w:val="clear" w:color="auto" w:fill="FFFFFF"/>
                <w:lang w:val="en-US" w:eastAsia="zh-CN"/>
              </w:rPr>
              <w:t>7</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ascii="宋体" w:hAnsi="宋体" w:cs="宋体"/>
                <w:b w:val="0"/>
                <w:bCs w:val="0"/>
                <w:i w:val="0"/>
                <w:iCs w:val="0"/>
                <w:color w:val="auto"/>
                <w:sz w:val="24"/>
                <w:szCs w:val="24"/>
                <w:highlight w:val="none"/>
                <w:u w:val="single"/>
                <w:shd w:val="clear" w:color="auto" w:fill="FFFFFF"/>
                <w:lang w:val="en-US" w:eastAsia="zh-CN"/>
              </w:rPr>
              <w:t>30</w:t>
            </w:r>
            <w:r>
              <w:rPr>
                <w:rFonts w:hint="eastAsia" w:ascii="宋体" w:hAnsi="宋体" w:eastAsia="宋体" w:cs="宋体"/>
                <w:b w:val="0"/>
                <w:bCs w:val="0"/>
                <w:i w:val="0"/>
                <w:iCs w:val="0"/>
                <w:color w:val="auto"/>
                <w:sz w:val="24"/>
                <w:szCs w:val="24"/>
                <w:highlight w:val="none"/>
                <w:u w:val="single"/>
                <w:shd w:val="clear" w:color="auto" w:fill="FFFFFF"/>
                <w:lang w:eastAsia="zh-CN"/>
              </w:rPr>
              <w:t>日</w:t>
            </w:r>
            <w:r>
              <w:rPr>
                <w:rFonts w:hint="eastAsia" w:ascii="宋体" w:hAnsi="宋体" w:cs="宋体"/>
                <w:b w:val="0"/>
                <w:bCs w:val="0"/>
                <w:i w:val="0"/>
                <w:iCs w:val="0"/>
                <w:color w:val="auto"/>
                <w:sz w:val="24"/>
                <w:szCs w:val="24"/>
                <w:highlight w:val="none"/>
                <w:u w:val="single"/>
                <w:shd w:val="clear" w:color="auto" w:fill="FFFFFF"/>
                <w:lang w:val="en-US" w:eastAsia="zh-CN"/>
              </w:rPr>
              <w:t>9:30</w:t>
            </w:r>
            <w:r>
              <w:rPr>
                <w:rFonts w:hint="eastAsia" w:ascii="宋体" w:hAnsi="宋体" w:eastAsia="宋体" w:cs="宋体"/>
                <w:b w:val="0"/>
                <w:bCs w:val="0"/>
                <w:i w:val="0"/>
                <w:iCs w:val="0"/>
                <w:color w:val="auto"/>
                <w:sz w:val="24"/>
                <w:szCs w:val="24"/>
                <w:highlight w:val="none"/>
                <w:u w:val="single"/>
                <w:shd w:val="clear" w:color="auto" w:fill="FFFFFF"/>
                <w:lang w:eastAsia="zh-CN"/>
              </w:rPr>
              <w:t>时</w:t>
            </w:r>
            <w:r>
              <w:rPr>
                <w:rFonts w:hint="eastAsia" w:ascii="宋体" w:hAnsi="宋体" w:eastAsia="宋体" w:cs="宋体"/>
                <w:b w:val="0"/>
                <w:bCs w:val="0"/>
                <w:i w:val="0"/>
                <w:iCs w:val="0"/>
                <w:color w:val="auto"/>
                <w:sz w:val="24"/>
                <w:szCs w:val="24"/>
                <w:highlight w:val="none"/>
                <w:shd w:val="clear" w:color="auto" w:fill="FFFFFF"/>
              </w:rPr>
              <w:t>（北京时间）前递交（上传）投标文件。</w:t>
            </w:r>
          </w:p>
        </w:tc>
      </w:tr>
    </w:tbl>
    <w:p w14:paraId="2DE203F3">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0" w:name="_Toc28359079"/>
      <w:bookmarkStart w:id="1" w:name="_Toc35393790"/>
      <w:bookmarkStart w:id="2" w:name="_Toc35393621"/>
      <w:bookmarkStart w:id="3" w:name="_Toc28359002"/>
      <w:bookmarkStart w:id="4" w:name="_Hlk24379207"/>
      <w:r>
        <w:rPr>
          <w:rFonts w:hint="eastAsia" w:ascii="宋体" w:hAnsi="宋体" w:eastAsia="宋体" w:cs="宋体"/>
          <w:b/>
          <w:bCs w:val="0"/>
          <w:color w:val="auto"/>
          <w:kern w:val="0"/>
          <w:sz w:val="24"/>
          <w:szCs w:val="24"/>
          <w:highlight w:val="none"/>
          <w:lang w:val="en-US" w:eastAsia="zh-CN" w:bidi="ar-SA"/>
        </w:rPr>
        <w:t>一、项目基本情况</w:t>
      </w:r>
      <w:bookmarkEnd w:id="0"/>
      <w:bookmarkEnd w:id="1"/>
      <w:bookmarkEnd w:id="2"/>
      <w:bookmarkEnd w:id="3"/>
    </w:p>
    <w:bookmarkEnd w:id="4"/>
    <w:p w14:paraId="53B86AE8">
      <w:pPr>
        <w:pageBreakBefore w:val="0"/>
        <w:shd w:val="clear"/>
        <w:kinsoku/>
        <w:overflowPunct/>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bookmarkStart w:id="5" w:name="_Toc35393622"/>
      <w:bookmarkStart w:id="6" w:name="_Toc28359003"/>
      <w:bookmarkStart w:id="7" w:name="_Toc28359080"/>
      <w:bookmarkStart w:id="8" w:name="_Toc35393791"/>
      <w:r>
        <w:rPr>
          <w:rFonts w:hint="eastAsia" w:ascii="宋体" w:hAnsi="宋体" w:eastAsia="宋体" w:cs="宋体"/>
          <w:bCs/>
          <w:color w:val="auto"/>
          <w:sz w:val="24"/>
          <w:szCs w:val="24"/>
          <w:highlight w:val="none"/>
          <w:lang w:val="en-US" w:eastAsia="zh-CN"/>
        </w:rPr>
        <w:t>项目编号：</w:t>
      </w:r>
      <w:r>
        <w:rPr>
          <w:rFonts w:hint="eastAsia" w:ascii="宋体" w:hAnsi="宋体" w:cs="宋体"/>
          <w:bCs/>
          <w:color w:val="auto"/>
          <w:sz w:val="24"/>
          <w:szCs w:val="24"/>
          <w:highlight w:val="none"/>
          <w:lang w:val="en-US" w:eastAsia="zh-CN"/>
        </w:rPr>
        <w:t>杭建集团2025-07-09</w:t>
      </w:r>
    </w:p>
    <w:p w14:paraId="584D0C3F">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w:t>
      </w:r>
      <w:r>
        <w:rPr>
          <w:rFonts w:hint="eastAsia" w:ascii="宋体" w:hAnsi="宋体" w:cs="宋体"/>
          <w:bCs/>
          <w:color w:val="auto"/>
          <w:sz w:val="24"/>
          <w:szCs w:val="24"/>
          <w:highlight w:val="none"/>
          <w:lang w:val="en-US" w:eastAsia="zh-CN"/>
        </w:rPr>
        <w:t>2025年诸暨市公共交通有限公司食堂劳务外包服务采购项目</w:t>
      </w:r>
    </w:p>
    <w:p w14:paraId="4D3F5963">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采购组织类型：</w:t>
      </w:r>
      <w:r>
        <w:rPr>
          <w:rFonts w:hint="eastAsia" w:ascii="宋体" w:hAnsi="宋体" w:cs="宋体"/>
          <w:bCs/>
          <w:color w:val="auto"/>
          <w:sz w:val="24"/>
          <w:szCs w:val="24"/>
          <w:highlight w:val="none"/>
          <w:lang w:val="en-US" w:eastAsia="zh-CN"/>
        </w:rPr>
        <w:t>采购委托代理</w:t>
      </w:r>
    </w:p>
    <w:p w14:paraId="568F11D6">
      <w:pPr>
        <w:pageBreakBefore w:val="0"/>
        <w:shd w:val="clear"/>
        <w:kinsoku/>
        <w:overflowPunct/>
        <w:bidi w:val="0"/>
        <w:spacing w:line="360" w:lineRule="auto"/>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预算金额：</w:t>
      </w:r>
      <w:r>
        <w:rPr>
          <w:rFonts w:hint="eastAsia" w:ascii="宋体" w:hAnsi="宋体" w:cs="宋体"/>
          <w:bCs/>
          <w:color w:val="auto"/>
          <w:sz w:val="24"/>
          <w:szCs w:val="24"/>
          <w:highlight w:val="none"/>
          <w:lang w:val="en-US" w:eastAsia="zh-CN"/>
        </w:rPr>
        <w:t>43万元</w:t>
      </w:r>
    </w:p>
    <w:p w14:paraId="17E65A1A">
      <w:pPr>
        <w:pageBreakBefore w:val="0"/>
        <w:shd w:val="clear"/>
        <w:kinsoku/>
        <w:wordWrap/>
        <w:overflowPunct/>
        <w:topLinePunct w:val="0"/>
        <w:bidi w:val="0"/>
        <w:spacing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采购需求：</w:t>
      </w:r>
      <w:r>
        <w:rPr>
          <w:rFonts w:hint="eastAsia" w:ascii="宋体" w:hAnsi="宋体" w:cs="宋体"/>
          <w:bCs/>
          <w:color w:val="auto"/>
          <w:sz w:val="24"/>
          <w:szCs w:val="24"/>
          <w:highlight w:val="none"/>
          <w:lang w:val="en-US" w:eastAsia="zh-CN"/>
        </w:rPr>
        <w:t>具体详见招标文件第四章采购需求</w:t>
      </w:r>
    </w:p>
    <w:p w14:paraId="2D817990">
      <w:pPr>
        <w:pageBreakBefore w:val="0"/>
        <w:shd w:val="clear"/>
        <w:kinsoku/>
        <w:wordWrap/>
        <w:overflowPunct/>
        <w:topLinePunct w:val="0"/>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采购方式：公开招标</w:t>
      </w:r>
    </w:p>
    <w:p w14:paraId="6A41B8EB">
      <w:pPr>
        <w:pageBreakBefore w:val="0"/>
        <w:shd w:val="clear"/>
        <w:kinsoku/>
        <w:wordWrap/>
        <w:overflowPunct/>
        <w:topLinePunct w:val="0"/>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评标办法：</w:t>
      </w:r>
      <w:r>
        <w:rPr>
          <w:rFonts w:hint="eastAsia" w:ascii="宋体" w:hAnsi="宋体" w:cs="宋体"/>
          <w:bCs/>
          <w:color w:val="auto"/>
          <w:sz w:val="24"/>
          <w:szCs w:val="24"/>
          <w:highlight w:val="none"/>
          <w:lang w:val="en-US" w:eastAsia="zh-CN"/>
        </w:rPr>
        <w:t>综合评分法</w:t>
      </w:r>
    </w:p>
    <w:p w14:paraId="511027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合同履约期限：</w:t>
      </w:r>
      <w:r>
        <w:rPr>
          <w:rFonts w:hint="eastAsia" w:ascii="宋体" w:hAnsi="宋体" w:cs="宋体"/>
          <w:bCs/>
          <w:color w:val="auto"/>
          <w:sz w:val="24"/>
          <w:szCs w:val="24"/>
          <w:highlight w:val="none"/>
          <w:lang w:val="en-US" w:eastAsia="zh-CN"/>
        </w:rPr>
        <w:t>合同签订之日起至2025年12月31日或本项目采购预算金额满止。</w:t>
      </w:r>
    </w:p>
    <w:p w14:paraId="4B90AB3C">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w:t>
      </w:r>
      <w:r>
        <w:rPr>
          <w:rFonts w:hint="eastAsia" w:ascii="宋体" w:hAnsi="宋体" w:cs="宋体"/>
          <w:bCs/>
          <w:color w:val="auto"/>
          <w:sz w:val="24"/>
          <w:szCs w:val="24"/>
          <w:highlight w:val="none"/>
          <w:lang w:val="en-US" w:eastAsia="zh-CN"/>
        </w:rPr>
        <w:t>不</w:t>
      </w:r>
      <w:r>
        <w:rPr>
          <w:rFonts w:hint="eastAsia" w:ascii="宋体" w:hAnsi="宋体" w:eastAsia="宋体" w:cs="宋体"/>
          <w:bCs/>
          <w:color w:val="auto"/>
          <w:sz w:val="24"/>
          <w:szCs w:val="24"/>
          <w:highlight w:val="none"/>
          <w:lang w:val="en-US" w:eastAsia="zh-CN"/>
        </w:rPr>
        <w:t>接受联合体投标。</w:t>
      </w:r>
    </w:p>
    <w:p w14:paraId="14F11F58">
      <w:pPr>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kern w:val="0"/>
          <w:sz w:val="24"/>
          <w:szCs w:val="24"/>
          <w:highlight w:val="none"/>
          <w:lang w:val="en-US" w:eastAsia="zh-CN" w:bidi="ar-SA"/>
        </w:rPr>
        <w:t>二</w:t>
      </w:r>
      <w:bookmarkEnd w:id="5"/>
      <w:bookmarkEnd w:id="6"/>
      <w:bookmarkEnd w:id="7"/>
      <w:bookmarkEnd w:id="8"/>
      <w:r>
        <w:rPr>
          <w:rFonts w:hint="eastAsia" w:ascii="宋体" w:hAnsi="宋体" w:eastAsia="宋体" w:cs="宋体"/>
          <w:b/>
          <w:color w:val="auto"/>
          <w:sz w:val="24"/>
          <w:szCs w:val="24"/>
          <w:highlight w:val="none"/>
        </w:rPr>
        <w:t>、申请人的资格要求：</w:t>
      </w:r>
    </w:p>
    <w:p w14:paraId="33591614">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bookmarkStart w:id="9" w:name="_Toc35393792"/>
      <w:bookmarkStart w:id="10" w:name="_Toc35393623"/>
      <w:r>
        <w:rPr>
          <w:rFonts w:hint="eastAsia" w:ascii="宋体" w:hAnsi="宋体" w:eastAsia="宋体" w:cs="宋体"/>
          <w:b w:val="0"/>
          <w:bCs/>
          <w:color w:val="auto"/>
          <w:sz w:val="24"/>
          <w:szCs w:val="24"/>
          <w:highlight w:val="none"/>
          <w:lang w:val="en-US" w:eastAsia="zh-CN"/>
        </w:rPr>
        <w:t>1、供应商参加本项目采购活动应当具备下列资格条件：</w:t>
      </w:r>
    </w:p>
    <w:p w14:paraId="75F30C58">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（1）具有独立承担民事责任的能力；</w:t>
      </w:r>
    </w:p>
    <w:p w14:paraId="4162B455">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（2）具有良好的商业信誉和健全的财务会计制度；</w:t>
      </w:r>
    </w:p>
    <w:p w14:paraId="6709FBF2">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（3）具有履行合同所必需的设备和专业技术能力；</w:t>
      </w:r>
    </w:p>
    <w:p w14:paraId="37BC5AB7">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（4）有依法缴纳税收和社会保障资金的良好记录；</w:t>
      </w:r>
    </w:p>
    <w:p w14:paraId="1FE30D3A">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（5）参加本次采购活动前三年内，在经营活动中没有重大违法记录；</w:t>
      </w:r>
    </w:p>
    <w:p w14:paraId="4E9AC2AC">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4246D845">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2、未被“信用中国”（www.creditchina.gov.cn）、中国政府采购网（www.ccgp.gov.cn）列入失信被执行人、重大税收违法案件当事人名单、政府采购严重违法失信行为记录名单。</w:t>
      </w:r>
    </w:p>
    <w:p w14:paraId="124C8056">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3、项目 不 接受联合体投标。</w:t>
      </w:r>
    </w:p>
    <w:p w14:paraId="7BF78194">
      <w:pPr>
        <w:pageBreakBefore w:val="0"/>
        <w:shd w:val="clear"/>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三、获取招标文件</w:t>
      </w:r>
      <w:bookmarkEnd w:id="9"/>
      <w:bookmarkEnd w:id="10"/>
    </w:p>
    <w:p w14:paraId="6FB47512">
      <w:pPr>
        <w:pageBreakBefore w:val="0"/>
        <w:shd w:val="clear"/>
        <w:kinsoku/>
        <w:wordWrap/>
        <w:overflowPunct/>
        <w:topLinePunct w:val="0"/>
        <w:bidi w:val="0"/>
        <w:spacing w:line="360" w:lineRule="auto"/>
        <w:ind w:firstLine="480" w:firstLineChars="200"/>
        <w:textAlignment w:val="auto"/>
        <w:rPr>
          <w:rStyle w:val="23"/>
          <w:rFonts w:hint="eastAsia" w:ascii="宋体" w:hAnsi="宋体" w:eastAsia="宋体" w:cs="宋体"/>
          <w:b w:val="0"/>
          <w:color w:val="auto"/>
          <w:sz w:val="24"/>
          <w:szCs w:val="24"/>
          <w:highlight w:val="none"/>
          <w:shd w:val="clear" w:color="auto" w:fill="FFFFFF"/>
          <w:lang w:val="en-US" w:eastAsia="zh-CN" w:bidi="ar-SA"/>
        </w:rPr>
      </w:pPr>
      <w:r>
        <w:rPr>
          <w:rFonts w:hint="eastAsia" w:ascii="宋体" w:hAnsi="宋体" w:eastAsia="宋体" w:cs="宋体"/>
          <w:bCs/>
          <w:color w:val="auto"/>
          <w:sz w:val="24"/>
          <w:szCs w:val="24"/>
          <w:highlight w:val="none"/>
          <w:lang w:val="en-US" w:eastAsia="zh-CN"/>
        </w:rPr>
        <w:t>时间：</w:t>
      </w:r>
      <w:r>
        <w:rPr>
          <w:rFonts w:hint="eastAsia" w:ascii="宋体" w:hAnsi="宋体" w:eastAsia="宋体" w:cs="宋体"/>
          <w:bCs/>
          <w:color w:val="auto"/>
          <w:sz w:val="24"/>
          <w:szCs w:val="24"/>
          <w:highlight w:val="none"/>
          <w:u w:val="single"/>
          <w:lang w:val="en-US" w:eastAsia="zh-CN"/>
        </w:rPr>
        <w:t>2025年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lang w:val="en-US" w:eastAsia="zh-CN"/>
        </w:rPr>
        <w:t>月</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lang w:val="en-US" w:eastAsia="zh-CN"/>
        </w:rPr>
        <w:t>日</w:t>
      </w:r>
      <w:r>
        <w:rPr>
          <w:rFonts w:hint="eastAsia" w:ascii="宋体" w:hAnsi="宋体" w:eastAsia="宋体" w:cs="宋体"/>
          <w:bCs/>
          <w:color w:val="auto"/>
          <w:sz w:val="24"/>
          <w:szCs w:val="24"/>
          <w:highlight w:val="none"/>
          <w:lang w:val="en-US" w:eastAsia="zh-CN"/>
        </w:rPr>
        <w:t>至</w:t>
      </w:r>
      <w:r>
        <w:rPr>
          <w:rFonts w:hint="eastAsia" w:ascii="宋体" w:hAnsi="宋体" w:eastAsia="宋体" w:cs="宋体"/>
          <w:bCs/>
          <w:color w:val="auto"/>
          <w:sz w:val="24"/>
          <w:szCs w:val="24"/>
          <w:highlight w:val="none"/>
          <w:u w:val="single"/>
          <w:lang w:val="en-US" w:eastAsia="zh-CN"/>
        </w:rPr>
        <w:t>2025年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lang w:val="en-US" w:eastAsia="zh-CN"/>
        </w:rPr>
        <w:t>月</w:t>
      </w:r>
      <w:r>
        <w:rPr>
          <w:rFonts w:hint="eastAsia" w:ascii="宋体" w:hAnsi="宋体" w:cs="宋体"/>
          <w:bCs/>
          <w:color w:val="auto"/>
          <w:sz w:val="24"/>
          <w:szCs w:val="24"/>
          <w:highlight w:val="none"/>
          <w:u w:val="single"/>
          <w:lang w:val="en-US" w:eastAsia="zh-CN"/>
        </w:rPr>
        <w:t>30</w:t>
      </w:r>
      <w:r>
        <w:rPr>
          <w:rStyle w:val="23"/>
          <w:rFonts w:hint="eastAsia" w:ascii="宋体" w:hAnsi="宋体" w:eastAsia="宋体" w:cs="宋体"/>
          <w:b w:val="0"/>
          <w:color w:val="auto"/>
          <w:sz w:val="24"/>
          <w:szCs w:val="24"/>
          <w:highlight w:val="none"/>
          <w:u w:val="single"/>
          <w:shd w:val="clear" w:color="auto" w:fill="FFFFFF"/>
          <w:lang w:val="en-US" w:eastAsia="zh-CN" w:bidi="ar-SA"/>
        </w:rPr>
        <w:t>日</w:t>
      </w:r>
      <w:r>
        <w:rPr>
          <w:rStyle w:val="23"/>
          <w:rFonts w:hint="eastAsia" w:ascii="宋体" w:hAnsi="宋体" w:eastAsia="宋体" w:cs="宋体"/>
          <w:b w:val="0"/>
          <w:color w:val="auto"/>
          <w:sz w:val="24"/>
          <w:szCs w:val="24"/>
          <w:highlight w:val="none"/>
          <w:shd w:val="clear" w:color="auto" w:fill="FFFFFF"/>
          <w:lang w:val="en-US" w:eastAsia="zh-CN" w:bidi="ar-SA"/>
        </w:rPr>
        <w:t>，每天上午00:00至12:00，下午12:00至24:00（北京时间）</w:t>
      </w:r>
    </w:p>
    <w:p w14:paraId="74F09F8A">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3"/>
          <w:rFonts w:hint="eastAsia" w:ascii="宋体" w:hAnsi="宋体" w:eastAsia="宋体" w:cs="宋体"/>
          <w:b w:val="0"/>
          <w:color w:val="auto"/>
          <w:sz w:val="24"/>
          <w:szCs w:val="24"/>
          <w:highlight w:val="none"/>
          <w:shd w:val="clear" w:color="auto" w:fill="FFFFFF"/>
        </w:rPr>
      </w:pPr>
      <w:r>
        <w:rPr>
          <w:rStyle w:val="23"/>
          <w:rFonts w:hint="eastAsia" w:ascii="宋体" w:hAnsi="宋体" w:eastAsia="宋体" w:cs="宋体"/>
          <w:b w:val="0"/>
          <w:color w:val="auto"/>
          <w:sz w:val="24"/>
          <w:szCs w:val="24"/>
          <w:highlight w:val="none"/>
          <w:shd w:val="clear" w:color="auto" w:fill="FFFFFF"/>
        </w:rPr>
        <w:t>地点：</w:t>
      </w:r>
      <w:r>
        <w:rPr>
          <w:rStyle w:val="23"/>
          <w:rFonts w:hint="eastAsia" w:eastAsia="宋体" w:cs="宋体"/>
          <w:b w:val="0"/>
          <w:color w:val="auto"/>
          <w:sz w:val="24"/>
          <w:szCs w:val="24"/>
          <w:highlight w:val="none"/>
          <w:shd w:val="clear" w:color="auto" w:fill="FFFFFF"/>
          <w:lang w:eastAsia="zh-CN"/>
        </w:rPr>
        <w:t>乐采云</w:t>
      </w:r>
      <w:r>
        <w:rPr>
          <w:rStyle w:val="23"/>
          <w:rFonts w:hint="eastAsia" w:ascii="宋体" w:hAnsi="宋体" w:eastAsia="宋体" w:cs="宋体"/>
          <w:b w:val="0"/>
          <w:color w:val="auto"/>
          <w:sz w:val="24"/>
          <w:szCs w:val="24"/>
          <w:highlight w:val="none"/>
          <w:shd w:val="clear" w:color="auto" w:fill="FFFFFF"/>
        </w:rPr>
        <w:t>平台线上获取</w:t>
      </w:r>
    </w:p>
    <w:p w14:paraId="3734E5C0">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3"/>
          <w:rFonts w:hint="eastAsia" w:ascii="宋体" w:hAnsi="宋体" w:eastAsia="宋体" w:cs="宋体"/>
          <w:b w:val="0"/>
          <w:color w:val="auto"/>
          <w:sz w:val="24"/>
          <w:szCs w:val="24"/>
          <w:highlight w:val="none"/>
          <w:shd w:val="clear" w:color="auto" w:fill="FFFFFF"/>
        </w:rPr>
      </w:pPr>
      <w:r>
        <w:rPr>
          <w:rStyle w:val="23"/>
          <w:rFonts w:hint="eastAsia" w:ascii="宋体" w:hAnsi="宋体" w:eastAsia="宋体" w:cs="宋体"/>
          <w:b w:val="0"/>
          <w:color w:val="auto"/>
          <w:sz w:val="24"/>
          <w:szCs w:val="24"/>
          <w:highlight w:val="none"/>
          <w:shd w:val="clear" w:color="auto" w:fill="FFFFFF"/>
        </w:rPr>
        <w:t>方式：潜在供应商登</w:t>
      </w:r>
      <w:r>
        <w:rPr>
          <w:rStyle w:val="23"/>
          <w:rFonts w:hint="eastAsia" w:ascii="宋体" w:hAnsi="宋体" w:eastAsia="宋体" w:cs="宋体"/>
          <w:b w:val="0"/>
          <w:color w:val="auto"/>
          <w:sz w:val="24"/>
          <w:szCs w:val="24"/>
          <w:highlight w:val="none"/>
          <w:shd w:val="clear" w:color="auto" w:fill="FFFFFF"/>
          <w:lang w:val="en-US" w:eastAsia="zh-CN"/>
        </w:rPr>
        <w:t>录</w:t>
      </w:r>
      <w:r>
        <w:rPr>
          <w:rStyle w:val="23"/>
          <w:rFonts w:hint="eastAsia" w:eastAsia="宋体" w:cs="宋体"/>
          <w:b w:val="0"/>
          <w:color w:val="auto"/>
          <w:sz w:val="24"/>
          <w:szCs w:val="24"/>
          <w:highlight w:val="none"/>
          <w:shd w:val="clear" w:color="auto" w:fill="FFFFFF"/>
          <w:lang w:eastAsia="zh-CN"/>
        </w:rPr>
        <w:t>乐采云</w:t>
      </w:r>
      <w:r>
        <w:rPr>
          <w:rStyle w:val="23"/>
          <w:rFonts w:hint="eastAsia" w:ascii="宋体" w:hAnsi="宋体" w:eastAsia="宋体" w:cs="宋体"/>
          <w:b w:val="0"/>
          <w:color w:val="auto"/>
          <w:sz w:val="24"/>
          <w:szCs w:val="24"/>
          <w:highlight w:val="none"/>
          <w:shd w:val="clear" w:color="auto" w:fill="FFFFFF"/>
        </w:rPr>
        <w:t>平台，在线申请获取招标文件。进入“项目采购”应用，在获取招标文件菜单中选择项目，申请获取招标文件（仅需浏览招标文件的供应商可点击“游客，浏览招标文件”直接下载招标文件浏览）。</w:t>
      </w:r>
    </w:p>
    <w:p w14:paraId="5ABEFBBE">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11" w:name="_Toc28359082"/>
      <w:bookmarkStart w:id="12" w:name="_Toc28359005"/>
      <w:bookmarkStart w:id="13" w:name="_Toc35393624"/>
      <w:bookmarkStart w:id="14" w:name="_Toc35393793"/>
      <w:r>
        <w:rPr>
          <w:rFonts w:hint="eastAsia" w:ascii="宋体" w:hAnsi="宋体" w:eastAsia="宋体" w:cs="宋体"/>
          <w:b/>
          <w:bCs w:val="0"/>
          <w:color w:val="auto"/>
          <w:kern w:val="0"/>
          <w:sz w:val="24"/>
          <w:szCs w:val="24"/>
          <w:highlight w:val="none"/>
          <w:lang w:val="en-US" w:eastAsia="zh-CN" w:bidi="ar-SA"/>
        </w:rPr>
        <w:t>四、提交投标文件</w:t>
      </w:r>
      <w:bookmarkEnd w:id="11"/>
      <w:bookmarkEnd w:id="12"/>
      <w:r>
        <w:rPr>
          <w:rFonts w:hint="eastAsia" w:ascii="宋体" w:hAnsi="宋体" w:eastAsia="宋体" w:cs="宋体"/>
          <w:b/>
          <w:bCs w:val="0"/>
          <w:color w:val="auto"/>
          <w:kern w:val="0"/>
          <w:sz w:val="24"/>
          <w:szCs w:val="24"/>
          <w:highlight w:val="none"/>
          <w:lang w:val="en-US" w:eastAsia="zh-CN" w:bidi="ar-SA"/>
        </w:rPr>
        <w:t>截止时间、开标时间和地点</w:t>
      </w:r>
      <w:bookmarkEnd w:id="13"/>
      <w:bookmarkEnd w:id="14"/>
    </w:p>
    <w:p w14:paraId="20C7BB07">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3"/>
          <w:rFonts w:hint="eastAsia" w:ascii="宋体" w:hAnsi="宋体" w:eastAsia="宋体" w:cs="宋体"/>
          <w:b w:val="0"/>
          <w:color w:val="auto"/>
          <w:sz w:val="24"/>
          <w:szCs w:val="24"/>
          <w:highlight w:val="none"/>
          <w:shd w:val="clear" w:color="auto" w:fill="FFFFFF"/>
        </w:rPr>
      </w:pPr>
      <w:bookmarkStart w:id="15" w:name="_Toc35393625"/>
      <w:bookmarkStart w:id="16" w:name="_Toc28359084"/>
      <w:bookmarkStart w:id="17" w:name="_Toc28359007"/>
      <w:bookmarkStart w:id="18" w:name="_Toc35393794"/>
      <w:r>
        <w:rPr>
          <w:rStyle w:val="23"/>
          <w:rFonts w:hint="eastAsia" w:ascii="宋体" w:hAnsi="宋体" w:eastAsia="宋体" w:cs="宋体"/>
          <w:b w:val="0"/>
          <w:color w:val="auto"/>
          <w:sz w:val="24"/>
          <w:szCs w:val="24"/>
          <w:highlight w:val="none"/>
          <w:shd w:val="clear" w:color="auto" w:fill="FFFFFF"/>
        </w:rPr>
        <w:t>提交投标文件截止时间：</w:t>
      </w:r>
      <w:r>
        <w:rPr>
          <w:rFonts w:hint="eastAsia"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7</w:t>
      </w:r>
      <w:r>
        <w:rPr>
          <w:rFonts w:hint="eastAsia"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30</w:t>
      </w:r>
      <w:r>
        <w:rPr>
          <w:rFonts w:hint="eastAsia"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9:30</w:t>
      </w:r>
      <w:r>
        <w:rPr>
          <w:rFonts w:hint="eastAsia" w:eastAsia="宋体" w:cs="宋体"/>
          <w:b w:val="0"/>
          <w:bCs w:val="0"/>
          <w:i w:val="0"/>
          <w:iCs w:val="0"/>
          <w:color w:val="auto"/>
          <w:sz w:val="24"/>
          <w:szCs w:val="24"/>
          <w:highlight w:val="none"/>
          <w:u w:val="single"/>
          <w:shd w:val="clear" w:color="auto" w:fill="FFFFFF"/>
          <w:lang w:eastAsia="zh-CN"/>
        </w:rPr>
        <w:t>时</w:t>
      </w:r>
      <w:r>
        <w:rPr>
          <w:rStyle w:val="23"/>
          <w:rFonts w:hint="eastAsia" w:ascii="宋体" w:hAnsi="宋体" w:eastAsia="宋体" w:cs="宋体"/>
          <w:b w:val="0"/>
          <w:color w:val="auto"/>
          <w:sz w:val="24"/>
          <w:szCs w:val="24"/>
          <w:highlight w:val="none"/>
          <w:shd w:val="clear" w:color="auto" w:fill="FFFFFF"/>
        </w:rPr>
        <w:t>（北京时间）</w:t>
      </w:r>
    </w:p>
    <w:p w14:paraId="1C77AC46">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Style w:val="23"/>
          <w:rFonts w:hint="eastAsia" w:ascii="宋体" w:hAnsi="宋体" w:eastAsia="宋体" w:cs="宋体"/>
          <w:b w:val="0"/>
          <w:color w:val="auto"/>
          <w:sz w:val="24"/>
          <w:szCs w:val="24"/>
          <w:highlight w:val="none"/>
          <w:shd w:val="clear" w:color="auto" w:fill="FFFFFF"/>
        </w:rPr>
        <w:t>投标地点（网址）：</w:t>
      </w:r>
      <w:r>
        <w:rPr>
          <w:rFonts w:hint="eastAsia" w:ascii="宋体" w:hAnsi="宋体" w:eastAsia="宋体" w:cs="宋体"/>
          <w:color w:val="auto"/>
          <w:sz w:val="24"/>
          <w:szCs w:val="24"/>
          <w:highlight w:val="none"/>
        </w:rPr>
        <w:t>投标人应于</w:t>
      </w:r>
      <w:r>
        <w:rPr>
          <w:rFonts w:hint="eastAsia"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7</w:t>
      </w:r>
      <w:r>
        <w:rPr>
          <w:rFonts w:hint="eastAsia"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30</w:t>
      </w:r>
      <w:r>
        <w:rPr>
          <w:rFonts w:hint="eastAsia"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9:30</w:t>
      </w:r>
      <w:r>
        <w:rPr>
          <w:rFonts w:hint="eastAsia" w:eastAsia="宋体" w:cs="宋体"/>
          <w:b w:val="0"/>
          <w:bCs w:val="0"/>
          <w:i w:val="0"/>
          <w:iCs w:val="0"/>
          <w:color w:val="auto"/>
          <w:sz w:val="24"/>
          <w:szCs w:val="24"/>
          <w:highlight w:val="none"/>
          <w:u w:val="single"/>
          <w:shd w:val="clear" w:color="auto" w:fill="FFFFFF"/>
          <w:lang w:eastAsia="zh-CN"/>
        </w:rPr>
        <w:t>时</w:t>
      </w:r>
      <w:r>
        <w:rPr>
          <w:rFonts w:hint="eastAsia" w:ascii="宋体" w:hAnsi="宋体" w:eastAsia="宋体" w:cs="宋体"/>
          <w:color w:val="auto"/>
          <w:sz w:val="24"/>
          <w:szCs w:val="24"/>
          <w:highlight w:val="none"/>
        </w:rPr>
        <w:t>整之前将电子投标文件上传到“</w:t>
      </w:r>
      <w:r>
        <w:rPr>
          <w:rFonts w:hint="eastAsia" w:eastAsia="宋体" w:cs="宋体"/>
          <w:color w:val="auto"/>
          <w:sz w:val="24"/>
          <w:szCs w:val="24"/>
          <w:highlight w:val="none"/>
          <w:lang w:eastAsia="zh-CN"/>
        </w:rPr>
        <w:t>乐采云</w:t>
      </w:r>
      <w:r>
        <w:rPr>
          <w:rFonts w:hint="eastAsia" w:ascii="宋体" w:hAnsi="宋体" w:eastAsia="宋体" w:cs="宋体"/>
          <w:color w:val="auto"/>
          <w:sz w:val="24"/>
          <w:szCs w:val="24"/>
          <w:highlight w:val="none"/>
        </w:rPr>
        <w:t>”平台，逾期上传不予接收。</w:t>
      </w:r>
    </w:p>
    <w:p w14:paraId="13B922EA">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3"/>
          <w:rFonts w:hint="eastAsia" w:ascii="宋体" w:hAnsi="宋体" w:eastAsia="宋体" w:cs="宋体"/>
          <w:b w:val="0"/>
          <w:color w:val="auto"/>
          <w:sz w:val="24"/>
          <w:szCs w:val="24"/>
          <w:highlight w:val="none"/>
          <w:shd w:val="clear" w:color="auto" w:fill="FFFFFF"/>
        </w:rPr>
      </w:pPr>
      <w:r>
        <w:rPr>
          <w:rStyle w:val="23"/>
          <w:rFonts w:hint="eastAsia" w:ascii="宋体" w:hAnsi="宋体" w:eastAsia="宋体" w:cs="宋体"/>
          <w:b w:val="0"/>
          <w:color w:val="auto"/>
          <w:sz w:val="24"/>
          <w:szCs w:val="24"/>
          <w:highlight w:val="none"/>
          <w:shd w:val="clear" w:color="auto" w:fill="FFFFFF"/>
        </w:rPr>
        <w:t>开标时间：</w:t>
      </w:r>
      <w:r>
        <w:rPr>
          <w:rFonts w:hint="eastAsia"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7</w:t>
      </w:r>
      <w:r>
        <w:rPr>
          <w:rFonts w:hint="eastAsia"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30</w:t>
      </w:r>
      <w:r>
        <w:rPr>
          <w:rFonts w:hint="eastAsia"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9:30</w:t>
      </w:r>
      <w:r>
        <w:rPr>
          <w:rFonts w:hint="eastAsia" w:eastAsia="宋体" w:cs="宋体"/>
          <w:b w:val="0"/>
          <w:bCs w:val="0"/>
          <w:i w:val="0"/>
          <w:iCs w:val="0"/>
          <w:color w:val="auto"/>
          <w:sz w:val="24"/>
          <w:szCs w:val="24"/>
          <w:highlight w:val="none"/>
          <w:u w:val="single"/>
          <w:shd w:val="clear" w:color="auto" w:fill="FFFFFF"/>
          <w:lang w:eastAsia="zh-CN"/>
        </w:rPr>
        <w:t>时</w:t>
      </w:r>
      <w:r>
        <w:rPr>
          <w:rStyle w:val="23"/>
          <w:rFonts w:hint="eastAsia" w:ascii="宋体" w:hAnsi="宋体" w:eastAsia="宋体" w:cs="宋体"/>
          <w:b w:val="0"/>
          <w:color w:val="auto"/>
          <w:sz w:val="24"/>
          <w:szCs w:val="24"/>
          <w:highlight w:val="none"/>
          <w:shd w:val="clear" w:color="auto" w:fill="FFFFFF"/>
        </w:rPr>
        <w:t>（北京时间）</w:t>
      </w:r>
    </w:p>
    <w:p w14:paraId="70FF6FCF">
      <w:pPr>
        <w:pStyle w:val="18"/>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3"/>
          <w:rFonts w:hint="eastAsia" w:ascii="宋体" w:hAnsi="宋体" w:eastAsia="宋体" w:cs="宋体"/>
          <w:b w:val="0"/>
          <w:color w:val="auto"/>
          <w:sz w:val="24"/>
          <w:szCs w:val="24"/>
          <w:highlight w:val="none"/>
          <w:shd w:val="clear" w:color="auto" w:fill="FFFFFF"/>
          <w:lang w:val="en-US"/>
        </w:rPr>
      </w:pPr>
      <w:r>
        <w:rPr>
          <w:rStyle w:val="23"/>
          <w:rFonts w:hint="eastAsia" w:ascii="宋体" w:hAnsi="宋体" w:eastAsia="宋体" w:cs="宋体"/>
          <w:b w:val="0"/>
          <w:color w:val="auto"/>
          <w:sz w:val="24"/>
          <w:szCs w:val="24"/>
          <w:highlight w:val="none"/>
          <w:shd w:val="clear" w:color="auto" w:fill="FFFFFF"/>
        </w:rPr>
        <w:t>开标地点：</w:t>
      </w:r>
      <w:r>
        <w:rPr>
          <w:rFonts w:hint="eastAsia" w:eastAsia="宋体" w:cs="宋体"/>
          <w:color w:val="auto"/>
          <w:sz w:val="24"/>
          <w:szCs w:val="24"/>
          <w:highlight w:val="none"/>
          <w:lang w:val="en-US" w:eastAsia="zh-CN"/>
        </w:rPr>
        <w:t>杭州市建设工程管理集团有限公司</w:t>
      </w:r>
      <w:r>
        <w:rPr>
          <w:rFonts w:hint="eastAsia" w:ascii="宋体" w:hAnsi="宋体" w:eastAsia="宋体" w:cs="宋体"/>
          <w:color w:val="auto"/>
          <w:sz w:val="24"/>
          <w:szCs w:val="24"/>
          <w:highlight w:val="none"/>
          <w:lang w:val="en-US" w:eastAsia="zh-CN"/>
        </w:rPr>
        <w:t>（</w:t>
      </w:r>
      <w:r>
        <w:rPr>
          <w:rFonts w:hint="eastAsia" w:eastAsia="宋体" w:cs="宋体"/>
          <w:color w:val="auto"/>
          <w:sz w:val="24"/>
          <w:szCs w:val="24"/>
          <w:highlight w:val="none"/>
          <w:lang w:val="en-US" w:eastAsia="zh-CN"/>
        </w:rPr>
        <w:t>诸暨市亿泽新疆大厦A座19楼1905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39EBB4E2">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五、公告期限</w:t>
      </w:r>
      <w:bookmarkEnd w:id="15"/>
      <w:bookmarkEnd w:id="16"/>
      <w:bookmarkEnd w:id="17"/>
      <w:bookmarkEnd w:id="18"/>
    </w:p>
    <w:p w14:paraId="363DE3CB">
      <w:pPr>
        <w:pageBreakBefore w:val="0"/>
        <w:shd w:val="clear"/>
        <w:kinsoku/>
        <w:wordWrap/>
        <w:overflowPunct/>
        <w:topLinePunct w:val="0"/>
        <w:bidi w:val="0"/>
        <w:spacing w:line="360" w:lineRule="auto"/>
        <w:ind w:firstLine="480" w:firstLineChars="200"/>
        <w:textAlignment w:val="auto"/>
        <w:rPr>
          <w:rStyle w:val="23"/>
          <w:rFonts w:hint="eastAsia" w:ascii="宋体" w:hAnsi="宋体" w:eastAsia="宋体" w:cs="宋体"/>
          <w:b w:val="0"/>
          <w:color w:val="auto"/>
          <w:sz w:val="24"/>
          <w:szCs w:val="24"/>
          <w:highlight w:val="none"/>
          <w:shd w:val="clear" w:color="auto" w:fill="FFFFFF"/>
          <w:lang w:val="en-US" w:eastAsia="zh-CN" w:bidi="ar-SA"/>
        </w:rPr>
      </w:pPr>
      <w:r>
        <w:rPr>
          <w:rStyle w:val="23"/>
          <w:rFonts w:hint="eastAsia" w:ascii="宋体" w:hAnsi="宋体" w:eastAsia="宋体" w:cs="宋体"/>
          <w:b w:val="0"/>
          <w:color w:val="auto"/>
          <w:sz w:val="24"/>
          <w:szCs w:val="24"/>
          <w:highlight w:val="none"/>
          <w:shd w:val="clear" w:color="auto" w:fill="FFFFFF"/>
          <w:lang w:val="en-US" w:eastAsia="zh-CN" w:bidi="ar-SA"/>
        </w:rPr>
        <w:t>自本公告发布之日起5个工作日。</w:t>
      </w:r>
    </w:p>
    <w:p w14:paraId="7A817180">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19" w:name="_Toc35393795"/>
      <w:bookmarkStart w:id="20" w:name="_Toc35393626"/>
      <w:r>
        <w:rPr>
          <w:rFonts w:hint="eastAsia" w:ascii="宋体" w:hAnsi="宋体" w:eastAsia="宋体" w:cs="宋体"/>
          <w:b/>
          <w:bCs w:val="0"/>
          <w:color w:val="auto"/>
          <w:kern w:val="0"/>
          <w:sz w:val="24"/>
          <w:szCs w:val="24"/>
          <w:highlight w:val="none"/>
          <w:lang w:val="en-US" w:eastAsia="zh-CN" w:bidi="ar-SA"/>
        </w:rPr>
        <w:t>六、其他补充事宜</w:t>
      </w:r>
      <w:bookmarkEnd w:id="19"/>
      <w:bookmarkEnd w:id="20"/>
    </w:p>
    <w:p w14:paraId="1BDD15DD">
      <w:pPr>
        <w:pageBreakBefore w:val="0"/>
        <w:shd w:val="clear"/>
        <w:kinsoku/>
        <w:wordWrap/>
        <w:overflowPunct/>
        <w:topLinePunct w:val="0"/>
        <w:autoSpaceDE/>
        <w:autoSpaceDN/>
        <w:bidi w:val="0"/>
        <w:adjustRightInd/>
        <w:spacing w:line="360" w:lineRule="auto"/>
        <w:ind w:firstLine="480" w:firstLineChars="200"/>
        <w:textAlignment w:val="auto"/>
        <w:rPr>
          <w:rStyle w:val="23"/>
          <w:rFonts w:hint="eastAsia" w:ascii="宋体" w:hAnsi="宋体" w:eastAsia="宋体" w:cs="宋体"/>
          <w:b w:val="0"/>
          <w:color w:val="auto"/>
          <w:sz w:val="24"/>
          <w:szCs w:val="24"/>
          <w:highlight w:val="none"/>
          <w:shd w:val="clear" w:color="auto" w:fill="FFFFFF"/>
        </w:rPr>
      </w:pPr>
      <w:r>
        <w:rPr>
          <w:rStyle w:val="23"/>
          <w:rFonts w:hint="eastAsia" w:ascii="宋体" w:hAnsi="宋体" w:eastAsia="宋体" w:cs="宋体"/>
          <w:b w:val="0"/>
          <w:color w:val="auto"/>
          <w:sz w:val="24"/>
          <w:szCs w:val="24"/>
          <w:highlight w:val="none"/>
          <w:shd w:val="clear" w:color="auto" w:fill="FFFFFF"/>
        </w:rPr>
        <w:t>1、投标人应在开标截止时间10日前以书面形式向采购代理机构提出质疑，逾期提出的，采购代理机构不予受理、答复。采购代理机构与采购人研究后，对认为有必要回答的问题，招标人将在开标前将答疑内容以网上发布公告的形式通知所有投标人，投标人自行在网上查阅、下载答疑回复</w:t>
      </w:r>
      <w:r>
        <w:rPr>
          <w:rStyle w:val="23"/>
          <w:rFonts w:hint="eastAsia" w:ascii="宋体" w:hAnsi="宋体" w:cs="宋体"/>
          <w:b w:val="0"/>
          <w:color w:val="auto"/>
          <w:sz w:val="24"/>
          <w:szCs w:val="24"/>
          <w:highlight w:val="none"/>
          <w:shd w:val="clear" w:color="auto" w:fill="FFFFFF"/>
          <w:lang w:eastAsia="zh-CN"/>
        </w:rPr>
        <w:t>，</w:t>
      </w:r>
      <w:r>
        <w:rPr>
          <w:rStyle w:val="23"/>
          <w:rFonts w:hint="eastAsia" w:ascii="宋体" w:hAnsi="宋体" w:eastAsia="宋体" w:cs="宋体"/>
          <w:b w:val="0"/>
          <w:color w:val="auto"/>
          <w:sz w:val="24"/>
          <w:szCs w:val="24"/>
          <w:highlight w:val="none"/>
          <w:shd w:val="clear" w:color="auto" w:fill="FFFFFF"/>
        </w:rPr>
        <w:t>答疑内容是招标文件的组成部分。</w:t>
      </w:r>
    </w:p>
    <w:p w14:paraId="4B8DE09B">
      <w:pPr>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Style w:val="23"/>
          <w:rFonts w:hint="eastAsia" w:ascii="宋体" w:hAnsi="宋体" w:eastAsia="宋体" w:cs="宋体"/>
          <w:b w:val="0"/>
          <w:color w:val="auto"/>
          <w:sz w:val="24"/>
          <w:szCs w:val="24"/>
          <w:highlight w:val="none"/>
          <w:shd w:val="clear" w:color="auto" w:fill="FFFFFF"/>
        </w:rPr>
        <w:t>2、其他事项：</w:t>
      </w:r>
    </w:p>
    <w:p w14:paraId="15C08CC5">
      <w:pPr>
        <w:pStyle w:val="13"/>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cs="宋体"/>
          <w:b w:val="0"/>
          <w:bCs/>
          <w:color w:val="auto"/>
          <w:sz w:val="24"/>
          <w:szCs w:val="24"/>
          <w:highlight w:val="none"/>
          <w:u w:val="none"/>
          <w:lang w:eastAsia="zh-CN"/>
        </w:rPr>
        <w:t>（</w:t>
      </w:r>
      <w:r>
        <w:rPr>
          <w:rFonts w:hint="eastAsia" w:ascii="宋体" w:hAnsi="宋体" w:cs="宋体"/>
          <w:b w:val="0"/>
          <w:bCs/>
          <w:color w:val="auto"/>
          <w:sz w:val="24"/>
          <w:szCs w:val="24"/>
          <w:highlight w:val="none"/>
          <w:u w:val="none"/>
          <w:lang w:val="en-US" w:eastAsia="zh-CN"/>
        </w:rPr>
        <w:t>1</w:t>
      </w:r>
      <w:r>
        <w:rPr>
          <w:rFonts w:hint="eastAsia" w:ascii="宋体" w:hAnsi="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投标人应于</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前按照电子投标要求将电子加密标书上传到“</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”平台，逾期或未上传</w:t>
      </w:r>
      <w:r>
        <w:rPr>
          <w:rFonts w:hint="eastAsia" w:ascii="宋体" w:hAnsi="宋体" w:cs="宋体"/>
          <w:b w:val="0"/>
          <w:bCs/>
          <w:color w:val="auto"/>
          <w:sz w:val="24"/>
          <w:szCs w:val="24"/>
          <w:highlight w:val="none"/>
          <w:u w:val="none"/>
          <w:lang w:eastAsia="zh-CN"/>
        </w:rPr>
        <w:t>成功地将</w:t>
      </w:r>
      <w:r>
        <w:rPr>
          <w:rFonts w:hint="eastAsia" w:ascii="宋体" w:hAnsi="宋体" w:eastAsia="宋体" w:cs="宋体"/>
          <w:b w:val="0"/>
          <w:bCs/>
          <w:color w:val="auto"/>
          <w:sz w:val="24"/>
          <w:szCs w:val="24"/>
          <w:highlight w:val="none"/>
          <w:u w:val="none"/>
        </w:rPr>
        <w:t>导致无法投标或投标无</w:t>
      </w:r>
      <w:r>
        <w:rPr>
          <w:rFonts w:hint="eastAsia" w:ascii="宋体" w:hAnsi="宋体" w:eastAsia="宋体" w:cs="宋体"/>
          <w:b w:val="0"/>
          <w:bCs/>
          <w:color w:val="auto"/>
          <w:kern w:val="0"/>
          <w:sz w:val="24"/>
          <w:szCs w:val="24"/>
          <w:highlight w:val="none"/>
          <w:u w:val="none"/>
        </w:rPr>
        <w:t>效。</w:t>
      </w:r>
      <w:r>
        <w:rPr>
          <w:rFonts w:hint="eastAsia" w:ascii="宋体" w:hAnsi="宋体" w:eastAsia="宋体" w:cs="宋体"/>
          <w:b w:val="0"/>
          <w:bCs/>
          <w:color w:val="auto"/>
          <w:sz w:val="24"/>
          <w:szCs w:val="24"/>
          <w:highlight w:val="none"/>
          <w:u w:val="none"/>
        </w:rPr>
        <w:t>备注：为确保采购项目顺利实施，避免因</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上电子投标文件解密失败导致投标方投标无效，投标方可在</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前将在</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平台上最后生成的具备电子签章的备份加密投标文件（文件名后缀为备份文件四字的首字母）以电子邮件方式传送至</w:t>
      </w:r>
      <w:r>
        <w:rPr>
          <w:rFonts w:hint="eastAsia" w:ascii="宋体" w:hAnsi="宋体" w:cs="宋体"/>
          <w:b w:val="0"/>
          <w:bCs/>
          <w:color w:val="auto"/>
          <w:sz w:val="24"/>
          <w:szCs w:val="24"/>
          <w:highlight w:val="none"/>
          <w:u w:val="none"/>
          <w:lang w:val="en-US" w:eastAsia="zh-CN"/>
        </w:rPr>
        <w:t>杭州市建设工程管理集团有限公司</w:t>
      </w:r>
      <w:r>
        <w:rPr>
          <w:rFonts w:hint="eastAsia" w:ascii="宋体" w:hAnsi="宋体" w:eastAsia="宋体" w:cs="宋体"/>
          <w:b w:val="0"/>
          <w:bCs/>
          <w:color w:val="auto"/>
          <w:sz w:val="24"/>
          <w:szCs w:val="24"/>
          <w:highlight w:val="none"/>
          <w:u w:val="none"/>
        </w:rPr>
        <w:t>邮箱</w:t>
      </w:r>
      <w:r>
        <w:rPr>
          <w:rFonts w:hint="eastAsia" w:ascii="宋体" w:hAnsi="宋体" w:eastAsia="宋体" w:cs="宋体"/>
          <w:b w:val="0"/>
          <w:bCs/>
          <w:color w:val="auto"/>
          <w:sz w:val="24"/>
          <w:szCs w:val="24"/>
          <w:highlight w:val="none"/>
          <w:u w:val="none"/>
          <w:lang w:val="en-US" w:eastAsia="zh-CN"/>
        </w:rPr>
        <w:t>745028683</w:t>
      </w:r>
      <w:r>
        <w:rPr>
          <w:rFonts w:hint="eastAsia" w:ascii="宋体" w:hAnsi="宋体" w:eastAsia="宋体" w:cs="宋体"/>
          <w:b w:val="0"/>
          <w:bCs/>
          <w:color w:val="auto"/>
          <w:sz w:val="24"/>
          <w:szCs w:val="24"/>
          <w:highlight w:val="none"/>
          <w:u w:val="none"/>
          <w:lang w:eastAsia="zh-CN"/>
        </w:rPr>
        <w:t>@qq.com</w:t>
      </w:r>
      <w:r>
        <w:rPr>
          <w:rFonts w:hint="eastAsia" w:ascii="宋体" w:hAnsi="宋体" w:eastAsia="宋体" w:cs="宋体"/>
          <w:b w:val="0"/>
          <w:bCs/>
          <w:color w:val="auto"/>
          <w:sz w:val="24"/>
          <w:szCs w:val="24"/>
          <w:highlight w:val="none"/>
          <w:u w:val="none"/>
        </w:rPr>
        <w:t>，传送的备份电子投标文件需打包压缩并加密，加密密码由投标方自行保管，如</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上电子投标文件出现解密失败情况（开标</w:t>
      </w:r>
      <w:r>
        <w:rPr>
          <w:rFonts w:hint="eastAsia" w:ascii="宋体" w:hAnsi="宋体" w:eastAsia="宋体" w:cs="宋体"/>
          <w:b w:val="0"/>
          <w:bCs/>
          <w:color w:val="auto"/>
          <w:sz w:val="24"/>
          <w:szCs w:val="24"/>
          <w:highlight w:val="none"/>
          <w:u w:val="none"/>
          <w:lang w:val="en-US" w:eastAsia="zh-CN"/>
        </w:rPr>
        <w:t>后</w:t>
      </w:r>
      <w:r>
        <w:rPr>
          <w:rFonts w:hint="eastAsia" w:ascii="宋体" w:hAnsi="宋体" w:cs="宋体"/>
          <w:b w:val="0"/>
          <w:bCs/>
          <w:color w:val="auto"/>
          <w:sz w:val="24"/>
          <w:szCs w:val="24"/>
          <w:highlight w:val="none"/>
          <w:u w:val="none"/>
          <w:lang w:val="en-US" w:eastAsia="zh-CN"/>
        </w:rPr>
        <w:t>30分钟</w:t>
      </w:r>
      <w:r>
        <w:rPr>
          <w:rFonts w:hint="eastAsia" w:ascii="宋体" w:hAnsi="宋体" w:eastAsia="宋体" w:cs="宋体"/>
          <w:b w:val="0"/>
          <w:bCs/>
          <w:color w:val="auto"/>
          <w:sz w:val="24"/>
          <w:szCs w:val="24"/>
          <w:highlight w:val="none"/>
          <w:u w:val="none"/>
          <w:lang w:val="en-US" w:eastAsia="zh-CN"/>
        </w:rPr>
        <w:t>内</w:t>
      </w:r>
      <w:r>
        <w:rPr>
          <w:rFonts w:hint="eastAsia" w:ascii="宋体" w:hAnsi="宋体" w:eastAsia="宋体" w:cs="宋体"/>
          <w:b w:val="0"/>
          <w:bCs/>
          <w:color w:val="auto"/>
          <w:sz w:val="24"/>
          <w:szCs w:val="24"/>
          <w:highlight w:val="none"/>
          <w:u w:val="none"/>
        </w:rPr>
        <w:t>进行解密），投标方可按照自身意愿确认是否同意提供加密密码解密传送至</w:t>
      </w:r>
      <w:r>
        <w:rPr>
          <w:rFonts w:hint="eastAsia" w:ascii="宋体" w:hAnsi="宋体" w:cs="宋体"/>
          <w:b w:val="0"/>
          <w:bCs/>
          <w:color w:val="auto"/>
          <w:sz w:val="24"/>
          <w:szCs w:val="24"/>
          <w:highlight w:val="none"/>
          <w:u w:val="none"/>
          <w:lang w:eastAsia="zh-CN"/>
        </w:rPr>
        <w:t>杭州市建设工程管理集团有限公司</w:t>
      </w:r>
      <w:r>
        <w:rPr>
          <w:rFonts w:hint="eastAsia" w:ascii="宋体" w:hAnsi="宋体" w:eastAsia="宋体" w:cs="宋体"/>
          <w:b w:val="0"/>
          <w:bCs/>
          <w:color w:val="auto"/>
          <w:sz w:val="24"/>
          <w:szCs w:val="24"/>
          <w:highlight w:val="none"/>
          <w:u w:val="none"/>
        </w:rPr>
        <w:t>邮箱的备份文件，并以备份文件作为替代电子投标文件，如投标方未按照规定时间前</w:t>
      </w:r>
      <w:r>
        <w:rPr>
          <w:rFonts w:hint="eastAsia" w:ascii="宋体" w:hAnsi="宋体" w:eastAsia="宋体" w:cs="宋体"/>
          <w:b w:val="0"/>
          <w:bCs/>
          <w:color w:val="auto"/>
          <w:sz w:val="24"/>
          <w:szCs w:val="24"/>
          <w:highlight w:val="none"/>
          <w:u w:val="none"/>
          <w:lang w:eastAsia="zh-CN"/>
        </w:rPr>
        <w:t>按</w:t>
      </w:r>
      <w:r>
        <w:rPr>
          <w:rFonts w:hint="eastAsia" w:ascii="宋体" w:hAnsi="宋体" w:eastAsia="宋体" w:cs="宋体"/>
          <w:b w:val="0"/>
          <w:bCs/>
          <w:color w:val="auto"/>
          <w:sz w:val="24"/>
          <w:szCs w:val="24"/>
          <w:highlight w:val="none"/>
          <w:u w:val="none"/>
        </w:rPr>
        <w:t>要求提供有效备份文件，同时</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上投标文件解密失败的，将导致投标无效。</w:t>
      </w:r>
    </w:p>
    <w:p w14:paraId="51EF4ED1">
      <w:pPr>
        <w:pStyle w:val="13"/>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cs="宋体"/>
          <w:b w:val="0"/>
          <w:bCs/>
          <w:color w:val="auto"/>
          <w:kern w:val="0"/>
          <w:sz w:val="24"/>
          <w:szCs w:val="24"/>
          <w:highlight w:val="none"/>
          <w:u w:val="none"/>
          <w:lang w:eastAsia="zh-CN"/>
        </w:rPr>
        <w:t>（</w:t>
      </w:r>
      <w:r>
        <w:rPr>
          <w:rFonts w:hint="eastAsia" w:ascii="宋体" w:hAnsi="宋体" w:cs="宋体"/>
          <w:b w:val="0"/>
          <w:bCs/>
          <w:color w:val="auto"/>
          <w:kern w:val="0"/>
          <w:sz w:val="24"/>
          <w:szCs w:val="24"/>
          <w:highlight w:val="none"/>
          <w:u w:val="none"/>
          <w:lang w:val="en-US" w:eastAsia="zh-CN"/>
        </w:rPr>
        <w:t>2</w:t>
      </w:r>
      <w:r>
        <w:rPr>
          <w:rFonts w:hint="eastAsia" w:ascii="宋体" w:hAnsi="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rPr>
        <w:t>投标方无需在开标当天到达开标现场对电子投标进行解密，可在公司办公场地在规定时间内对电子投标文件进行解密。</w:t>
      </w:r>
      <w:r>
        <w:rPr>
          <w:rFonts w:hint="eastAsia" w:ascii="宋体" w:hAnsi="宋体" w:eastAsia="宋体" w:cs="宋体"/>
          <w:b w:val="0"/>
          <w:bCs/>
          <w:color w:val="auto"/>
          <w:sz w:val="24"/>
          <w:szCs w:val="24"/>
          <w:highlight w:val="none"/>
          <w:u w:val="none"/>
        </w:rPr>
        <w:t>开标时间后</w:t>
      </w:r>
      <w:r>
        <w:rPr>
          <w:rFonts w:hint="eastAsia" w:ascii="宋体" w:hAnsi="宋体" w:cs="宋体"/>
          <w:b w:val="0"/>
          <w:bCs/>
          <w:color w:val="auto"/>
          <w:sz w:val="24"/>
          <w:szCs w:val="24"/>
          <w:highlight w:val="none"/>
          <w:u w:val="none"/>
          <w:lang w:eastAsia="zh-CN"/>
        </w:rPr>
        <w:t>30分钟</w:t>
      </w:r>
      <w:r>
        <w:rPr>
          <w:rFonts w:hint="eastAsia" w:ascii="宋体" w:hAnsi="宋体" w:eastAsia="宋体" w:cs="宋体"/>
          <w:b w:val="0"/>
          <w:bCs/>
          <w:color w:val="auto"/>
          <w:sz w:val="24"/>
          <w:szCs w:val="24"/>
          <w:highlight w:val="none"/>
          <w:u w:val="none"/>
        </w:rPr>
        <w:t>内供应商可以登录“</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”平台，用“项目采购</w:t>
      </w:r>
      <w:r>
        <w:rPr>
          <w:rFonts w:hint="eastAsia" w:ascii="宋体" w:hAnsi="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61FAB7B2">
      <w:pPr>
        <w:pageBreakBefore w:val="0"/>
        <w:shd w:val="clear"/>
        <w:kinsoku/>
        <w:wordWrap/>
        <w:overflowPunct/>
        <w:topLinePunct w:val="0"/>
        <w:bidi w:val="0"/>
        <w:snapToGrid w:val="0"/>
        <w:spacing w:line="360" w:lineRule="auto"/>
        <w:ind w:firstLine="420"/>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、业务咨询：</w:t>
      </w:r>
      <w:r>
        <w:rPr>
          <w:rFonts w:hint="eastAsia" w:ascii="宋体" w:hAnsi="宋体" w:eastAsia="宋体" w:cs="宋体"/>
          <w:b/>
          <w:color w:val="auto"/>
          <w:sz w:val="24"/>
          <w:szCs w:val="24"/>
          <w:highlight w:val="none"/>
          <w:lang w:val="en-US" w:eastAsia="zh-CN"/>
        </w:rPr>
        <w:t xml:space="preserve">  </w:t>
      </w:r>
    </w:p>
    <w:p w14:paraId="5C78E680">
      <w:pPr>
        <w:keepNext w:val="0"/>
        <w:keepLines w:val="0"/>
        <w:pageBreakBefore w:val="0"/>
        <w:widowControl/>
        <w:kinsoku/>
        <w:wordWrap/>
        <w:overflowPunct/>
        <w:topLinePunct w:val="0"/>
        <w:autoSpaceDE/>
        <w:autoSpaceDN/>
        <w:bidi w:val="0"/>
        <w:adjustRightInd/>
        <w:spacing w:beforeAutospacing="0" w:afterAutospacing="0" w:line="360" w:lineRule="auto"/>
        <w:ind w:firstLine="240" w:firstLineChars="1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1、采购人信息</w:t>
      </w:r>
    </w:p>
    <w:p w14:paraId="7D465AB9">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 称：</w:t>
      </w:r>
      <w:r>
        <w:rPr>
          <w:rFonts w:hint="eastAsia" w:ascii="宋体" w:hAnsi="宋体" w:cs="宋体"/>
          <w:b w:val="0"/>
          <w:bCs/>
          <w:color w:val="auto"/>
          <w:kern w:val="2"/>
          <w:sz w:val="24"/>
          <w:szCs w:val="24"/>
          <w:highlight w:val="none"/>
          <w:u w:val="none"/>
          <w:lang w:val="en-US" w:eastAsia="zh-CN" w:bidi="ar-SA"/>
        </w:rPr>
        <w:t>诸暨市公共交通有限公司</w:t>
      </w:r>
    </w:p>
    <w:p w14:paraId="06D5366A">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 址：诸暨市越都路18号</w:t>
      </w:r>
    </w:p>
    <w:p w14:paraId="35DE2945">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项目联系人：寿薇俏</w:t>
      </w:r>
    </w:p>
    <w:p w14:paraId="73FCF5D8">
      <w:pPr>
        <w:keepNext w:val="0"/>
        <w:keepLines w:val="0"/>
        <w:pageBreakBefore w:val="0"/>
        <w:widowControl/>
        <w:kinsoku/>
        <w:wordWrap/>
        <w:overflowPunct/>
        <w:topLinePunct w:val="0"/>
        <w:autoSpaceDE/>
        <w:autoSpaceDN/>
        <w:bidi w:val="0"/>
        <w:adjustRightInd/>
        <w:spacing w:beforeAutospacing="0" w:afterAutospacing="0" w:line="360" w:lineRule="auto"/>
        <w:ind w:left="239" w:leftChars="114" w:firstLine="240" w:firstLineChars="1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项目联系方式：13675765040</w:t>
      </w:r>
      <w:r>
        <w:rPr>
          <w:rFonts w:hint="eastAsia" w:ascii="宋体" w:hAnsi="宋体" w:eastAsia="宋体" w:cs="宋体"/>
          <w:color w:val="auto"/>
          <w:kern w:val="2"/>
          <w:sz w:val="24"/>
          <w:szCs w:val="24"/>
          <w:highlight w:val="none"/>
          <w:lang w:val="en-US" w:eastAsia="zh-CN" w:bidi="ar-SA"/>
        </w:rPr>
        <w:t>（工</w:t>
      </w:r>
      <w:r>
        <w:rPr>
          <w:rFonts w:hint="eastAsia" w:ascii="宋体" w:hAnsi="宋体" w:cs="Times New Roman"/>
          <w:color w:val="auto"/>
          <w:kern w:val="2"/>
          <w:sz w:val="24"/>
          <w:szCs w:val="24"/>
          <w:highlight w:val="none"/>
          <w:lang w:val="en-US" w:eastAsia="zh-CN" w:bidi="ar-SA"/>
        </w:rPr>
        <w:t>作电话）</w:t>
      </w:r>
    </w:p>
    <w:p w14:paraId="7B831BAD">
      <w:pPr>
        <w:keepNext w:val="0"/>
        <w:keepLines w:val="0"/>
        <w:pageBreakBefore w:val="0"/>
        <w:widowControl/>
        <w:kinsoku/>
        <w:wordWrap/>
        <w:overflowPunct/>
        <w:topLinePunct w:val="0"/>
        <w:autoSpaceDE/>
        <w:autoSpaceDN/>
        <w:bidi w:val="0"/>
        <w:adjustRightInd/>
        <w:spacing w:beforeAutospacing="0" w:afterAutospacing="0" w:line="360" w:lineRule="auto"/>
        <w:ind w:firstLine="240" w:firstLineChars="1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2、采购代理机构信息</w:t>
      </w:r>
    </w:p>
    <w:p w14:paraId="7CDBC9A0">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名称：</w:t>
      </w:r>
      <w:r>
        <w:rPr>
          <w:rFonts w:hint="eastAsia" w:ascii="宋体" w:hAnsi="宋体" w:cs="宋体"/>
          <w:b w:val="0"/>
          <w:bCs/>
          <w:color w:val="auto"/>
          <w:kern w:val="2"/>
          <w:sz w:val="24"/>
          <w:szCs w:val="24"/>
          <w:highlight w:val="none"/>
          <w:u w:val="none"/>
          <w:lang w:val="en-US" w:eastAsia="zh-CN" w:bidi="ar-SA"/>
        </w:rPr>
        <w:t>杭州市建设工程管理集团有限公司</w:t>
      </w:r>
    </w:p>
    <w:p w14:paraId="3BB58814">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地址：</w:t>
      </w:r>
      <w:bookmarkStart w:id="23" w:name="_GoBack"/>
      <w:r>
        <w:rPr>
          <w:rFonts w:hint="eastAsia" w:ascii="宋体" w:hAnsi="宋体" w:cs="宋体"/>
          <w:b w:val="0"/>
          <w:bCs/>
          <w:color w:val="auto"/>
          <w:kern w:val="2"/>
          <w:sz w:val="24"/>
          <w:szCs w:val="24"/>
          <w:highlight w:val="none"/>
          <w:u w:val="none"/>
          <w:lang w:val="en-US" w:eastAsia="zh-CN" w:bidi="ar-SA"/>
        </w:rPr>
        <w:t>诸暨市亿泽新疆大厦A座19楼</w:t>
      </w:r>
    </w:p>
    <w:bookmarkEnd w:id="23"/>
    <w:p w14:paraId="2168327E">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代理机构联系人：</w:t>
      </w:r>
      <w:r>
        <w:rPr>
          <w:rFonts w:hint="eastAsia" w:ascii="宋体" w:hAnsi="宋体" w:cs="宋体"/>
          <w:b w:val="0"/>
          <w:bCs/>
          <w:color w:val="auto"/>
          <w:kern w:val="2"/>
          <w:sz w:val="24"/>
          <w:szCs w:val="24"/>
          <w:highlight w:val="none"/>
          <w:u w:val="none"/>
          <w:lang w:val="en-US" w:eastAsia="zh-CN" w:bidi="ar-SA"/>
        </w:rPr>
        <w:t>翁工</w:t>
      </w:r>
    </w:p>
    <w:p w14:paraId="7B1CF84E">
      <w:pPr>
        <w:keepNext w:val="0"/>
        <w:keepLines w:val="0"/>
        <w:pageBreakBefore w:val="0"/>
        <w:widowControl/>
        <w:kinsoku/>
        <w:wordWrap/>
        <w:overflowPunct/>
        <w:topLinePunct w:val="0"/>
        <w:autoSpaceDE/>
        <w:autoSpaceDN/>
        <w:bidi w:val="0"/>
        <w:adjustRightInd/>
        <w:spacing w:beforeAutospacing="0" w:afterAutospacing="0" w:line="360" w:lineRule="auto"/>
        <w:ind w:left="239" w:leftChars="114" w:firstLine="240" w:firstLineChars="100"/>
        <w:jc w:val="left"/>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联系电话：</w:t>
      </w:r>
      <w:r>
        <w:rPr>
          <w:rFonts w:hint="eastAsia" w:ascii="宋体" w:hAnsi="宋体" w:cs="宋体"/>
          <w:b w:val="0"/>
          <w:bCs/>
          <w:color w:val="auto"/>
          <w:kern w:val="2"/>
          <w:sz w:val="24"/>
          <w:szCs w:val="24"/>
          <w:highlight w:val="none"/>
          <w:u w:val="none"/>
          <w:lang w:val="en-US" w:eastAsia="zh-CN" w:bidi="ar-SA"/>
        </w:rPr>
        <w:t>15215943290</w:t>
      </w:r>
      <w:r>
        <w:rPr>
          <w:rFonts w:hint="eastAsia" w:ascii="宋体" w:hAnsi="宋体" w:cs="Times New Roman"/>
          <w:color w:val="auto"/>
          <w:kern w:val="2"/>
          <w:sz w:val="24"/>
          <w:szCs w:val="24"/>
          <w:highlight w:val="none"/>
          <w:lang w:val="en-US" w:eastAsia="zh-CN" w:bidi="ar-SA"/>
        </w:rPr>
        <w:t>（工作电话）</w:t>
      </w:r>
    </w:p>
    <w:p w14:paraId="0CB9915A">
      <w:pPr>
        <w:keepNext w:val="0"/>
        <w:keepLines w:val="0"/>
        <w:pageBreakBefore w:val="0"/>
        <w:numPr>
          <w:ilvl w:val="0"/>
          <w:numId w:val="0"/>
        </w:numPr>
        <w:shd w:val="clear"/>
        <w:kinsoku/>
        <w:wordWrap/>
        <w:overflowPunct/>
        <w:topLinePunct w:val="0"/>
        <w:bidi w:val="0"/>
        <w:snapToGrid w:val="0"/>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b w:val="0"/>
          <w:bCs/>
          <w:color w:val="auto"/>
          <w:kern w:val="2"/>
          <w:sz w:val="24"/>
          <w:szCs w:val="24"/>
          <w:highlight w:val="none"/>
          <w:u w:val="none"/>
          <w:lang w:val="en-US" w:eastAsia="zh-CN" w:bidi="ar-SA"/>
        </w:rPr>
        <w:t>联系邮箱：745028683@qq.com</w:t>
      </w:r>
    </w:p>
    <w:p w14:paraId="5920CE11">
      <w:pPr>
        <w:pageBreakBefore w:val="0"/>
        <w:kinsoku/>
        <w:wordWrap/>
        <w:overflowPunct/>
        <w:topLinePunct w:val="0"/>
        <w:bidi w:val="0"/>
        <w:spacing w:line="360" w:lineRule="auto"/>
        <w:ind w:firstLine="440" w:firstLineChars="200"/>
        <w:textAlignment w:val="auto"/>
        <w:rPr>
          <w:rFonts w:hint="eastAsia" w:ascii="宋体" w:hAnsi="宋体" w:eastAsia="宋体" w:cs="宋体"/>
          <w:b w:val="0"/>
          <w:i w:val="0"/>
          <w:iCs w:val="0"/>
          <w:color w:val="auto"/>
          <w:sz w:val="22"/>
          <w:szCs w:val="22"/>
          <w:highlight w:val="none"/>
          <w:shd w:val="clear" w:color="auto" w:fill="FFFFFF"/>
        </w:rPr>
      </w:pPr>
    </w:p>
    <w:p w14:paraId="0C2428A3">
      <w:pPr>
        <w:pageBreakBefore w:val="0"/>
        <w:kinsoku/>
        <w:wordWrap/>
        <w:overflowPunct/>
        <w:topLinePunct w:val="0"/>
        <w:bidi w:val="0"/>
        <w:spacing w:line="360" w:lineRule="auto"/>
        <w:ind w:firstLine="440" w:firstLineChars="200"/>
        <w:textAlignment w:val="auto"/>
        <w:rPr>
          <w:rFonts w:hint="eastAsia" w:ascii="宋体" w:hAnsi="宋体" w:eastAsia="宋体" w:cs="宋体"/>
          <w:b/>
          <w:bCs/>
          <w:i w:val="0"/>
          <w:iCs w:val="0"/>
          <w:color w:val="auto"/>
          <w:sz w:val="40"/>
          <w:szCs w:val="40"/>
          <w:highlight w:val="none"/>
        </w:rPr>
      </w:pPr>
      <w:r>
        <w:rPr>
          <w:rFonts w:hint="eastAsia" w:ascii="宋体" w:hAnsi="宋体" w:eastAsia="宋体" w:cs="宋体"/>
          <w:b w:val="0"/>
          <w:i w:val="0"/>
          <w:iCs w:val="0"/>
          <w:color w:val="auto"/>
          <w:sz w:val="22"/>
          <w:szCs w:val="22"/>
          <w:highlight w:val="none"/>
          <w:shd w:val="clear" w:color="auto" w:fill="FFFFFF"/>
        </w:rPr>
        <w:t>若对项目采购电子交易系统操作有疑问，可登录乐采云（https://www.lecaiyun.com/），点击右侧咨询小采，获取采小蜜智能服务管家帮助，或拨打服务热线95763获取热线服务帮助。CA问题联系电话（人工）：汇信CA 400-888-4636；天谷CA 400-087-8198。</w:t>
      </w:r>
    </w:p>
    <w:p w14:paraId="2B35E9FC">
      <w:pPr>
        <w:shd w:val="clea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46E1D9C7">
      <w:pPr>
        <w:pageBreakBefore w:val="0"/>
        <w:kinsoku/>
        <w:wordWrap/>
        <w:overflowPunct/>
        <w:topLinePunct w:val="0"/>
        <w:bidi w:val="0"/>
        <w:spacing w:line="24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第二章   投标须知</w:t>
      </w:r>
    </w:p>
    <w:p w14:paraId="6D474091">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前  附  表</w:t>
      </w:r>
    </w:p>
    <w:tbl>
      <w:tblPr>
        <w:tblStyle w:val="20"/>
        <w:tblW w:w="105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551"/>
        <w:gridCol w:w="8220"/>
      </w:tblGrid>
      <w:tr w14:paraId="3EE4C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3E1DC76">
            <w:pPr>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br w:type="page"/>
            </w:r>
            <w:r>
              <w:rPr>
                <w:rFonts w:hint="eastAsia" w:ascii="宋体" w:hAnsi="宋体" w:eastAsia="宋体" w:cs="宋体"/>
                <w:b/>
                <w:color w:val="auto"/>
                <w:kern w:val="2"/>
                <w:sz w:val="24"/>
                <w:szCs w:val="24"/>
                <w:highlight w:val="none"/>
                <w:lang w:val="en-US" w:eastAsia="zh-CN" w:bidi="ar-SA"/>
              </w:rPr>
              <w:t>序号</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E959386">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内容</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7F9969F5">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说明与要求</w:t>
            </w:r>
          </w:p>
        </w:tc>
      </w:tr>
      <w:tr w14:paraId="7D1CE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A400723">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9E85069">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项目名称</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2662443E">
            <w:pPr>
              <w:keepNext w:val="0"/>
              <w:keepLines w:val="0"/>
              <w:pageBreakBefore w:val="0"/>
              <w:widowControl w:val="0"/>
              <w:kinsoku/>
              <w:wordWrap/>
              <w:overflowPunct/>
              <w:topLinePunct w:val="0"/>
              <w:autoSpaceDE/>
              <w:autoSpaceDN/>
              <w:bidi w:val="0"/>
              <w:spacing w:line="264" w:lineRule="auto"/>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2025年诸暨市公共交通有限公司食堂劳务外包服务采购项目</w:t>
            </w:r>
          </w:p>
        </w:tc>
      </w:tr>
      <w:tr w14:paraId="7BF38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286EAFD">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8555628">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采购方式</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28B147D6">
            <w:pPr>
              <w:pStyle w:val="13"/>
              <w:keepNext w:val="0"/>
              <w:keepLines w:val="0"/>
              <w:pageBreakBefore w:val="0"/>
              <w:widowControl w:val="0"/>
              <w:kinsoku/>
              <w:wordWrap/>
              <w:overflowPunct/>
              <w:topLinePunct w:val="0"/>
              <w:bidi w:val="0"/>
              <w:spacing w:line="264" w:lineRule="auto"/>
              <w:ind w:right="-107" w:rightChars="-51"/>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公开招标</w:t>
            </w:r>
          </w:p>
        </w:tc>
      </w:tr>
      <w:tr w14:paraId="288AE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BCF3ABA">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3</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B559CB4">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评标办法</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6DD9C499">
            <w:pPr>
              <w:keepNext w:val="0"/>
              <w:keepLines w:val="0"/>
              <w:pageBreakBefore w:val="0"/>
              <w:widowControl w:val="0"/>
              <w:kinsoku/>
              <w:wordWrap/>
              <w:overflowPunct/>
              <w:topLinePunct w:val="0"/>
              <w:bidi w:val="0"/>
              <w:spacing w:line="264"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综合评分法</w:t>
            </w:r>
          </w:p>
        </w:tc>
      </w:tr>
      <w:tr w14:paraId="4A70B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C76DB70">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4</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7B9B030">
            <w:pPr>
              <w:pStyle w:val="13"/>
              <w:keepNext w:val="0"/>
              <w:keepLines w:val="0"/>
              <w:pageBreakBefore w:val="0"/>
              <w:widowControl w:val="0"/>
              <w:kinsoku/>
              <w:wordWrap/>
              <w:overflowPunct/>
              <w:topLinePunct w:val="0"/>
              <w:bidi w:val="0"/>
              <w:spacing w:line="264" w:lineRule="auto"/>
              <w:ind w:right="-107" w:rightChars="-51"/>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最高限价</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04FE63A2">
            <w:pPr>
              <w:keepNext w:val="0"/>
              <w:keepLines w:val="0"/>
              <w:pageBreakBefore w:val="0"/>
              <w:widowControl w:val="0"/>
              <w:kinsoku/>
              <w:wordWrap/>
              <w:overflowPunct/>
              <w:topLinePunct w:val="0"/>
              <w:bidi w:val="0"/>
              <w:spacing w:line="264" w:lineRule="auto"/>
              <w:textAlignment w:val="auto"/>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本次采购采用管理费率折扣招标，用工数量按实结算，最高收费费率不超过百分之壹拾点零零（10.00%）。</w:t>
            </w:r>
            <w:r>
              <w:rPr>
                <w:rFonts w:hint="eastAsia" w:ascii="宋体" w:hAnsi="宋体" w:cs="宋体"/>
                <w:color w:val="auto"/>
                <w:sz w:val="24"/>
                <w:szCs w:val="24"/>
                <w:highlight w:val="none"/>
                <w:lang w:val="en-US" w:eastAsia="zh-CN" w:bidi="ar-SA"/>
              </w:rPr>
              <w:t>投标报价包括员工工资、社保费用及意外伤残保险、福利等、劳务管理费、税金等项目实施的一切费用。</w:t>
            </w:r>
          </w:p>
        </w:tc>
      </w:tr>
      <w:tr w14:paraId="60F77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D6100ED">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5</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9BE4AB0">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投标人（供应商）资格要求</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297A3307">
            <w:pPr>
              <w:keepNext w:val="0"/>
              <w:keepLines w:val="0"/>
              <w:pageBreakBefore w:val="0"/>
              <w:widowControl w:val="0"/>
              <w:kinsoku/>
              <w:wordWrap/>
              <w:overflowPunct/>
              <w:topLinePunct w:val="0"/>
              <w:bidi w:val="0"/>
              <w:spacing w:line="264"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详见《第一章 招标公告》</w:t>
            </w:r>
          </w:p>
        </w:tc>
      </w:tr>
      <w:tr w14:paraId="6D01B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9CAA45A">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6</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B260D29">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是否接受联合体投标</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62D1B873">
            <w:pPr>
              <w:pStyle w:val="13"/>
              <w:keepNext w:val="0"/>
              <w:keepLines w:val="0"/>
              <w:pageBreakBefore w:val="0"/>
              <w:widowControl w:val="0"/>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fldChar w:fldCharType="begin"/>
            </w:r>
            <w:r>
              <w:rPr>
                <w:rFonts w:hint="eastAsia" w:ascii="宋体" w:hAnsi="宋体" w:eastAsia="宋体" w:cs="宋体"/>
                <w:color w:val="auto"/>
                <w:kern w:val="2"/>
                <w:szCs w:val="24"/>
                <w:highlight w:val="none"/>
                <w:lang w:val="en-US" w:eastAsia="zh-CN"/>
              </w:rPr>
              <w:instrText xml:space="preserve"> eq \o\ac(□,√)</w:instrText>
            </w:r>
            <w:r>
              <w:rPr>
                <w:rFonts w:hint="eastAsia" w:ascii="宋体" w:hAnsi="宋体" w:eastAsia="宋体" w:cs="宋体"/>
                <w:color w:val="auto"/>
                <w:kern w:val="2"/>
                <w:szCs w:val="24"/>
                <w:highlight w:val="none"/>
                <w:lang w:val="en-US" w:eastAsia="zh-CN"/>
              </w:rPr>
              <w:fldChar w:fldCharType="end"/>
            </w:r>
            <w:r>
              <w:rPr>
                <w:rFonts w:hint="eastAsia" w:ascii="宋体" w:hAnsi="宋体" w:eastAsia="宋体" w:cs="宋体"/>
                <w:color w:val="auto"/>
                <w:kern w:val="2"/>
                <w:szCs w:val="24"/>
                <w:highlight w:val="none"/>
                <w:lang w:val="en-US" w:eastAsia="zh-CN"/>
              </w:rPr>
              <w:t>不接受。</w:t>
            </w:r>
          </w:p>
        </w:tc>
      </w:tr>
      <w:tr w14:paraId="3EC80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BCF4494">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7</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A150B5C">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cs="宋体"/>
                <w:color w:val="auto"/>
                <w:kern w:val="2"/>
                <w:szCs w:val="24"/>
                <w:highlight w:val="none"/>
                <w:lang w:val="en-US" w:eastAsia="zh-CN"/>
              </w:rPr>
              <w:t>标项</w:t>
            </w:r>
            <w:r>
              <w:rPr>
                <w:rFonts w:hint="eastAsia" w:ascii="宋体" w:hAnsi="宋体" w:eastAsia="宋体" w:cs="宋体"/>
                <w:color w:val="auto"/>
                <w:kern w:val="2"/>
                <w:szCs w:val="24"/>
                <w:highlight w:val="none"/>
                <w:lang w:val="en-US" w:eastAsia="zh-CN"/>
              </w:rPr>
              <w:t>划分</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1FF96B06">
            <w:pPr>
              <w:keepNext w:val="0"/>
              <w:keepLines w:val="0"/>
              <w:pageBreakBefore w:val="0"/>
              <w:widowControl w:val="0"/>
              <w:kinsoku/>
              <w:wordWrap/>
              <w:overflowPunct/>
              <w:topLinePunct w:val="0"/>
              <w:bidi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eq \o\ac(□,√)</w:instrText>
            </w:r>
            <w:r>
              <w:rPr>
                <w:rFonts w:hint="eastAsia" w:ascii="宋体" w:hAnsi="宋体" w:eastAsia="宋体" w:cs="宋体"/>
                <w:color w:val="auto"/>
                <w:szCs w:val="24"/>
                <w:highlight w:val="none"/>
              </w:rPr>
              <w:fldChar w:fldCharType="end"/>
            </w:r>
            <w:r>
              <w:rPr>
                <w:rFonts w:hint="eastAsia" w:ascii="宋体" w:hAnsi="宋体" w:eastAsia="宋体" w:cs="宋体"/>
                <w:color w:val="auto"/>
                <w:sz w:val="24"/>
                <w:szCs w:val="24"/>
                <w:highlight w:val="none"/>
              </w:rPr>
              <w:t>本次招标共</w:t>
            </w:r>
            <w:r>
              <w:rPr>
                <w:rFonts w:hint="eastAsia" w:ascii="宋体" w:hAnsi="宋体" w:cs="宋体"/>
                <w:color w:val="auto"/>
                <w:sz w:val="24"/>
                <w:szCs w:val="24"/>
                <w:highlight w:val="none"/>
                <w:u w:val="single"/>
                <w:lang w:val="en-US" w:eastAsia="zh-CN"/>
              </w:rPr>
              <w:t xml:space="preserve"> 1</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个标项。</w:t>
            </w:r>
          </w:p>
        </w:tc>
      </w:tr>
      <w:tr w14:paraId="56444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A58C776">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8</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6DCBBD5">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资格审查</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53A022FA">
            <w:pPr>
              <w:keepNext w:val="0"/>
              <w:keepLines w:val="0"/>
              <w:pageBreakBefore w:val="0"/>
              <w:widowControl w:val="0"/>
              <w:kinsoku/>
              <w:wordWrap/>
              <w:overflowPunct/>
              <w:topLinePunct w:val="0"/>
              <w:bidi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供应商资格采用资格后审方式，依据</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和招标文件规定，采购人或委托采购代理机构对投标人进行资格审查，以确定投标人是否具备投标资格。</w:t>
            </w:r>
          </w:p>
        </w:tc>
      </w:tr>
      <w:tr w14:paraId="155A1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right w:val="single" w:color="auto" w:sz="4" w:space="0"/>
            </w:tcBorders>
            <w:noWrap w:val="0"/>
            <w:vAlign w:val="center"/>
          </w:tcPr>
          <w:p w14:paraId="3F82601C">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9</w:t>
            </w:r>
          </w:p>
        </w:tc>
        <w:tc>
          <w:tcPr>
            <w:tcW w:w="1551" w:type="dxa"/>
            <w:tcBorders>
              <w:top w:val="single" w:color="auto" w:sz="4" w:space="0"/>
              <w:left w:val="single" w:color="auto" w:sz="4" w:space="0"/>
              <w:right w:val="single" w:color="auto" w:sz="4" w:space="0"/>
            </w:tcBorders>
            <w:noWrap w:val="0"/>
            <w:vAlign w:val="center"/>
          </w:tcPr>
          <w:p w14:paraId="2676B223">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招标文件的</w:t>
            </w:r>
          </w:p>
          <w:p w14:paraId="4AEC5490">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获取</w:t>
            </w:r>
          </w:p>
        </w:tc>
        <w:tc>
          <w:tcPr>
            <w:tcW w:w="8220" w:type="dxa"/>
            <w:tcBorders>
              <w:top w:val="single" w:color="auto" w:sz="4" w:space="0"/>
              <w:left w:val="single" w:color="auto" w:sz="4" w:space="0"/>
              <w:right w:val="single" w:color="auto" w:sz="4" w:space="0"/>
            </w:tcBorders>
            <w:noWrap w:val="0"/>
            <w:vAlign w:val="center"/>
          </w:tcPr>
          <w:p w14:paraId="47CACDFA">
            <w:pPr>
              <w:keepNext w:val="0"/>
              <w:keepLines w:val="0"/>
              <w:pageBreakBefore w:val="0"/>
              <w:widowControl w:val="0"/>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315D8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4DA0537">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10</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C04AF2E">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投标保证金</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4FCC9020">
            <w:pPr>
              <w:keepNext w:val="0"/>
              <w:keepLines w:val="0"/>
              <w:pageBreakBefore w:val="0"/>
              <w:widowControl w:val="0"/>
              <w:kinsoku/>
              <w:wordWrap/>
              <w:overflowPunct/>
              <w:topLinePunct w:val="0"/>
              <w:bidi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本项目不收取投标保证金</w:t>
            </w:r>
          </w:p>
        </w:tc>
      </w:tr>
      <w:tr w14:paraId="1054E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9618352">
            <w:pPr>
              <w:pStyle w:val="13"/>
              <w:keepNext w:val="0"/>
              <w:keepLines w:val="0"/>
              <w:pageBreakBefore w:val="0"/>
              <w:widowControl w:val="0"/>
              <w:kinsoku/>
              <w:wordWrap/>
              <w:overflowPunct/>
              <w:topLinePunct w:val="0"/>
              <w:bidi w:val="0"/>
              <w:spacing w:line="264" w:lineRule="auto"/>
              <w:jc w:val="center"/>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11</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8567108">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资格文件</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379F8CF6">
            <w:pPr>
              <w:keepNext w:val="0"/>
              <w:keepLines w:val="0"/>
              <w:pageBreakBefore w:val="0"/>
              <w:widowControl w:val="0"/>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（1）营业执照复印件（加盖单位公章）；</w:t>
            </w:r>
          </w:p>
          <w:p w14:paraId="626AF9CA">
            <w:pPr>
              <w:keepNext w:val="0"/>
              <w:keepLines w:val="0"/>
              <w:pageBreakBefore w:val="0"/>
              <w:widowControl w:val="0"/>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（2）符合参与采购活动资格条件的承诺函（格式见第六章）；</w:t>
            </w:r>
          </w:p>
          <w:p w14:paraId="35E3CA96">
            <w:pPr>
              <w:keepNext w:val="0"/>
              <w:keepLines w:val="0"/>
              <w:pageBreakBefore w:val="0"/>
              <w:widowControl w:val="0"/>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授权委托书》（说明：法定代表人（或单位负责人）亲自参加的，只需提供法定代表人（或单位负责人）身份证（正反面）复印件并加盖单位公章；法定代表人（或单位负责人）授权委托代表参加的，需提供授权委托书，格式见第六章)；</w:t>
            </w:r>
          </w:p>
          <w:p w14:paraId="3D8A3FE6">
            <w:pPr>
              <w:keepNext w:val="0"/>
              <w:keepLines w:val="0"/>
              <w:pageBreakBefore w:val="0"/>
              <w:widowControl w:val="0"/>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496E6A2C">
            <w:pPr>
              <w:keepNext w:val="0"/>
              <w:keepLines w:val="0"/>
              <w:pageBreakBefore w:val="0"/>
              <w:widowControl w:val="0"/>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）其他资格证书（如需要，加盖单位公章）。</w:t>
            </w:r>
          </w:p>
        </w:tc>
      </w:tr>
      <w:tr w14:paraId="05A89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0D63348">
            <w:pPr>
              <w:pStyle w:val="13"/>
              <w:keepNext w:val="0"/>
              <w:keepLines w:val="0"/>
              <w:pageBreakBefore w:val="0"/>
              <w:widowControl w:val="0"/>
              <w:kinsoku/>
              <w:wordWrap/>
              <w:overflowPunct/>
              <w:topLinePunct w:val="0"/>
              <w:bidi w:val="0"/>
              <w:spacing w:line="264" w:lineRule="auto"/>
              <w:jc w:val="center"/>
              <w:textAlignment w:val="auto"/>
              <w:rPr>
                <w:rFonts w:hint="default"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2</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414242E">
            <w:pPr>
              <w:keepNext w:val="0"/>
              <w:keepLines w:val="0"/>
              <w:pageBreakBefore w:val="0"/>
              <w:widowControl w:val="0"/>
              <w:kinsoku/>
              <w:wordWrap/>
              <w:overflowPunct/>
              <w:topLinePunct w:val="0"/>
              <w:bidi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w:t>
            </w:r>
          </w:p>
          <w:p w14:paraId="052130A9">
            <w:pPr>
              <w:keepNext w:val="0"/>
              <w:keepLines w:val="0"/>
              <w:pageBreakBefore w:val="0"/>
              <w:widowControl w:val="0"/>
              <w:kinsoku/>
              <w:wordWrap/>
              <w:overflowPunct/>
              <w:topLinePunct w:val="0"/>
              <w:bidi w:val="0"/>
              <w:snapToGrid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sz w:val="24"/>
                <w:szCs w:val="24"/>
                <w:highlight w:val="none"/>
              </w:rPr>
              <w:t>文件</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465A138A">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eastAsia="zh-CN"/>
              </w:rPr>
            </w:pPr>
            <w:r>
              <w:rPr>
                <w:rFonts w:hint="eastAsia" w:eastAsia="宋体"/>
                <w:color w:val="auto"/>
                <w:highlight w:val="none"/>
                <w:lang w:eastAsia="zh-CN"/>
              </w:rPr>
              <w:t>（1）投标人基本情况介绍；</w:t>
            </w:r>
          </w:p>
          <w:p w14:paraId="4B3E67F2">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eastAsia="zh-CN"/>
              </w:rPr>
            </w:pPr>
            <w:r>
              <w:rPr>
                <w:rFonts w:hint="eastAsia" w:eastAsia="宋体"/>
                <w:color w:val="auto"/>
                <w:highlight w:val="none"/>
                <w:lang w:eastAsia="zh-CN"/>
              </w:rPr>
              <w:t>（2）相关资质证明或文件复印件（如需要，加盖单位公章）；</w:t>
            </w:r>
          </w:p>
          <w:p w14:paraId="1F584C7D">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eastAsia="zh-CN"/>
              </w:rPr>
            </w:pPr>
            <w:r>
              <w:rPr>
                <w:rFonts w:hint="eastAsia" w:eastAsia="宋体"/>
                <w:color w:val="auto"/>
                <w:highlight w:val="none"/>
                <w:lang w:eastAsia="zh-CN"/>
              </w:rPr>
              <w:t>（3）成功案例和业绩证明（如有）；</w:t>
            </w:r>
          </w:p>
          <w:p w14:paraId="658E8472">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eastAsia="zh-CN"/>
              </w:rPr>
            </w:pPr>
            <w:r>
              <w:rPr>
                <w:rFonts w:hint="eastAsia" w:eastAsia="宋体"/>
                <w:color w:val="auto"/>
                <w:highlight w:val="none"/>
                <w:lang w:eastAsia="zh-CN"/>
              </w:rPr>
              <w:t>（4）对本项目总体要求的理解及投标方案描述，提供服务方案说明（如需要）；</w:t>
            </w:r>
          </w:p>
          <w:p w14:paraId="3E531901">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eastAsia="zh-CN"/>
              </w:rPr>
            </w:pPr>
            <w:r>
              <w:rPr>
                <w:rFonts w:hint="eastAsia" w:eastAsia="宋体"/>
                <w:color w:val="auto"/>
                <w:highlight w:val="none"/>
                <w:lang w:eastAsia="zh-CN"/>
              </w:rPr>
              <w:t>（5）技术（服务）偏离表（格式见第六章）；</w:t>
            </w:r>
          </w:p>
          <w:p w14:paraId="528D6654">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eastAsia="zh-CN"/>
              </w:rPr>
            </w:pPr>
            <w:r>
              <w:rPr>
                <w:rFonts w:hint="eastAsia" w:eastAsia="宋体"/>
                <w:color w:val="auto"/>
                <w:highlight w:val="none"/>
                <w:lang w:eastAsia="zh-CN"/>
              </w:rPr>
              <w:t>（6）评分标准相对应的商务技术资料（按商务技术评分细则的顺序提供评分标准中相对应的商务技术资料）；</w:t>
            </w:r>
          </w:p>
          <w:p w14:paraId="0F762951">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eastAsia="zh-CN"/>
              </w:rPr>
            </w:pPr>
            <w:r>
              <w:rPr>
                <w:rFonts w:hint="eastAsia" w:eastAsia="宋体"/>
                <w:color w:val="auto"/>
                <w:highlight w:val="none"/>
                <w:lang w:eastAsia="zh-CN"/>
              </w:rPr>
              <w:t>（7）招标文件标明的影响投标人资格的其他证明文件（如实质性响应条款、相关承诺、特别约定内容等）（如需要）；</w:t>
            </w:r>
          </w:p>
          <w:p w14:paraId="23D727BC">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eastAsia="zh-CN"/>
              </w:rPr>
            </w:pPr>
            <w:r>
              <w:rPr>
                <w:rFonts w:hint="eastAsia" w:eastAsia="宋体"/>
                <w:color w:val="auto"/>
                <w:highlight w:val="none"/>
                <w:lang w:eastAsia="zh-CN"/>
              </w:rPr>
              <w:t>（8）投标人需要说明的其他文件和说明（格式自拟）。</w:t>
            </w:r>
          </w:p>
          <w:p w14:paraId="453B9811">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eastAsia="zh-CN"/>
              </w:rPr>
            </w:pPr>
            <w:r>
              <w:rPr>
                <w:rFonts w:hint="eastAsia" w:eastAsia="宋体"/>
                <w:b/>
                <w:bCs/>
                <w:color w:val="auto"/>
                <w:highlight w:val="none"/>
                <w:lang w:val="en-US" w:eastAsia="zh-CN"/>
              </w:rPr>
              <w:t>注：投标人需按上述要求（包含但不限于）提供相应材料，投标人在“商务技术文件”中应对招标文件作实质性响应，该项内容将作为评标重</w:t>
            </w:r>
            <w:r>
              <w:rPr>
                <w:rFonts w:hint="eastAsia" w:eastAsia="宋体"/>
                <w:b/>
                <w:bCs/>
                <w:color w:val="auto"/>
                <w:highlight w:val="none"/>
                <w:lang w:eastAsia="zh-CN"/>
              </w:rPr>
              <w:t>要指标。</w:t>
            </w:r>
          </w:p>
        </w:tc>
      </w:tr>
      <w:tr w14:paraId="7A7B8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C8030DD">
            <w:pPr>
              <w:pStyle w:val="13"/>
              <w:keepNext w:val="0"/>
              <w:keepLines w:val="0"/>
              <w:pageBreakBefore w:val="0"/>
              <w:widowControl w:val="0"/>
              <w:kinsoku/>
              <w:wordWrap/>
              <w:overflowPunct/>
              <w:topLinePunct w:val="0"/>
              <w:bidi w:val="0"/>
              <w:spacing w:line="264" w:lineRule="auto"/>
              <w:jc w:val="center"/>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13</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86582D5">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Cs w:val="24"/>
                <w:highlight w:val="none"/>
                <w:lang w:val="en-US" w:eastAsia="zh-CN"/>
              </w:rPr>
              <w:t>报价文件</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65F8242E">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val="en-US" w:eastAsia="zh-CN"/>
              </w:rPr>
            </w:pPr>
            <w:r>
              <w:rPr>
                <w:rFonts w:hint="eastAsia" w:eastAsia="宋体"/>
                <w:color w:val="auto"/>
                <w:highlight w:val="none"/>
                <w:lang w:val="en-US" w:eastAsia="zh-CN"/>
              </w:rPr>
              <w:t>（1）投标函（格式见第六章）；</w:t>
            </w:r>
          </w:p>
          <w:p w14:paraId="24297002">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val="en-US" w:eastAsia="zh-CN"/>
              </w:rPr>
            </w:pPr>
            <w:r>
              <w:rPr>
                <w:rFonts w:hint="eastAsia" w:eastAsia="宋体"/>
                <w:color w:val="auto"/>
                <w:highlight w:val="none"/>
                <w:lang w:val="en-US" w:eastAsia="zh-CN"/>
              </w:rPr>
              <w:t>（2）开标一览表（格式见第六章）；</w:t>
            </w:r>
          </w:p>
          <w:p w14:paraId="170D98C1">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val="en-US" w:eastAsia="zh-CN"/>
              </w:rPr>
            </w:pPr>
            <w:r>
              <w:rPr>
                <w:rFonts w:hint="eastAsia" w:eastAsia="宋体"/>
                <w:color w:val="auto"/>
                <w:highlight w:val="none"/>
                <w:lang w:val="en-US" w:eastAsia="zh-CN"/>
              </w:rPr>
              <w:t>（3）投标承诺书（格式见第六章）；</w:t>
            </w:r>
          </w:p>
          <w:p w14:paraId="69B00B15">
            <w:pPr>
              <w:pStyle w:val="13"/>
              <w:keepNext w:val="0"/>
              <w:keepLines w:val="0"/>
              <w:pageBreakBefore w:val="0"/>
              <w:widowControl w:val="0"/>
              <w:shd w:val="clear"/>
              <w:kinsoku/>
              <w:wordWrap/>
              <w:overflowPunct/>
              <w:topLinePunct w:val="0"/>
              <w:bidi w:val="0"/>
              <w:spacing w:line="264" w:lineRule="auto"/>
              <w:textAlignment w:val="auto"/>
              <w:rPr>
                <w:rFonts w:hint="eastAsia" w:eastAsia="宋体"/>
                <w:color w:val="auto"/>
                <w:highlight w:val="none"/>
                <w:lang w:val="en-US" w:eastAsia="zh-CN"/>
              </w:rPr>
            </w:pPr>
            <w:r>
              <w:rPr>
                <w:rFonts w:hint="eastAsia" w:eastAsia="宋体"/>
                <w:color w:val="auto"/>
                <w:highlight w:val="none"/>
                <w:lang w:val="en-US" w:eastAsia="zh-CN"/>
              </w:rPr>
              <w:t>（4）投标人需要说明的其他文件和说明（格式自拟）。</w:t>
            </w:r>
          </w:p>
          <w:p w14:paraId="61F41A5E">
            <w:pPr>
              <w:pStyle w:val="13"/>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
                <w:color w:val="auto"/>
                <w:kern w:val="2"/>
                <w:szCs w:val="24"/>
                <w:highlight w:val="none"/>
                <w:lang w:val="en-US" w:eastAsia="zh-CN"/>
              </w:rPr>
            </w:pPr>
            <w:r>
              <w:rPr>
                <w:rFonts w:hint="eastAsia" w:eastAsia="宋体"/>
                <w:color w:val="auto"/>
                <w:highlight w:val="none"/>
                <w:lang w:val="en-US" w:eastAsia="zh-CN"/>
              </w:rPr>
              <w:t>注：投标函、开标一览表必须加盖单位公章。</w:t>
            </w:r>
          </w:p>
        </w:tc>
      </w:tr>
      <w:tr w14:paraId="2E2EA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0FDF4DE">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4</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51EFCC5">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现场演示</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5F38C7C0">
            <w:pPr>
              <w:keepNext w:val="0"/>
              <w:keepLines w:val="0"/>
              <w:pageBreakBefore w:val="0"/>
              <w:widowControl w:val="0"/>
              <w:tabs>
                <w:tab w:val="left" w:pos="3870"/>
                <w:tab w:val="left" w:pos="4085"/>
              </w:tabs>
              <w:kinsoku/>
              <w:wordWrap/>
              <w:overflowPunct/>
              <w:topLinePunct w:val="0"/>
              <w:bidi w:val="0"/>
              <w:snapToGrid w:val="0"/>
              <w:spacing w:line="26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按招标文件相关要求执行</w:t>
            </w:r>
          </w:p>
        </w:tc>
      </w:tr>
      <w:tr w14:paraId="01FD0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52A84F9">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5</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70BC7A9">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投标样品</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1157DDB5">
            <w:pPr>
              <w:keepNext w:val="0"/>
              <w:keepLines w:val="0"/>
              <w:pageBreakBefore w:val="0"/>
              <w:widowControl w:val="0"/>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14:paraId="4E56F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6162766">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6</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0164253">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投标有效期</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5E656F5E">
            <w:pPr>
              <w:pStyle w:val="13"/>
              <w:keepNext w:val="0"/>
              <w:keepLines w:val="0"/>
              <w:pageBreakBefore w:val="0"/>
              <w:widowControl w:val="0"/>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Cs w:val="24"/>
                <w:highlight w:val="none"/>
                <w:lang w:val="en-US" w:eastAsia="zh-CN"/>
              </w:rPr>
              <w:t>自投标截止日起90天。如采购代理机构认为必要，可延长投标有效期。</w:t>
            </w:r>
          </w:p>
        </w:tc>
      </w:tr>
      <w:tr w14:paraId="23E9C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E6E23EE">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7</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1F6056D">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签订合同时间</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516F0DC5">
            <w:pPr>
              <w:pStyle w:val="13"/>
              <w:keepNext w:val="0"/>
              <w:keepLines w:val="0"/>
              <w:pageBreakBefore w:val="0"/>
              <w:widowControl w:val="0"/>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中标通知书发出后30日内</w:t>
            </w:r>
          </w:p>
        </w:tc>
      </w:tr>
      <w:tr w14:paraId="2C19C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7F96CF8">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8</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5A70327">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转包与分包</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38EC7861">
            <w:pPr>
              <w:pStyle w:val="13"/>
              <w:keepNext w:val="0"/>
              <w:keepLines w:val="0"/>
              <w:pageBreakBefore w:val="0"/>
              <w:widowControl w:val="0"/>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本项目不允许转包和分包</w:t>
            </w:r>
          </w:p>
        </w:tc>
      </w:tr>
      <w:tr w14:paraId="30DC8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55890E9">
            <w:pPr>
              <w:pStyle w:val="13"/>
              <w:keepNext w:val="0"/>
              <w:keepLines w:val="0"/>
              <w:pageBreakBefore w:val="0"/>
              <w:widowControl w:val="0"/>
              <w:kinsoku/>
              <w:wordWrap/>
              <w:overflowPunct/>
              <w:topLinePunct w:val="0"/>
              <w:bidi w:val="0"/>
              <w:spacing w:line="264" w:lineRule="auto"/>
              <w:jc w:val="center"/>
              <w:textAlignment w:val="auto"/>
              <w:rPr>
                <w:rFonts w:hint="default"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19</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68AD218">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履约保证金</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2986DC33">
            <w:pPr>
              <w:pStyle w:val="14"/>
              <w:keepNext w:val="0"/>
              <w:keepLines w:val="0"/>
              <w:pageBreakBefore w:val="0"/>
              <w:widowControl w:val="0"/>
              <w:kinsoku/>
              <w:wordWrap/>
              <w:overflowPunct/>
              <w:topLinePunct w:val="0"/>
              <w:bidi w:val="0"/>
              <w:spacing w:line="264" w:lineRule="auto"/>
              <w:ind w:left="0" w:leftChars="0" w:firstLine="0" w:firstLineChars="0"/>
              <w:textAlignment w:val="auto"/>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详见采购需求。</w:t>
            </w:r>
          </w:p>
        </w:tc>
      </w:tr>
      <w:tr w14:paraId="74A1F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DE64771">
            <w:pPr>
              <w:pStyle w:val="13"/>
              <w:keepNext w:val="0"/>
              <w:keepLines w:val="0"/>
              <w:pageBreakBefore w:val="0"/>
              <w:widowControl w:val="0"/>
              <w:kinsoku/>
              <w:wordWrap/>
              <w:overflowPunct/>
              <w:topLinePunct w:val="0"/>
              <w:bidi w:val="0"/>
              <w:spacing w:line="264" w:lineRule="auto"/>
              <w:jc w:val="center"/>
              <w:textAlignment w:val="auto"/>
              <w:rPr>
                <w:rFonts w:hint="default"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20</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DAE7BF4">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投标文件递交截止时间</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2E657052">
            <w:pPr>
              <w:keepNext w:val="0"/>
              <w:keepLines w:val="0"/>
              <w:pageBreakBefore w:val="0"/>
              <w:widowControl w:val="0"/>
              <w:kinsoku/>
              <w:wordWrap/>
              <w:overflowPunct/>
              <w:topLinePunct w:val="0"/>
              <w:bidi w:val="0"/>
              <w:snapToGrid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sz w:val="24"/>
                <w:szCs w:val="24"/>
                <w:highlight w:val="none"/>
                <w:lang w:eastAsia="zh-CN"/>
              </w:rPr>
              <w:t>详见招标公告</w:t>
            </w:r>
          </w:p>
        </w:tc>
      </w:tr>
      <w:tr w14:paraId="57839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0EAFD5E">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w:t>
            </w:r>
            <w:r>
              <w:rPr>
                <w:rFonts w:hint="eastAsia" w:ascii="宋体" w:hAnsi="宋体" w:cs="宋体"/>
                <w:b/>
                <w:color w:val="auto"/>
                <w:kern w:val="2"/>
                <w:szCs w:val="24"/>
                <w:highlight w:val="none"/>
                <w:lang w:val="en-US" w:eastAsia="zh-CN"/>
              </w:rPr>
              <w:t>1</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45BEAAE">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投标文件递交地点</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7C269F77">
            <w:pPr>
              <w:keepNext w:val="0"/>
              <w:keepLines w:val="0"/>
              <w:pageBreakBefore w:val="0"/>
              <w:widowControl w:val="0"/>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乐采云平台（https://www.lecaiyun.com/）</w:t>
            </w:r>
          </w:p>
        </w:tc>
      </w:tr>
      <w:tr w14:paraId="1FF41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E552D4B">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w:t>
            </w:r>
            <w:r>
              <w:rPr>
                <w:rFonts w:hint="eastAsia" w:ascii="宋体" w:hAnsi="宋体" w:cs="宋体"/>
                <w:b/>
                <w:color w:val="auto"/>
                <w:kern w:val="2"/>
                <w:szCs w:val="24"/>
                <w:highlight w:val="none"/>
                <w:lang w:val="en-US" w:eastAsia="zh-CN"/>
              </w:rPr>
              <w:t>2</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440AB2A">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开标时间</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18F86128">
            <w:pPr>
              <w:keepNext w:val="0"/>
              <w:keepLines w:val="0"/>
              <w:pageBreakBefore w:val="0"/>
              <w:widowControl w:val="0"/>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详见招标公告</w:t>
            </w:r>
          </w:p>
        </w:tc>
      </w:tr>
      <w:tr w14:paraId="2CC87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6D692AC">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 w:val="24"/>
                <w:szCs w:val="24"/>
                <w:highlight w:val="none"/>
                <w:lang w:val="en-US" w:eastAsia="zh-CN" w:bidi="ar-SA"/>
              </w:rPr>
              <w:t>2</w:t>
            </w:r>
            <w:r>
              <w:rPr>
                <w:rFonts w:hint="eastAsia" w:ascii="宋体" w:hAnsi="宋体" w:cs="宋体"/>
                <w:b/>
                <w:color w:val="auto"/>
                <w:kern w:val="2"/>
                <w:sz w:val="24"/>
                <w:szCs w:val="24"/>
                <w:highlight w:val="none"/>
                <w:lang w:val="en-US" w:eastAsia="zh-CN" w:bidi="ar-SA"/>
              </w:rPr>
              <w:t>3</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C04B2C9">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开标地点</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0DA4E8FA">
            <w:pPr>
              <w:keepNext w:val="0"/>
              <w:keepLines w:val="0"/>
              <w:pageBreakBefore w:val="0"/>
              <w:widowControl w:val="0"/>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14:paraId="4DCD5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A13D474">
            <w:pPr>
              <w:keepNext w:val="0"/>
              <w:keepLines w:val="0"/>
              <w:pageBreakBefore w:val="0"/>
              <w:widowControl w:val="0"/>
              <w:kinsoku/>
              <w:wordWrap/>
              <w:overflowPunct/>
              <w:topLinePunct w:val="0"/>
              <w:bidi w:val="0"/>
              <w:snapToGrid w:val="0"/>
              <w:spacing w:line="264" w:lineRule="auto"/>
              <w:jc w:val="center"/>
              <w:textAlignment w:val="auto"/>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24</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A2DAA7C">
            <w:pPr>
              <w:keepNext w:val="0"/>
              <w:keepLines w:val="0"/>
              <w:pageBreakBefore w:val="0"/>
              <w:widowControl w:val="0"/>
              <w:kinsoku/>
              <w:wordWrap/>
              <w:overflowPunct/>
              <w:topLinePunct w:val="0"/>
              <w:bidi w:val="0"/>
              <w:snapToGrid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sz w:val="24"/>
                <w:szCs w:val="24"/>
                <w:highlight w:val="none"/>
                <w:lang w:val="en-US" w:eastAsia="zh-CN"/>
              </w:rPr>
              <w:t>质疑与答疑时间</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53398114">
            <w:pPr>
              <w:keepNext w:val="0"/>
              <w:keepLines w:val="0"/>
              <w:pageBreakBefore w:val="0"/>
              <w:widowControl w:val="0"/>
              <w:kinsoku/>
              <w:wordWrap/>
              <w:overflowPunct/>
              <w:topLinePunct w:val="0"/>
              <w:bidi w:val="0"/>
              <w:snapToGrid w:val="0"/>
              <w:spacing w:line="264"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投标人应在开标截止时间10日前以书面形式向采购代理机构提出质疑，逾期提出的，采购代理机构不予受理、答复。</w:t>
            </w:r>
          </w:p>
        </w:tc>
      </w:tr>
      <w:tr w14:paraId="3D69F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DC8CFB5">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2</w:t>
            </w:r>
            <w:r>
              <w:rPr>
                <w:rFonts w:hint="eastAsia" w:ascii="宋体" w:hAnsi="宋体" w:cs="宋体"/>
                <w:b/>
                <w:color w:val="auto"/>
                <w:kern w:val="2"/>
                <w:szCs w:val="24"/>
                <w:highlight w:val="none"/>
                <w:lang w:val="en-US" w:eastAsia="zh-CN"/>
              </w:rPr>
              <w:t>5</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33BD235">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Cs w:val="24"/>
                <w:highlight w:val="none"/>
                <w:lang w:val="en-US" w:eastAsia="zh-CN"/>
              </w:rPr>
              <w:t>其</w:t>
            </w:r>
            <w:r>
              <w:rPr>
                <w:rFonts w:hint="eastAsia" w:ascii="宋体" w:hAnsi="宋体" w:cs="宋体"/>
                <w:bCs/>
                <w:color w:val="auto"/>
                <w:kern w:val="2"/>
                <w:szCs w:val="24"/>
                <w:highlight w:val="none"/>
                <w:lang w:val="en-US" w:eastAsia="zh-CN"/>
              </w:rPr>
              <w:t xml:space="preserve">  </w:t>
            </w:r>
            <w:r>
              <w:rPr>
                <w:rFonts w:hint="eastAsia" w:ascii="宋体" w:hAnsi="宋体" w:eastAsia="宋体" w:cs="宋体"/>
                <w:bCs/>
                <w:color w:val="auto"/>
                <w:kern w:val="2"/>
                <w:szCs w:val="24"/>
                <w:highlight w:val="none"/>
                <w:lang w:val="en-US" w:eastAsia="zh-CN"/>
              </w:rPr>
              <w:t>他</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00069FAB">
            <w:pPr>
              <w:keepNext w:val="0"/>
              <w:keepLines w:val="0"/>
              <w:pageBreakBefore w:val="0"/>
              <w:widowControl w:val="0"/>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（1）具体收费标准按诸国资办【2021】5号关于印发《诸暨市国有企业货物和服务采购管理办法》的通知文件执行。不足3000元按3000元收取，最高不超过15000元。（以上费用请供应商在报价时一并考虑）</w:t>
            </w:r>
          </w:p>
          <w:p w14:paraId="4823F095">
            <w:pPr>
              <w:keepNext w:val="0"/>
              <w:keepLines w:val="0"/>
              <w:pageBreakBefore w:val="0"/>
              <w:widowControl w:val="0"/>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（2）收取方式：本项目的招标代理服务费由中标人支付，在领取《中标通知书》前，一次性向采购代理机构付清。</w:t>
            </w:r>
          </w:p>
          <w:p w14:paraId="78AF5215">
            <w:pPr>
              <w:keepNext w:val="0"/>
              <w:keepLines w:val="0"/>
              <w:pageBreakBefore w:val="0"/>
              <w:widowControl w:val="0"/>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（3）代理费缴纳账户：杭州市建设工程管理集团有限公司诸暨分公司，开户行：中国邮政储蓄银行股份有限公司诸暨市暨阳支行，账号：933008010113178894</w:t>
            </w:r>
          </w:p>
        </w:tc>
      </w:tr>
      <w:tr w14:paraId="5FEF4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DBA8BD4">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cs="宋体"/>
                <w:b/>
                <w:color w:val="auto"/>
                <w:kern w:val="2"/>
                <w:szCs w:val="24"/>
                <w:highlight w:val="none"/>
                <w:lang w:val="en-US" w:eastAsia="zh-CN"/>
              </w:rPr>
              <w:t>26</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A96CC0A">
            <w:pPr>
              <w:pStyle w:val="13"/>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 w:val="0"/>
                <w:bCs/>
                <w:color w:val="auto"/>
                <w:szCs w:val="24"/>
                <w:highlight w:val="none"/>
                <w:lang w:val="en-US" w:eastAsia="zh-CN"/>
              </w:rPr>
              <w:t>特别提醒</w:t>
            </w:r>
          </w:p>
        </w:tc>
        <w:tc>
          <w:tcPr>
            <w:tcW w:w="8220" w:type="dxa"/>
            <w:tcBorders>
              <w:top w:val="single" w:color="auto" w:sz="4" w:space="0"/>
              <w:left w:val="single" w:color="auto" w:sz="4" w:space="0"/>
              <w:bottom w:val="single" w:color="auto" w:sz="4" w:space="0"/>
              <w:right w:val="single" w:color="auto" w:sz="4" w:space="0"/>
            </w:tcBorders>
            <w:noWrap w:val="0"/>
            <w:vAlign w:val="center"/>
          </w:tcPr>
          <w:p w14:paraId="0E687A0A">
            <w:pPr>
              <w:keepNext w:val="0"/>
              <w:keepLines w:val="0"/>
              <w:pageBreakBefore w:val="0"/>
              <w:widowControl w:val="0"/>
              <w:kinsoku/>
              <w:wordWrap/>
              <w:overflowPunct/>
              <w:topLinePunct w:val="0"/>
              <w:bidi w:val="0"/>
              <w:spacing w:line="264" w:lineRule="auto"/>
              <w:textAlignment w:val="auto"/>
              <w:rPr>
                <w:rFonts w:hint="eastAsia" w:ascii="宋体" w:hAnsi="宋体" w:eastAsia="宋体" w:cs="宋体"/>
                <w:b/>
                <w:bCs/>
                <w:color w:val="auto"/>
                <w:sz w:val="24"/>
                <w:szCs w:val="24"/>
                <w:highlight w:val="none"/>
              </w:rPr>
            </w:pPr>
            <w:r>
              <w:rPr>
                <w:rFonts w:hint="eastAsia" w:ascii="仿宋" w:hAnsi="仿宋" w:eastAsia="仿宋" w:cs="仿宋"/>
                <w:b/>
                <w:color w:val="auto"/>
                <w:sz w:val="24"/>
                <w:szCs w:val="24"/>
                <w:highlight w:val="none"/>
              </w:rPr>
              <w:t>请投标人仔细阅读本招标文件，其中若带有“★”标记的条款为实质性内容及要求，投标人必须对带有“★”标记的条款作出实质性响应。</w:t>
            </w:r>
            <w:r>
              <w:rPr>
                <w:rFonts w:hint="eastAsia" w:ascii="仿宋" w:hAnsi="仿宋" w:eastAsia="仿宋" w:cs="仿宋"/>
                <w:b/>
                <w:color w:val="auto"/>
                <w:sz w:val="24"/>
                <w:highlight w:val="none"/>
              </w:rPr>
              <w:t>如任意一条打“★”的条款出现负偏离视为实质性不响应招标文件要求，作无效投标处理。</w:t>
            </w:r>
          </w:p>
        </w:tc>
      </w:tr>
    </w:tbl>
    <w:p w14:paraId="08B8BB49">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285C462F">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一、总   则</w:t>
      </w:r>
    </w:p>
    <w:p w14:paraId="3492097C">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适用范围</w:t>
      </w:r>
    </w:p>
    <w:p w14:paraId="547AA210">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本招标文件适用于本次所述项目的招标。</w:t>
      </w:r>
    </w:p>
    <w:p w14:paraId="5CD603DE">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237304C">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2.1“招标人”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系指组织本次招标的采购单位和</w:t>
      </w:r>
      <w:r>
        <w:rPr>
          <w:rFonts w:hint="eastAsia" w:ascii="宋体" w:hAnsi="宋体" w:cs="宋体"/>
          <w:color w:val="auto"/>
          <w:sz w:val="24"/>
          <w:highlight w:val="none"/>
          <w:lang w:eastAsia="zh-CN"/>
        </w:rPr>
        <w:t>杭州市建设工程管理集团有限公司</w:t>
      </w:r>
      <w:r>
        <w:rPr>
          <w:rFonts w:hint="eastAsia" w:ascii="宋体" w:hAnsi="宋体" w:eastAsia="宋体" w:cs="宋体"/>
          <w:color w:val="auto"/>
          <w:sz w:val="24"/>
          <w:highlight w:val="none"/>
        </w:rPr>
        <w:t>。</w:t>
      </w:r>
    </w:p>
    <w:p w14:paraId="498075E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2.2“投标人”系指向招标方提交投标文件的供应商。</w:t>
      </w:r>
    </w:p>
    <w:p w14:paraId="15FF837E">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2.3“产品”系指供方按招标文件规定，须向采购单位提供的一切设备、保险、税 金、备品备件、工具、手册</w:t>
      </w:r>
      <w:r>
        <w:rPr>
          <w:rFonts w:hint="eastAsia" w:ascii="宋体" w:hAnsi="宋体" w:cs="宋体"/>
          <w:color w:val="auto"/>
          <w:sz w:val="24"/>
          <w:highlight w:val="none"/>
          <w:lang w:eastAsia="zh-CN"/>
        </w:rPr>
        <w:t>及其他有关</w:t>
      </w:r>
      <w:r>
        <w:rPr>
          <w:rFonts w:hint="eastAsia" w:ascii="宋体" w:hAnsi="宋体" w:eastAsia="宋体" w:cs="宋体"/>
          <w:color w:val="auto"/>
          <w:sz w:val="24"/>
          <w:highlight w:val="none"/>
        </w:rPr>
        <w:t>技术资料和材料。</w:t>
      </w:r>
    </w:p>
    <w:p w14:paraId="13F7847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2.4“服务”系指招标文件规定投标人须承担的安装、调试、技术协助、校准、培训、技术指导以及其他类似的义务。</w:t>
      </w:r>
    </w:p>
    <w:p w14:paraId="3EF7379D">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2.5“项目”系指投标人按招标文件规定向采购单位提供的产品和服务。</w:t>
      </w:r>
    </w:p>
    <w:p w14:paraId="2FFF22FD">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2.6“书面形式”包括信函、传真、电报等。</w:t>
      </w:r>
    </w:p>
    <w:p w14:paraId="36451BB2">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2.7本招标文件所述设备品牌、型号是结合实际现有情况的推荐性参考方案，投标方也可根据招标文件</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rPr>
        <w:t>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14:paraId="00A3B4B9">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3.采购方式</w:t>
      </w:r>
    </w:p>
    <w:p w14:paraId="7FF4723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本次采购采用公开招标方式进行。</w:t>
      </w:r>
    </w:p>
    <w:p w14:paraId="10650768">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4.投标人及投标委托有关说明</w:t>
      </w:r>
    </w:p>
    <w:p w14:paraId="38C36899">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投标人代表不是法定代表人，须有法定代表人出具的授权委托书</w:t>
      </w:r>
      <w:r>
        <w:rPr>
          <w:rFonts w:hint="eastAsia" w:ascii="宋体" w:hAnsi="宋体" w:eastAsia="宋体" w:cs="宋体"/>
          <w:b/>
          <w:color w:val="auto"/>
          <w:sz w:val="24"/>
          <w:highlight w:val="none"/>
        </w:rPr>
        <w:t>。</w:t>
      </w:r>
    </w:p>
    <w:p w14:paraId="0C327999">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5.投标费用</w:t>
      </w:r>
    </w:p>
    <w:p w14:paraId="4D73A331">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投标人应自行承担获得招标文件和编制、提交投标文件所涉及的一切费用。不论投标结果如何，投标人均应自行承担所有与投标有关的全部费用。</w:t>
      </w:r>
      <w:r>
        <w:rPr>
          <w:rFonts w:hint="eastAsia" w:ascii="宋体" w:hAnsi="宋体" w:eastAsia="宋体" w:cs="宋体"/>
          <w:b w:val="0"/>
          <w:bCs/>
          <w:color w:val="auto"/>
          <w:sz w:val="24"/>
          <w:highlight w:val="none"/>
        </w:rPr>
        <w:t>对中标人收取采购代理服务费。</w:t>
      </w:r>
    </w:p>
    <w:p w14:paraId="1BBB546A">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6.特别说明：</w:t>
      </w:r>
    </w:p>
    <w:p w14:paraId="42C6B53D">
      <w:pPr>
        <w:pStyle w:val="13"/>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6.1投标人应仔细阅读招标文件的所有内容，按照招标文件的要求提交投标文件，并对所提供的全部资料的真实性承担法律责任。</w:t>
      </w:r>
    </w:p>
    <w:p w14:paraId="66D2EF53">
      <w:pPr>
        <w:pStyle w:val="13"/>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6.2投标人在投标活动中提供任何虚假材料</w:t>
      </w:r>
      <w:r>
        <w:rPr>
          <w:rFonts w:hint="eastAsia" w:ascii="宋体" w:hAnsi="宋体" w:cs="宋体"/>
          <w:color w:val="auto"/>
          <w:highlight w:val="none"/>
          <w:lang w:eastAsia="zh-CN"/>
        </w:rPr>
        <w:t>，</w:t>
      </w:r>
      <w:r>
        <w:rPr>
          <w:rFonts w:hint="eastAsia" w:ascii="宋体" w:hAnsi="宋体" w:eastAsia="宋体" w:cs="宋体"/>
          <w:color w:val="auto"/>
          <w:highlight w:val="none"/>
        </w:rPr>
        <w:t>其投标无效，并报监管部门查处；中标后发现的</w:t>
      </w:r>
      <w:r>
        <w:rPr>
          <w:rFonts w:hint="eastAsia" w:ascii="宋体" w:hAnsi="宋体" w:cs="宋体"/>
          <w:color w:val="auto"/>
          <w:highlight w:val="none"/>
          <w:lang w:eastAsia="zh-CN"/>
        </w:rPr>
        <w:t>，</w:t>
      </w:r>
      <w:r>
        <w:rPr>
          <w:rFonts w:hint="eastAsia" w:ascii="宋体" w:hAnsi="宋体" w:eastAsia="宋体" w:cs="宋体"/>
          <w:color w:val="auto"/>
          <w:highlight w:val="none"/>
        </w:rPr>
        <w:t>中标人须依照《中华人民共和国消费者权益保护法》第49条之规定双倍赔偿采购人，且民事赔偿并不免除违法投标人的行政与刑事责任。</w:t>
      </w:r>
    </w:p>
    <w:p w14:paraId="5F57DB0B">
      <w:pPr>
        <w:pStyle w:val="13"/>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68C5C636">
      <w:pPr>
        <w:pStyle w:val="13"/>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w:t>
      </w:r>
      <w:r>
        <w:rPr>
          <w:rFonts w:hint="eastAsia" w:ascii="宋体" w:hAnsi="宋体" w:eastAsia="宋体" w:cs="宋体"/>
          <w:color w:val="auto"/>
          <w:highlight w:val="none"/>
          <w:lang w:val="en-US" w:eastAsia="zh-CN"/>
        </w:rPr>
        <w:t>招投标</w:t>
      </w:r>
      <w:r>
        <w:rPr>
          <w:rFonts w:hint="eastAsia" w:ascii="宋体" w:hAnsi="宋体" w:eastAsia="宋体" w:cs="宋体"/>
          <w:color w:val="auto"/>
          <w:highlight w:val="none"/>
        </w:rPr>
        <w:t>监督管理部门给予一定年限内禁止参加采购活动的处罚或其他处罚。</w:t>
      </w:r>
    </w:p>
    <w:p w14:paraId="25E6FEA3">
      <w:pPr>
        <w:pStyle w:val="13"/>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6.5本项目涉及采购货物必须是全新、未使用过的原装合格正品（包括零部件），如安装或配置了软件的，须为正版软件。</w:t>
      </w:r>
    </w:p>
    <w:p w14:paraId="36BCB82D">
      <w:pPr>
        <w:pStyle w:val="13"/>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6.6国产的货物及其有关服务必须符合中华人民共和国的设计和制造生产标准或行业标准。招标公告有其他要求的，亦应符合其要求。</w:t>
      </w:r>
    </w:p>
    <w:p w14:paraId="413C6BD2">
      <w:pPr>
        <w:pStyle w:val="13"/>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C6138CE">
      <w:pPr>
        <w:pStyle w:val="13"/>
        <w:pageBreakBefore w:val="0"/>
        <w:widowControl w:val="0"/>
        <w:shd w:val="clear"/>
        <w:kinsoku/>
        <w:wordWrap/>
        <w:overflowPunct/>
        <w:topLinePunct w:val="0"/>
        <w:bidi w:val="0"/>
        <w:snapToGrid w:val="0"/>
        <w:spacing w:line="228" w:lineRule="auto"/>
        <w:ind w:firstLine="472" w:firstLineChars="196"/>
        <w:textAlignment w:val="auto"/>
        <w:outlineLvl w:val="1"/>
        <w:rPr>
          <w:rFonts w:hint="eastAsia" w:ascii="宋体" w:hAnsi="宋体" w:eastAsia="宋体" w:cs="宋体"/>
          <w:b/>
          <w:bCs/>
          <w:color w:val="auto"/>
          <w:highlight w:val="none"/>
        </w:rPr>
      </w:pPr>
      <w:r>
        <w:rPr>
          <w:rFonts w:hint="eastAsia" w:ascii="宋体" w:hAnsi="宋体" w:eastAsia="宋体" w:cs="宋体"/>
          <w:b/>
          <w:color w:val="auto"/>
          <w:highlight w:val="none"/>
        </w:rPr>
        <w:t>7.</w:t>
      </w:r>
      <w:r>
        <w:rPr>
          <w:rFonts w:hint="eastAsia" w:ascii="宋体" w:hAnsi="宋体" w:eastAsia="宋体" w:cs="宋体"/>
          <w:b/>
          <w:bCs/>
          <w:color w:val="auto"/>
          <w:highlight w:val="none"/>
        </w:rPr>
        <w:t>质疑和投诉</w:t>
      </w:r>
    </w:p>
    <w:p w14:paraId="2CCFB487">
      <w:pPr>
        <w:pStyle w:val="13"/>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7.1投标人认为招标文件、招标过程和中标结果使自己的合法权益受到损害的，应当在知道或者应知其权益受到损害之日起七个工作日内，以书面形式向采购单位、招标代理机构提出质疑。</w:t>
      </w:r>
      <w:r>
        <w:rPr>
          <w:rFonts w:hint="eastAsia" w:ascii="宋体" w:hAnsi="宋体" w:eastAsia="宋体" w:cs="宋体"/>
          <w:color w:val="auto"/>
          <w:highlight w:val="none"/>
        </w:rPr>
        <w:t>投标人对招标人的质疑答复不满意或者招标人未在规定时间内作出答复的，可以在答复期满后十五个工作日内向同级采购监管部门投诉。</w:t>
      </w:r>
      <w:r>
        <w:rPr>
          <w:rFonts w:hint="eastAsia" w:ascii="宋体" w:hAnsi="宋体" w:eastAsia="宋体" w:cs="宋体"/>
          <w:color w:val="auto"/>
          <w:szCs w:val="24"/>
          <w:highlight w:val="none"/>
        </w:rPr>
        <w:t>逾期提出的，采购代理机构不予受理、答复。</w:t>
      </w:r>
    </w:p>
    <w:p w14:paraId="60EF8D74">
      <w:pPr>
        <w:pStyle w:val="13"/>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宋体" w:hAnsi="宋体" w:eastAsia="宋体" w:cs="宋体"/>
          <w:color w:val="auto"/>
          <w:highlight w:val="none"/>
        </w:rPr>
        <w:t>其来源或线索，便于有关单位调查、答复和处理。</w:t>
      </w:r>
    </w:p>
    <w:p w14:paraId="55166742">
      <w:pPr>
        <w:pStyle w:val="13"/>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7.3</w:t>
      </w:r>
      <w:r>
        <w:rPr>
          <w:rFonts w:hint="eastAsia" w:ascii="宋体" w:hAnsi="宋体" w:eastAsia="宋体" w:cs="宋体"/>
          <w:color w:val="auto"/>
          <w:szCs w:val="24"/>
          <w:highlight w:val="none"/>
        </w:rPr>
        <w:t>采购代理机构与采购人研究后，对认为有必要回答的问题，采购人和采购代理机构将补充（更正）以网上发布公告的形式通知所有投标人，补充（更正）是招标文件的</w:t>
      </w:r>
      <w:r>
        <w:rPr>
          <w:rFonts w:hint="eastAsia" w:ascii="宋体" w:hAnsi="宋体" w:cs="宋体"/>
          <w:color w:val="auto"/>
          <w:szCs w:val="24"/>
          <w:highlight w:val="none"/>
          <w:lang w:eastAsia="zh-CN"/>
        </w:rPr>
        <w:t>组成部分</w:t>
      </w:r>
      <w:r>
        <w:rPr>
          <w:rFonts w:hint="eastAsia" w:ascii="宋体" w:hAnsi="宋体" w:eastAsia="宋体" w:cs="宋体"/>
          <w:color w:val="auto"/>
          <w:szCs w:val="24"/>
          <w:highlight w:val="none"/>
        </w:rPr>
        <w:t>。</w:t>
      </w:r>
    </w:p>
    <w:p w14:paraId="1D36E5A2">
      <w:pPr>
        <w:pStyle w:val="13"/>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7.4</w:t>
      </w:r>
      <w:r>
        <w:rPr>
          <w:rFonts w:hint="eastAsia" w:ascii="宋体" w:hAnsi="宋体" w:eastAsia="宋体" w:cs="宋体"/>
          <w:b/>
          <w:color w:val="auto"/>
          <w:highlight w:val="none"/>
          <w:u w:val="single"/>
        </w:rPr>
        <w:t>质疑供应商在收到该更正（补充）公告后应于1日内，以书面或传真形式（签署意见并加盖公章）向采购代理机构回函给予确认。过期未回复的，视为默认接受。</w:t>
      </w:r>
    </w:p>
    <w:p w14:paraId="6ED17199">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二、招标文件</w:t>
      </w:r>
    </w:p>
    <w:p w14:paraId="06FB3CD2">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8.招标文件的构成。</w:t>
      </w:r>
    </w:p>
    <w:p w14:paraId="447F842A">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本招标文件由以下</w:t>
      </w:r>
      <w:r>
        <w:rPr>
          <w:rFonts w:hint="eastAsia" w:ascii="宋体" w:hAnsi="宋体" w:cs="宋体"/>
          <w:color w:val="auto"/>
          <w:sz w:val="24"/>
          <w:highlight w:val="none"/>
          <w:lang w:eastAsia="zh-CN"/>
        </w:rPr>
        <w:t>部分</w:t>
      </w:r>
      <w:r>
        <w:rPr>
          <w:rFonts w:hint="eastAsia" w:ascii="宋体" w:hAnsi="宋体" w:eastAsia="宋体" w:cs="宋体"/>
          <w:color w:val="auto"/>
          <w:sz w:val="24"/>
          <w:highlight w:val="none"/>
        </w:rPr>
        <w:t>组成：</w:t>
      </w:r>
    </w:p>
    <w:p w14:paraId="4A9EB26A">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8.1招标公告；</w:t>
      </w:r>
    </w:p>
    <w:p w14:paraId="26737749">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8.2投标须知；</w:t>
      </w:r>
    </w:p>
    <w:p w14:paraId="134B6CB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8.3评</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rPr>
        <w:t>办法；</w:t>
      </w:r>
    </w:p>
    <w:p w14:paraId="062550C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8.4采购需求；</w:t>
      </w:r>
    </w:p>
    <w:p w14:paraId="7EB51523">
      <w:pPr>
        <w:pageBreakBefore w:val="0"/>
        <w:widowControl w:val="0"/>
        <w:shd w:val="clear"/>
        <w:kinsoku/>
        <w:wordWrap/>
        <w:overflowPunct/>
        <w:topLinePunct w:val="0"/>
        <w:bidi w:val="0"/>
        <w:snapToGrid w:val="0"/>
        <w:spacing w:line="228"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8.5采购合同；</w:t>
      </w:r>
    </w:p>
    <w:p w14:paraId="674545FC">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应提交的有关格式范例；</w:t>
      </w:r>
    </w:p>
    <w:p w14:paraId="6DB3616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本项目招标文件的澄清、答复、修改、补充的内容。</w:t>
      </w:r>
    </w:p>
    <w:p w14:paraId="11358D81">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9.投标人的风险</w:t>
      </w:r>
    </w:p>
    <w:p w14:paraId="540B49D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2B111056">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76595F46">
      <w:pPr>
        <w:pStyle w:val="5"/>
        <w:keepNext w:val="0"/>
        <w:keepLines w:val="0"/>
        <w:pageBreakBefore w:val="0"/>
        <w:widowControl w:val="0"/>
        <w:numPr>
          <w:ilvl w:val="0"/>
          <w:numId w:val="0"/>
        </w:numPr>
        <w:shd w:val="clear"/>
        <w:tabs>
          <w:tab w:val="left" w:pos="720"/>
        </w:tabs>
        <w:kinsoku/>
        <w:wordWrap/>
        <w:overflowPunct/>
        <w:topLinePunct w:val="0"/>
        <w:autoSpaceDE/>
        <w:autoSpaceDN/>
        <w:bidi w:val="0"/>
        <w:adjustRightInd/>
        <w:snapToGrid w:val="0"/>
        <w:spacing w:after="0" w:afterLines="0" w:line="228" w:lineRule="auto"/>
        <w:ind w:left="0" w:leftChars="0" w:right="0" w:rightChars="0" w:firstLine="472" w:firstLineChars="196"/>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10.招标文件的澄清与修改 </w:t>
      </w:r>
    </w:p>
    <w:p w14:paraId="60EB62E0">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10.1</w:t>
      </w:r>
      <w:r>
        <w:rPr>
          <w:rFonts w:hint="eastAsia" w:ascii="宋体" w:hAnsi="宋体" w:eastAsia="宋体" w:cs="宋体"/>
          <w:bCs/>
          <w:color w:val="auto"/>
          <w:highlight w:val="none"/>
        </w:rPr>
        <w:t>投标人下载招标文件后，应认真阅读本招标文件的所有内容，发现其中有误或有不合理要求的，投标人必须按前附表规定的时间前以书面形式</w:t>
      </w:r>
      <w:r>
        <w:rPr>
          <w:rFonts w:hint="eastAsia" w:ascii="宋体" w:hAnsi="宋体" w:cs="宋体"/>
          <w:bCs/>
          <w:color w:val="auto"/>
          <w:highlight w:val="none"/>
          <w:lang w:eastAsia="zh-CN"/>
        </w:rPr>
        <w:t>（</w:t>
      </w:r>
      <w:r>
        <w:rPr>
          <w:rFonts w:hint="eastAsia" w:ascii="宋体" w:hAnsi="宋体" w:eastAsia="宋体" w:cs="宋体"/>
          <w:color w:val="auto"/>
          <w:highlight w:val="none"/>
        </w:rPr>
        <w:t>包括书面文字、传真等</w:t>
      </w:r>
      <w:r>
        <w:rPr>
          <w:rFonts w:hint="eastAsia" w:ascii="宋体" w:hAnsi="宋体" w:cs="宋体"/>
          <w:color w:val="auto"/>
          <w:highlight w:val="none"/>
          <w:lang w:eastAsia="zh-CN"/>
        </w:rPr>
        <w:t>）</w:t>
      </w:r>
      <w:r>
        <w:rPr>
          <w:rFonts w:hint="eastAsia" w:ascii="宋体" w:hAnsi="宋体" w:eastAsia="宋体" w:cs="宋体"/>
          <w:bCs/>
          <w:color w:val="auto"/>
          <w:highlight w:val="none"/>
        </w:rPr>
        <w:t>要求采购人澄清</w:t>
      </w:r>
      <w:r>
        <w:rPr>
          <w:rFonts w:hint="eastAsia" w:ascii="宋体" w:hAnsi="宋体" w:eastAsia="宋体" w:cs="宋体"/>
          <w:color w:val="auto"/>
          <w:highlight w:val="none"/>
        </w:rPr>
        <w:t>。逾期提出的，采购人将不予受理。</w:t>
      </w:r>
      <w:r>
        <w:rPr>
          <w:rFonts w:hint="eastAsia" w:ascii="宋体" w:hAnsi="宋体" w:eastAsia="宋体" w:cs="宋体"/>
          <w:color w:val="auto"/>
          <w:szCs w:val="24"/>
          <w:highlight w:val="none"/>
        </w:rPr>
        <w:t>采购代理机构与采购人研究后，对认为有必要回答的问题，采购人将补充（更正内容）以网上发布公告的形式通知所有投标人，补充（更正）内容是招标文件的</w:t>
      </w:r>
      <w:r>
        <w:rPr>
          <w:rFonts w:hint="eastAsia" w:ascii="宋体" w:hAnsi="宋体" w:cs="宋体"/>
          <w:color w:val="auto"/>
          <w:szCs w:val="24"/>
          <w:highlight w:val="none"/>
          <w:lang w:eastAsia="zh-CN"/>
        </w:rPr>
        <w:t>组成部分</w:t>
      </w:r>
      <w:r>
        <w:rPr>
          <w:rFonts w:hint="eastAsia" w:ascii="宋体" w:hAnsi="宋体" w:eastAsia="宋体" w:cs="宋体"/>
          <w:color w:val="auto"/>
          <w:szCs w:val="24"/>
          <w:highlight w:val="none"/>
        </w:rPr>
        <w:t>。投标人可以通过</w:t>
      </w:r>
      <w:r>
        <w:rPr>
          <w:rFonts w:hint="eastAsia" w:ascii="宋体" w:hAnsi="宋体" w:cs="宋体"/>
          <w:color w:val="auto"/>
          <w:szCs w:val="24"/>
          <w:highlight w:val="none"/>
          <w:lang w:val="en-US" w:eastAsia="zh-CN"/>
        </w:rPr>
        <w:t>浙江政府采购网</w:t>
      </w:r>
      <w:r>
        <w:rPr>
          <w:rFonts w:hint="eastAsia" w:ascii="宋体" w:hAnsi="宋体" w:eastAsia="宋体" w:cs="宋体"/>
          <w:color w:val="auto"/>
          <w:szCs w:val="24"/>
          <w:highlight w:val="none"/>
        </w:rPr>
        <w:t>自行下载，以确认已阅知该澄清或修改内容，否则，由此导致的风险由投标人自行承担，采购人不承担任何责任。</w:t>
      </w:r>
    </w:p>
    <w:p w14:paraId="5FD0AAFA">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w:t>
      </w:r>
      <w:r>
        <w:rPr>
          <w:rFonts w:hint="eastAsia" w:ascii="宋体" w:hAnsi="宋体" w:eastAsia="宋体" w:cs="宋体"/>
          <w:color w:val="auto"/>
          <w:highlight w:val="none"/>
        </w:rPr>
        <w:t>招标文件澄清、答复、修改、补充的内容为招标文件的组成部分。当招标文件与招标文件的答复、澄清、修改、补充公告就同一内容的表述不一致时，以最后发出的文件或公告或通知为准。</w:t>
      </w:r>
    </w:p>
    <w:p w14:paraId="21939B47">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23CB84B7">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10.4为使投标人在编制投标文件时，把补充公告内容进行研究，采购代理机构可以酌情推迟递交投标文件的截止时间。</w:t>
      </w:r>
    </w:p>
    <w:p w14:paraId="4A86F176">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10.5投标人一旦参与本次招标活动，即被视为接受了本招标文件的所有内容，如有任何异议，均须在答疑截止时间前提出。</w:t>
      </w:r>
    </w:p>
    <w:p w14:paraId="3C3CDC99">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三、投标文件编制和提交</w:t>
      </w:r>
    </w:p>
    <w:p w14:paraId="5835EECC">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11.投标文件的组成</w:t>
      </w:r>
    </w:p>
    <w:p w14:paraId="3F4B5FF9">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投标文件的组成详见前附表。</w:t>
      </w:r>
    </w:p>
    <w:p w14:paraId="587B6B32">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12.投标文件的语言及计量</w:t>
      </w:r>
    </w:p>
    <w:p w14:paraId="3BEB7632">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w:t>
      </w:r>
      <w:r>
        <w:rPr>
          <w:rFonts w:hint="eastAsia" w:ascii="宋体" w:hAnsi="宋体" w:cs="宋体"/>
          <w:color w:val="auto"/>
          <w:highlight w:val="none"/>
          <w:lang w:eastAsia="zh-CN"/>
        </w:rPr>
        <w:t>为其他</w:t>
      </w:r>
      <w:r>
        <w:rPr>
          <w:rFonts w:hint="eastAsia" w:ascii="宋体" w:hAnsi="宋体" w:eastAsia="宋体" w:cs="宋体"/>
          <w:color w:val="auto"/>
          <w:highlight w:val="none"/>
        </w:rPr>
        <w:t>语言，但必须附中文译文。翻译的中文资料与外文资料如果出现差异时，以中文为准，但翻译错误的除外。</w:t>
      </w:r>
    </w:p>
    <w:p w14:paraId="74963366">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12.2投标计量单位，招标文件已有明确规定的，使用招标文件规定的计量单位；招标文件没有规定的，应采用中华人民共和国法定计量单位（货币单位：人民币元），否则视同未响应。</w:t>
      </w:r>
    </w:p>
    <w:p w14:paraId="7044D01B">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14:paraId="5A35AB3D">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13.1投标报价应按招标文件中相关附表格式填写。本项目的投标应以人民币计。</w:t>
      </w:r>
    </w:p>
    <w:p w14:paraId="57BC1735">
      <w:pPr>
        <w:pStyle w:val="13"/>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w:t>
      </w:r>
      <w:r>
        <w:rPr>
          <w:rFonts w:hint="eastAsia" w:ascii="宋体" w:hAnsi="宋体" w:cs="宋体"/>
          <w:color w:val="auto"/>
          <w:highlight w:val="none"/>
          <w:lang w:eastAsia="zh-CN"/>
        </w:rPr>
        <w:t>其他项目中</w:t>
      </w:r>
      <w:r>
        <w:rPr>
          <w:rFonts w:hint="eastAsia" w:ascii="宋体" w:hAnsi="宋体" w:eastAsia="宋体" w:cs="宋体"/>
          <w:color w:val="auto"/>
          <w:highlight w:val="none"/>
        </w:rPr>
        <w:t>，合同总价和单价</w:t>
      </w:r>
      <w:r>
        <w:rPr>
          <w:rFonts w:hint="eastAsia" w:ascii="宋体" w:hAnsi="宋体" w:cs="宋体"/>
          <w:color w:val="auto"/>
          <w:highlight w:val="none"/>
          <w:lang w:eastAsia="zh-CN"/>
        </w:rPr>
        <w:t>不作</w:t>
      </w:r>
      <w:r>
        <w:rPr>
          <w:rFonts w:hint="eastAsia" w:ascii="宋体" w:hAnsi="宋体" w:eastAsia="宋体" w:cs="宋体"/>
          <w:color w:val="auto"/>
          <w:highlight w:val="none"/>
        </w:rPr>
        <w:t>调整。</w:t>
      </w:r>
    </w:p>
    <w:p w14:paraId="077C866D">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13.3投标文件只允许有一个报价，有选择的或有条件的报价将不予接受。</w:t>
      </w:r>
    </w:p>
    <w:p w14:paraId="3061889D">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13.4招标文件未列明，而投标人认为必需的费用也需列入报价。</w:t>
      </w:r>
    </w:p>
    <w:p w14:paraId="71C4B20B">
      <w:pPr>
        <w:pStyle w:val="13"/>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13.5</w:t>
      </w:r>
      <w:r>
        <w:rPr>
          <w:rFonts w:hint="eastAsia" w:ascii="宋体" w:hAnsi="宋体" w:eastAsia="宋体" w:cs="宋体"/>
          <w:color w:val="auto"/>
          <w:szCs w:val="24"/>
          <w:highlight w:val="none"/>
        </w:rPr>
        <w:t>中标后，中标人所填写的单价在合同实施期间不因市场变化因素而变动，投标人在计算报价时应考虑一定的风险系数。</w:t>
      </w:r>
    </w:p>
    <w:p w14:paraId="4A761D2A">
      <w:pPr>
        <w:pStyle w:val="13"/>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13.6投标人若有方案和报价未被唱标，应在开标时及时声明或提请采购代理机构宣读，否则是投标人自己的风险，采购代理机构对此不承担任何责任。</w:t>
      </w:r>
    </w:p>
    <w:p w14:paraId="02C4A983">
      <w:pPr>
        <w:pStyle w:val="5"/>
        <w:keepNext w:val="0"/>
        <w:keepLines w:val="0"/>
        <w:pageBreakBefore w:val="0"/>
        <w:widowControl w:val="0"/>
        <w:numPr>
          <w:ilvl w:val="0"/>
          <w:numId w:val="0"/>
        </w:numPr>
        <w:shd w:val="clear"/>
        <w:tabs>
          <w:tab w:val="left" w:pos="720"/>
        </w:tabs>
        <w:kinsoku/>
        <w:wordWrap/>
        <w:overflowPunct/>
        <w:topLinePunct w:val="0"/>
        <w:autoSpaceDE/>
        <w:autoSpaceDN/>
        <w:bidi w:val="0"/>
        <w:adjustRightInd/>
        <w:snapToGrid w:val="0"/>
        <w:spacing w:after="0" w:afterLines="0" w:line="228" w:lineRule="auto"/>
        <w:ind w:left="0" w:leftChars="0" w:right="0" w:rightChars="0" w:firstLine="472" w:firstLineChars="196"/>
        <w:jc w:val="left"/>
        <w:textAlignment w:val="auto"/>
        <w:outlineLvl w:val="9"/>
        <w:rPr>
          <w:rFonts w:hint="eastAsia" w:ascii="宋体" w:hAnsi="宋体" w:eastAsia="宋体" w:cs="宋体"/>
          <w:b/>
          <w:color w:val="auto"/>
          <w:sz w:val="24"/>
          <w:szCs w:val="21"/>
          <w:highlight w:val="none"/>
          <w:lang w:val="en-US" w:eastAsia="zh-CN" w:bidi="ar-SA"/>
        </w:rPr>
      </w:pPr>
      <w:r>
        <w:rPr>
          <w:rFonts w:hint="eastAsia" w:ascii="宋体" w:hAnsi="宋体" w:eastAsia="宋体" w:cs="宋体"/>
          <w:b/>
          <w:color w:val="auto"/>
          <w:sz w:val="24"/>
          <w:szCs w:val="21"/>
          <w:highlight w:val="none"/>
          <w:lang w:val="en-US" w:eastAsia="zh-CN" w:bidi="ar-SA"/>
        </w:rPr>
        <w:t>14.投标文件的有效期</w:t>
      </w:r>
    </w:p>
    <w:p w14:paraId="40B6CC3D">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14.1自投标截止日起90天投标书应保持有效。如采购人认为必要，可延长投标有效期。有效期短于这个规定期限的投标将被拒绝。</w:t>
      </w:r>
    </w:p>
    <w:p w14:paraId="1DDC135A">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14.2在特殊情况下，招标人可与投标人协商延长投标书的有效期，这种要求和答复均以书面形式进行。</w:t>
      </w:r>
    </w:p>
    <w:p w14:paraId="706B4CC7">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14.3投标人可拒绝接受延期要求而不会导致投标保证金被没收。同意延长有效期的投标人需要相应延长投标保证金的有效期，但不能修改投标文件。 </w:t>
      </w:r>
    </w:p>
    <w:p w14:paraId="1631DF5E">
      <w:pPr>
        <w:pStyle w:val="13"/>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14.4中标人的投标文件自开标之日起至合同履行完毕止均应保持有效。</w:t>
      </w:r>
    </w:p>
    <w:p w14:paraId="15814555">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15.投标保证金</w:t>
      </w:r>
    </w:p>
    <w:p w14:paraId="789AC776">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见前附表。</w:t>
      </w:r>
    </w:p>
    <w:p w14:paraId="00FC84A9">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16.</w:t>
      </w:r>
      <w:r>
        <w:rPr>
          <w:rFonts w:hint="eastAsia" w:ascii="宋体" w:hAnsi="宋体" w:eastAsia="宋体" w:cs="宋体"/>
          <w:b/>
          <w:color w:val="auto"/>
          <w:sz w:val="24"/>
          <w:szCs w:val="24"/>
          <w:highlight w:val="none"/>
        </w:rPr>
        <w:t>投标文件的制作</w:t>
      </w:r>
    </w:p>
    <w:p w14:paraId="39AFFCB1">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16.1投标人应按招标文件前附表规定的内容编制投标文件。</w:t>
      </w:r>
    </w:p>
    <w:p w14:paraId="5CBE238D">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16.2投标人应按本招标文件规定的格式和顺序编制投标文件并标注页码，投标文件内容不完整、编排混乱导致投标文件被误读、漏读或者查找不到相关内容的，是投标人的责任。</w:t>
      </w:r>
    </w:p>
    <w:p w14:paraId="53412CF0">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highlight w:val="none"/>
          <w:u w:val="single"/>
        </w:rPr>
      </w:pPr>
      <w:r>
        <w:rPr>
          <w:rFonts w:hint="eastAsia" w:ascii="宋体" w:hAnsi="宋体" w:eastAsia="宋体" w:cs="宋体"/>
          <w:color w:val="auto"/>
          <w:sz w:val="24"/>
          <w:szCs w:val="24"/>
          <w:highlight w:val="none"/>
        </w:rPr>
        <w:t>16.3投标文件须由投标人在规定位置盖章并由法定代表人或法定代</w:t>
      </w:r>
      <w:r>
        <w:rPr>
          <w:rFonts w:hint="eastAsia" w:ascii="宋体" w:hAnsi="宋体" w:cs="宋体"/>
          <w:color w:val="auto"/>
          <w:sz w:val="24"/>
          <w:szCs w:val="24"/>
          <w:highlight w:val="none"/>
          <w:lang w:eastAsia="zh-CN"/>
        </w:rPr>
        <w:t>表人</w:t>
      </w:r>
      <w:r>
        <w:rPr>
          <w:rFonts w:hint="eastAsia" w:ascii="宋体" w:hAnsi="宋体" w:eastAsia="宋体" w:cs="宋体"/>
          <w:color w:val="auto"/>
          <w:sz w:val="24"/>
          <w:szCs w:val="24"/>
          <w:highlight w:val="none"/>
        </w:rPr>
        <w:t>授权人签署，投标人应写全称。</w:t>
      </w:r>
      <w:r>
        <w:rPr>
          <w:rFonts w:hint="eastAsia" w:ascii="宋体" w:hAnsi="宋体" w:eastAsia="宋体" w:cs="宋体"/>
          <w:b/>
          <w:color w:val="auto"/>
          <w:sz w:val="24"/>
          <w:szCs w:val="24"/>
          <w:highlight w:val="none"/>
        </w:rPr>
        <w:t>电子投标文件中所有加盖公章均采用CA签章。</w:t>
      </w:r>
    </w:p>
    <w:p w14:paraId="5535C9C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16.4投标文件不得涂改，若有修改错漏处，须加盖单位公章。投标文件因表达不清所引起的后果由投标人负责。</w:t>
      </w:r>
    </w:p>
    <w:p w14:paraId="5BBFF334">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16.5投标人应认真阅读招标文件中所有的内容。如果投标人编制的投标文件实质上不响应招标文件的要求，其投标文件将作无效标处理。</w:t>
      </w:r>
    </w:p>
    <w:p w14:paraId="4DC9CB3F">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17.投标文件的包装、递交、修改和撤回</w:t>
      </w:r>
    </w:p>
    <w:p w14:paraId="75A01852">
      <w:pPr>
        <w:pStyle w:val="6"/>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投标人应在开标前在“</w:t>
      </w:r>
      <w:r>
        <w:rPr>
          <w:rFonts w:hint="eastAsia" w:ascii="宋体" w:hAnsi="宋体" w:cs="宋体"/>
          <w:b/>
          <w:color w:val="auto"/>
          <w:sz w:val="24"/>
          <w:szCs w:val="24"/>
          <w:highlight w:val="none"/>
          <w:lang w:eastAsia="zh-CN"/>
        </w:rPr>
        <w:t>乐采云</w:t>
      </w:r>
      <w:r>
        <w:rPr>
          <w:rFonts w:hint="eastAsia" w:ascii="宋体" w:hAnsi="宋体" w:eastAsia="宋体" w:cs="宋体"/>
          <w:b/>
          <w:color w:val="auto"/>
          <w:sz w:val="24"/>
          <w:szCs w:val="24"/>
          <w:highlight w:val="none"/>
        </w:rPr>
        <w:t>”上自行加密上传电子投标文件，逾期上传或未按要求上传的投标文件将予以拒收。</w:t>
      </w:r>
    </w:p>
    <w:p w14:paraId="0023397D">
      <w:pPr>
        <w:pStyle w:val="6"/>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2</w:t>
      </w:r>
      <w:r>
        <w:rPr>
          <w:rFonts w:hint="eastAsia" w:ascii="宋体" w:hAnsi="宋体" w:eastAsia="宋体" w:cs="宋体"/>
          <w:color w:val="auto"/>
          <w:sz w:val="24"/>
          <w:szCs w:val="24"/>
          <w:highlight w:val="none"/>
        </w:rPr>
        <w:t>投标人在投标截止时间之前，可以对已提交的投标文件进行修改或撤回，补充、修改的内容为投标文件的组成部分。</w:t>
      </w:r>
    </w:p>
    <w:p w14:paraId="7CD9C79E">
      <w:pPr>
        <w:pStyle w:val="6"/>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投标截止时间后，投标人不得撤回、修改投标文件。</w:t>
      </w:r>
    </w:p>
    <w:p w14:paraId="59A1780E">
      <w:pPr>
        <w:pStyle w:val="6"/>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不论投标人中标与否，投标人文件均不得撤回其投标。</w:t>
      </w:r>
    </w:p>
    <w:p w14:paraId="489C2FA2">
      <w:pPr>
        <w:pStyle w:val="6"/>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17.5未按时解密的，视为投标文件撤回。</w:t>
      </w:r>
    </w:p>
    <w:p w14:paraId="229F2630">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18.投标无效的情形</w:t>
      </w:r>
    </w:p>
    <w:p w14:paraId="47A95147">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w:t>
      </w:r>
      <w:r>
        <w:rPr>
          <w:rFonts w:hint="eastAsia" w:ascii="宋体" w:hAnsi="宋体" w:cs="宋体"/>
          <w:color w:val="auto"/>
          <w:sz w:val="24"/>
          <w:highlight w:val="none"/>
          <w:lang w:eastAsia="zh-CN"/>
        </w:rPr>
        <w:t>撤销</w:t>
      </w:r>
      <w:r>
        <w:rPr>
          <w:rFonts w:hint="eastAsia" w:ascii="宋体" w:hAnsi="宋体" w:eastAsia="宋体" w:cs="宋体"/>
          <w:color w:val="auto"/>
          <w:sz w:val="24"/>
          <w:highlight w:val="none"/>
        </w:rPr>
        <w:t>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60FC3C4">
      <w:pPr>
        <w:pStyle w:val="7"/>
        <w:pageBreakBefore w:val="0"/>
        <w:widowControl w:val="0"/>
        <w:shd w:val="clear"/>
        <w:kinsoku/>
        <w:wordWrap/>
        <w:overflowPunct/>
        <w:topLinePunct w:val="0"/>
        <w:bidi w:val="0"/>
        <w:snapToGrid w:val="0"/>
        <w:spacing w:after="0" w:line="228" w:lineRule="auto"/>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18.1在符合性审查和资格性审查时，如发现下列情形之一的，投标文件将被视为无效投标：</w:t>
      </w:r>
    </w:p>
    <w:p w14:paraId="5AC58299">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资格证明文件不全的，或者不符合招标文件标明的资格要求的；</w:t>
      </w:r>
    </w:p>
    <w:p w14:paraId="64D8A801">
      <w:pPr>
        <w:pStyle w:val="9"/>
        <w:keepNext w:val="0"/>
        <w:keepLines w:val="0"/>
        <w:pageBreakBefore w:val="0"/>
        <w:widowControl w:val="0"/>
        <w:shd w:val="clear"/>
        <w:kinsoku/>
        <w:wordWrap/>
        <w:overflowPunct/>
        <w:topLinePunct w:val="0"/>
        <w:autoSpaceDE w:val="0"/>
        <w:autoSpaceDN w:val="0"/>
        <w:bidi w:val="0"/>
        <w:adjustRightInd w:val="0"/>
        <w:spacing w:after="0"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18.1.2未按照招标文件规定要求盖章</w:t>
      </w:r>
    </w:p>
    <w:p w14:paraId="237CAEBC">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18.1.3投标文件项目不齐全或者内容虚假的；</w:t>
      </w:r>
    </w:p>
    <w:p w14:paraId="49927280">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18.1.4投标文件的实质性内容未使用中文表述、意思表述不明确、前后矛盾或者使用计量单位不符合招标文件要求的；</w:t>
      </w:r>
    </w:p>
    <w:p w14:paraId="50AF0F13">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18.1.5投标有效期、交货时间、质保期、售后服务承诺等条款不能满足招标文件要求的；</w:t>
      </w:r>
    </w:p>
    <w:p w14:paraId="18B696BB">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szCs w:val="24"/>
          <w:highlight w:val="none"/>
        </w:rPr>
        <w:t>商务条款存在偏离情况的；</w:t>
      </w:r>
    </w:p>
    <w:p w14:paraId="0806DF29">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不符合</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或未实质性响应招标文件要求或者投标文件有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不能接受的附加条件的。</w:t>
      </w:r>
    </w:p>
    <w:p w14:paraId="4513355F">
      <w:pPr>
        <w:pStyle w:val="7"/>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18.2在技术评审时，如发现下列情形之一的，投标文件将被视为无效：</w:t>
      </w:r>
    </w:p>
    <w:p w14:paraId="345BCA6B">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18.2.1未提供或未如实提供投标货物的技术参数，或者投标文件标明的响应或偏离与事实不符或虚假投标的；</w:t>
      </w:r>
    </w:p>
    <w:p w14:paraId="63FAD60F">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18.2.2明显不符合招标文件要求的规格型号、质量标准，或者与招标文件中标“</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”的技术指标、主要功能项目发生实质性偏离的；</w:t>
      </w:r>
    </w:p>
    <w:p w14:paraId="2B5378AB">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18.2.3允许偏离的技术、性能指标或者辅助功能项目发生负偏离达20项（含）以上的；</w:t>
      </w:r>
    </w:p>
    <w:p w14:paraId="036825D0">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18.2.4投标技术方案不明确，存在一个或一个以上备选（替代）投标方案的；</w:t>
      </w:r>
    </w:p>
    <w:p w14:paraId="08F5953F">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18.2.5</w:t>
      </w:r>
      <w:r>
        <w:rPr>
          <w:rFonts w:hint="eastAsia" w:ascii="宋体" w:hAnsi="宋体" w:eastAsia="宋体" w:cs="宋体"/>
          <w:b/>
          <w:color w:val="auto"/>
          <w:sz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2D43F857">
      <w:pPr>
        <w:pStyle w:val="7"/>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18.3在报价评审时，如发现下列情形之一的，投标文件将被视为无效：</w:t>
      </w:r>
    </w:p>
    <w:p w14:paraId="584EBD3C">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（1）未采用人民币报价或者未按照招标文件标明的币种报价的；</w:t>
      </w:r>
    </w:p>
    <w:p w14:paraId="67C40768">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（2）投标报价超过招标文件中规定的最高限价的；</w:t>
      </w:r>
    </w:p>
    <w:p w14:paraId="70EC48AB">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12E696CB">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（4）投标人不接受报价文件中修正后的报价的；</w:t>
      </w:r>
    </w:p>
    <w:p w14:paraId="6C0B274E">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（5）投标报价具有选择性。</w:t>
      </w:r>
    </w:p>
    <w:p w14:paraId="7E45EF1B">
      <w:pPr>
        <w:pStyle w:val="7"/>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18.4符合招标文件明确规定的其他无效投标条款的。</w:t>
      </w:r>
    </w:p>
    <w:p w14:paraId="5D76718F">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四、开  标</w:t>
      </w:r>
    </w:p>
    <w:p w14:paraId="7FF423A0">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color w:val="auto"/>
          <w:sz w:val="24"/>
          <w:highlight w:val="none"/>
        </w:rPr>
        <w:t>开标</w:t>
      </w:r>
    </w:p>
    <w:p w14:paraId="777A1213">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19.1采购代理机构将在前附表规定的时间、地点进行开标。无关人员不得进入开标现场。</w:t>
      </w:r>
    </w:p>
    <w:p w14:paraId="73B13F1A">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19.2本项目实行电子开评标，投标人无需前往开评标现场，只需在规定时间内在“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 xml:space="preserve">”平台上上传电子投标文件。 </w:t>
      </w:r>
    </w:p>
    <w:p w14:paraId="2BD270B3">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20.开标程序</w:t>
      </w:r>
    </w:p>
    <w:p w14:paraId="36B16175">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20.1投标截止时间后的</w:t>
      </w:r>
      <w:r>
        <w:rPr>
          <w:rFonts w:hint="eastAsia" w:ascii="宋体" w:hAnsi="宋体" w:eastAsia="宋体" w:cs="宋体"/>
          <w:b/>
          <w:color w:val="auto"/>
          <w:sz w:val="24"/>
          <w:highlight w:val="none"/>
          <w:lang w:eastAsia="zh-CN"/>
        </w:rPr>
        <w:t>30分钟</w:t>
      </w:r>
      <w:r>
        <w:rPr>
          <w:rFonts w:hint="eastAsia" w:ascii="宋体" w:hAnsi="宋体" w:eastAsia="宋体" w:cs="宋体"/>
          <w:b/>
          <w:color w:val="auto"/>
          <w:sz w:val="24"/>
          <w:highlight w:val="none"/>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277F93F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20.2评标委员会对投标人的资格和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文件进行评审；</w:t>
      </w:r>
    </w:p>
    <w:p w14:paraId="6978DB56">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20.3对有效的投标单位的投标报价在“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”平台上予以公开；</w:t>
      </w:r>
    </w:p>
    <w:p w14:paraId="54A69496">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20.4评标委员会对有效的投标单位进行投标报价评审，确定投标报价评审有效投标单位；</w:t>
      </w:r>
    </w:p>
    <w:p w14:paraId="51D6AF64">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确定预中标人。</w:t>
      </w:r>
    </w:p>
    <w:p w14:paraId="644E4DFD">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14:paraId="787A1C56">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eastAsia="zh-CN"/>
        </w:rPr>
        <w:t>乐采云</w:t>
      </w:r>
      <w:r>
        <w:rPr>
          <w:rFonts w:hint="eastAsia" w:ascii="宋体" w:hAnsi="宋体" w:eastAsia="宋体" w:cs="宋体"/>
          <w:b/>
          <w:color w:val="auto"/>
          <w:sz w:val="24"/>
          <w:highlight w:val="none"/>
        </w:rPr>
        <w:t>公司如对电子化开标及评审程序有调整的，按调整后的程序操作。</w:t>
      </w:r>
    </w:p>
    <w:p w14:paraId="665782E3">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2、如中标单位投标文件和招标文件要求不一致，且评审过程中未发现的，履约应按有利于采购人的要求执行。</w:t>
      </w:r>
    </w:p>
    <w:p w14:paraId="2E7421A9">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3、采购过程中出现以下情形，导致电子交易平台无法正常运行，或者无法保证电子交易的公平、公正和安全时，采购组织机构可中止电子交易活动：</w:t>
      </w:r>
    </w:p>
    <w:p w14:paraId="5DEFD3ED">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（一）电子交易平台发生故障而无法登录访问的； </w:t>
      </w:r>
    </w:p>
    <w:p w14:paraId="571621F1">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（二）电子交易平台应用或数据库出现错误，不能进行正常操作的；</w:t>
      </w:r>
    </w:p>
    <w:p w14:paraId="7DF61202">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（三）电子交易平台发现严重安全漏洞，有潜在泄密危险的；</w:t>
      </w:r>
    </w:p>
    <w:p w14:paraId="3257C3F6">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（四）病毒发作导致不能进行正常操作的； </w:t>
      </w:r>
    </w:p>
    <w:p w14:paraId="183E93D3">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（五）其他无法保证电子交易的公平、公正和安全的情况。</w:t>
      </w:r>
    </w:p>
    <w:p w14:paraId="5FA39634">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出现前款规定情形，不影响采购公平、公正性的，采购组织机构可以待上述情形消除后继续组织电子交易活动；影响或可能影响采购公平、公正性的，应当重新采购。</w:t>
      </w:r>
    </w:p>
    <w:p w14:paraId="2BCCAB85">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p>
    <w:p w14:paraId="1E980DD6">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组建评标委员会</w:t>
      </w:r>
    </w:p>
    <w:p w14:paraId="4E78A88A">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评标委员会按照有关规定组建。</w:t>
      </w:r>
    </w:p>
    <w:p w14:paraId="2293D13B">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22.评标原则</w:t>
      </w:r>
    </w:p>
    <w:p w14:paraId="1C8F0A77">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22.1评标委员会必须公平、公正、客观，不带任何倾向性和启发性；</w:t>
      </w:r>
    </w:p>
    <w:p w14:paraId="3A963888">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22.2不得向外界透露任何与评标有关的内容；</w:t>
      </w:r>
    </w:p>
    <w:p w14:paraId="7F2BB153">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22.3任何单位和个人不得干扰、影响评标的正常进行；</w:t>
      </w:r>
    </w:p>
    <w:p w14:paraId="4EC30BCC">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22.4评标委员会及有关工作人员不得私下与投标人接触。</w:t>
      </w:r>
    </w:p>
    <w:p w14:paraId="0D981518">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22.5评审专家因回避、临时缺席或健康原因等特殊情况不能继续参加评审工作的，应按规定更换评审专家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被更换的评审人员之前所作出的评审意见不再予以采纳，由更换后的评审人员重新进行评审。无法及时更换专家的，要立即停止评审工作、封存评审资料，并告知投标人择期重新评审的时间和地点。</w:t>
      </w:r>
    </w:p>
    <w:p w14:paraId="1FEE1D1C">
      <w:pPr>
        <w:spacing w:before="11" w:line="226" w:lineRule="auto"/>
        <w:ind w:left="7" w:right="152" w:firstLine="48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19C4C1B">
      <w:pPr>
        <w:spacing w:before="3" w:line="238" w:lineRule="auto"/>
        <w:ind w:left="12" w:right="154" w:firstLine="4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非单一产品采购项目，采购人应当根据采购项目技术构成、产品价格比重等合理确定核心产品，并在招标文件中载明。多家投标人提供的核心产品品牌相同的，按前款规定处理。</w:t>
      </w:r>
    </w:p>
    <w:p w14:paraId="06A182C6">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22.7</w:t>
      </w:r>
      <w:r>
        <w:rPr>
          <w:rFonts w:hint="eastAsia" w:ascii="宋体" w:hAnsi="宋体" w:eastAsia="宋体" w:cs="宋体"/>
          <w:color w:val="auto"/>
          <w:sz w:val="24"/>
          <w:highlight w:val="none"/>
        </w:rPr>
        <w:t>以联合体形式参加采购活动的，联合体各方不得再单独参加或者与其他供应商另外组成联合体参加同一合同项下的采购活动。</w:t>
      </w:r>
    </w:p>
    <w:p w14:paraId="2075FB0F">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22.8除单一来源采购以外，为采购项目提供整体设计、规范编制或者项目管理、监理、检测等服务的供应商，不得参加本采购项目。</w:t>
      </w:r>
    </w:p>
    <w:p w14:paraId="719F7453">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22.9单位负责人为同一人或者存在直接控股、管理关系的不同供应商，不得参加同一合同项下的采购活动。</w:t>
      </w:r>
    </w:p>
    <w:p w14:paraId="601B405D">
      <w:pPr>
        <w:pStyle w:val="13"/>
        <w:pageBreakBefore w:val="0"/>
        <w:widowControl w:val="0"/>
        <w:shd w:val="clear"/>
        <w:kinsoku/>
        <w:wordWrap/>
        <w:overflowPunct/>
        <w:topLinePunct w:val="0"/>
        <w:bidi w:val="0"/>
        <w:snapToGrid w:val="0"/>
        <w:spacing w:line="228" w:lineRule="auto"/>
        <w:ind w:left="2" w:leftChars="1"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4424E513">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14:paraId="14B1E480">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23.1形式审查</w:t>
      </w:r>
    </w:p>
    <w:p w14:paraId="73F695DF">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评标委员会对投标人的投标文件的完整性、合法性等进行审查。</w:t>
      </w:r>
    </w:p>
    <w:p w14:paraId="78347639">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23.2实质审查与比较</w:t>
      </w:r>
    </w:p>
    <w:p w14:paraId="7D1A444F">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的权利和投标人的义务方面造成重大的限制，纠正这些显著差异或保留将会对其他实质上响应招标文件要求的投标文件的投标人的竞争地位产生不公平的影响。</w:t>
      </w:r>
    </w:p>
    <w:p w14:paraId="32DC9056">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23.2.2评标委员会将根据投标人的投标文件进行审查、核对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如有疑问</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将对投标人进行询标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投标人要向评标委员会澄清有关问题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并最终以“</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”在线询标或其他有效</w:t>
      </w:r>
      <w:r>
        <w:rPr>
          <w:rFonts w:hint="eastAsia" w:ascii="宋体" w:hAnsi="宋体" w:cs="宋体"/>
          <w:color w:val="auto"/>
          <w:sz w:val="24"/>
          <w:highlight w:val="none"/>
          <w:lang w:eastAsia="zh-CN"/>
        </w:rPr>
        <w:t>形式进行</w:t>
      </w:r>
      <w:r>
        <w:rPr>
          <w:rFonts w:hint="eastAsia" w:ascii="宋体" w:hAnsi="宋体" w:eastAsia="宋体" w:cs="宋体"/>
          <w:color w:val="auto"/>
          <w:sz w:val="24"/>
          <w:highlight w:val="none"/>
        </w:rPr>
        <w:t>答复。投标人代表拒绝澄清或者澄清的内容改变了投标文件的实质性内容的，评标委员会有权对该投标文件作出不利于投标人的评判。</w:t>
      </w:r>
    </w:p>
    <w:p w14:paraId="6DA0852F">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23.2.3如果投标文件实质不响应招标文件的各项要求，评标委员会将予以拒绝，并且不允许投标人通过修改或撤销其不符合要求的差异或保留，使之成为具有响应性的投标。</w:t>
      </w:r>
    </w:p>
    <w:p w14:paraId="1218BF0D">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23.2.4评标委员会完成评标后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按评标原则推荐中标候选人同时起草评标报告。</w:t>
      </w:r>
    </w:p>
    <w:p w14:paraId="2CD7A5B7">
      <w:pPr>
        <w:pStyle w:val="17"/>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评标委员会对明显不合理的投标报价，有权要求投标人在规定时间内提交说明，投标人不能提供的或提供的材料不能说明问题的，评标委员会可以判定其投标无效。</w:t>
      </w:r>
    </w:p>
    <w:p w14:paraId="0C3E3B91">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6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76F3FDFD">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555B6BB2">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委员会应当结合同类货物或服务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19F543E8">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7DAAFAB6">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3556E15">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如投标人或采购人有下列情形之一的，应按串通投标行为认定，禁止其一至三年内进入本市采购市场，情节严重的移送有关部门依法处理。</w:t>
      </w:r>
    </w:p>
    <w:p w14:paraId="69BC1D80">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24.1不同投标人的投标文件由同一单位或人员编制； </w:t>
      </w:r>
    </w:p>
    <w:p w14:paraId="6C87AAC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24.2不同投标人委托同一单位或个人办理投标事宜；</w:t>
      </w:r>
    </w:p>
    <w:p w14:paraId="658C199D">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24.3不同投标人的投标文件载明的项目管理或联系人员为同一人；</w:t>
      </w:r>
    </w:p>
    <w:p w14:paraId="45C82C75">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24.4不同投标人的投标文件异常一致或者投标报价呈规律性差异； </w:t>
      </w:r>
    </w:p>
    <w:p w14:paraId="7A270AB3">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24.5不同投标人的投标文件遗留其他投标人不属于本投标人参加采购必需的信息资料的；</w:t>
      </w:r>
    </w:p>
    <w:p w14:paraId="4D8BFF39">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24.6不同投标人的授权代表为同一单位的工作人员的；   </w:t>
      </w:r>
    </w:p>
    <w:p w14:paraId="08EEB5BE">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24.7采购响应截止时间后，采购人协助投标人撤换或更改投标文件的；</w:t>
      </w:r>
    </w:p>
    <w:p w14:paraId="25D926CE">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24.8采购人泄露有意向参加采购的投标人名称、数量等应当保密的事项的；</w:t>
      </w:r>
    </w:p>
    <w:p w14:paraId="02CABAB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24.9不同投标人之间私下达成书面或口头协议，指定一家投标人中标或轮流中标的；</w:t>
      </w:r>
    </w:p>
    <w:p w14:paraId="59B6AE9A">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24.10属于同一集团、协会、商会等组织成员的投标人按照该组织要求协同的投标；</w:t>
      </w:r>
    </w:p>
    <w:p w14:paraId="13BD4641">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24.11投标人之间为谋取中标或者排斥特定投标人而采取的其他联合行动；</w:t>
      </w:r>
    </w:p>
    <w:p w14:paraId="238C175A">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24.12不同投标人与同一投标人联合投标的；</w:t>
      </w:r>
    </w:p>
    <w:p w14:paraId="50B6E19E">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24.13采购人（或采购代理机构）明示或者暗示投标人压低或者抬高投标报价；</w:t>
      </w:r>
    </w:p>
    <w:p w14:paraId="333F3A3E">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24.14采购人（或采购代理机构）明示或者暗示投标人为特定投标人中标提供方便；</w:t>
      </w:r>
    </w:p>
    <w:p w14:paraId="269DFD17">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24.15采购人（或采购代理机构）与投标人为谋求特定投标人中标而采取的其他串通行为；</w:t>
      </w:r>
    </w:p>
    <w:p w14:paraId="2BD4755E">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24.16</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或规章规定的其他串通行为。</w:t>
      </w:r>
    </w:p>
    <w:p w14:paraId="3612F83A">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.投标文件的澄清</w:t>
      </w:r>
    </w:p>
    <w:p w14:paraId="0123C913">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对投标文件中含义不明确、同类问题表述不一致或者有明显文字错误的内容，评标委员会可以在“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360C90A2">
      <w:pPr>
        <w:pStyle w:val="13"/>
        <w:pageBreakBefore w:val="0"/>
        <w:widowControl w:val="0"/>
        <w:shd w:val="clear"/>
        <w:kinsoku/>
        <w:wordWrap/>
        <w:overflowPunct/>
        <w:topLinePunct w:val="0"/>
        <w:bidi w:val="0"/>
        <w:snapToGrid w:val="0"/>
        <w:spacing w:line="228" w:lineRule="auto"/>
        <w:ind w:left="720" w:leftChars="228" w:hanging="24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26.错误修正</w:t>
      </w:r>
    </w:p>
    <w:p w14:paraId="09704FF4">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14:paraId="2CEF9F19">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26.1投标文件中开标一览表（报价表）内容与投标文件中相应内容不一致的，以开标一览表（报价表）为准。</w:t>
      </w:r>
    </w:p>
    <w:p w14:paraId="70144EC6">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26.2大写金额和小写金额不一致的，以大写金额为准。</w:t>
      </w:r>
    </w:p>
    <w:p w14:paraId="3BEB0C83">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26.3单价金额小数点或者百分比有明显错位的，以开标一览表的总价为准，并修改单价。</w:t>
      </w:r>
    </w:p>
    <w:p w14:paraId="7144220C">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26.4总价金额与按单价汇总金额不一致的，以单价金额计算结果为准。</w:t>
      </w:r>
    </w:p>
    <w:p w14:paraId="5C605705">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w:t>
      </w:r>
    </w:p>
    <w:p w14:paraId="55F965E1">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676B58AD">
      <w:pPr>
        <w:pStyle w:val="17"/>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.评标办法。</w:t>
      </w:r>
    </w:p>
    <w:p w14:paraId="50B5052B">
      <w:pPr>
        <w:pStyle w:val="17"/>
        <w:shd w:val="clear" w:color="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val="en-US" w:eastAsia="zh-CN"/>
        </w:rPr>
        <w:t>评分办法</w:t>
      </w:r>
      <w:r>
        <w:rPr>
          <w:rFonts w:hint="eastAsia" w:ascii="宋体" w:hAnsi="宋体" w:eastAsia="宋体" w:cs="宋体"/>
          <w:color w:val="auto"/>
          <w:sz w:val="24"/>
          <w:highlight w:val="none"/>
        </w:rPr>
        <w:t>具体详见《第三章：评</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rPr>
        <w:t>办法》。</w:t>
      </w:r>
    </w:p>
    <w:p w14:paraId="5AF675D2">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评标过程的保密</w:t>
      </w:r>
    </w:p>
    <w:p w14:paraId="0D35A858">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13512147">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4AB1BCCD">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28.3中标人确定后，采购人不对未中标人就评标过程以及未能中标原因作出任何解释。未中标人不得向评标委员会或其他有关人员</w:t>
      </w:r>
      <w:r>
        <w:rPr>
          <w:rFonts w:hint="eastAsia" w:ascii="宋体" w:hAnsi="宋体" w:cs="宋体"/>
          <w:color w:val="auto"/>
          <w:sz w:val="24"/>
          <w:highlight w:val="none"/>
          <w:lang w:eastAsia="zh-CN"/>
        </w:rPr>
        <w:t>询问</w:t>
      </w:r>
      <w:r>
        <w:rPr>
          <w:rFonts w:hint="eastAsia" w:ascii="宋体" w:hAnsi="宋体" w:eastAsia="宋体" w:cs="宋体"/>
          <w:color w:val="auto"/>
          <w:sz w:val="24"/>
          <w:highlight w:val="none"/>
        </w:rPr>
        <w:t>评标过程的情况和材料。</w:t>
      </w:r>
    </w:p>
    <w:p w14:paraId="02608F58">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、定</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p>
    <w:p w14:paraId="39178FCC">
      <w:pPr>
        <w:pStyle w:val="17"/>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.确定中标人。本项目由采购人确定中标人。</w:t>
      </w:r>
    </w:p>
    <w:p w14:paraId="08CD60BF">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w:t>
      </w:r>
      <w:r>
        <w:rPr>
          <w:rFonts w:hint="eastAsia" w:ascii="宋体" w:hAnsi="宋体" w:cs="宋体"/>
          <w:color w:val="auto"/>
          <w:sz w:val="24"/>
          <w:highlight w:val="none"/>
          <w:lang w:val="en-US" w:eastAsia="zh-CN"/>
        </w:rPr>
        <w:t>第一</w:t>
      </w:r>
      <w:r>
        <w:rPr>
          <w:rFonts w:hint="eastAsia" w:ascii="宋体" w:hAnsi="宋体" w:eastAsia="宋体" w:cs="宋体"/>
          <w:color w:val="auto"/>
          <w:sz w:val="24"/>
          <w:highlight w:val="none"/>
        </w:rPr>
        <w:t>的中标候选人为中标人。</w:t>
      </w:r>
    </w:p>
    <w:p w14:paraId="714836CA">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.2中标候选人无正当理由放弃中标成交或被取消中标资格的，除其投标保证金不予退还外，同时上报</w:t>
      </w:r>
      <w:r>
        <w:rPr>
          <w:rFonts w:hint="eastAsia" w:ascii="宋体" w:hAnsi="宋体" w:cs="宋体"/>
          <w:color w:val="auto"/>
          <w:sz w:val="24"/>
          <w:highlight w:val="none"/>
          <w:lang w:val="en-US" w:eastAsia="zh-CN"/>
        </w:rPr>
        <w:t>诸暨市建设集团招管办</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诸暨市建设集团招管办</w:t>
      </w:r>
      <w:r>
        <w:rPr>
          <w:rFonts w:hint="eastAsia" w:ascii="宋体" w:hAnsi="宋体" w:eastAsia="宋体" w:cs="宋体"/>
          <w:color w:val="auto"/>
          <w:sz w:val="24"/>
          <w:highlight w:val="none"/>
        </w:rPr>
        <w:t>将按有关</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、制度进行处理。</w:t>
      </w:r>
    </w:p>
    <w:p w14:paraId="424FEE33">
      <w:pPr>
        <w:pStyle w:val="17"/>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.中标通知</w:t>
      </w:r>
    </w:p>
    <w:p w14:paraId="19C75F5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.1采购结果经采购人确认后，采购代理机构将于2个工作日内在浙江省政府采购网上发布中标公告，由采购代理机构通过“</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”平台确认并签发《中标通知书》。《中标通知书》一经发出即发生法律效力。</w:t>
      </w:r>
    </w:p>
    <w:p w14:paraId="2795020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2EFB198D">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 中标无效情形</w:t>
      </w:r>
    </w:p>
    <w:p w14:paraId="519C363D">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中标人存在下列情形之一的，中标无效：</w:t>
      </w:r>
    </w:p>
    <w:p w14:paraId="2BA91A0E">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31.1提供虚假材料谋取中标的；</w:t>
      </w:r>
    </w:p>
    <w:p w14:paraId="055D769F">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31.2采取不正当手段诋毁、排挤其他投标人的；</w:t>
      </w:r>
    </w:p>
    <w:p w14:paraId="3884F3AA">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31.3与采购人、其他投标人恶意串通的；</w:t>
      </w:r>
    </w:p>
    <w:p w14:paraId="027C78B7">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31.4向采购人、采购代理机构行贿或者提供其他不正当利益的；</w:t>
      </w:r>
    </w:p>
    <w:p w14:paraId="38F87250">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31.5在招标过程中与采购人进行协商谈判；不按照招标文件和投标文件订立合同或者与采购人另行背离合同实质性内容的协议的；</w:t>
      </w:r>
    </w:p>
    <w:p w14:paraId="7EDCB502">
      <w:pPr>
        <w:pStyle w:val="17"/>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31.6拖延、拒签合同的；</w:t>
      </w:r>
    </w:p>
    <w:p w14:paraId="0758564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31.7存在</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规定</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损害采购人或采购单位利益或社会公共利益的情形的</w:t>
      </w:r>
      <w:r>
        <w:rPr>
          <w:rFonts w:hint="eastAsia" w:ascii="宋体" w:hAnsi="宋体" w:eastAsia="宋体" w:cs="宋体"/>
          <w:color w:val="auto"/>
          <w:sz w:val="24"/>
          <w:szCs w:val="24"/>
          <w:highlight w:val="none"/>
        </w:rPr>
        <w:t>。</w:t>
      </w:r>
    </w:p>
    <w:p w14:paraId="111C6BD6">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.重新招标</w:t>
      </w:r>
    </w:p>
    <w:p w14:paraId="00C36A57">
      <w:pPr>
        <w:pStyle w:val="18"/>
        <w:keepNext w:val="0"/>
        <w:keepLines w:val="0"/>
        <w:widowControl w:val="0"/>
        <w:suppressLineNumbers w:val="0"/>
        <w:shd w:val="clear"/>
        <w:autoSpaceDE/>
        <w:autoSpaceDN/>
        <w:adjustRightInd/>
        <w:spacing w:before="0" w:beforeAutospacing="0" w:after="0" w:afterAutospacing="0"/>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投标截止时间及评审期间，出现有效供应商不足3家的，重新组织采购活动。</w:t>
      </w:r>
    </w:p>
    <w:p w14:paraId="1D9C2F8B">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、授予合同</w:t>
      </w:r>
    </w:p>
    <w:p w14:paraId="1B17B28E">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.签订合同</w:t>
      </w:r>
    </w:p>
    <w:p w14:paraId="43881A5A">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33.1采购人与中标人应当在《中标通知书》发出之日起30日内签订采购合同。</w:t>
      </w:r>
    </w:p>
    <w:p w14:paraId="44AF277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33.2招标文件、中标人的投标文件和评标过程中投标人的询标时作出的承诺及其澄清文件等作为合同签订的依据和主要附件。</w:t>
      </w:r>
    </w:p>
    <w:p w14:paraId="18306B85">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33.3采购人对合同内容负责。</w:t>
      </w:r>
    </w:p>
    <w:p w14:paraId="10458C0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33.4合同一式八份，采购人和中标人各执三份，代理公司、采购人招标中心各存档一份。</w:t>
      </w:r>
    </w:p>
    <w:p w14:paraId="22815B0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33.5中标人和采购单位不得擅自变更、中止或者终止合同，不得另外订立背离合同实质性内容</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协议。</w:t>
      </w:r>
    </w:p>
    <w:p w14:paraId="2AB1C433">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.履约保证金</w:t>
      </w:r>
    </w:p>
    <w:p w14:paraId="582BC60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34.1中标人在</w:t>
      </w:r>
      <w:r>
        <w:rPr>
          <w:rFonts w:hint="eastAsia" w:ascii="宋体" w:hAnsi="宋体" w:eastAsia="宋体" w:cs="宋体"/>
          <w:color w:val="auto"/>
          <w:sz w:val="24"/>
          <w:highlight w:val="none"/>
          <w:lang w:val="en-US" w:eastAsia="zh-CN"/>
        </w:rPr>
        <w:t>项目实施</w:t>
      </w:r>
      <w:r>
        <w:rPr>
          <w:rFonts w:hint="eastAsia" w:ascii="宋体" w:hAnsi="宋体" w:eastAsia="宋体" w:cs="宋体"/>
          <w:color w:val="auto"/>
          <w:sz w:val="24"/>
          <w:highlight w:val="none"/>
        </w:rPr>
        <w:t>前，应按招标文件要求向采购人提交履约保证金，履约保证金作为中标人在履行合同</w:t>
      </w:r>
      <w:r>
        <w:rPr>
          <w:rFonts w:hint="eastAsia" w:ascii="宋体" w:hAnsi="宋体" w:cs="宋体"/>
          <w:color w:val="auto"/>
          <w:sz w:val="24"/>
          <w:highlight w:val="none"/>
          <w:lang w:eastAsia="zh-CN"/>
        </w:rPr>
        <w:t>和</w:t>
      </w:r>
      <w:r>
        <w:rPr>
          <w:rFonts w:hint="eastAsia" w:ascii="宋体" w:hAnsi="宋体" w:eastAsia="宋体" w:cs="宋体"/>
          <w:color w:val="auto"/>
          <w:sz w:val="24"/>
          <w:highlight w:val="none"/>
        </w:rPr>
        <w:t>服务承诺的保证。</w:t>
      </w:r>
    </w:p>
    <w:p w14:paraId="03D31D07">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34.2中标人应当以支票、汇票、本票等非现金形式提交。中标人在履行完合同约定事项后，采购人应及时退还履约保证金。履约保证金不计息。</w:t>
      </w:r>
    </w:p>
    <w:p w14:paraId="4E748A71">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34.3签订合同后，如中标人不按双方合同约定履约，则没收其全部履约保证金，履约保证金不足以赔偿损失的，按实际损失赔偿。</w:t>
      </w:r>
    </w:p>
    <w:p w14:paraId="7600C914">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.合同备案</w:t>
      </w:r>
    </w:p>
    <w:p w14:paraId="246F957C">
      <w:pPr>
        <w:pageBreakBefore w:val="0"/>
        <w:widowControl w:val="0"/>
        <w:shd w:val="clear"/>
        <w:kinsoku/>
        <w:wordWrap/>
        <w:overflowPunct/>
        <w:topLinePunct w:val="0"/>
        <w:bidi w:val="0"/>
        <w:spacing w:line="228"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采购人应当自采购合同签订之日起七个工作日内，</w:t>
      </w:r>
      <w:r>
        <w:rPr>
          <w:rFonts w:hint="eastAsia" w:ascii="宋体" w:hAnsi="宋体" w:cs="宋体"/>
          <w:color w:val="auto"/>
          <w:sz w:val="24"/>
          <w:highlight w:val="none"/>
          <w:lang w:val="en-US" w:eastAsia="zh-CN"/>
        </w:rPr>
        <w:t>对采购</w:t>
      </w:r>
      <w:r>
        <w:rPr>
          <w:rFonts w:hint="eastAsia" w:ascii="宋体" w:hAnsi="宋体" w:eastAsia="宋体" w:cs="宋体"/>
          <w:color w:val="auto"/>
          <w:sz w:val="24"/>
          <w:highlight w:val="none"/>
        </w:rPr>
        <w:t>合同进行备案。</w:t>
      </w:r>
    </w:p>
    <w:p w14:paraId="5439BCA9">
      <w:pPr>
        <w:pStyle w:val="13"/>
        <w:pageBreakBefore w:val="0"/>
        <w:widowControl w:val="0"/>
        <w:shd w:val="clear"/>
        <w:tabs>
          <w:tab w:val="left" w:pos="900"/>
        </w:tabs>
        <w:kinsoku/>
        <w:wordWrap/>
        <w:overflowPunct/>
        <w:topLinePunct w:val="0"/>
        <w:bidi w:val="0"/>
        <w:spacing w:line="228"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八、质疑和投诉</w:t>
      </w:r>
    </w:p>
    <w:p w14:paraId="4E0B1ED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.1开标过程中，投标人对开标有异议的，应当在“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”平台上及时提出，评审委员应对异常情况制作相关记录。</w:t>
      </w:r>
    </w:p>
    <w:p w14:paraId="072226B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59B168E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.3质疑投诉的相关规定</w:t>
      </w:r>
    </w:p>
    <w:p w14:paraId="2970974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（一）质疑投诉递交的资料需为书面材料。质疑投诉书面材料需法人代表人（或负责人）或授权代表签字并加盖公章。</w:t>
      </w:r>
    </w:p>
    <w:p w14:paraId="72EA090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（二）质疑投诉属于以下情况之一的，将不予受理：</w:t>
      </w:r>
    </w:p>
    <w:p w14:paraId="6E88832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质疑投诉人不是所投诉项目的参与者，或者与质疑投诉项目无任何利害关系。</w:t>
      </w:r>
    </w:p>
    <w:p w14:paraId="1E58BAC4">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质疑投诉事项不具体，且未提供有效线索，难以查证。</w:t>
      </w:r>
    </w:p>
    <w:p w14:paraId="24C531AF">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未提供书面质疑或者质疑未加盖公章的；投诉人为法人或者其他组织，其投诉书未经法定代表人或者主要负责人签字并加盖公章的。</w:t>
      </w:r>
    </w:p>
    <w:p w14:paraId="476039B6">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已超过招标文件规定质疑投诉提出期限的事项。</w:t>
      </w:r>
    </w:p>
    <w:p w14:paraId="368D52B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投诉事项已作出处理决定，并且投诉人没有提出新的证据</w:t>
      </w:r>
    </w:p>
    <w:p w14:paraId="0AA8330B">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质疑投诉的事项已经进入行政复议或者行政诉讼程序的；投诉事项应先提出质疑而没有提出质疑的。</w:t>
      </w:r>
    </w:p>
    <w:p w14:paraId="4A0E9EE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不符合</w:t>
      </w:r>
      <w:r>
        <w:rPr>
          <w:rFonts w:hint="eastAsia" w:ascii="宋体" w:hAnsi="宋体" w:eastAsia="宋体" w:cs="宋体"/>
          <w:color w:val="auto"/>
          <w:sz w:val="24"/>
          <w:highlight w:val="none"/>
          <w:lang w:val="en-US" w:eastAsia="zh-CN"/>
        </w:rPr>
        <w:t>有关法律法规</w:t>
      </w:r>
      <w:r>
        <w:rPr>
          <w:rFonts w:hint="eastAsia" w:ascii="宋体" w:hAnsi="宋体" w:eastAsia="宋体" w:cs="宋体"/>
          <w:color w:val="auto"/>
          <w:sz w:val="24"/>
          <w:highlight w:val="none"/>
        </w:rPr>
        <w:t>规定的投诉。</w:t>
      </w:r>
    </w:p>
    <w:p w14:paraId="60777725">
      <w:pPr>
        <w:pStyle w:val="3"/>
        <w:pageBreakBefore w:val="0"/>
        <w:widowControl w:val="0"/>
        <w:shd w:val="clear"/>
        <w:kinsoku/>
        <w:wordWrap/>
        <w:overflowPunct/>
        <w:topLinePunct w:val="0"/>
        <w:bidi w:val="0"/>
        <w:spacing w:before="0" w:after="0" w:line="228" w:lineRule="auto"/>
        <w:ind w:firstLine="562"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九、不良行为记录</w:t>
      </w:r>
    </w:p>
    <w:p w14:paraId="09C8B06F">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投标人在采购活动中出现下列违规行为的将记入诸暨市建设集团有限公司采购不良行为记录，并在记录时限内暂停其诸暨市建设集团有限公司</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采购交易资格。</w:t>
      </w:r>
      <w:r>
        <w:rPr>
          <w:rFonts w:hint="eastAsia" w:ascii="宋体" w:hAnsi="宋体" w:cs="宋体"/>
          <w:color w:val="auto"/>
          <w:sz w:val="24"/>
          <w:highlight w:val="none"/>
          <w:lang w:val="en-US" w:eastAsia="zh-CN"/>
        </w:rPr>
        <w:t>且</w:t>
      </w:r>
      <w:r>
        <w:rPr>
          <w:rFonts w:hint="eastAsia" w:ascii="宋体" w:hAnsi="宋体" w:eastAsia="宋体" w:cs="宋体"/>
          <w:color w:val="auto"/>
          <w:sz w:val="24"/>
          <w:highlight w:val="none"/>
        </w:rPr>
        <w:t>采购人</w:t>
      </w:r>
      <w:r>
        <w:rPr>
          <w:rFonts w:hint="eastAsia" w:ascii="宋体" w:hAnsi="宋体" w:cs="宋体"/>
          <w:color w:val="auto"/>
          <w:sz w:val="24"/>
          <w:highlight w:val="none"/>
          <w:lang w:val="en-US" w:eastAsia="zh-CN"/>
        </w:rPr>
        <w:t>有权</w:t>
      </w:r>
      <w:r>
        <w:rPr>
          <w:rFonts w:hint="eastAsia" w:ascii="宋体" w:hAnsi="宋体" w:eastAsia="宋体" w:cs="宋体"/>
          <w:color w:val="auto"/>
          <w:sz w:val="24"/>
          <w:highlight w:val="none"/>
        </w:rPr>
        <w:t>依据《诸暨市建设集团有限公司“黑名单”管理办法》（诸建发〔2024〕15号）等文件对</w:t>
      </w:r>
      <w:r>
        <w:rPr>
          <w:rFonts w:hint="eastAsia" w:ascii="宋体" w:hAnsi="宋体" w:cs="宋体"/>
          <w:color w:val="auto"/>
          <w:sz w:val="24"/>
          <w:highlight w:val="none"/>
          <w:lang w:val="en-US" w:eastAsia="zh-CN"/>
        </w:rPr>
        <w:t>投标人进行约束和管理</w:t>
      </w:r>
      <w:r>
        <w:rPr>
          <w:rFonts w:hint="eastAsia" w:ascii="宋体" w:hAnsi="宋体" w:eastAsia="宋体" w:cs="宋体"/>
          <w:color w:val="auto"/>
          <w:sz w:val="24"/>
          <w:highlight w:val="none"/>
        </w:rPr>
        <w:t>。</w:t>
      </w:r>
    </w:p>
    <w:tbl>
      <w:tblPr>
        <w:tblStyle w:val="20"/>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7257"/>
        <w:gridCol w:w="1257"/>
      </w:tblGrid>
      <w:tr w14:paraId="18D2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04" w:type="dxa"/>
            <w:noWrap w:val="0"/>
            <w:vAlign w:val="center"/>
          </w:tcPr>
          <w:p w14:paraId="0C8B2768">
            <w:pPr>
              <w:shd w:val="clear" w:color="auto" w:fill="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257" w:type="dxa"/>
            <w:noWrap w:val="0"/>
            <w:vAlign w:val="center"/>
          </w:tcPr>
          <w:p w14:paraId="062EB291">
            <w:pPr>
              <w:shd w:val="clear" w:color="auto" w:fill="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不良行为</w:t>
            </w:r>
          </w:p>
        </w:tc>
        <w:tc>
          <w:tcPr>
            <w:tcW w:w="1257" w:type="dxa"/>
            <w:noWrap w:val="0"/>
            <w:vAlign w:val="center"/>
          </w:tcPr>
          <w:p w14:paraId="74F03872">
            <w:pPr>
              <w:shd w:val="clear" w:color="auto" w:fill="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记录时限</w:t>
            </w:r>
          </w:p>
        </w:tc>
      </w:tr>
      <w:tr w14:paraId="1BA4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6586994A">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257" w:type="dxa"/>
            <w:noWrap w:val="0"/>
            <w:vAlign w:val="center"/>
          </w:tcPr>
          <w:p w14:paraId="49BAC1C1">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在招标采购过程中，与采购人进行协商谈判的</w:t>
            </w:r>
          </w:p>
        </w:tc>
        <w:tc>
          <w:tcPr>
            <w:tcW w:w="1257" w:type="dxa"/>
            <w:noWrap w:val="0"/>
            <w:vAlign w:val="center"/>
          </w:tcPr>
          <w:p w14:paraId="4A4B75AF">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6个月</w:t>
            </w:r>
          </w:p>
        </w:tc>
      </w:tr>
      <w:tr w14:paraId="7627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19F94CE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257" w:type="dxa"/>
            <w:noWrap w:val="0"/>
            <w:vAlign w:val="center"/>
          </w:tcPr>
          <w:p w14:paraId="0A779C25">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投标有效期内撤回其投标文件的</w:t>
            </w:r>
          </w:p>
        </w:tc>
        <w:tc>
          <w:tcPr>
            <w:tcW w:w="1257" w:type="dxa"/>
            <w:noWrap w:val="0"/>
            <w:vAlign w:val="center"/>
          </w:tcPr>
          <w:p w14:paraId="3C329C47">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6个月</w:t>
            </w:r>
          </w:p>
        </w:tc>
      </w:tr>
      <w:tr w14:paraId="1351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4491FDF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257" w:type="dxa"/>
            <w:noWrap w:val="0"/>
            <w:vAlign w:val="center"/>
          </w:tcPr>
          <w:p w14:paraId="0C6C12BD">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拒绝有关部门监督检查的</w:t>
            </w:r>
          </w:p>
        </w:tc>
        <w:tc>
          <w:tcPr>
            <w:tcW w:w="1257" w:type="dxa"/>
            <w:noWrap w:val="0"/>
            <w:vAlign w:val="center"/>
          </w:tcPr>
          <w:p w14:paraId="17F6E8F9">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6个月</w:t>
            </w:r>
          </w:p>
        </w:tc>
      </w:tr>
      <w:tr w14:paraId="146A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60D5AA6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7257" w:type="dxa"/>
            <w:noWrap w:val="0"/>
            <w:vAlign w:val="center"/>
          </w:tcPr>
          <w:p w14:paraId="225A668B">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不积极配合采购人做好标的验收工作的</w:t>
            </w:r>
          </w:p>
        </w:tc>
        <w:tc>
          <w:tcPr>
            <w:tcW w:w="1257" w:type="dxa"/>
            <w:noWrap w:val="0"/>
            <w:vAlign w:val="center"/>
          </w:tcPr>
          <w:p w14:paraId="0F08C7F1">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6个月</w:t>
            </w:r>
          </w:p>
        </w:tc>
      </w:tr>
      <w:tr w14:paraId="1605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560D5E3F">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7257" w:type="dxa"/>
            <w:noWrap w:val="0"/>
            <w:vAlign w:val="center"/>
          </w:tcPr>
          <w:p w14:paraId="67893FFA">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在有关部门的监督检查或考核中被通报批评或处以警告及以上处罚的</w:t>
            </w:r>
          </w:p>
        </w:tc>
        <w:tc>
          <w:tcPr>
            <w:tcW w:w="1257" w:type="dxa"/>
            <w:noWrap w:val="0"/>
            <w:vAlign w:val="center"/>
          </w:tcPr>
          <w:p w14:paraId="01DE5AB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6个月</w:t>
            </w:r>
          </w:p>
        </w:tc>
      </w:tr>
      <w:tr w14:paraId="1F17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5647E7C1">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7257" w:type="dxa"/>
            <w:noWrap w:val="0"/>
            <w:vAlign w:val="center"/>
          </w:tcPr>
          <w:p w14:paraId="2F271EC4">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不遵守投标会场纪律，无理取闹，扰乱交易秩序的</w:t>
            </w:r>
          </w:p>
        </w:tc>
        <w:tc>
          <w:tcPr>
            <w:tcW w:w="1257" w:type="dxa"/>
            <w:noWrap w:val="0"/>
            <w:vAlign w:val="center"/>
          </w:tcPr>
          <w:p w14:paraId="622BA1B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1年</w:t>
            </w:r>
          </w:p>
        </w:tc>
      </w:tr>
      <w:tr w14:paraId="23C1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228D77C2">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7257" w:type="dxa"/>
            <w:noWrap w:val="0"/>
            <w:vAlign w:val="center"/>
          </w:tcPr>
          <w:p w14:paraId="4B2DB303">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中标后无正当理由放弃中标，或在规定时间内不与采购人签订采购合同，或在签订合同时提出附加条件或更改合同实质性内容，或拒不提交所要求的履约保证金的</w:t>
            </w:r>
          </w:p>
        </w:tc>
        <w:tc>
          <w:tcPr>
            <w:tcW w:w="1257" w:type="dxa"/>
            <w:noWrap w:val="0"/>
            <w:vAlign w:val="center"/>
          </w:tcPr>
          <w:p w14:paraId="14AAFEBC">
            <w:pPr>
              <w:shd w:val="clear" w:color="auto" w:fill="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w:t>
            </w:r>
          </w:p>
        </w:tc>
      </w:tr>
      <w:tr w14:paraId="7DD2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3D8039F6">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7257" w:type="dxa"/>
            <w:noWrap w:val="0"/>
            <w:vAlign w:val="center"/>
          </w:tcPr>
          <w:p w14:paraId="3036F835">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虚假投诉、恶意投诉和不按程序、规定时间进行质疑投诉而影响采购工作正常进行或造成不良影响的</w:t>
            </w:r>
          </w:p>
        </w:tc>
        <w:tc>
          <w:tcPr>
            <w:tcW w:w="1257" w:type="dxa"/>
            <w:noWrap w:val="0"/>
            <w:vAlign w:val="center"/>
          </w:tcPr>
          <w:p w14:paraId="67A20C50">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1年</w:t>
            </w:r>
          </w:p>
        </w:tc>
      </w:tr>
      <w:tr w14:paraId="5D4A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1D7F2060">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7257" w:type="dxa"/>
            <w:noWrap w:val="0"/>
            <w:vAlign w:val="center"/>
          </w:tcPr>
          <w:p w14:paraId="2291A959">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不按照与采购人订立的合同履行义务（包括提供标的、售后服务、技术支持等），严重违反合同规定和廉政合同要求的</w:t>
            </w:r>
          </w:p>
        </w:tc>
        <w:tc>
          <w:tcPr>
            <w:tcW w:w="1257" w:type="dxa"/>
            <w:noWrap w:val="0"/>
            <w:vAlign w:val="center"/>
          </w:tcPr>
          <w:p w14:paraId="46925F76">
            <w:pPr>
              <w:shd w:val="clear" w:color="auto" w:fill="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w:t>
            </w:r>
          </w:p>
        </w:tc>
      </w:tr>
      <w:tr w14:paraId="46FC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41E98965">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7257" w:type="dxa"/>
            <w:noWrap w:val="0"/>
            <w:vAlign w:val="center"/>
          </w:tcPr>
          <w:p w14:paraId="7665E3B4">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项目负责人不到位，或擅自变换项目负责人，或不认真履行职责造成采购人损失的</w:t>
            </w:r>
          </w:p>
        </w:tc>
        <w:tc>
          <w:tcPr>
            <w:tcW w:w="1257" w:type="dxa"/>
            <w:noWrap w:val="0"/>
            <w:vAlign w:val="center"/>
          </w:tcPr>
          <w:p w14:paraId="398EADC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1年</w:t>
            </w:r>
          </w:p>
        </w:tc>
      </w:tr>
      <w:tr w14:paraId="4043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335458D4">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7257" w:type="dxa"/>
            <w:noWrap w:val="0"/>
            <w:vAlign w:val="center"/>
          </w:tcPr>
          <w:p w14:paraId="0FC0CEBD">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发生经营状况重大变化以及重要担保、重大合同纠纷或诉讼、信用等级和资质变化等可能影响履约能力的重大事项，未及时向市公共资源交易中心提供书面报告，因而造成采购人损失的</w:t>
            </w:r>
          </w:p>
        </w:tc>
        <w:tc>
          <w:tcPr>
            <w:tcW w:w="1257" w:type="dxa"/>
            <w:noWrap w:val="0"/>
            <w:vAlign w:val="center"/>
          </w:tcPr>
          <w:p w14:paraId="0EB64314">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1年</w:t>
            </w:r>
          </w:p>
        </w:tc>
      </w:tr>
      <w:tr w14:paraId="22CB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09D17272">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7257" w:type="dxa"/>
            <w:noWrap w:val="0"/>
            <w:vAlign w:val="center"/>
          </w:tcPr>
          <w:p w14:paraId="576418C6">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与采购人、其他供应商或者采购代理机构相互串通的</w:t>
            </w:r>
          </w:p>
        </w:tc>
        <w:tc>
          <w:tcPr>
            <w:tcW w:w="1257" w:type="dxa"/>
            <w:noWrap w:val="0"/>
            <w:vAlign w:val="center"/>
          </w:tcPr>
          <w:p w14:paraId="40BB8CE7">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2年</w:t>
            </w:r>
          </w:p>
        </w:tc>
      </w:tr>
      <w:tr w14:paraId="591C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0A8F944A">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7257" w:type="dxa"/>
            <w:noWrap w:val="0"/>
            <w:vAlign w:val="center"/>
          </w:tcPr>
          <w:p w14:paraId="56E959CA">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采取不正当手段排挤其他供应商，进行不公平竞争的</w:t>
            </w:r>
          </w:p>
        </w:tc>
        <w:tc>
          <w:tcPr>
            <w:tcW w:w="1257" w:type="dxa"/>
            <w:noWrap w:val="0"/>
            <w:vAlign w:val="center"/>
          </w:tcPr>
          <w:p w14:paraId="7382B07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2年</w:t>
            </w:r>
          </w:p>
        </w:tc>
      </w:tr>
      <w:tr w14:paraId="69C1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1FC36E64">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7257" w:type="dxa"/>
            <w:noWrap w:val="0"/>
            <w:vAlign w:val="center"/>
          </w:tcPr>
          <w:p w14:paraId="64E358E4">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中标后与采购人另行订立背离合同实质内容的协议的</w:t>
            </w:r>
          </w:p>
        </w:tc>
        <w:tc>
          <w:tcPr>
            <w:tcW w:w="1257" w:type="dxa"/>
            <w:noWrap w:val="0"/>
            <w:vAlign w:val="center"/>
          </w:tcPr>
          <w:p w14:paraId="2FE65399">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2年</w:t>
            </w:r>
          </w:p>
        </w:tc>
      </w:tr>
      <w:tr w14:paraId="352B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780599AE">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7257" w:type="dxa"/>
            <w:noWrap w:val="0"/>
            <w:vAlign w:val="center"/>
          </w:tcPr>
          <w:p w14:paraId="2FAA33F7">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事先有承诺，而事后违反承诺内容的</w:t>
            </w:r>
          </w:p>
        </w:tc>
        <w:tc>
          <w:tcPr>
            <w:tcW w:w="1257" w:type="dxa"/>
            <w:noWrap w:val="0"/>
            <w:vAlign w:val="center"/>
          </w:tcPr>
          <w:p w14:paraId="41C88D31">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2年</w:t>
            </w:r>
          </w:p>
        </w:tc>
      </w:tr>
      <w:tr w14:paraId="335E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61BAB731">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7257" w:type="dxa"/>
            <w:noWrap w:val="0"/>
            <w:vAlign w:val="center"/>
          </w:tcPr>
          <w:p w14:paraId="18CA300F">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将中标项目转包或违反规定进行分包的</w:t>
            </w:r>
          </w:p>
        </w:tc>
        <w:tc>
          <w:tcPr>
            <w:tcW w:w="1257" w:type="dxa"/>
            <w:noWrap w:val="0"/>
            <w:vAlign w:val="center"/>
          </w:tcPr>
          <w:p w14:paraId="485E3CD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2年</w:t>
            </w:r>
          </w:p>
        </w:tc>
      </w:tr>
      <w:tr w14:paraId="2975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0F2010EF">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7257" w:type="dxa"/>
            <w:noWrap w:val="0"/>
            <w:vAlign w:val="center"/>
          </w:tcPr>
          <w:p w14:paraId="7F88A2AB">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提供虚假资料参加投标的</w:t>
            </w:r>
          </w:p>
        </w:tc>
        <w:tc>
          <w:tcPr>
            <w:tcW w:w="1257" w:type="dxa"/>
            <w:noWrap w:val="0"/>
            <w:vAlign w:val="center"/>
          </w:tcPr>
          <w:p w14:paraId="4F19765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14:paraId="4444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365E80F4">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7257" w:type="dxa"/>
            <w:noWrap w:val="0"/>
            <w:vAlign w:val="center"/>
          </w:tcPr>
          <w:p w14:paraId="2F5C9C88">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以他人名义投标或允许他人以自己名义投标，或者以其他方式弄虚作假的</w:t>
            </w:r>
          </w:p>
        </w:tc>
        <w:tc>
          <w:tcPr>
            <w:tcW w:w="1257" w:type="dxa"/>
            <w:noWrap w:val="0"/>
            <w:vAlign w:val="center"/>
          </w:tcPr>
          <w:p w14:paraId="3B3E4B4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14:paraId="00D0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04" w:type="dxa"/>
            <w:noWrap w:val="0"/>
            <w:vAlign w:val="center"/>
          </w:tcPr>
          <w:p w14:paraId="156E9828">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7257" w:type="dxa"/>
            <w:noWrap w:val="0"/>
            <w:vAlign w:val="center"/>
          </w:tcPr>
          <w:p w14:paraId="2839F0FC">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未按照采购合同约定及时提供全部货物的，或无故拖延工期的</w:t>
            </w:r>
          </w:p>
        </w:tc>
        <w:tc>
          <w:tcPr>
            <w:tcW w:w="1257" w:type="dxa"/>
            <w:noWrap w:val="0"/>
            <w:vAlign w:val="center"/>
          </w:tcPr>
          <w:p w14:paraId="13D79757">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14:paraId="7BC6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4" w:type="dxa"/>
            <w:noWrap w:val="0"/>
            <w:vAlign w:val="center"/>
          </w:tcPr>
          <w:p w14:paraId="45BAF05E">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7257" w:type="dxa"/>
            <w:noWrap w:val="0"/>
            <w:vAlign w:val="center"/>
          </w:tcPr>
          <w:p w14:paraId="33299AF5">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无故不提供中标要求的型号、配置等产品的，或有拆换、调换、截留产品零部件和备品备件的行为的</w:t>
            </w:r>
          </w:p>
        </w:tc>
        <w:tc>
          <w:tcPr>
            <w:tcW w:w="1257" w:type="dxa"/>
            <w:noWrap w:val="0"/>
            <w:vAlign w:val="center"/>
          </w:tcPr>
          <w:p w14:paraId="3FE29EB1">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14:paraId="7D62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208F271E">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7257" w:type="dxa"/>
            <w:noWrap w:val="0"/>
            <w:vAlign w:val="center"/>
          </w:tcPr>
          <w:p w14:paraId="2ADA7009">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为获取自身利益，向采购人及其他有利害关系的单位或个人提供不正当利益的</w:t>
            </w:r>
          </w:p>
        </w:tc>
        <w:tc>
          <w:tcPr>
            <w:tcW w:w="1257" w:type="dxa"/>
            <w:noWrap w:val="0"/>
            <w:vAlign w:val="center"/>
          </w:tcPr>
          <w:p w14:paraId="0F1619E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14:paraId="4E57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4F637AC0">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7257" w:type="dxa"/>
            <w:noWrap w:val="0"/>
            <w:vAlign w:val="center"/>
          </w:tcPr>
          <w:p w14:paraId="61161358">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提供假冒伪劣产品或走私物品的</w:t>
            </w:r>
          </w:p>
        </w:tc>
        <w:tc>
          <w:tcPr>
            <w:tcW w:w="1257" w:type="dxa"/>
            <w:noWrap w:val="0"/>
            <w:vAlign w:val="center"/>
          </w:tcPr>
          <w:p w14:paraId="3E441E47">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5年</w:t>
            </w:r>
          </w:p>
        </w:tc>
      </w:tr>
      <w:tr w14:paraId="26BE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78B70378">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7257" w:type="dxa"/>
            <w:noWrap w:val="0"/>
            <w:vAlign w:val="center"/>
          </w:tcPr>
          <w:p w14:paraId="28E44708">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擅自变更、中止、终止或解除采购合同的</w:t>
            </w:r>
          </w:p>
        </w:tc>
        <w:tc>
          <w:tcPr>
            <w:tcW w:w="1257" w:type="dxa"/>
            <w:noWrap w:val="0"/>
            <w:vAlign w:val="center"/>
          </w:tcPr>
          <w:p w14:paraId="5374B699">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5年</w:t>
            </w:r>
          </w:p>
        </w:tc>
      </w:tr>
      <w:tr w14:paraId="2BA8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73AC6381">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7257" w:type="dxa"/>
            <w:noWrap w:val="0"/>
            <w:vAlign w:val="center"/>
          </w:tcPr>
          <w:p w14:paraId="7FCF3FC0">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向有关人员行贿或者提供不正当利益谋取中标的</w:t>
            </w:r>
          </w:p>
        </w:tc>
        <w:tc>
          <w:tcPr>
            <w:tcW w:w="1257" w:type="dxa"/>
            <w:noWrap w:val="0"/>
            <w:vAlign w:val="center"/>
          </w:tcPr>
          <w:p w14:paraId="17F6BAA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5年</w:t>
            </w:r>
          </w:p>
        </w:tc>
      </w:tr>
      <w:tr w14:paraId="5E9A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56C18D38">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7257" w:type="dxa"/>
            <w:noWrap w:val="0"/>
            <w:vAlign w:val="center"/>
          </w:tcPr>
          <w:p w14:paraId="7E2311F4">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在采购活动期间，对管理机构、采购人、其他投标人、评标专家、中介机构等采购相关机构和人员，采取诋毁、诽谤、胁迫、暴力等不正当手段的</w:t>
            </w:r>
          </w:p>
        </w:tc>
        <w:tc>
          <w:tcPr>
            <w:tcW w:w="1257" w:type="dxa"/>
            <w:noWrap w:val="0"/>
            <w:vAlign w:val="center"/>
          </w:tcPr>
          <w:p w14:paraId="2275238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5年</w:t>
            </w:r>
          </w:p>
        </w:tc>
      </w:tr>
      <w:tr w14:paraId="7278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4" w:type="dxa"/>
            <w:noWrap w:val="0"/>
            <w:vAlign w:val="center"/>
          </w:tcPr>
          <w:p w14:paraId="3D5CAC56">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7257" w:type="dxa"/>
            <w:noWrap w:val="0"/>
            <w:vAlign w:val="center"/>
          </w:tcPr>
          <w:p w14:paraId="3D49AB1C">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采购单位认定的其他违反采购管理的行为</w:t>
            </w:r>
          </w:p>
        </w:tc>
        <w:tc>
          <w:tcPr>
            <w:tcW w:w="1257" w:type="dxa"/>
            <w:noWrap w:val="0"/>
            <w:vAlign w:val="center"/>
          </w:tcPr>
          <w:p w14:paraId="4963F3A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酌情处理</w:t>
            </w:r>
          </w:p>
        </w:tc>
      </w:tr>
    </w:tbl>
    <w:p w14:paraId="5B09B3C4">
      <w:pPr>
        <w:pStyle w:val="3"/>
        <w:shd w:val="clear" w:color="auto" w:fill="auto"/>
        <w:spacing w:before="0" w:after="0"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注：上述条款具体以诸建发〔2024〕15号文件为准。</w:t>
      </w:r>
    </w:p>
    <w:p w14:paraId="1E394273">
      <w:pPr>
        <w:pStyle w:val="3"/>
        <w:shd w:val="clear" w:color="auto" w:fill="auto"/>
        <w:spacing w:before="0"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十、解释</w:t>
      </w:r>
    </w:p>
    <w:p w14:paraId="4D8C7827">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37.本次招标活动接受采购人招投标监管部门监督。</w:t>
      </w:r>
    </w:p>
    <w:p w14:paraId="25E50216">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38.本</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的解释权属于采购人和</w:t>
      </w:r>
      <w:r>
        <w:rPr>
          <w:rFonts w:hint="eastAsia" w:ascii="宋体" w:hAnsi="宋体" w:cs="宋体"/>
          <w:color w:val="auto"/>
          <w:sz w:val="24"/>
          <w:szCs w:val="24"/>
          <w:highlight w:val="none"/>
          <w:lang w:eastAsia="zh-CN"/>
        </w:rPr>
        <w:t>杭州市建设工程管理集团有限公司</w:t>
      </w:r>
      <w:r>
        <w:rPr>
          <w:rFonts w:hint="eastAsia" w:ascii="宋体" w:hAnsi="宋体" w:eastAsia="宋体" w:cs="宋体"/>
          <w:color w:val="auto"/>
          <w:sz w:val="24"/>
          <w:highlight w:val="none"/>
        </w:rPr>
        <w:t>。</w:t>
      </w:r>
    </w:p>
    <w:p w14:paraId="50111B12">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481BB21">
      <w:pPr>
        <w:pageBreakBefore w:val="0"/>
        <w:kinsoku/>
        <w:wordWrap/>
        <w:overflowPunct/>
        <w:topLinePunct w:val="0"/>
        <w:bidi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36"/>
          <w:szCs w:val="36"/>
          <w:highlight w:val="none"/>
          <w:lang w:val="en-US" w:eastAsia="zh-CN"/>
        </w:rPr>
        <w:t>第三章 评分办法</w:t>
      </w:r>
    </w:p>
    <w:p w14:paraId="117FEA6C">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1、采用</w:t>
      </w:r>
      <w:r>
        <w:rPr>
          <w:rFonts w:hint="eastAsia" w:ascii="宋体" w:hAnsi="宋体" w:eastAsia="宋体" w:cs="宋体"/>
          <w:bCs/>
          <w:color w:val="auto"/>
          <w:sz w:val="24"/>
          <w:szCs w:val="24"/>
          <w:highlight w:val="none"/>
          <w:u w:val="single"/>
          <w:lang w:val="en-US" w:eastAsia="zh-CN"/>
        </w:rPr>
        <w:t xml:space="preserve"> 综合评分法 </w:t>
      </w:r>
      <w:r>
        <w:rPr>
          <w:rFonts w:hint="eastAsia" w:ascii="宋体" w:hAnsi="宋体" w:eastAsia="宋体" w:cs="宋体"/>
          <w:bCs/>
          <w:color w:val="auto"/>
          <w:sz w:val="24"/>
          <w:szCs w:val="24"/>
          <w:highlight w:val="none"/>
          <w:lang w:val="en-US" w:eastAsia="zh-CN"/>
        </w:rPr>
        <w:t>。即在符合采购文件要求的前提下，择定标项最高得分者为标项第一中标候选人，即预中标人。</w:t>
      </w:r>
    </w:p>
    <w:p w14:paraId="7586B088">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1C5FED2B">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3、评分办法</w:t>
      </w:r>
    </w:p>
    <w:p w14:paraId="4739BC60">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（1）满分为100分。总得分=商务技术得分+报价得分。</w:t>
      </w:r>
    </w:p>
    <w:p w14:paraId="4DB031C9">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（2）商务技术得分=各评委的有效评分的算术平均数；</w:t>
      </w:r>
    </w:p>
    <w:p w14:paraId="2D9C7193">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（3）报价分评分细则（满分30分）</w:t>
      </w:r>
    </w:p>
    <w:p w14:paraId="47C0A152">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报价得分=（评标基准价/投标报价）*价格权值*100，评标基准价=有效投标人的最低投标报价，本项目价格权值=30%；</w:t>
      </w:r>
    </w:p>
    <w:p w14:paraId="341AA84D">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（4）商务技术分评分细则（70分）</w:t>
      </w:r>
    </w:p>
    <w:tbl>
      <w:tblPr>
        <w:tblStyle w:val="20"/>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39"/>
        <w:gridCol w:w="6802"/>
        <w:gridCol w:w="1008"/>
      </w:tblGrid>
      <w:tr w14:paraId="4EB5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5E73433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序号</w:t>
            </w:r>
          </w:p>
        </w:tc>
        <w:tc>
          <w:tcPr>
            <w:tcW w:w="1439" w:type="dxa"/>
            <w:noWrap w:val="0"/>
            <w:vAlign w:val="center"/>
          </w:tcPr>
          <w:p w14:paraId="25ADB1C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评分</w:t>
            </w:r>
            <w:r>
              <w:rPr>
                <w:rFonts w:hint="eastAsia" w:ascii="仿宋" w:hAnsi="仿宋" w:eastAsia="仿宋" w:cs="仿宋"/>
                <w:b/>
                <w:bCs/>
                <w:color w:val="auto"/>
                <w:sz w:val="24"/>
                <w:highlight w:val="none"/>
              </w:rPr>
              <w:t>项目</w:t>
            </w:r>
          </w:p>
        </w:tc>
        <w:tc>
          <w:tcPr>
            <w:tcW w:w="6802" w:type="dxa"/>
            <w:noWrap w:val="0"/>
            <w:vAlign w:val="center"/>
          </w:tcPr>
          <w:p w14:paraId="28CB8C9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c>
          <w:tcPr>
            <w:tcW w:w="1008" w:type="dxa"/>
            <w:noWrap w:val="0"/>
            <w:vAlign w:val="center"/>
          </w:tcPr>
          <w:p w14:paraId="06577CD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r>
      <w:tr w14:paraId="316B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noWrap w:val="0"/>
            <w:vAlign w:val="center"/>
          </w:tcPr>
          <w:p w14:paraId="789308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1</w:t>
            </w:r>
          </w:p>
        </w:tc>
        <w:tc>
          <w:tcPr>
            <w:tcW w:w="1439" w:type="dxa"/>
            <w:vMerge w:val="restart"/>
            <w:noWrap w:val="0"/>
            <w:vAlign w:val="center"/>
          </w:tcPr>
          <w:p w14:paraId="56649D3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企业资信</w:t>
            </w:r>
          </w:p>
        </w:tc>
        <w:tc>
          <w:tcPr>
            <w:tcW w:w="6802" w:type="dxa"/>
            <w:noWrap w:val="0"/>
            <w:vAlign w:val="center"/>
          </w:tcPr>
          <w:p w14:paraId="55BA7B1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投标人具有</w:t>
            </w:r>
            <w:r>
              <w:rPr>
                <w:rFonts w:hint="eastAsia" w:ascii="仿宋" w:hAnsi="仿宋" w:eastAsia="仿宋" w:cs="仿宋"/>
                <w:bCs/>
                <w:color w:val="auto"/>
                <w:sz w:val="24"/>
                <w:highlight w:val="none"/>
                <w:lang w:val="en-US" w:eastAsia="zh-CN"/>
              </w:rPr>
              <w:t>有效期内的</w:t>
            </w:r>
            <w:r>
              <w:rPr>
                <w:rFonts w:hint="eastAsia" w:ascii="仿宋" w:hAnsi="仿宋" w:eastAsia="仿宋" w:cs="仿宋"/>
                <w:bCs/>
                <w:color w:val="auto"/>
                <w:sz w:val="24"/>
                <w:highlight w:val="none"/>
              </w:rPr>
              <w:t>质量管理体系认证</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rPr>
              <w:t>、环境管理体系认证</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rPr>
              <w:t>、职业健康安全管理体</w:t>
            </w:r>
            <w:r>
              <w:rPr>
                <w:rFonts w:hint="eastAsia" w:ascii="仿宋" w:hAnsi="仿宋" w:eastAsia="仿宋" w:cs="仿宋"/>
                <w:bCs/>
                <w:color w:val="auto"/>
                <w:sz w:val="24"/>
                <w:highlight w:val="none"/>
                <w:lang w:val="en-US" w:eastAsia="zh-CN"/>
              </w:rPr>
              <w:t>系认证证书、</w:t>
            </w:r>
            <w:bookmarkStart w:id="21" w:name="OLE_LINK1"/>
            <w:r>
              <w:rPr>
                <w:rFonts w:hint="eastAsia" w:ascii="仿宋" w:hAnsi="仿宋" w:eastAsia="仿宋" w:cs="仿宋"/>
                <w:bCs/>
                <w:color w:val="auto"/>
                <w:sz w:val="24"/>
                <w:highlight w:val="none"/>
                <w:lang w:val="en-US" w:eastAsia="zh-CN"/>
              </w:rPr>
              <w:t>食品安全管理体系认证证书、HACCP认证证书</w:t>
            </w:r>
            <w:bookmarkEnd w:id="21"/>
            <w:r>
              <w:rPr>
                <w:rFonts w:hint="eastAsia" w:ascii="仿宋" w:hAnsi="仿宋" w:eastAsia="仿宋" w:cs="仿宋"/>
                <w:bCs/>
                <w:color w:val="auto"/>
                <w:sz w:val="24"/>
                <w:highlight w:val="none"/>
                <w:lang w:val="en-US" w:eastAsia="zh-CN"/>
              </w:rPr>
              <w:t>的，每提供一个得1分，本项最高得5分。</w:t>
            </w:r>
          </w:p>
          <w:p w14:paraId="20F3609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注：商务技术文件中</w:t>
            </w:r>
            <w:r>
              <w:rPr>
                <w:rFonts w:hint="eastAsia" w:ascii="仿宋" w:hAnsi="仿宋" w:eastAsia="仿宋" w:cs="仿宋"/>
                <w:b/>
                <w:bCs w:val="0"/>
                <w:color w:val="auto"/>
                <w:sz w:val="24"/>
                <w:highlight w:val="none"/>
                <w:lang w:val="en-US" w:eastAsia="zh-CN"/>
              </w:rPr>
              <w:t>须</w:t>
            </w:r>
            <w:r>
              <w:rPr>
                <w:rFonts w:hint="eastAsia" w:ascii="仿宋" w:hAnsi="仿宋" w:eastAsia="仿宋" w:cs="仿宋"/>
                <w:b/>
                <w:bCs w:val="0"/>
                <w:color w:val="auto"/>
                <w:sz w:val="24"/>
                <w:highlight w:val="none"/>
              </w:rPr>
              <w:t>提供</w:t>
            </w:r>
            <w:r>
              <w:rPr>
                <w:rFonts w:hint="eastAsia" w:ascii="仿宋" w:hAnsi="仿宋" w:eastAsia="仿宋" w:cs="仿宋"/>
                <w:b/>
                <w:bCs w:val="0"/>
                <w:color w:val="auto"/>
                <w:sz w:val="24"/>
                <w:highlight w:val="none"/>
                <w:lang w:val="en-US" w:eastAsia="zh-CN"/>
              </w:rPr>
              <w:t>相关</w:t>
            </w:r>
            <w:r>
              <w:rPr>
                <w:rFonts w:hint="eastAsia" w:ascii="仿宋" w:hAnsi="仿宋" w:eastAsia="仿宋" w:cs="仿宋"/>
                <w:b/>
                <w:bCs w:val="0"/>
                <w:color w:val="auto"/>
                <w:sz w:val="24"/>
                <w:highlight w:val="none"/>
              </w:rPr>
              <w:t>证书复印件</w:t>
            </w:r>
            <w:r>
              <w:rPr>
                <w:rFonts w:hint="eastAsia" w:ascii="仿宋" w:hAnsi="仿宋" w:eastAsia="仿宋" w:cs="仿宋"/>
                <w:b/>
                <w:bCs w:val="0"/>
                <w:color w:val="auto"/>
                <w:sz w:val="24"/>
                <w:highlight w:val="none"/>
                <w:lang w:val="en-US" w:eastAsia="zh-CN"/>
              </w:rPr>
              <w:t>及国家认证认可监督管理委员会官网截图</w:t>
            </w:r>
            <w:r>
              <w:rPr>
                <w:rFonts w:hint="eastAsia" w:ascii="仿宋" w:hAnsi="仿宋" w:eastAsia="仿宋" w:cs="仿宋"/>
                <w:b/>
                <w:bCs w:val="0"/>
                <w:color w:val="auto"/>
                <w:sz w:val="24"/>
                <w:highlight w:val="none"/>
              </w:rPr>
              <w:t>并加盖投标人CA签章，</w:t>
            </w:r>
            <w:r>
              <w:rPr>
                <w:rFonts w:hint="eastAsia" w:ascii="仿宋" w:hAnsi="仿宋" w:eastAsia="仿宋" w:cs="仿宋"/>
                <w:b/>
                <w:bCs w:val="0"/>
                <w:color w:val="auto"/>
                <w:kern w:val="21"/>
                <w:sz w:val="24"/>
                <w:highlight w:val="none"/>
                <w:lang w:val="en-US" w:eastAsia="zh-CN"/>
              </w:rPr>
              <w:t>不提供或缺一</w:t>
            </w:r>
            <w:r>
              <w:rPr>
                <w:rFonts w:hint="eastAsia" w:ascii="仿宋" w:hAnsi="仿宋" w:eastAsia="仿宋" w:cs="仿宋"/>
                <w:b/>
                <w:bCs w:val="0"/>
                <w:color w:val="auto"/>
                <w:sz w:val="24"/>
                <w:highlight w:val="none"/>
              </w:rPr>
              <w:t>不得分</w:t>
            </w:r>
            <w:r>
              <w:rPr>
                <w:rFonts w:hint="eastAsia" w:ascii="仿宋" w:hAnsi="仿宋" w:eastAsia="仿宋" w:cs="仿宋"/>
                <w:b/>
                <w:bCs w:val="0"/>
                <w:color w:val="auto"/>
                <w:sz w:val="24"/>
                <w:highlight w:val="none"/>
                <w:lang w:eastAsia="zh-CN"/>
              </w:rPr>
              <w:t>。</w:t>
            </w:r>
          </w:p>
        </w:tc>
        <w:tc>
          <w:tcPr>
            <w:tcW w:w="1008" w:type="dxa"/>
            <w:noWrap w:val="0"/>
            <w:vAlign w:val="center"/>
          </w:tcPr>
          <w:p w14:paraId="5728301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5</w:t>
            </w:r>
            <w:r>
              <w:rPr>
                <w:rFonts w:hint="eastAsia" w:ascii="仿宋" w:hAnsi="仿宋" w:eastAsia="仿宋" w:cs="仿宋"/>
                <w:b/>
                <w:bCs w:val="0"/>
                <w:color w:val="auto"/>
                <w:sz w:val="24"/>
                <w:highlight w:val="none"/>
              </w:rPr>
              <w:t>分</w:t>
            </w:r>
          </w:p>
        </w:tc>
      </w:tr>
      <w:tr w14:paraId="057C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noWrap w:val="0"/>
            <w:vAlign w:val="center"/>
          </w:tcPr>
          <w:p w14:paraId="4CEF083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p>
        </w:tc>
        <w:tc>
          <w:tcPr>
            <w:tcW w:w="1439" w:type="dxa"/>
            <w:vMerge w:val="continue"/>
            <w:noWrap w:val="0"/>
            <w:vAlign w:val="center"/>
          </w:tcPr>
          <w:p w14:paraId="55BA3CA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p>
        </w:tc>
        <w:tc>
          <w:tcPr>
            <w:tcW w:w="6802" w:type="dxa"/>
            <w:noWrap w:val="0"/>
            <w:vAlign w:val="center"/>
          </w:tcPr>
          <w:p w14:paraId="3240389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自</w:t>
            </w:r>
            <w:r>
              <w:rPr>
                <w:rFonts w:hint="eastAsia" w:ascii="仿宋" w:hAnsi="仿宋" w:eastAsia="仿宋" w:cs="仿宋"/>
                <w:bCs/>
                <w:color w:val="auto"/>
                <w:sz w:val="24"/>
                <w:highlight w:val="none"/>
                <w:lang w:val="en-US" w:eastAsia="zh-CN"/>
              </w:rPr>
              <w:t>2022</w:t>
            </w:r>
            <w:r>
              <w:rPr>
                <w:rFonts w:hint="eastAsia" w:ascii="仿宋" w:hAnsi="仿宋" w:eastAsia="仿宋" w:cs="仿宋"/>
                <w:bCs/>
                <w:color w:val="auto"/>
                <w:sz w:val="24"/>
                <w:highlight w:val="none"/>
              </w:rPr>
              <w:t>年1月1日以来（以颁发时间为准），投标人托管或经营</w:t>
            </w:r>
            <w:r>
              <w:rPr>
                <w:rFonts w:hint="eastAsia" w:ascii="仿宋" w:hAnsi="仿宋" w:eastAsia="仿宋" w:cs="仿宋"/>
                <w:bCs/>
                <w:color w:val="auto"/>
                <w:sz w:val="24"/>
                <w:highlight w:val="none"/>
                <w:lang w:val="en-US" w:eastAsia="zh-CN"/>
              </w:rPr>
              <w:t>的</w:t>
            </w:r>
            <w:r>
              <w:rPr>
                <w:rFonts w:hint="eastAsia" w:ascii="仿宋" w:hAnsi="仿宋" w:eastAsia="仿宋" w:cs="仿宋"/>
                <w:bCs/>
                <w:color w:val="auto"/>
                <w:sz w:val="24"/>
                <w:highlight w:val="none"/>
              </w:rPr>
              <w:t>餐厅获得</w:t>
            </w:r>
            <w:r>
              <w:rPr>
                <w:rFonts w:hint="eastAsia" w:ascii="仿宋" w:hAnsi="仿宋" w:eastAsia="仿宋" w:cs="仿宋"/>
                <w:bCs/>
                <w:color w:val="auto"/>
                <w:sz w:val="24"/>
                <w:highlight w:val="none"/>
                <w:lang w:val="en-US" w:eastAsia="zh-CN"/>
              </w:rPr>
              <w:t>过</w:t>
            </w:r>
            <w:r>
              <w:rPr>
                <w:rFonts w:hint="eastAsia" w:ascii="仿宋" w:hAnsi="仿宋" w:eastAsia="仿宋" w:cs="仿宋"/>
                <w:bCs/>
                <w:color w:val="auto"/>
                <w:sz w:val="24"/>
                <w:highlight w:val="none"/>
              </w:rPr>
              <w:t>餐饮食品安全量化分级管理A级的得3分，B级的得1分。</w:t>
            </w:r>
          </w:p>
          <w:p w14:paraId="142FB8C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注：商务技术文件中</w:t>
            </w:r>
            <w:r>
              <w:rPr>
                <w:rFonts w:hint="eastAsia" w:ascii="仿宋" w:hAnsi="仿宋" w:eastAsia="仿宋" w:cs="仿宋"/>
                <w:b/>
                <w:bCs w:val="0"/>
                <w:color w:val="auto"/>
                <w:sz w:val="24"/>
                <w:highlight w:val="none"/>
                <w:lang w:val="en-US" w:eastAsia="zh-CN"/>
              </w:rPr>
              <w:t>须</w:t>
            </w:r>
            <w:r>
              <w:rPr>
                <w:rFonts w:hint="eastAsia" w:ascii="仿宋" w:hAnsi="仿宋" w:eastAsia="仿宋" w:cs="仿宋"/>
                <w:b/>
                <w:bCs w:val="0"/>
                <w:color w:val="auto"/>
                <w:sz w:val="24"/>
                <w:highlight w:val="none"/>
              </w:rPr>
              <w:t>提供相关证明材料并加盖投标人CA签章，</w:t>
            </w:r>
            <w:r>
              <w:rPr>
                <w:rFonts w:hint="eastAsia" w:ascii="仿宋" w:hAnsi="仿宋" w:eastAsia="仿宋" w:cs="仿宋"/>
                <w:b/>
                <w:bCs w:val="0"/>
                <w:color w:val="auto"/>
                <w:sz w:val="24"/>
                <w:highlight w:val="none"/>
                <w:lang w:val="en-US" w:eastAsia="zh-CN"/>
              </w:rPr>
              <w:t>不提供</w:t>
            </w:r>
            <w:r>
              <w:rPr>
                <w:rFonts w:hint="eastAsia" w:ascii="仿宋" w:hAnsi="仿宋" w:eastAsia="仿宋" w:cs="仿宋"/>
                <w:b/>
                <w:bCs w:val="0"/>
                <w:color w:val="auto"/>
                <w:sz w:val="24"/>
                <w:highlight w:val="none"/>
              </w:rPr>
              <w:t>不得分。</w:t>
            </w:r>
          </w:p>
        </w:tc>
        <w:tc>
          <w:tcPr>
            <w:tcW w:w="1008" w:type="dxa"/>
            <w:noWrap w:val="0"/>
            <w:vAlign w:val="center"/>
          </w:tcPr>
          <w:p w14:paraId="08F8925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3</w:t>
            </w:r>
            <w:r>
              <w:rPr>
                <w:rFonts w:hint="eastAsia" w:ascii="仿宋" w:hAnsi="仿宋" w:eastAsia="仿宋" w:cs="仿宋"/>
                <w:b/>
                <w:bCs w:val="0"/>
                <w:color w:val="auto"/>
                <w:sz w:val="24"/>
                <w:highlight w:val="none"/>
              </w:rPr>
              <w:t>分</w:t>
            </w:r>
          </w:p>
        </w:tc>
      </w:tr>
      <w:tr w14:paraId="3098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noWrap w:val="0"/>
            <w:vAlign w:val="center"/>
          </w:tcPr>
          <w:p w14:paraId="58FB39C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w:t>
            </w:r>
          </w:p>
        </w:tc>
        <w:tc>
          <w:tcPr>
            <w:tcW w:w="1439" w:type="dxa"/>
            <w:noWrap w:val="0"/>
            <w:vAlign w:val="center"/>
          </w:tcPr>
          <w:p w14:paraId="0AA4A99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szCs w:val="24"/>
                <w:highlight w:val="none"/>
              </w:rPr>
              <w:t>保险</w:t>
            </w:r>
            <w:r>
              <w:rPr>
                <w:rFonts w:hint="eastAsia" w:ascii="仿宋" w:hAnsi="仿宋" w:eastAsia="仿宋" w:cs="仿宋"/>
                <w:b/>
                <w:bCs w:val="0"/>
                <w:color w:val="auto"/>
                <w:sz w:val="24"/>
                <w:szCs w:val="24"/>
                <w:highlight w:val="none"/>
                <w:lang w:val="en-US" w:eastAsia="zh-CN"/>
              </w:rPr>
              <w:t>缴纳</w:t>
            </w:r>
          </w:p>
        </w:tc>
        <w:tc>
          <w:tcPr>
            <w:tcW w:w="6802" w:type="dxa"/>
            <w:noWrap w:val="0"/>
            <w:vAlign w:val="center"/>
          </w:tcPr>
          <w:p w14:paraId="02B0B00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投标人</w:t>
            </w:r>
            <w:r>
              <w:rPr>
                <w:rFonts w:hint="eastAsia" w:ascii="仿宋" w:hAnsi="仿宋" w:eastAsia="仿宋" w:cs="仿宋"/>
                <w:bCs/>
                <w:color w:val="auto"/>
                <w:sz w:val="24"/>
                <w:highlight w:val="none"/>
                <w:lang w:val="en-US" w:eastAsia="zh-CN"/>
              </w:rPr>
              <w:t>承诺中标后缴纳</w:t>
            </w:r>
            <w:r>
              <w:rPr>
                <w:rFonts w:hint="eastAsia" w:ascii="仿宋" w:hAnsi="仿宋" w:eastAsia="仿宋" w:cs="仿宋"/>
                <w:bCs/>
                <w:color w:val="auto"/>
                <w:sz w:val="24"/>
                <w:highlight w:val="none"/>
              </w:rPr>
              <w:t>食品安全责任险</w:t>
            </w:r>
            <w:r>
              <w:rPr>
                <w:rFonts w:hint="eastAsia" w:ascii="仿宋" w:hAnsi="仿宋" w:eastAsia="仿宋" w:cs="仿宋"/>
                <w:bCs/>
                <w:color w:val="auto"/>
                <w:sz w:val="24"/>
                <w:highlight w:val="none"/>
                <w:lang w:val="en-US" w:eastAsia="zh-CN"/>
              </w:rPr>
              <w:t>和雇主责任险</w:t>
            </w:r>
            <w:r>
              <w:rPr>
                <w:rFonts w:hint="eastAsia" w:ascii="仿宋" w:hAnsi="仿宋" w:eastAsia="仿宋" w:cs="仿宋"/>
                <w:bCs/>
                <w:color w:val="auto"/>
                <w:sz w:val="24"/>
                <w:highlight w:val="none"/>
              </w:rPr>
              <w:t>的得</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不能承诺不得分。</w:t>
            </w:r>
          </w:p>
          <w:p w14:paraId="7A370CC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注：</w:t>
            </w:r>
            <w:r>
              <w:rPr>
                <w:rFonts w:hint="eastAsia" w:ascii="仿宋" w:hAnsi="仿宋" w:eastAsia="仿宋" w:cs="仿宋"/>
                <w:b/>
                <w:bCs/>
                <w:color w:val="auto"/>
                <w:kern w:val="0"/>
                <w:sz w:val="24"/>
                <w:szCs w:val="24"/>
                <w:highlight w:val="none"/>
              </w:rPr>
              <w:t>商务技术文件中</w:t>
            </w:r>
            <w:r>
              <w:rPr>
                <w:rFonts w:hint="eastAsia" w:ascii="仿宋" w:hAnsi="仿宋" w:eastAsia="仿宋" w:cs="仿宋"/>
                <w:b/>
                <w:bCs/>
                <w:color w:val="auto"/>
                <w:kern w:val="0"/>
                <w:sz w:val="24"/>
                <w:szCs w:val="24"/>
                <w:highlight w:val="none"/>
                <w:lang w:val="en-US" w:eastAsia="zh-CN"/>
              </w:rPr>
              <w:t>须</w:t>
            </w:r>
            <w:r>
              <w:rPr>
                <w:rFonts w:hint="default" w:ascii="仿宋" w:hAnsi="仿宋" w:eastAsia="仿宋" w:cs="仿宋"/>
                <w:b/>
                <w:bCs/>
                <w:color w:val="auto"/>
                <w:kern w:val="0"/>
                <w:sz w:val="24"/>
                <w:szCs w:val="24"/>
                <w:highlight w:val="none"/>
                <w:lang w:val="en-US" w:eastAsia="zh-CN"/>
              </w:rPr>
              <w:t>提供满足要求的相关承诺函（格式自拟）并加盖投标人</w:t>
            </w:r>
            <w:r>
              <w:rPr>
                <w:rFonts w:hint="eastAsia" w:ascii="仿宋" w:hAnsi="仿宋" w:eastAsia="仿宋" w:cs="仿宋"/>
                <w:b/>
                <w:bCs/>
                <w:color w:val="auto"/>
                <w:kern w:val="0"/>
                <w:sz w:val="24"/>
                <w:szCs w:val="24"/>
                <w:highlight w:val="none"/>
                <w:lang w:val="en-US" w:eastAsia="zh-CN"/>
              </w:rPr>
              <w:t>CA签</w:t>
            </w:r>
            <w:r>
              <w:rPr>
                <w:rFonts w:hint="default" w:ascii="仿宋" w:hAnsi="仿宋" w:eastAsia="仿宋" w:cs="仿宋"/>
                <w:b/>
                <w:bCs/>
                <w:color w:val="auto"/>
                <w:kern w:val="0"/>
                <w:sz w:val="24"/>
                <w:szCs w:val="24"/>
                <w:highlight w:val="none"/>
                <w:lang w:val="en-US" w:eastAsia="zh-CN"/>
              </w:rPr>
              <w:t>章</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val="en-US" w:eastAsia="zh-CN"/>
              </w:rPr>
              <w:t>不提供</w:t>
            </w:r>
            <w:r>
              <w:rPr>
                <w:rFonts w:hint="eastAsia" w:ascii="仿宋" w:hAnsi="仿宋" w:eastAsia="仿宋" w:cs="仿宋"/>
                <w:b/>
                <w:bCs w:val="0"/>
                <w:color w:val="auto"/>
                <w:sz w:val="24"/>
                <w:highlight w:val="none"/>
              </w:rPr>
              <w:t>不得分</w:t>
            </w:r>
            <w:r>
              <w:rPr>
                <w:rFonts w:hint="default" w:ascii="仿宋" w:hAnsi="仿宋" w:eastAsia="仿宋" w:cs="仿宋"/>
                <w:b/>
                <w:bCs/>
                <w:color w:val="auto"/>
                <w:kern w:val="0"/>
                <w:sz w:val="24"/>
                <w:szCs w:val="24"/>
                <w:highlight w:val="none"/>
                <w:lang w:val="en-US" w:eastAsia="zh-CN"/>
              </w:rPr>
              <w:t>。</w:t>
            </w:r>
          </w:p>
        </w:tc>
        <w:tc>
          <w:tcPr>
            <w:tcW w:w="1008" w:type="dxa"/>
            <w:noWrap w:val="0"/>
            <w:vAlign w:val="center"/>
          </w:tcPr>
          <w:p w14:paraId="1934455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2</w:t>
            </w:r>
            <w:r>
              <w:rPr>
                <w:rFonts w:hint="eastAsia" w:ascii="仿宋" w:hAnsi="仿宋" w:eastAsia="仿宋" w:cs="仿宋"/>
                <w:b/>
                <w:bCs w:val="0"/>
                <w:color w:val="auto"/>
                <w:sz w:val="24"/>
                <w:highlight w:val="none"/>
              </w:rPr>
              <w:t>分</w:t>
            </w:r>
          </w:p>
        </w:tc>
      </w:tr>
      <w:tr w14:paraId="720E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06" w:type="dxa"/>
            <w:noWrap w:val="0"/>
            <w:vAlign w:val="center"/>
          </w:tcPr>
          <w:p w14:paraId="384B7E7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3</w:t>
            </w:r>
          </w:p>
        </w:tc>
        <w:tc>
          <w:tcPr>
            <w:tcW w:w="1439" w:type="dxa"/>
            <w:noWrap w:val="0"/>
            <w:vAlign w:val="center"/>
          </w:tcPr>
          <w:p w14:paraId="1A5E807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项目业绩</w:t>
            </w:r>
          </w:p>
        </w:tc>
        <w:tc>
          <w:tcPr>
            <w:tcW w:w="6802" w:type="dxa"/>
            <w:noWrap w:val="0"/>
            <w:vAlign w:val="center"/>
          </w:tcPr>
          <w:p w14:paraId="7297740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自</w:t>
            </w:r>
            <w:r>
              <w:rPr>
                <w:rFonts w:hint="eastAsia" w:ascii="仿宋" w:hAnsi="仿宋" w:eastAsia="仿宋" w:cs="仿宋"/>
                <w:bCs/>
                <w:color w:val="auto"/>
                <w:sz w:val="24"/>
                <w:highlight w:val="none"/>
                <w:lang w:val="en-US" w:eastAsia="zh-CN"/>
              </w:rPr>
              <w:t>2022</w:t>
            </w:r>
            <w:r>
              <w:rPr>
                <w:rFonts w:hint="eastAsia" w:ascii="仿宋" w:hAnsi="仿宋" w:eastAsia="仿宋" w:cs="仿宋"/>
                <w:bCs/>
                <w:color w:val="auto"/>
                <w:sz w:val="24"/>
                <w:highlight w:val="none"/>
              </w:rPr>
              <w:t>年1月1日以来</w:t>
            </w:r>
            <w:r>
              <w:rPr>
                <w:rFonts w:hint="eastAsia" w:ascii="仿宋" w:hAnsi="仿宋" w:eastAsia="仿宋" w:cs="仿宋"/>
                <w:color w:val="auto"/>
                <w:kern w:val="0"/>
                <w:sz w:val="24"/>
                <w:szCs w:val="24"/>
                <w:highlight w:val="none"/>
              </w:rPr>
              <w:t>（以合同签订</w:t>
            </w:r>
            <w:r>
              <w:rPr>
                <w:rFonts w:hint="eastAsia" w:ascii="仿宋" w:hAnsi="仿宋" w:eastAsia="仿宋" w:cs="仿宋"/>
                <w:color w:val="auto"/>
                <w:kern w:val="0"/>
                <w:sz w:val="24"/>
                <w:szCs w:val="24"/>
                <w:highlight w:val="none"/>
                <w:lang w:val="en-US" w:eastAsia="zh-CN"/>
              </w:rPr>
              <w:t>日期</w:t>
            </w:r>
            <w:r>
              <w:rPr>
                <w:rFonts w:hint="eastAsia" w:ascii="仿宋" w:hAnsi="仿宋" w:eastAsia="仿宋" w:cs="仿宋"/>
                <w:color w:val="auto"/>
                <w:kern w:val="0"/>
                <w:sz w:val="24"/>
                <w:szCs w:val="24"/>
                <w:highlight w:val="none"/>
              </w:rPr>
              <w:t>为准）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具有同类餐饮服务</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rPr>
              <w:t>业绩</w:t>
            </w:r>
            <w:r>
              <w:rPr>
                <w:rFonts w:hint="eastAsia" w:ascii="仿宋" w:hAnsi="仿宋" w:eastAsia="仿宋" w:cs="仿宋"/>
                <w:color w:val="auto"/>
                <w:kern w:val="0"/>
                <w:sz w:val="24"/>
                <w:szCs w:val="24"/>
                <w:highlight w:val="none"/>
                <w:lang w:val="en-US" w:eastAsia="zh-CN"/>
              </w:rPr>
              <w:t>并获得业主满意度评价为满意</w:t>
            </w:r>
            <w:r>
              <w:rPr>
                <w:rFonts w:hint="eastAsia" w:ascii="仿宋" w:hAnsi="仿宋" w:eastAsia="仿宋" w:cs="仿宋"/>
                <w:color w:val="auto"/>
                <w:kern w:val="0"/>
                <w:sz w:val="24"/>
                <w:szCs w:val="24"/>
                <w:highlight w:val="none"/>
              </w:rPr>
              <w:t>的，</w:t>
            </w:r>
            <w:r>
              <w:rPr>
                <w:rFonts w:hint="eastAsia" w:ascii="仿宋" w:hAnsi="仿宋" w:eastAsia="仿宋" w:cs="仿宋"/>
                <w:bCs/>
                <w:color w:val="auto"/>
                <w:sz w:val="24"/>
                <w:highlight w:val="none"/>
              </w:rPr>
              <w:t>每提供一个</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bCs/>
                <w:color w:val="auto"/>
                <w:sz w:val="24"/>
                <w:highlight w:val="none"/>
                <w:lang w:val="en-US" w:eastAsia="zh-CN"/>
              </w:rPr>
              <w:t>本项</w:t>
            </w:r>
            <w:r>
              <w:rPr>
                <w:rFonts w:hint="eastAsia" w:ascii="仿宋" w:hAnsi="仿宋" w:eastAsia="仿宋" w:cs="仿宋"/>
                <w:color w:val="auto"/>
                <w:kern w:val="0"/>
                <w:sz w:val="24"/>
                <w:szCs w:val="24"/>
                <w:highlight w:val="none"/>
              </w:rPr>
              <w:t>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14:paraId="7D9735F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注：商务技术文件中</w:t>
            </w:r>
            <w:r>
              <w:rPr>
                <w:rFonts w:hint="eastAsia" w:ascii="仿宋" w:hAnsi="仿宋" w:eastAsia="仿宋" w:cs="仿宋"/>
                <w:b/>
                <w:bCs w:val="0"/>
                <w:color w:val="auto"/>
                <w:sz w:val="24"/>
                <w:highlight w:val="none"/>
                <w:lang w:val="en-US" w:eastAsia="zh-CN"/>
              </w:rPr>
              <w:t>须</w:t>
            </w:r>
            <w:r>
              <w:rPr>
                <w:rFonts w:hint="eastAsia" w:ascii="仿宋" w:hAnsi="仿宋" w:eastAsia="仿宋" w:cs="仿宋"/>
                <w:b/>
                <w:bCs/>
                <w:color w:val="auto"/>
                <w:kern w:val="0"/>
                <w:sz w:val="24"/>
                <w:szCs w:val="24"/>
                <w:highlight w:val="none"/>
              </w:rPr>
              <w:t>提供</w:t>
            </w:r>
            <w:r>
              <w:rPr>
                <w:rFonts w:hint="eastAsia" w:ascii="仿宋" w:hAnsi="仿宋" w:eastAsia="仿宋" w:cs="仿宋"/>
                <w:b/>
                <w:bCs/>
                <w:color w:val="auto"/>
                <w:kern w:val="0"/>
                <w:sz w:val="24"/>
                <w:szCs w:val="24"/>
                <w:highlight w:val="none"/>
                <w:lang w:val="en-US" w:eastAsia="zh-CN"/>
              </w:rPr>
              <w:t>相关</w:t>
            </w:r>
            <w:r>
              <w:rPr>
                <w:rFonts w:hint="eastAsia" w:ascii="仿宋" w:hAnsi="仿宋" w:eastAsia="仿宋" w:cs="仿宋"/>
                <w:b/>
                <w:bCs/>
                <w:color w:val="auto"/>
                <w:kern w:val="0"/>
                <w:sz w:val="24"/>
                <w:szCs w:val="24"/>
                <w:highlight w:val="none"/>
              </w:rPr>
              <w:t>合同复印件</w:t>
            </w:r>
            <w:r>
              <w:rPr>
                <w:rFonts w:hint="eastAsia" w:ascii="仿宋" w:hAnsi="仿宋" w:eastAsia="仿宋" w:cs="仿宋"/>
                <w:b/>
                <w:bCs/>
                <w:color w:val="auto"/>
                <w:kern w:val="0"/>
                <w:sz w:val="24"/>
                <w:szCs w:val="24"/>
                <w:highlight w:val="none"/>
                <w:lang w:val="en-US" w:eastAsia="zh-CN"/>
              </w:rPr>
              <w:t>及相应证明材料(必须有业主单位联系人、联系方式及业主单位盖章)</w:t>
            </w:r>
            <w:r>
              <w:rPr>
                <w:rFonts w:hint="eastAsia" w:ascii="仿宋" w:hAnsi="仿宋" w:eastAsia="仿宋" w:cs="仿宋"/>
                <w:b/>
                <w:bCs/>
                <w:color w:val="auto"/>
                <w:kern w:val="0"/>
                <w:sz w:val="24"/>
                <w:szCs w:val="24"/>
                <w:highlight w:val="none"/>
              </w:rPr>
              <w:t>并加盖投标人CA签章，</w:t>
            </w:r>
            <w:r>
              <w:rPr>
                <w:rFonts w:hint="eastAsia" w:ascii="仿宋" w:hAnsi="仿宋" w:eastAsia="仿宋" w:cs="仿宋"/>
                <w:b/>
                <w:bCs/>
                <w:color w:val="auto"/>
                <w:kern w:val="0"/>
                <w:sz w:val="24"/>
                <w:szCs w:val="24"/>
                <w:highlight w:val="none"/>
                <w:lang w:val="en-US" w:eastAsia="zh-CN"/>
              </w:rPr>
              <w:t>不提供</w:t>
            </w:r>
            <w:r>
              <w:rPr>
                <w:rFonts w:hint="eastAsia" w:ascii="仿宋" w:hAnsi="仿宋" w:eastAsia="仿宋" w:cs="仿宋"/>
                <w:b/>
                <w:bCs/>
                <w:color w:val="auto"/>
                <w:kern w:val="0"/>
                <w:sz w:val="24"/>
                <w:szCs w:val="24"/>
                <w:highlight w:val="none"/>
              </w:rPr>
              <w:t>不得分。</w:t>
            </w:r>
          </w:p>
        </w:tc>
        <w:tc>
          <w:tcPr>
            <w:tcW w:w="1008" w:type="dxa"/>
            <w:noWrap w:val="0"/>
            <w:vAlign w:val="center"/>
          </w:tcPr>
          <w:p w14:paraId="0325BEA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3</w:t>
            </w:r>
            <w:r>
              <w:rPr>
                <w:rFonts w:hint="eastAsia" w:ascii="仿宋" w:hAnsi="仿宋" w:eastAsia="仿宋" w:cs="仿宋"/>
                <w:b/>
                <w:bCs w:val="0"/>
                <w:color w:val="auto"/>
                <w:sz w:val="24"/>
                <w:highlight w:val="none"/>
              </w:rPr>
              <w:t>分</w:t>
            </w:r>
          </w:p>
        </w:tc>
      </w:tr>
      <w:tr w14:paraId="5FAC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06" w:type="dxa"/>
            <w:vMerge w:val="restart"/>
            <w:noWrap w:val="0"/>
            <w:vAlign w:val="center"/>
          </w:tcPr>
          <w:p w14:paraId="5AD39F3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4</w:t>
            </w:r>
          </w:p>
        </w:tc>
        <w:tc>
          <w:tcPr>
            <w:tcW w:w="1439" w:type="dxa"/>
            <w:vMerge w:val="restart"/>
            <w:noWrap w:val="0"/>
            <w:vAlign w:val="center"/>
          </w:tcPr>
          <w:p w14:paraId="1E048E3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rPr>
              <w:t>人员</w:t>
            </w:r>
            <w:r>
              <w:rPr>
                <w:rFonts w:hint="eastAsia" w:ascii="仿宋" w:hAnsi="仿宋" w:eastAsia="仿宋" w:cs="仿宋"/>
                <w:b/>
                <w:bCs w:val="0"/>
                <w:color w:val="auto"/>
                <w:sz w:val="24"/>
                <w:highlight w:val="none"/>
                <w:lang w:val="en-US" w:eastAsia="zh-CN"/>
              </w:rPr>
              <w:t>配置</w:t>
            </w:r>
          </w:p>
        </w:tc>
        <w:tc>
          <w:tcPr>
            <w:tcW w:w="6802" w:type="dxa"/>
            <w:noWrap w:val="0"/>
            <w:vAlign w:val="center"/>
          </w:tcPr>
          <w:p w14:paraId="5EE0C6B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投标人派驻食堂</w:t>
            </w:r>
            <w:r>
              <w:rPr>
                <w:rFonts w:hint="eastAsia" w:ascii="仿宋" w:hAnsi="仿宋" w:eastAsia="仿宋" w:cs="仿宋"/>
                <w:color w:val="auto"/>
                <w:sz w:val="24"/>
                <w:highlight w:val="none"/>
                <w:lang w:val="en-US" w:eastAsia="zh-CN"/>
              </w:rPr>
              <w:t>主厨</w:t>
            </w:r>
            <w:r>
              <w:rPr>
                <w:rFonts w:hint="eastAsia" w:ascii="仿宋" w:hAnsi="仿宋" w:eastAsia="仿宋" w:cs="仿宋"/>
                <w:color w:val="auto"/>
                <w:sz w:val="24"/>
                <w:highlight w:val="none"/>
              </w:rPr>
              <w:t>具有中式烹调师</w:t>
            </w:r>
            <w:r>
              <w:rPr>
                <w:rFonts w:hint="eastAsia" w:ascii="仿宋" w:hAnsi="仿宋" w:eastAsia="仿宋" w:cs="仿宋"/>
                <w:color w:val="auto"/>
                <w:sz w:val="24"/>
                <w:highlight w:val="none"/>
                <w:lang w:val="en-US" w:eastAsia="zh-CN"/>
              </w:rPr>
              <w:t>中级</w:t>
            </w:r>
            <w:r>
              <w:rPr>
                <w:rFonts w:hint="eastAsia" w:ascii="仿宋" w:hAnsi="仿宋" w:eastAsia="仿宋" w:cs="仿宋"/>
                <w:color w:val="auto"/>
                <w:sz w:val="24"/>
                <w:szCs w:val="24"/>
                <w:highlight w:val="none"/>
              </w:rPr>
              <w:t>等级</w:t>
            </w:r>
            <w:r>
              <w:rPr>
                <w:rFonts w:hint="eastAsia" w:ascii="仿宋" w:hAnsi="仿宋" w:eastAsia="仿宋" w:cs="仿宋"/>
                <w:color w:val="auto"/>
                <w:sz w:val="24"/>
                <w:highlight w:val="none"/>
              </w:rPr>
              <w:t>证书</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分，中式烹调师高级</w:t>
            </w:r>
            <w:r>
              <w:rPr>
                <w:rFonts w:hint="eastAsia" w:ascii="仿宋" w:hAnsi="仿宋" w:eastAsia="仿宋" w:cs="仿宋"/>
                <w:color w:val="auto"/>
                <w:sz w:val="24"/>
                <w:szCs w:val="24"/>
                <w:highlight w:val="none"/>
              </w:rPr>
              <w:t>等级</w:t>
            </w:r>
            <w:r>
              <w:rPr>
                <w:rFonts w:hint="eastAsia" w:ascii="仿宋" w:hAnsi="仿宋" w:eastAsia="仿宋" w:cs="仿宋"/>
                <w:color w:val="auto"/>
                <w:sz w:val="24"/>
                <w:highlight w:val="none"/>
              </w:rPr>
              <w:t>证书</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分；具有烹饪大师证书</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3056C82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szCs w:val="24"/>
                <w:highlight w:val="none"/>
              </w:rPr>
              <w:t>投标人派驻食堂面点</w:t>
            </w:r>
            <w:r>
              <w:rPr>
                <w:rFonts w:hint="eastAsia" w:ascii="仿宋" w:hAnsi="仿宋" w:eastAsia="仿宋" w:cs="仿宋"/>
                <w:bCs/>
                <w:color w:val="auto"/>
                <w:sz w:val="24"/>
                <w:szCs w:val="24"/>
                <w:highlight w:val="none"/>
              </w:rPr>
              <w:t>师（不包括厨师长）</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eastAsia="zh-CN"/>
              </w:rPr>
              <w:t>中式面点师</w:t>
            </w:r>
            <w:r>
              <w:rPr>
                <w:rFonts w:hint="eastAsia" w:ascii="仿宋" w:hAnsi="仿宋" w:eastAsia="仿宋" w:cs="仿宋"/>
                <w:color w:val="auto"/>
                <w:sz w:val="24"/>
                <w:szCs w:val="24"/>
                <w:highlight w:val="none"/>
              </w:rPr>
              <w:t>中级等级证书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得2分</w:t>
            </w:r>
            <w:r>
              <w:rPr>
                <w:rFonts w:hint="eastAsia" w:ascii="仿宋" w:hAnsi="仿宋" w:eastAsia="仿宋" w:cs="仿宋"/>
                <w:color w:val="auto"/>
                <w:sz w:val="24"/>
                <w:szCs w:val="24"/>
                <w:highlight w:val="none"/>
                <w:lang w:eastAsia="zh-CN"/>
              </w:rPr>
              <w:t>，中式面点师</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级等级证书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6B109C1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注：商务技术文件中</w:t>
            </w:r>
            <w:r>
              <w:rPr>
                <w:rFonts w:hint="eastAsia" w:ascii="仿宋" w:hAnsi="仿宋" w:eastAsia="仿宋" w:cs="仿宋"/>
                <w:b/>
                <w:bCs/>
                <w:color w:val="auto"/>
                <w:sz w:val="24"/>
                <w:highlight w:val="none"/>
                <w:lang w:val="en-US" w:eastAsia="zh-CN"/>
              </w:rPr>
              <w:t>须</w:t>
            </w:r>
            <w:r>
              <w:rPr>
                <w:rFonts w:hint="eastAsia" w:ascii="仿宋" w:hAnsi="仿宋" w:eastAsia="仿宋" w:cs="仿宋"/>
                <w:b/>
                <w:bCs/>
                <w:color w:val="auto"/>
                <w:sz w:val="24"/>
                <w:highlight w:val="none"/>
              </w:rPr>
              <w:t>提供</w:t>
            </w:r>
            <w:r>
              <w:rPr>
                <w:rFonts w:hint="eastAsia" w:ascii="仿宋" w:hAnsi="仿宋" w:eastAsia="仿宋" w:cs="仿宋"/>
                <w:b/>
                <w:bCs/>
                <w:color w:val="auto"/>
                <w:sz w:val="24"/>
                <w:highlight w:val="none"/>
                <w:lang w:val="en-US" w:eastAsia="zh-CN"/>
              </w:rPr>
              <w:t>以上相关</w:t>
            </w:r>
            <w:r>
              <w:rPr>
                <w:rFonts w:hint="eastAsia" w:ascii="仿宋" w:hAnsi="仿宋" w:eastAsia="仿宋" w:cs="仿宋"/>
                <w:b/>
                <w:bCs/>
                <w:color w:val="auto"/>
                <w:sz w:val="24"/>
                <w:highlight w:val="none"/>
              </w:rPr>
              <w:t>人员证书复印件及投标人为其缴纳的近三个月社保证明</w:t>
            </w:r>
            <w:r>
              <w:rPr>
                <w:rFonts w:hint="eastAsia" w:ascii="仿宋" w:hAnsi="仿宋" w:eastAsia="仿宋" w:cs="仿宋"/>
                <w:b/>
                <w:bCs/>
                <w:color w:val="auto"/>
                <w:sz w:val="24"/>
                <w:highlight w:val="none"/>
                <w:lang w:val="en-US" w:eastAsia="zh-CN"/>
              </w:rPr>
              <w:t>材料</w:t>
            </w:r>
            <w:r>
              <w:rPr>
                <w:rFonts w:hint="eastAsia" w:ascii="仿宋" w:hAnsi="仿宋" w:eastAsia="仿宋" w:cs="仿宋"/>
                <w:b/>
                <w:bCs/>
                <w:color w:val="auto"/>
                <w:sz w:val="24"/>
                <w:highlight w:val="none"/>
              </w:rPr>
              <w:t>并加盖投标人CA签章，不提供或提供不全不得分。</w:t>
            </w:r>
          </w:p>
        </w:tc>
        <w:tc>
          <w:tcPr>
            <w:tcW w:w="1008" w:type="dxa"/>
            <w:noWrap w:val="0"/>
            <w:vAlign w:val="center"/>
          </w:tcPr>
          <w:p w14:paraId="0AA068D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9</w:t>
            </w:r>
            <w:r>
              <w:rPr>
                <w:rFonts w:hint="eastAsia" w:ascii="仿宋" w:hAnsi="仿宋" w:eastAsia="仿宋" w:cs="仿宋"/>
                <w:b/>
                <w:bCs w:val="0"/>
                <w:color w:val="auto"/>
                <w:sz w:val="24"/>
                <w:highlight w:val="none"/>
              </w:rPr>
              <w:t>分</w:t>
            </w:r>
          </w:p>
        </w:tc>
      </w:tr>
      <w:tr w14:paraId="0D5A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continue"/>
            <w:noWrap w:val="0"/>
            <w:vAlign w:val="center"/>
          </w:tcPr>
          <w:p w14:paraId="4C677DE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p>
        </w:tc>
        <w:tc>
          <w:tcPr>
            <w:tcW w:w="1439" w:type="dxa"/>
            <w:vMerge w:val="continue"/>
            <w:noWrap w:val="0"/>
            <w:vAlign w:val="center"/>
          </w:tcPr>
          <w:p w14:paraId="46BDF79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p>
        </w:tc>
        <w:tc>
          <w:tcPr>
            <w:tcW w:w="6802" w:type="dxa"/>
            <w:noWrap w:val="0"/>
            <w:vAlign w:val="center"/>
          </w:tcPr>
          <w:p w14:paraId="0744E4C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highlight w:val="none"/>
              </w:rPr>
              <w:t>派驻食堂人员具有餐饮</w:t>
            </w:r>
            <w:r>
              <w:rPr>
                <w:rFonts w:hint="eastAsia" w:ascii="仿宋" w:hAnsi="仿宋" w:eastAsia="仿宋" w:cs="仿宋"/>
                <w:color w:val="auto"/>
                <w:sz w:val="24"/>
                <w:highlight w:val="none"/>
                <w:lang w:eastAsia="zh-CN"/>
              </w:rPr>
              <w:t>食品安全</w:t>
            </w:r>
            <w:r>
              <w:rPr>
                <w:rFonts w:hint="eastAsia" w:ascii="仿宋" w:hAnsi="仿宋" w:eastAsia="仿宋" w:cs="仿宋"/>
                <w:color w:val="auto"/>
                <w:sz w:val="24"/>
                <w:highlight w:val="none"/>
              </w:rPr>
              <w:t>管理</w:t>
            </w:r>
            <w:r>
              <w:rPr>
                <w:rFonts w:hint="eastAsia" w:ascii="仿宋" w:hAnsi="仿宋" w:eastAsia="仿宋" w:cs="仿宋"/>
                <w:color w:val="auto"/>
                <w:sz w:val="24"/>
                <w:highlight w:val="none"/>
                <w:lang w:eastAsia="zh-CN"/>
              </w:rPr>
              <w:t>员</w:t>
            </w:r>
            <w:r>
              <w:rPr>
                <w:rFonts w:hint="eastAsia" w:ascii="仿宋" w:hAnsi="仿宋" w:eastAsia="仿宋" w:cs="仿宋"/>
                <w:color w:val="auto"/>
                <w:sz w:val="24"/>
                <w:highlight w:val="none"/>
              </w:rPr>
              <w:t>证书</w:t>
            </w:r>
            <w:r>
              <w:rPr>
                <w:rFonts w:hint="eastAsia" w:ascii="仿宋" w:hAnsi="仿宋" w:eastAsia="仿宋" w:cs="仿宋"/>
                <w:color w:val="auto"/>
                <w:sz w:val="24"/>
                <w:highlight w:val="none"/>
                <w:lang w:val="en-US" w:eastAsia="zh-CN"/>
              </w:rPr>
              <w:t>的，每提供一人</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en-US" w:eastAsia="zh-CN"/>
              </w:rPr>
              <w:t>本项</w:t>
            </w:r>
            <w:r>
              <w:rPr>
                <w:rFonts w:hint="eastAsia" w:ascii="仿宋" w:hAnsi="仿宋" w:eastAsia="仿宋" w:cs="仿宋"/>
                <w:color w:val="auto"/>
                <w:sz w:val="24"/>
                <w:highlight w:val="none"/>
                <w:lang w:val="en-US" w:eastAsia="zh-CN"/>
              </w:rPr>
              <w:t>最高得2分</w:t>
            </w:r>
            <w:r>
              <w:rPr>
                <w:rFonts w:hint="eastAsia" w:ascii="仿宋" w:hAnsi="仿宋" w:eastAsia="仿宋" w:cs="仿宋"/>
                <w:color w:val="auto"/>
                <w:sz w:val="24"/>
                <w:highlight w:val="none"/>
              </w:rPr>
              <w:t>。</w:t>
            </w:r>
          </w:p>
          <w:p w14:paraId="0C6E4BF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注：商务技术文件中</w:t>
            </w:r>
            <w:r>
              <w:rPr>
                <w:rFonts w:hint="eastAsia" w:ascii="仿宋" w:hAnsi="仿宋" w:eastAsia="仿宋" w:cs="仿宋"/>
                <w:b/>
                <w:bCs/>
                <w:color w:val="auto"/>
                <w:sz w:val="24"/>
                <w:highlight w:val="none"/>
                <w:lang w:val="en-US" w:eastAsia="zh-CN"/>
              </w:rPr>
              <w:t>须</w:t>
            </w:r>
            <w:r>
              <w:rPr>
                <w:rFonts w:hint="eastAsia" w:ascii="仿宋" w:hAnsi="仿宋" w:eastAsia="仿宋" w:cs="仿宋"/>
                <w:b/>
                <w:bCs/>
                <w:color w:val="auto"/>
                <w:sz w:val="24"/>
                <w:highlight w:val="none"/>
              </w:rPr>
              <w:t>提供</w:t>
            </w:r>
            <w:r>
              <w:rPr>
                <w:rFonts w:hint="eastAsia" w:ascii="仿宋" w:hAnsi="仿宋" w:eastAsia="仿宋" w:cs="仿宋"/>
                <w:b/>
                <w:bCs/>
                <w:color w:val="auto"/>
                <w:sz w:val="24"/>
                <w:highlight w:val="none"/>
                <w:lang w:val="en-US" w:eastAsia="zh-CN"/>
              </w:rPr>
              <w:t>以上相关</w:t>
            </w:r>
            <w:r>
              <w:rPr>
                <w:rFonts w:hint="eastAsia" w:ascii="仿宋" w:hAnsi="仿宋" w:eastAsia="仿宋" w:cs="仿宋"/>
                <w:b/>
                <w:bCs/>
                <w:color w:val="auto"/>
                <w:sz w:val="24"/>
                <w:highlight w:val="none"/>
              </w:rPr>
              <w:t>人员证书复印件及投标人为其缴纳的近三个月社保证明</w:t>
            </w:r>
            <w:r>
              <w:rPr>
                <w:rFonts w:hint="eastAsia" w:ascii="仿宋" w:hAnsi="仿宋" w:eastAsia="仿宋" w:cs="仿宋"/>
                <w:b/>
                <w:bCs/>
                <w:color w:val="auto"/>
                <w:sz w:val="24"/>
                <w:highlight w:val="none"/>
                <w:lang w:val="en-US" w:eastAsia="zh-CN"/>
              </w:rPr>
              <w:t>材料</w:t>
            </w:r>
            <w:r>
              <w:rPr>
                <w:rFonts w:hint="eastAsia" w:ascii="仿宋" w:hAnsi="仿宋" w:eastAsia="仿宋" w:cs="仿宋"/>
                <w:b/>
                <w:bCs/>
                <w:color w:val="auto"/>
                <w:sz w:val="24"/>
                <w:highlight w:val="none"/>
              </w:rPr>
              <w:t>并加盖投标人CA签章，不提供或提供不全不得分。</w:t>
            </w:r>
          </w:p>
        </w:tc>
        <w:tc>
          <w:tcPr>
            <w:tcW w:w="1008" w:type="dxa"/>
            <w:noWrap w:val="0"/>
            <w:vAlign w:val="center"/>
          </w:tcPr>
          <w:p w14:paraId="412F07C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0-2</w:t>
            </w:r>
            <w:r>
              <w:rPr>
                <w:rFonts w:hint="eastAsia" w:ascii="仿宋" w:hAnsi="仿宋" w:eastAsia="仿宋" w:cs="仿宋"/>
                <w:b/>
                <w:bCs w:val="0"/>
                <w:color w:val="auto"/>
                <w:sz w:val="24"/>
                <w:highlight w:val="none"/>
              </w:rPr>
              <w:t>分</w:t>
            </w:r>
          </w:p>
        </w:tc>
      </w:tr>
      <w:tr w14:paraId="4566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7838EFB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w:t>
            </w:r>
          </w:p>
        </w:tc>
        <w:tc>
          <w:tcPr>
            <w:tcW w:w="1439" w:type="dxa"/>
            <w:noWrap w:val="0"/>
            <w:vAlign w:val="center"/>
          </w:tcPr>
          <w:p w14:paraId="6C0BF2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szCs w:val="24"/>
                <w:highlight w:val="none"/>
                <w:lang w:val="en-US" w:eastAsia="zh-CN"/>
              </w:rPr>
              <w:t>服务团队建设方案</w:t>
            </w:r>
          </w:p>
        </w:tc>
        <w:tc>
          <w:tcPr>
            <w:tcW w:w="6802" w:type="dxa"/>
            <w:noWrap w:val="0"/>
            <w:vAlign w:val="center"/>
          </w:tcPr>
          <w:p w14:paraId="612A3F8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根据投标人提供的服务团队建设方案进行打分，具体为：</w:t>
            </w:r>
          </w:p>
          <w:p w14:paraId="50C1152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1.根据投标人食堂员工队伍的资质情况是否具有针对性、完整合理、切实可行等打分，0-2分；</w:t>
            </w:r>
          </w:p>
          <w:p w14:paraId="255271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2.根据投标人人员配置计划是否具有针对性、完整合理、切实可行等打分，0-2分；</w:t>
            </w:r>
          </w:p>
          <w:p w14:paraId="5030611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3.根据投标人各岗位薪资计划是否具有针对性、完整合理、切实可行等打分，0-2分；</w:t>
            </w:r>
          </w:p>
          <w:p w14:paraId="31A0C7D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4.根据投标人工作职责是否具有针对性、完整合理、切实可行等打分，0-2分；</w:t>
            </w:r>
          </w:p>
          <w:p w14:paraId="121FC67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5.根据投标人工作奖惩制度是否具有针对性、完整合理、切实可行等打分，0-2分；</w:t>
            </w:r>
          </w:p>
          <w:p w14:paraId="583D1B7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6.根据投标人后续人员培训思路及计划是否具有针对性、完整合理、切实可行等打分，0-2分。</w:t>
            </w:r>
          </w:p>
          <w:p w14:paraId="0E30399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w:t>
            </w:r>
          </w:p>
          <w:p w14:paraId="5EF29BD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1）每项内容完整全面、科学合理、可行性强的得1.5-2分；</w:t>
            </w:r>
          </w:p>
          <w:p w14:paraId="5926890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2）每项内容略有欠缺，基本合理可行的得1-1.5分；</w:t>
            </w:r>
          </w:p>
          <w:p w14:paraId="5B7DA2C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3）每项内容粗略、层次模糊、可行性较差的得0-1分；</w:t>
            </w:r>
          </w:p>
          <w:p w14:paraId="17AC503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highlight w:val="none"/>
                <w:lang w:val="en-US"/>
              </w:rPr>
            </w:pPr>
            <w:r>
              <w:rPr>
                <w:rFonts w:hint="eastAsia" w:ascii="仿宋" w:hAnsi="仿宋" w:eastAsia="仿宋" w:cs="仿宋"/>
                <w:bCs/>
                <w:color w:val="auto"/>
                <w:sz w:val="24"/>
                <w:szCs w:val="24"/>
                <w:highlight w:val="none"/>
                <w:lang w:val="en-US" w:eastAsia="zh-CN"/>
              </w:rPr>
              <w:t>4）无相关内容不得分。</w:t>
            </w:r>
          </w:p>
        </w:tc>
        <w:tc>
          <w:tcPr>
            <w:tcW w:w="1008" w:type="dxa"/>
            <w:noWrap w:val="0"/>
            <w:vAlign w:val="center"/>
          </w:tcPr>
          <w:p w14:paraId="10C49F8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12</w:t>
            </w:r>
            <w:r>
              <w:rPr>
                <w:rFonts w:hint="eastAsia" w:ascii="仿宋" w:hAnsi="仿宋" w:eastAsia="仿宋" w:cs="仿宋"/>
                <w:b/>
                <w:bCs w:val="0"/>
                <w:color w:val="auto"/>
                <w:sz w:val="24"/>
                <w:highlight w:val="none"/>
              </w:rPr>
              <w:t>分</w:t>
            </w:r>
          </w:p>
        </w:tc>
      </w:tr>
      <w:tr w14:paraId="5B2E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0504A1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jc w:val="center"/>
              <w:textAlignment w:val="auto"/>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6</w:t>
            </w:r>
          </w:p>
        </w:tc>
        <w:tc>
          <w:tcPr>
            <w:tcW w:w="1439" w:type="dxa"/>
            <w:noWrap w:val="0"/>
            <w:vAlign w:val="center"/>
          </w:tcPr>
          <w:p w14:paraId="0281C33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菜谱制定</w:t>
            </w:r>
          </w:p>
        </w:tc>
        <w:tc>
          <w:tcPr>
            <w:tcW w:w="6802" w:type="dxa"/>
            <w:noWrap w:val="0"/>
            <w:vAlign w:val="center"/>
          </w:tcPr>
          <w:p w14:paraId="75AFE7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根据投标人拟制定食堂6月份中餐菜谱共4份（每份排一周7天)是否安全、经济、符合季节性、营养等进行打分，0-4分。</w:t>
            </w:r>
          </w:p>
          <w:p w14:paraId="53EAD7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1.菜品安全健康，价格实惠，菜品符合季节性，营养均衡合理的得3-4分；</w:t>
            </w:r>
          </w:p>
          <w:p w14:paraId="09227D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2.菜品相对健康，价格比较实惠，菜品基本符合季节性，营养相对均衡的得2-3分；</w:t>
            </w:r>
          </w:p>
          <w:p w14:paraId="34D41F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3.菜品搭配不合理，价格昂贵，菜品不符合季节性，营养不够均衡的得0-2分；</w:t>
            </w:r>
          </w:p>
          <w:p w14:paraId="02D791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4.无菜谱不得分。</w:t>
            </w:r>
          </w:p>
        </w:tc>
        <w:tc>
          <w:tcPr>
            <w:tcW w:w="1008" w:type="dxa"/>
            <w:noWrap w:val="0"/>
            <w:vAlign w:val="center"/>
          </w:tcPr>
          <w:p w14:paraId="52A11103">
            <w:pPr>
              <w:keepNext w:val="0"/>
              <w:keepLines w:val="0"/>
              <w:pageBreakBefore w:val="0"/>
              <w:widowControl w:val="0"/>
              <w:kinsoku/>
              <w:wordWrap/>
              <w:overflowPunct/>
              <w:topLinePunct w:val="0"/>
              <w:bidi w:val="0"/>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szCs w:val="24"/>
                <w:highlight w:val="none"/>
              </w:rPr>
              <w:t>0-</w:t>
            </w:r>
            <w:r>
              <w:rPr>
                <w:rFonts w:hint="eastAsia" w:ascii="仿宋" w:hAnsi="仿宋" w:eastAsia="仿宋" w:cs="仿宋"/>
                <w:b/>
                <w:bCs w:val="0"/>
                <w:color w:val="auto"/>
                <w:sz w:val="24"/>
                <w:szCs w:val="24"/>
                <w:highlight w:val="none"/>
                <w:lang w:val="en-US" w:eastAsia="zh-CN"/>
              </w:rPr>
              <w:t>4</w:t>
            </w:r>
            <w:r>
              <w:rPr>
                <w:rFonts w:hint="eastAsia" w:ascii="仿宋" w:hAnsi="仿宋" w:eastAsia="仿宋" w:cs="仿宋"/>
                <w:b/>
                <w:bCs w:val="0"/>
                <w:color w:val="auto"/>
                <w:sz w:val="24"/>
                <w:szCs w:val="24"/>
                <w:highlight w:val="none"/>
              </w:rPr>
              <w:t>分</w:t>
            </w:r>
          </w:p>
        </w:tc>
      </w:tr>
      <w:tr w14:paraId="555A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6FE9BC6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w:t>
            </w:r>
          </w:p>
        </w:tc>
        <w:tc>
          <w:tcPr>
            <w:tcW w:w="1439" w:type="dxa"/>
            <w:noWrap w:val="0"/>
            <w:vAlign w:val="center"/>
          </w:tcPr>
          <w:p w14:paraId="776A304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szCs w:val="24"/>
                <w:highlight w:val="none"/>
                <w:lang w:val="en-US" w:eastAsia="zh-CN"/>
              </w:rPr>
              <w:t>服务方案</w:t>
            </w:r>
          </w:p>
        </w:tc>
        <w:tc>
          <w:tcPr>
            <w:tcW w:w="6802" w:type="dxa"/>
            <w:noWrap w:val="0"/>
            <w:vAlign w:val="center"/>
          </w:tcPr>
          <w:p w14:paraId="7EB7549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根据投标人提供的服务方案进行打分，具体为：</w:t>
            </w:r>
          </w:p>
          <w:p w14:paraId="5D6ACA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1.根据投标人服务管理模式是否具有针对性、完整合理、切实可行等打分，0-2分；</w:t>
            </w:r>
          </w:p>
          <w:p w14:paraId="53CC68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2.根据投标人用餐保障、服务措施以及公务接待服务方案是否具有针对性、完整合理、切实可行等打分，0-2分；</w:t>
            </w:r>
          </w:p>
          <w:p w14:paraId="400F3C9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3.根据投标人设备管理方案是否具有针对性、完整合理、切实可行等打分，0-2分；</w:t>
            </w:r>
          </w:p>
          <w:p w14:paraId="465016E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4.根据投标人成本分析方案（包含节约方案）是否具有针对性、完整合理、切实可行等打分，0-2分；</w:t>
            </w:r>
          </w:p>
          <w:p w14:paraId="1166DD3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5.根据投标人人员保障措施、服务响应时间是否具有针对性、完整合理、切实可行等打分，0-2分；</w:t>
            </w:r>
          </w:p>
          <w:p w14:paraId="221CD4A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6.根据投标人对本项目服务合理化建议等方面是否具有针对性、完整合理、切实可行等打分，0-2分。</w:t>
            </w:r>
          </w:p>
          <w:p w14:paraId="01BDBF0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w:t>
            </w:r>
          </w:p>
          <w:p w14:paraId="57B5B73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1）每项内容完整全面、科学合理、可行性强的得1.5-2分；</w:t>
            </w:r>
          </w:p>
          <w:p w14:paraId="429023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2）每项内容略有欠缺，基本合理可行的得1-1.5分；</w:t>
            </w:r>
          </w:p>
          <w:p w14:paraId="24AA877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3）每项内容粗略、层次模糊、可行性较差的得0-1分；</w:t>
            </w:r>
          </w:p>
          <w:p w14:paraId="65E259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4）无相关内容不得分。</w:t>
            </w:r>
          </w:p>
        </w:tc>
        <w:tc>
          <w:tcPr>
            <w:tcW w:w="1008" w:type="dxa"/>
            <w:noWrap w:val="0"/>
            <w:vAlign w:val="center"/>
          </w:tcPr>
          <w:p w14:paraId="483FA2C2">
            <w:pPr>
              <w:keepNext w:val="0"/>
              <w:keepLines w:val="0"/>
              <w:pageBreakBefore w:val="0"/>
              <w:widowControl w:val="0"/>
              <w:kinsoku/>
              <w:wordWrap/>
              <w:overflowPunct/>
              <w:topLinePunct w:val="0"/>
              <w:bidi w:val="0"/>
              <w:snapToGrid/>
              <w:spacing w:line="288"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0-12分</w:t>
            </w:r>
          </w:p>
        </w:tc>
      </w:tr>
      <w:tr w14:paraId="5921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06" w:type="dxa"/>
            <w:vMerge w:val="restart"/>
            <w:noWrap w:val="0"/>
            <w:vAlign w:val="center"/>
          </w:tcPr>
          <w:p w14:paraId="6E80A97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w:t>
            </w:r>
          </w:p>
        </w:tc>
        <w:tc>
          <w:tcPr>
            <w:tcW w:w="1439" w:type="dxa"/>
            <w:vMerge w:val="restart"/>
            <w:noWrap w:val="0"/>
            <w:vAlign w:val="center"/>
          </w:tcPr>
          <w:p w14:paraId="22A7916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服务承诺</w:t>
            </w:r>
          </w:p>
        </w:tc>
        <w:tc>
          <w:tcPr>
            <w:tcW w:w="6802" w:type="dxa"/>
            <w:noWrap w:val="0"/>
            <w:vAlign w:val="center"/>
          </w:tcPr>
          <w:p w14:paraId="6BF321B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根据投标人针对本项目的服务承诺进行打分，具体为：</w:t>
            </w:r>
          </w:p>
          <w:p w14:paraId="2F3F6AC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1.根据投标人针对本项目服务质量及保证措施是否具有针对性、完整合理、切实可行等打分，0-2分；</w:t>
            </w:r>
          </w:p>
          <w:p w14:paraId="05A066D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2.根据投标人针对本项目菜肴创新是否具有针对性、完整合理、切实可行等打分，0-2分；</w:t>
            </w:r>
          </w:p>
          <w:p w14:paraId="3EA76C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3.根据投标人针对本项目投诉渠道是否具有针对性、完整合理、切实可行等打分，0-2分；</w:t>
            </w:r>
          </w:p>
          <w:p w14:paraId="5E4AA0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4.根据投标人针对本项目售后服务规范措施是否具有针对性、完整合理、切实可行等打分，0-2分。</w:t>
            </w:r>
          </w:p>
          <w:p w14:paraId="3437B90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w:t>
            </w:r>
          </w:p>
          <w:p w14:paraId="72684D9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1）每项内容完整全面、科学合理、可行性强的得1.5-2分；</w:t>
            </w:r>
          </w:p>
          <w:p w14:paraId="1486359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2）每项内容略有欠缺，基本合理可行的得1-1.5分；</w:t>
            </w:r>
          </w:p>
          <w:p w14:paraId="60E92F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3）每项内容粗略、层次模糊、可行性较差的得0-1分；</w:t>
            </w:r>
          </w:p>
          <w:p w14:paraId="637E58B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4）无相关内容不得分。</w:t>
            </w:r>
          </w:p>
        </w:tc>
        <w:tc>
          <w:tcPr>
            <w:tcW w:w="1008" w:type="dxa"/>
            <w:noWrap w:val="0"/>
            <w:vAlign w:val="center"/>
          </w:tcPr>
          <w:p w14:paraId="42F05605">
            <w:pPr>
              <w:keepNext w:val="0"/>
              <w:keepLines w:val="0"/>
              <w:pageBreakBefore w:val="0"/>
              <w:widowControl w:val="0"/>
              <w:kinsoku/>
              <w:wordWrap/>
              <w:overflowPunct/>
              <w:topLinePunct w:val="0"/>
              <w:bidi w:val="0"/>
              <w:snapToGrid/>
              <w:spacing w:line="288"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0-8分</w:t>
            </w:r>
          </w:p>
        </w:tc>
      </w:tr>
      <w:tr w14:paraId="14BB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06" w:type="dxa"/>
            <w:vMerge w:val="continue"/>
            <w:noWrap w:val="0"/>
            <w:vAlign w:val="center"/>
          </w:tcPr>
          <w:p w14:paraId="7ED92C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b/>
                <w:bCs w:val="0"/>
                <w:color w:val="auto"/>
                <w:highlight w:val="none"/>
              </w:rPr>
            </w:pPr>
          </w:p>
        </w:tc>
        <w:tc>
          <w:tcPr>
            <w:tcW w:w="1439" w:type="dxa"/>
            <w:vMerge w:val="continue"/>
            <w:noWrap w:val="0"/>
            <w:vAlign w:val="center"/>
          </w:tcPr>
          <w:p w14:paraId="570670A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b/>
                <w:bCs w:val="0"/>
                <w:color w:val="auto"/>
                <w:highlight w:val="none"/>
              </w:rPr>
            </w:pPr>
          </w:p>
        </w:tc>
        <w:tc>
          <w:tcPr>
            <w:tcW w:w="6802" w:type="dxa"/>
            <w:noWrap w:val="0"/>
            <w:vAlign w:val="center"/>
          </w:tcPr>
          <w:p w14:paraId="6592599F">
            <w:pPr>
              <w:keepNext w:val="0"/>
              <w:keepLines w:val="0"/>
              <w:pageBreakBefore w:val="0"/>
              <w:wordWrap/>
              <w:topLinePunct w:val="0"/>
              <w:bidi w:val="0"/>
              <w:spacing w:beforeAutospacing="0" w:afterAutospacing="0" w:line="360" w:lineRule="exact"/>
              <w:jc w:val="left"/>
              <w:rPr>
                <w:rFonts w:hint="default" w:ascii="仿宋" w:hAnsi="仿宋" w:eastAsia="仿宋" w:cs="宋体"/>
                <w:bCs/>
                <w:color w:val="auto"/>
                <w:kern w:val="2"/>
                <w:sz w:val="24"/>
                <w:szCs w:val="24"/>
                <w:highlight w:val="none"/>
                <w:lang w:val="en-US" w:eastAsia="zh-CN" w:bidi="ar-SA"/>
              </w:rPr>
            </w:pPr>
            <w:r>
              <w:rPr>
                <w:rFonts w:hint="default" w:ascii="仿宋" w:hAnsi="仿宋" w:eastAsia="仿宋" w:cs="宋体"/>
                <w:bCs/>
                <w:color w:val="auto"/>
                <w:kern w:val="2"/>
                <w:sz w:val="24"/>
                <w:szCs w:val="24"/>
                <w:highlight w:val="none"/>
                <w:lang w:val="en-US" w:eastAsia="zh-CN" w:bidi="ar-SA"/>
              </w:rPr>
              <w:t>承诺在接到采购人服务要求（通知）后</w:t>
            </w:r>
            <w:r>
              <w:rPr>
                <w:rFonts w:hint="eastAsia" w:ascii="仿宋" w:hAnsi="仿宋" w:eastAsia="仿宋" w:cs="宋体"/>
                <w:bCs/>
                <w:color w:val="auto"/>
                <w:kern w:val="2"/>
                <w:sz w:val="24"/>
                <w:szCs w:val="24"/>
                <w:highlight w:val="none"/>
                <w:lang w:val="en-US" w:eastAsia="zh-CN" w:bidi="ar-SA"/>
              </w:rPr>
              <w:t>，12</w:t>
            </w:r>
            <w:r>
              <w:rPr>
                <w:rFonts w:hint="default" w:ascii="仿宋" w:hAnsi="仿宋" w:eastAsia="仿宋" w:cs="宋体"/>
                <w:bCs/>
                <w:color w:val="auto"/>
                <w:kern w:val="2"/>
                <w:sz w:val="24"/>
                <w:szCs w:val="24"/>
                <w:highlight w:val="none"/>
                <w:lang w:val="en-US" w:eastAsia="zh-CN" w:bidi="ar-SA"/>
              </w:rPr>
              <w:t>小时内响应并安排</w:t>
            </w:r>
            <w:r>
              <w:rPr>
                <w:rFonts w:hint="eastAsia" w:ascii="仿宋" w:hAnsi="仿宋" w:eastAsia="仿宋" w:cs="宋体"/>
                <w:bCs/>
                <w:color w:val="auto"/>
                <w:kern w:val="2"/>
                <w:sz w:val="24"/>
                <w:szCs w:val="24"/>
                <w:highlight w:val="none"/>
                <w:lang w:val="en-US" w:eastAsia="zh-CN" w:bidi="ar-SA"/>
              </w:rPr>
              <w:t>工作</w:t>
            </w:r>
            <w:r>
              <w:rPr>
                <w:rFonts w:hint="default" w:ascii="仿宋" w:hAnsi="仿宋" w:eastAsia="仿宋" w:cs="宋体"/>
                <w:bCs/>
                <w:color w:val="auto"/>
                <w:kern w:val="2"/>
                <w:sz w:val="24"/>
                <w:szCs w:val="24"/>
                <w:highlight w:val="none"/>
                <w:lang w:val="en-US" w:eastAsia="zh-CN" w:bidi="ar-SA"/>
              </w:rPr>
              <w:t>人员到</w:t>
            </w:r>
            <w:r>
              <w:rPr>
                <w:rFonts w:hint="eastAsia" w:ascii="仿宋" w:hAnsi="仿宋" w:eastAsia="仿宋" w:cs="宋体"/>
                <w:bCs/>
                <w:color w:val="auto"/>
                <w:kern w:val="2"/>
                <w:sz w:val="24"/>
                <w:szCs w:val="24"/>
                <w:highlight w:val="none"/>
                <w:lang w:val="en-US" w:eastAsia="zh-CN" w:bidi="ar-SA"/>
              </w:rPr>
              <w:t>岗</w:t>
            </w:r>
            <w:r>
              <w:rPr>
                <w:rFonts w:hint="default" w:ascii="仿宋" w:hAnsi="仿宋" w:eastAsia="仿宋" w:cs="宋体"/>
                <w:bCs/>
                <w:color w:val="auto"/>
                <w:kern w:val="2"/>
                <w:sz w:val="24"/>
                <w:szCs w:val="24"/>
                <w:highlight w:val="none"/>
                <w:lang w:val="en-US" w:eastAsia="zh-CN" w:bidi="ar-SA"/>
              </w:rPr>
              <w:t>提供服务的得</w:t>
            </w:r>
            <w:r>
              <w:rPr>
                <w:rFonts w:hint="eastAsia" w:ascii="仿宋" w:hAnsi="仿宋" w:eastAsia="仿宋" w:cs="宋体"/>
                <w:bCs/>
                <w:color w:val="auto"/>
                <w:kern w:val="2"/>
                <w:sz w:val="24"/>
                <w:szCs w:val="24"/>
                <w:highlight w:val="none"/>
                <w:lang w:val="en-US" w:eastAsia="zh-CN" w:bidi="ar-SA"/>
              </w:rPr>
              <w:t>4</w:t>
            </w:r>
            <w:r>
              <w:rPr>
                <w:rFonts w:hint="default" w:ascii="仿宋" w:hAnsi="仿宋" w:eastAsia="仿宋" w:cs="宋体"/>
                <w:bCs/>
                <w:color w:val="auto"/>
                <w:kern w:val="2"/>
                <w:sz w:val="24"/>
                <w:szCs w:val="24"/>
                <w:highlight w:val="none"/>
                <w:lang w:val="en-US" w:eastAsia="zh-CN" w:bidi="ar-SA"/>
              </w:rPr>
              <w:t>分</w:t>
            </w:r>
            <w:r>
              <w:rPr>
                <w:rFonts w:hint="eastAsia" w:ascii="仿宋" w:hAnsi="仿宋" w:eastAsia="仿宋" w:cs="宋体"/>
                <w:bCs/>
                <w:color w:val="auto"/>
                <w:kern w:val="2"/>
                <w:sz w:val="24"/>
                <w:szCs w:val="24"/>
                <w:highlight w:val="none"/>
                <w:lang w:val="en-US" w:eastAsia="zh-CN" w:bidi="ar-SA"/>
              </w:rPr>
              <w:t>；24</w:t>
            </w:r>
            <w:r>
              <w:rPr>
                <w:rFonts w:hint="default" w:ascii="仿宋" w:hAnsi="仿宋" w:eastAsia="仿宋" w:cs="宋体"/>
                <w:bCs/>
                <w:color w:val="auto"/>
                <w:kern w:val="2"/>
                <w:sz w:val="24"/>
                <w:szCs w:val="24"/>
                <w:highlight w:val="none"/>
                <w:lang w:val="en-US" w:eastAsia="zh-CN" w:bidi="ar-SA"/>
              </w:rPr>
              <w:t>小时内响应并安排</w:t>
            </w:r>
            <w:r>
              <w:rPr>
                <w:rFonts w:hint="eastAsia" w:ascii="仿宋" w:hAnsi="仿宋" w:eastAsia="仿宋" w:cs="宋体"/>
                <w:bCs/>
                <w:color w:val="auto"/>
                <w:kern w:val="2"/>
                <w:sz w:val="24"/>
                <w:szCs w:val="24"/>
                <w:highlight w:val="none"/>
                <w:lang w:val="en-US" w:eastAsia="zh-CN" w:bidi="ar-SA"/>
              </w:rPr>
              <w:t>工作人员</w:t>
            </w:r>
            <w:r>
              <w:rPr>
                <w:rFonts w:hint="default" w:ascii="仿宋" w:hAnsi="仿宋" w:eastAsia="仿宋" w:cs="宋体"/>
                <w:bCs/>
                <w:color w:val="auto"/>
                <w:kern w:val="2"/>
                <w:sz w:val="24"/>
                <w:szCs w:val="24"/>
                <w:highlight w:val="none"/>
                <w:lang w:val="en-US" w:eastAsia="zh-CN" w:bidi="ar-SA"/>
              </w:rPr>
              <w:t>到</w:t>
            </w:r>
            <w:r>
              <w:rPr>
                <w:rFonts w:hint="eastAsia" w:ascii="仿宋" w:hAnsi="仿宋" w:eastAsia="仿宋" w:cs="宋体"/>
                <w:bCs/>
                <w:color w:val="auto"/>
                <w:kern w:val="2"/>
                <w:sz w:val="24"/>
                <w:szCs w:val="24"/>
                <w:highlight w:val="none"/>
                <w:lang w:val="en-US" w:eastAsia="zh-CN" w:bidi="ar-SA"/>
              </w:rPr>
              <w:t>岗</w:t>
            </w:r>
            <w:r>
              <w:rPr>
                <w:rFonts w:hint="default" w:ascii="仿宋" w:hAnsi="仿宋" w:eastAsia="仿宋" w:cs="宋体"/>
                <w:bCs/>
                <w:color w:val="auto"/>
                <w:kern w:val="2"/>
                <w:sz w:val="24"/>
                <w:szCs w:val="24"/>
                <w:highlight w:val="none"/>
                <w:lang w:val="en-US" w:eastAsia="zh-CN" w:bidi="ar-SA"/>
              </w:rPr>
              <w:t>提供服务的得</w:t>
            </w:r>
            <w:r>
              <w:rPr>
                <w:rFonts w:hint="eastAsia" w:ascii="仿宋" w:hAnsi="仿宋" w:eastAsia="仿宋" w:cs="宋体"/>
                <w:bCs/>
                <w:color w:val="auto"/>
                <w:kern w:val="2"/>
                <w:sz w:val="24"/>
                <w:szCs w:val="24"/>
                <w:highlight w:val="none"/>
                <w:lang w:val="en-US" w:eastAsia="zh-CN" w:bidi="ar-SA"/>
              </w:rPr>
              <w:t>2</w:t>
            </w:r>
            <w:r>
              <w:rPr>
                <w:rFonts w:hint="default" w:ascii="仿宋" w:hAnsi="仿宋" w:eastAsia="仿宋" w:cs="宋体"/>
                <w:bCs/>
                <w:color w:val="auto"/>
                <w:kern w:val="2"/>
                <w:sz w:val="24"/>
                <w:szCs w:val="24"/>
                <w:highlight w:val="none"/>
                <w:lang w:val="en-US" w:eastAsia="zh-CN" w:bidi="ar-SA"/>
              </w:rPr>
              <w:t>分</w:t>
            </w:r>
            <w:r>
              <w:rPr>
                <w:rFonts w:hint="eastAsia" w:ascii="仿宋" w:hAnsi="仿宋" w:eastAsia="仿宋" w:cs="宋体"/>
                <w:bCs/>
                <w:color w:val="auto"/>
                <w:kern w:val="2"/>
                <w:sz w:val="24"/>
                <w:szCs w:val="24"/>
                <w:highlight w:val="none"/>
                <w:lang w:val="en-US" w:eastAsia="zh-CN" w:bidi="ar-SA"/>
              </w:rPr>
              <w:t>；</w:t>
            </w:r>
            <w:r>
              <w:rPr>
                <w:rFonts w:hint="default" w:ascii="仿宋" w:hAnsi="仿宋" w:eastAsia="仿宋" w:cs="宋体"/>
                <w:bCs/>
                <w:color w:val="auto"/>
                <w:kern w:val="2"/>
                <w:sz w:val="24"/>
                <w:szCs w:val="24"/>
                <w:highlight w:val="none"/>
                <w:lang w:val="en-US" w:eastAsia="zh-CN" w:bidi="ar-SA"/>
              </w:rPr>
              <w:t>不能承诺不得分。</w:t>
            </w:r>
          </w:p>
          <w:p w14:paraId="4C9777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kern w:val="0"/>
                <w:sz w:val="24"/>
                <w:szCs w:val="24"/>
                <w:highlight w:val="none"/>
              </w:rPr>
              <w:t>注：商务技术文件中</w:t>
            </w:r>
            <w:r>
              <w:rPr>
                <w:rFonts w:hint="eastAsia" w:ascii="仿宋" w:hAnsi="仿宋" w:eastAsia="仿宋" w:cs="仿宋"/>
                <w:b/>
                <w:bCs/>
                <w:color w:val="auto"/>
                <w:kern w:val="0"/>
                <w:sz w:val="24"/>
                <w:szCs w:val="24"/>
                <w:highlight w:val="none"/>
                <w:lang w:val="en-US" w:eastAsia="zh-CN"/>
              </w:rPr>
              <w:t>须</w:t>
            </w:r>
            <w:r>
              <w:rPr>
                <w:rFonts w:hint="default" w:ascii="仿宋" w:hAnsi="仿宋" w:eastAsia="仿宋" w:cs="仿宋"/>
                <w:b/>
                <w:bCs/>
                <w:color w:val="auto"/>
                <w:kern w:val="0"/>
                <w:sz w:val="24"/>
                <w:szCs w:val="24"/>
                <w:highlight w:val="none"/>
                <w:lang w:val="en-US" w:eastAsia="zh-CN"/>
              </w:rPr>
              <w:t>提供满足要求的相关承诺函（格式自拟）并加盖投标人</w:t>
            </w:r>
            <w:r>
              <w:rPr>
                <w:rFonts w:hint="eastAsia" w:ascii="仿宋" w:hAnsi="仿宋" w:eastAsia="仿宋" w:cs="仿宋"/>
                <w:b/>
                <w:bCs/>
                <w:color w:val="auto"/>
                <w:kern w:val="0"/>
                <w:sz w:val="24"/>
                <w:szCs w:val="24"/>
                <w:highlight w:val="none"/>
                <w:lang w:val="en-US" w:eastAsia="zh-CN"/>
              </w:rPr>
              <w:t>CA签</w:t>
            </w:r>
            <w:r>
              <w:rPr>
                <w:rFonts w:hint="default" w:ascii="仿宋" w:hAnsi="仿宋" w:eastAsia="仿宋" w:cs="仿宋"/>
                <w:b/>
                <w:bCs/>
                <w:color w:val="auto"/>
                <w:kern w:val="0"/>
                <w:sz w:val="24"/>
                <w:szCs w:val="24"/>
                <w:highlight w:val="none"/>
                <w:lang w:val="en-US" w:eastAsia="zh-CN"/>
              </w:rPr>
              <w:t>章，否则不得分。</w:t>
            </w:r>
          </w:p>
        </w:tc>
        <w:tc>
          <w:tcPr>
            <w:tcW w:w="1008" w:type="dxa"/>
            <w:noWrap w:val="0"/>
            <w:vAlign w:val="center"/>
          </w:tcPr>
          <w:p w14:paraId="36BCC97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right="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0-4分</w:t>
            </w:r>
          </w:p>
        </w:tc>
      </w:tr>
      <w:tr w14:paraId="5A96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1D6B59C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leftChars="0" w:right="0" w:rightChars="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9</w:t>
            </w:r>
          </w:p>
        </w:tc>
        <w:tc>
          <w:tcPr>
            <w:tcW w:w="1439" w:type="dxa"/>
            <w:noWrap w:val="0"/>
            <w:vAlign w:val="center"/>
          </w:tcPr>
          <w:p w14:paraId="19976045">
            <w:pPr>
              <w:pStyle w:val="27"/>
              <w:keepNext w:val="0"/>
              <w:keepLines w:val="0"/>
              <w:pageBreakBefore w:val="0"/>
              <w:widowControl w:val="0"/>
              <w:kinsoku/>
              <w:wordWrap/>
              <w:overflowPunct/>
              <w:topLinePunct w:val="0"/>
              <w:bidi w:val="0"/>
              <w:snapToGrid/>
              <w:spacing w:after="0" w:afterLines="0" w:line="240" w:lineRule="auto"/>
              <w:jc w:val="center"/>
              <w:textAlignment w:val="auto"/>
              <w:rPr>
                <w:rFonts w:hint="eastAsia"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安全、卫生保障及应急处置方案</w:t>
            </w:r>
          </w:p>
          <w:p w14:paraId="36FC27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288" w:lineRule="auto"/>
              <w:ind w:left="0" w:leftChars="0" w:right="0" w:rightChars="0"/>
              <w:jc w:val="center"/>
              <w:textAlignment w:val="auto"/>
              <w:rPr>
                <w:rFonts w:hint="eastAsia" w:ascii="仿宋" w:hAnsi="仿宋" w:eastAsia="仿宋" w:cs="仿宋"/>
                <w:b/>
                <w:bCs w:val="0"/>
                <w:color w:val="auto"/>
                <w:sz w:val="24"/>
                <w:szCs w:val="24"/>
                <w:highlight w:val="none"/>
                <w:lang w:val="en-US" w:eastAsia="zh-CN"/>
              </w:rPr>
            </w:pPr>
          </w:p>
        </w:tc>
        <w:tc>
          <w:tcPr>
            <w:tcW w:w="6802" w:type="dxa"/>
            <w:noWrap w:val="0"/>
            <w:vAlign w:val="center"/>
          </w:tcPr>
          <w:p w14:paraId="28CAFF6A">
            <w:pPr>
              <w:keepNext w:val="0"/>
              <w:keepLines w:val="0"/>
              <w:pageBreakBefore w:val="0"/>
              <w:widowControl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1.根据投标人提供的卫生保障方案（包括人员卫生、环境卫生、食品卫生、</w:t>
            </w:r>
            <w:r>
              <w:rPr>
                <w:rFonts w:hint="eastAsia" w:ascii="仿宋" w:hAnsi="仿宋" w:eastAsia="仿宋" w:cs="仿宋"/>
                <w:color w:val="auto"/>
                <w:sz w:val="24"/>
                <w:szCs w:val="24"/>
                <w:highlight w:val="none"/>
                <w:lang w:val="zh-CN" w:eastAsia="zh-CN"/>
              </w:rPr>
              <w:t>餐饮具清洗消毒保洁管理、厨余垃圾处置管理</w:t>
            </w:r>
            <w:r>
              <w:rPr>
                <w:rFonts w:hint="eastAsia" w:ascii="仿宋" w:hAnsi="仿宋" w:eastAsia="仿宋" w:cs="仿宋"/>
                <w:color w:val="auto"/>
                <w:sz w:val="24"/>
                <w:szCs w:val="24"/>
                <w:highlight w:val="none"/>
                <w:lang w:val="en-US" w:eastAsia="zh-CN"/>
              </w:rPr>
              <w:t>等）是否具有针对性、完整合理、切实可行等打分，0-2分。</w:t>
            </w:r>
          </w:p>
          <w:p w14:paraId="421AA215">
            <w:pPr>
              <w:keepNext w:val="0"/>
              <w:keepLines w:val="0"/>
              <w:pageBreakBefore w:val="0"/>
              <w:widowControl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2.根据投标人提供的安全保障方案（包括食品安全、操作安全、消防安全等）是否具有针对性、完整合理、切实可行等打分，0-2分。</w:t>
            </w:r>
          </w:p>
          <w:p w14:paraId="7F8D3262">
            <w:pPr>
              <w:keepNext w:val="0"/>
              <w:keepLines w:val="0"/>
              <w:pageBreakBefore w:val="0"/>
              <w:widowControl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3.根据投标人针对本项目提供的突发事件应急预案及保障措施（包括食物中毒、消防等事故应急处置措施）是否具有针对性、完整合理、切实可行等打分，0-2分。</w:t>
            </w:r>
          </w:p>
          <w:p w14:paraId="62DFAAEE">
            <w:pPr>
              <w:keepNext w:val="0"/>
              <w:keepLines w:val="0"/>
              <w:pageBreakBefore w:val="0"/>
              <w:widowControl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1）每项内容完整全面、科学合理、可行性强的得1.5-2分；</w:t>
            </w:r>
          </w:p>
          <w:p w14:paraId="23114946">
            <w:pPr>
              <w:keepNext w:val="0"/>
              <w:keepLines w:val="0"/>
              <w:pageBreakBefore w:val="0"/>
              <w:widowControl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2）每项内容略有欠缺，基本合理可行的得1-1.5分；</w:t>
            </w:r>
          </w:p>
          <w:p w14:paraId="1A8F225B">
            <w:pPr>
              <w:keepNext w:val="0"/>
              <w:keepLines w:val="0"/>
              <w:pageBreakBefore w:val="0"/>
              <w:widowControl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3）每项内容粗略、层次模糊、可行性较差的得0-1分；</w:t>
            </w:r>
          </w:p>
          <w:p w14:paraId="3430A640">
            <w:pPr>
              <w:keepNext w:val="0"/>
              <w:keepLines w:val="0"/>
              <w:pageBreakBefore w:val="0"/>
              <w:widowControl w:val="0"/>
              <w:kinsoku/>
              <w:wordWrap/>
              <w:overflowPunct/>
              <w:topLinePunct w:val="0"/>
              <w:bidi w:val="0"/>
              <w:snapToGrid/>
              <w:spacing w:line="288" w:lineRule="auto"/>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4）无相关内容不得分。</w:t>
            </w:r>
          </w:p>
        </w:tc>
        <w:tc>
          <w:tcPr>
            <w:tcW w:w="1008" w:type="dxa"/>
            <w:noWrap w:val="0"/>
            <w:vAlign w:val="center"/>
          </w:tcPr>
          <w:p w14:paraId="1F5526B3">
            <w:pPr>
              <w:keepNext w:val="0"/>
              <w:keepLines w:val="0"/>
              <w:pageBreakBefore w:val="0"/>
              <w:widowControl w:val="0"/>
              <w:kinsoku/>
              <w:wordWrap/>
              <w:overflowPunct/>
              <w:topLinePunct w:val="0"/>
              <w:bidi w:val="0"/>
              <w:snapToGrid/>
              <w:spacing w:line="288"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0-6分</w:t>
            </w:r>
          </w:p>
        </w:tc>
      </w:tr>
    </w:tbl>
    <w:p w14:paraId="7B4C5F8F">
      <w:pP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color w:val="auto"/>
          <w:sz w:val="24"/>
          <w:szCs w:val="24"/>
          <w:highlight w:val="none"/>
        </w:rPr>
        <w:t>本次评审通过资格审查和符合性评审的</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全部入围进行报价评审。</w:t>
      </w:r>
    </w:p>
    <w:p w14:paraId="0125944A">
      <w:pPr>
        <w:rPr>
          <w:color w:val="auto"/>
          <w:highlight w:val="none"/>
        </w:rPr>
      </w:pPr>
      <w:r>
        <w:rPr>
          <w:color w:val="auto"/>
          <w:highlight w:val="none"/>
        </w:rPr>
        <w:br w:type="page"/>
      </w:r>
    </w:p>
    <w:p w14:paraId="3EF224C4">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rPr>
      </w:pPr>
      <w:bookmarkStart w:id="22" w:name="_Toc125344512"/>
      <w:r>
        <w:rPr>
          <w:rFonts w:hint="eastAsia" w:ascii="宋体" w:hAnsi="宋体" w:eastAsia="宋体" w:cs="宋体"/>
          <w:b/>
          <w:bCs/>
          <w:color w:val="auto"/>
          <w:sz w:val="36"/>
          <w:szCs w:val="36"/>
          <w:highlight w:val="none"/>
          <w:lang w:val="en-US" w:eastAsia="zh-CN"/>
        </w:rPr>
        <w:t>第四章  采购需求</w:t>
      </w:r>
      <w:bookmarkEnd w:id="22"/>
    </w:p>
    <w:p w14:paraId="1512763D">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食堂基本情况</w:t>
      </w:r>
    </w:p>
    <w:p w14:paraId="305BBF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1、食堂地点：</w:t>
      </w:r>
    </w:p>
    <w:p w14:paraId="7670A9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诸暨市公共交通有限公司食堂设置在诸暨市越都路18号。</w:t>
      </w:r>
    </w:p>
    <w:p w14:paraId="4FC1DE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2、用餐情况：</w:t>
      </w:r>
    </w:p>
    <w:p w14:paraId="023A797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left"/>
        <w:textAlignment w:val="auto"/>
        <w:rPr>
          <w:rFonts w:hint="default"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（1）提供周一至周五早、中（中餐烧2次）、晚餐；周六至周日中、晚餐服务。</w:t>
      </w:r>
    </w:p>
    <w:p w14:paraId="719766C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（2）全体加班或特殊情况需提供加班餐的，办公室另行通知，必须供应充足。</w:t>
      </w:r>
    </w:p>
    <w:p w14:paraId="48A43D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（3）食堂主要设备设施按食品安全相关要求配置。</w:t>
      </w:r>
    </w:p>
    <w:p w14:paraId="4FDE4316">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食堂工作人员配备要求</w:t>
      </w:r>
    </w:p>
    <w:p w14:paraId="2A3ED2C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工作人员要求</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人，</w:t>
      </w:r>
      <w:r>
        <w:rPr>
          <w:rFonts w:hint="eastAsia" w:ascii="仿宋" w:hAnsi="仿宋" w:eastAsia="仿宋" w:cs="仿宋"/>
          <w:color w:val="auto"/>
          <w:sz w:val="24"/>
          <w:highlight w:val="none"/>
          <w:lang w:val="en-US" w:eastAsia="zh-CN"/>
        </w:rPr>
        <w:t>其中厨师2人，副厨1人，面点师1人，配送员1人，帮厨8人</w:t>
      </w:r>
      <w:r>
        <w:rPr>
          <w:rFonts w:hint="eastAsia" w:ascii="仿宋" w:hAnsi="仿宋" w:eastAsia="仿宋" w:cs="仿宋"/>
          <w:color w:val="auto"/>
          <w:sz w:val="24"/>
          <w:highlight w:val="none"/>
          <w:lang w:eastAsia="zh-CN"/>
        </w:rPr>
        <w:t>。</w:t>
      </w:r>
    </w:p>
    <w:p w14:paraId="541D010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2、年龄要求：男性在63周岁以下、女性在58周岁以下，技术优秀者可适当放宽；持健康证、职业素质强，所有工作人员必须挂牌上岗。</w:t>
      </w:r>
    </w:p>
    <w:p w14:paraId="736F8238">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3、食堂人员配置及薪资标准</w:t>
      </w:r>
    </w:p>
    <w:tbl>
      <w:tblPr>
        <w:tblStyle w:val="20"/>
        <w:tblW w:w="10281" w:type="dxa"/>
        <w:jc w:val="center"/>
        <w:tblLayout w:type="fixed"/>
        <w:tblCellMar>
          <w:top w:w="0" w:type="dxa"/>
          <w:left w:w="108" w:type="dxa"/>
          <w:bottom w:w="0" w:type="dxa"/>
          <w:right w:w="108" w:type="dxa"/>
        </w:tblCellMar>
      </w:tblPr>
      <w:tblGrid>
        <w:gridCol w:w="744"/>
        <w:gridCol w:w="2355"/>
        <w:gridCol w:w="1245"/>
        <w:gridCol w:w="2213"/>
        <w:gridCol w:w="1995"/>
        <w:gridCol w:w="1729"/>
      </w:tblGrid>
      <w:tr w14:paraId="38E7D3E8">
        <w:tblPrEx>
          <w:tblCellMar>
            <w:top w:w="0" w:type="dxa"/>
            <w:left w:w="108" w:type="dxa"/>
            <w:bottom w:w="0" w:type="dxa"/>
            <w:right w:w="108" w:type="dxa"/>
          </w:tblCellMar>
        </w:tblPrEx>
        <w:trPr>
          <w:trHeight w:val="23" w:hRule="atLeast"/>
          <w:jc w:val="center"/>
        </w:trPr>
        <w:tc>
          <w:tcPr>
            <w:tcW w:w="744" w:type="dxa"/>
            <w:tcBorders>
              <w:top w:val="single" w:color="000000" w:sz="4" w:space="0"/>
              <w:left w:val="single" w:color="000000" w:sz="4" w:space="0"/>
              <w:bottom w:val="single" w:color="000000" w:sz="4" w:space="0"/>
              <w:right w:val="single" w:color="auto" w:sz="4" w:space="0"/>
            </w:tcBorders>
            <w:noWrap w:val="0"/>
            <w:vAlign w:val="center"/>
          </w:tcPr>
          <w:p w14:paraId="5EB79430">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2355" w:type="dxa"/>
            <w:tcBorders>
              <w:top w:val="single" w:color="000000" w:sz="4" w:space="0"/>
              <w:left w:val="single" w:color="000000" w:sz="4" w:space="0"/>
              <w:bottom w:val="single" w:color="000000" w:sz="4" w:space="0"/>
              <w:right w:val="single" w:color="auto" w:sz="4" w:space="0"/>
            </w:tcBorders>
            <w:noWrap w:val="0"/>
            <w:vAlign w:val="center"/>
          </w:tcPr>
          <w:p w14:paraId="20AD5563">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岗位</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14:paraId="61BA20F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人数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lang w:eastAsia="zh-CN"/>
              </w:rPr>
              <w:t>）</w:t>
            </w:r>
          </w:p>
        </w:tc>
        <w:tc>
          <w:tcPr>
            <w:tcW w:w="2213" w:type="dxa"/>
            <w:tcBorders>
              <w:top w:val="single" w:color="000000" w:sz="4" w:space="0"/>
              <w:left w:val="single" w:color="auto" w:sz="4" w:space="0"/>
              <w:bottom w:val="single" w:color="000000" w:sz="4" w:space="0"/>
              <w:right w:val="single" w:color="000000" w:sz="4" w:space="0"/>
            </w:tcBorders>
            <w:noWrap w:val="0"/>
            <w:vAlign w:val="center"/>
          </w:tcPr>
          <w:p w14:paraId="284514E8">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平均薪资（</w:t>
            </w:r>
            <w:r>
              <w:rPr>
                <w:rFonts w:hint="eastAsia" w:ascii="仿宋" w:hAnsi="仿宋" w:eastAsia="仿宋" w:cs="仿宋"/>
                <w:color w:val="auto"/>
                <w:sz w:val="24"/>
                <w:szCs w:val="24"/>
                <w:highlight w:val="none"/>
                <w:lang w:val="en-US" w:eastAsia="zh-CN"/>
              </w:rPr>
              <w:t>元/月</w:t>
            </w:r>
            <w:r>
              <w:rPr>
                <w:rFonts w:hint="eastAsia" w:ascii="仿宋" w:hAnsi="仿宋" w:eastAsia="仿宋" w:cs="仿宋"/>
                <w:color w:val="auto"/>
                <w:kern w:val="0"/>
                <w:sz w:val="24"/>
                <w:szCs w:val="24"/>
                <w:highlight w:val="none"/>
                <w:lang w:val="en-US" w:eastAsia="zh-CN"/>
              </w:rPr>
              <w:t>）</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14:paraId="2BE63176">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服务期限（月）</w:t>
            </w:r>
          </w:p>
        </w:tc>
        <w:tc>
          <w:tcPr>
            <w:tcW w:w="1729" w:type="dxa"/>
            <w:tcBorders>
              <w:top w:val="single" w:color="000000" w:sz="4" w:space="0"/>
              <w:left w:val="single" w:color="auto" w:sz="4" w:space="0"/>
              <w:bottom w:val="single" w:color="000000" w:sz="4" w:space="0"/>
              <w:right w:val="single" w:color="000000" w:sz="4" w:space="0"/>
            </w:tcBorders>
            <w:noWrap w:val="0"/>
            <w:vAlign w:val="center"/>
          </w:tcPr>
          <w:p w14:paraId="7EF4B72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年合计（元）</w:t>
            </w:r>
          </w:p>
        </w:tc>
      </w:tr>
      <w:tr w14:paraId="63F22C58">
        <w:tblPrEx>
          <w:tblCellMar>
            <w:top w:w="0" w:type="dxa"/>
            <w:left w:w="108" w:type="dxa"/>
            <w:bottom w:w="0" w:type="dxa"/>
            <w:right w:w="108" w:type="dxa"/>
          </w:tblCellMar>
        </w:tblPrEx>
        <w:trPr>
          <w:trHeight w:val="376" w:hRule="atLeast"/>
          <w:jc w:val="center"/>
        </w:trPr>
        <w:tc>
          <w:tcPr>
            <w:tcW w:w="744" w:type="dxa"/>
            <w:tcBorders>
              <w:top w:val="single" w:color="000000" w:sz="4" w:space="0"/>
              <w:left w:val="single" w:color="000000" w:sz="4" w:space="0"/>
              <w:bottom w:val="single" w:color="000000" w:sz="4" w:space="0"/>
              <w:right w:val="single" w:color="auto" w:sz="4" w:space="0"/>
            </w:tcBorders>
            <w:noWrap w:val="0"/>
            <w:vAlign w:val="center"/>
          </w:tcPr>
          <w:p w14:paraId="464F7DC6">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55" w:type="dxa"/>
            <w:tcBorders>
              <w:top w:val="single" w:color="000000" w:sz="4" w:space="0"/>
              <w:left w:val="single" w:color="000000" w:sz="4" w:space="0"/>
              <w:bottom w:val="single" w:color="000000" w:sz="4" w:space="0"/>
              <w:right w:val="single" w:color="auto" w:sz="4" w:space="0"/>
            </w:tcBorders>
            <w:noWrap w:val="0"/>
            <w:vAlign w:val="center"/>
          </w:tcPr>
          <w:p w14:paraId="25852821">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厨师</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14:paraId="28E9D250">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213" w:type="dxa"/>
            <w:tcBorders>
              <w:top w:val="single" w:color="000000" w:sz="4" w:space="0"/>
              <w:left w:val="single" w:color="auto" w:sz="4" w:space="0"/>
              <w:bottom w:val="single" w:color="000000" w:sz="4" w:space="0"/>
              <w:right w:val="single" w:color="000000" w:sz="4" w:space="0"/>
            </w:tcBorders>
            <w:noWrap w:val="0"/>
            <w:vAlign w:val="center"/>
          </w:tcPr>
          <w:p w14:paraId="633116AA">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7660（含社保）</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14:paraId="62987F6C">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9" w:type="dxa"/>
            <w:tcBorders>
              <w:top w:val="single" w:color="000000" w:sz="4" w:space="0"/>
              <w:left w:val="single" w:color="auto" w:sz="4" w:space="0"/>
              <w:bottom w:val="single" w:color="000000" w:sz="4" w:space="0"/>
              <w:right w:val="single" w:color="000000" w:sz="4" w:space="0"/>
            </w:tcBorders>
            <w:noWrap w:val="0"/>
            <w:vAlign w:val="center"/>
          </w:tcPr>
          <w:p w14:paraId="755DAB05">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91920</w:t>
            </w:r>
          </w:p>
        </w:tc>
      </w:tr>
      <w:tr w14:paraId="39991B2E">
        <w:tblPrEx>
          <w:tblCellMar>
            <w:top w:w="0" w:type="dxa"/>
            <w:left w:w="108" w:type="dxa"/>
            <w:bottom w:w="0" w:type="dxa"/>
            <w:right w:w="108" w:type="dxa"/>
          </w:tblCellMar>
        </w:tblPrEx>
        <w:trPr>
          <w:trHeight w:val="376" w:hRule="atLeast"/>
          <w:jc w:val="center"/>
        </w:trPr>
        <w:tc>
          <w:tcPr>
            <w:tcW w:w="744" w:type="dxa"/>
            <w:tcBorders>
              <w:top w:val="single" w:color="000000" w:sz="4" w:space="0"/>
              <w:left w:val="single" w:color="000000" w:sz="4" w:space="0"/>
              <w:bottom w:val="single" w:color="000000" w:sz="4" w:space="0"/>
              <w:right w:val="single" w:color="auto" w:sz="4" w:space="0"/>
            </w:tcBorders>
            <w:noWrap w:val="0"/>
            <w:vAlign w:val="center"/>
          </w:tcPr>
          <w:p w14:paraId="10C3F6EA">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355" w:type="dxa"/>
            <w:tcBorders>
              <w:top w:val="single" w:color="000000" w:sz="4" w:space="0"/>
              <w:left w:val="single" w:color="000000" w:sz="4" w:space="0"/>
              <w:bottom w:val="single" w:color="000000" w:sz="4" w:space="0"/>
              <w:right w:val="single" w:color="auto" w:sz="4" w:space="0"/>
            </w:tcBorders>
            <w:noWrap w:val="0"/>
            <w:vAlign w:val="center"/>
          </w:tcPr>
          <w:p w14:paraId="1B6B79F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副厨</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14:paraId="5817B6B6">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13" w:type="dxa"/>
            <w:tcBorders>
              <w:top w:val="single" w:color="000000" w:sz="4" w:space="0"/>
              <w:left w:val="single" w:color="auto" w:sz="4" w:space="0"/>
              <w:bottom w:val="single" w:color="000000" w:sz="4" w:space="0"/>
              <w:right w:val="single" w:color="000000" w:sz="4" w:space="0"/>
            </w:tcBorders>
            <w:noWrap w:val="0"/>
            <w:vAlign w:val="center"/>
          </w:tcPr>
          <w:p w14:paraId="72BB5B68">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5577（含社保）</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14:paraId="79ED5AE1">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9" w:type="dxa"/>
            <w:tcBorders>
              <w:top w:val="single" w:color="000000" w:sz="4" w:space="0"/>
              <w:left w:val="single" w:color="auto" w:sz="4" w:space="0"/>
              <w:bottom w:val="single" w:color="000000" w:sz="4" w:space="0"/>
              <w:right w:val="single" w:color="000000" w:sz="4" w:space="0"/>
            </w:tcBorders>
            <w:noWrap w:val="0"/>
            <w:vAlign w:val="center"/>
          </w:tcPr>
          <w:p w14:paraId="345B07DE">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33462</w:t>
            </w:r>
          </w:p>
        </w:tc>
      </w:tr>
      <w:tr w14:paraId="0762F951">
        <w:tblPrEx>
          <w:tblCellMar>
            <w:top w:w="0" w:type="dxa"/>
            <w:left w:w="108" w:type="dxa"/>
            <w:bottom w:w="0" w:type="dxa"/>
            <w:right w:w="108" w:type="dxa"/>
          </w:tblCellMar>
        </w:tblPrEx>
        <w:trPr>
          <w:trHeight w:val="23" w:hRule="atLeast"/>
          <w:jc w:val="center"/>
        </w:trPr>
        <w:tc>
          <w:tcPr>
            <w:tcW w:w="744" w:type="dxa"/>
            <w:tcBorders>
              <w:top w:val="single" w:color="000000" w:sz="4" w:space="0"/>
              <w:left w:val="single" w:color="000000" w:sz="4" w:space="0"/>
              <w:bottom w:val="single" w:color="000000" w:sz="4" w:space="0"/>
              <w:right w:val="single" w:color="auto" w:sz="4" w:space="0"/>
            </w:tcBorders>
            <w:noWrap w:val="0"/>
            <w:vAlign w:val="center"/>
          </w:tcPr>
          <w:p w14:paraId="2676BA9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355" w:type="dxa"/>
            <w:tcBorders>
              <w:top w:val="single" w:color="000000" w:sz="4" w:space="0"/>
              <w:left w:val="single" w:color="000000" w:sz="4" w:space="0"/>
              <w:bottom w:val="single" w:color="000000" w:sz="4" w:space="0"/>
              <w:right w:val="single" w:color="auto" w:sz="4" w:space="0"/>
            </w:tcBorders>
            <w:noWrap w:val="0"/>
            <w:vAlign w:val="center"/>
          </w:tcPr>
          <w:p w14:paraId="78F0400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面点师</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14:paraId="3F2C7D23">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2213" w:type="dxa"/>
            <w:tcBorders>
              <w:top w:val="single" w:color="000000" w:sz="4" w:space="0"/>
              <w:left w:val="single" w:color="auto" w:sz="4" w:space="0"/>
              <w:bottom w:val="single" w:color="000000" w:sz="4" w:space="0"/>
              <w:right w:val="single" w:color="000000" w:sz="4" w:space="0"/>
            </w:tcBorders>
            <w:noWrap w:val="0"/>
            <w:vAlign w:val="center"/>
          </w:tcPr>
          <w:p w14:paraId="5DD57F1C">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5027（含社保）</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14:paraId="2E0C8B7D">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9" w:type="dxa"/>
            <w:tcBorders>
              <w:top w:val="single" w:color="000000" w:sz="4" w:space="0"/>
              <w:left w:val="single" w:color="auto" w:sz="4" w:space="0"/>
              <w:bottom w:val="single" w:color="000000" w:sz="4" w:space="0"/>
              <w:right w:val="single" w:color="000000" w:sz="4" w:space="0"/>
            </w:tcBorders>
            <w:noWrap w:val="0"/>
            <w:vAlign w:val="center"/>
          </w:tcPr>
          <w:p w14:paraId="5E0B7892">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30162</w:t>
            </w:r>
          </w:p>
        </w:tc>
      </w:tr>
      <w:tr w14:paraId="3F702450">
        <w:tblPrEx>
          <w:tblCellMar>
            <w:top w:w="0" w:type="dxa"/>
            <w:left w:w="108" w:type="dxa"/>
            <w:bottom w:w="0" w:type="dxa"/>
            <w:right w:w="108" w:type="dxa"/>
          </w:tblCellMar>
        </w:tblPrEx>
        <w:trPr>
          <w:trHeight w:val="90" w:hRule="atLeast"/>
          <w:jc w:val="center"/>
        </w:trPr>
        <w:tc>
          <w:tcPr>
            <w:tcW w:w="744" w:type="dxa"/>
            <w:tcBorders>
              <w:top w:val="single" w:color="000000" w:sz="4" w:space="0"/>
              <w:left w:val="single" w:color="000000" w:sz="4" w:space="0"/>
              <w:bottom w:val="single" w:color="000000" w:sz="4" w:space="0"/>
              <w:right w:val="single" w:color="auto" w:sz="4" w:space="0"/>
            </w:tcBorders>
            <w:noWrap w:val="0"/>
            <w:vAlign w:val="center"/>
          </w:tcPr>
          <w:p w14:paraId="5A6E2F9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355" w:type="dxa"/>
            <w:tcBorders>
              <w:top w:val="single" w:color="000000" w:sz="4" w:space="0"/>
              <w:left w:val="single" w:color="000000" w:sz="4" w:space="0"/>
              <w:bottom w:val="single" w:color="000000" w:sz="4" w:space="0"/>
              <w:right w:val="single" w:color="auto" w:sz="4" w:space="0"/>
            </w:tcBorders>
            <w:noWrap w:val="0"/>
            <w:vAlign w:val="center"/>
          </w:tcPr>
          <w:p w14:paraId="78CC1A88">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配送员</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14:paraId="321E835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13" w:type="dxa"/>
            <w:tcBorders>
              <w:top w:val="single" w:color="000000" w:sz="4" w:space="0"/>
              <w:left w:val="single" w:color="auto" w:sz="4" w:space="0"/>
              <w:bottom w:val="single" w:color="000000" w:sz="4" w:space="0"/>
              <w:right w:val="single" w:color="000000" w:sz="4" w:space="0"/>
            </w:tcBorders>
            <w:noWrap w:val="0"/>
            <w:vAlign w:val="center"/>
          </w:tcPr>
          <w:p w14:paraId="0754E647">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4550（含社保）</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14:paraId="3C40E92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9" w:type="dxa"/>
            <w:tcBorders>
              <w:top w:val="single" w:color="000000" w:sz="4" w:space="0"/>
              <w:left w:val="single" w:color="auto" w:sz="4" w:space="0"/>
              <w:bottom w:val="single" w:color="000000" w:sz="4" w:space="0"/>
              <w:right w:val="single" w:color="000000" w:sz="4" w:space="0"/>
            </w:tcBorders>
            <w:noWrap w:val="0"/>
            <w:vAlign w:val="center"/>
          </w:tcPr>
          <w:p w14:paraId="6E4756D2">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27300</w:t>
            </w:r>
          </w:p>
        </w:tc>
      </w:tr>
      <w:tr w14:paraId="40A4C125">
        <w:tblPrEx>
          <w:tblCellMar>
            <w:top w:w="0" w:type="dxa"/>
            <w:left w:w="108" w:type="dxa"/>
            <w:bottom w:w="0" w:type="dxa"/>
            <w:right w:w="108" w:type="dxa"/>
          </w:tblCellMar>
        </w:tblPrEx>
        <w:trPr>
          <w:trHeight w:val="23" w:hRule="atLeast"/>
          <w:jc w:val="center"/>
        </w:trPr>
        <w:tc>
          <w:tcPr>
            <w:tcW w:w="744" w:type="dxa"/>
            <w:tcBorders>
              <w:top w:val="single" w:color="000000" w:sz="4" w:space="0"/>
              <w:left w:val="single" w:color="000000" w:sz="4" w:space="0"/>
              <w:bottom w:val="single" w:color="000000" w:sz="4" w:space="0"/>
              <w:right w:val="single" w:color="auto" w:sz="4" w:space="0"/>
            </w:tcBorders>
            <w:noWrap w:val="0"/>
            <w:vAlign w:val="center"/>
          </w:tcPr>
          <w:p w14:paraId="58975642">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355" w:type="dxa"/>
            <w:tcBorders>
              <w:top w:val="single" w:color="000000" w:sz="4" w:space="0"/>
              <w:left w:val="single" w:color="000000" w:sz="4" w:space="0"/>
              <w:bottom w:val="single" w:color="000000" w:sz="4" w:space="0"/>
              <w:right w:val="single" w:color="auto" w:sz="4" w:space="0"/>
            </w:tcBorders>
            <w:noWrap w:val="0"/>
            <w:vAlign w:val="center"/>
          </w:tcPr>
          <w:p w14:paraId="15B0B63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帮厨1</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14:paraId="02749960">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213" w:type="dxa"/>
            <w:tcBorders>
              <w:top w:val="single" w:color="000000" w:sz="4" w:space="0"/>
              <w:left w:val="single" w:color="auto" w:sz="4" w:space="0"/>
              <w:bottom w:val="single" w:color="000000" w:sz="4" w:space="0"/>
              <w:right w:val="single" w:color="000000" w:sz="4" w:space="0"/>
            </w:tcBorders>
            <w:noWrap w:val="0"/>
            <w:vAlign w:val="center"/>
          </w:tcPr>
          <w:p w14:paraId="7A8B2246">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4277（含社保）</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14:paraId="2DD6CE0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9" w:type="dxa"/>
            <w:tcBorders>
              <w:top w:val="single" w:color="000000" w:sz="4" w:space="0"/>
              <w:left w:val="single" w:color="auto" w:sz="4" w:space="0"/>
              <w:bottom w:val="single" w:color="000000" w:sz="4" w:space="0"/>
              <w:right w:val="single" w:color="000000" w:sz="4" w:space="0"/>
            </w:tcBorders>
            <w:noWrap w:val="0"/>
            <w:vAlign w:val="center"/>
          </w:tcPr>
          <w:p w14:paraId="5C003E87">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128310</w:t>
            </w:r>
          </w:p>
        </w:tc>
      </w:tr>
      <w:tr w14:paraId="3FCF0F26">
        <w:tblPrEx>
          <w:tblCellMar>
            <w:top w:w="0" w:type="dxa"/>
            <w:left w:w="108" w:type="dxa"/>
            <w:bottom w:w="0" w:type="dxa"/>
            <w:right w:w="108" w:type="dxa"/>
          </w:tblCellMar>
        </w:tblPrEx>
        <w:trPr>
          <w:trHeight w:val="409" w:hRule="atLeast"/>
          <w:jc w:val="center"/>
        </w:trPr>
        <w:tc>
          <w:tcPr>
            <w:tcW w:w="744" w:type="dxa"/>
            <w:tcBorders>
              <w:top w:val="single" w:color="000000" w:sz="4" w:space="0"/>
              <w:left w:val="single" w:color="000000" w:sz="4" w:space="0"/>
              <w:bottom w:val="single" w:color="000000" w:sz="4" w:space="0"/>
              <w:right w:val="single" w:color="auto" w:sz="4" w:space="0"/>
            </w:tcBorders>
            <w:noWrap w:val="0"/>
            <w:vAlign w:val="center"/>
          </w:tcPr>
          <w:p w14:paraId="57B21C9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355" w:type="dxa"/>
            <w:tcBorders>
              <w:top w:val="single" w:color="000000" w:sz="4" w:space="0"/>
              <w:left w:val="single" w:color="000000" w:sz="4" w:space="0"/>
              <w:bottom w:val="single" w:color="000000" w:sz="4" w:space="0"/>
              <w:right w:val="single" w:color="auto" w:sz="4" w:space="0"/>
            </w:tcBorders>
            <w:noWrap w:val="0"/>
            <w:vAlign w:val="center"/>
          </w:tcPr>
          <w:p w14:paraId="492DDE41">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帮厨2</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14:paraId="62277903">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213" w:type="dxa"/>
            <w:tcBorders>
              <w:top w:val="single" w:color="000000" w:sz="4" w:space="0"/>
              <w:left w:val="single" w:color="auto" w:sz="4" w:space="0"/>
              <w:bottom w:val="single" w:color="000000" w:sz="4" w:space="0"/>
              <w:right w:val="single" w:color="000000" w:sz="4" w:space="0"/>
            </w:tcBorders>
            <w:noWrap w:val="0"/>
            <w:vAlign w:val="center"/>
          </w:tcPr>
          <w:p w14:paraId="76221F27">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3977（含社保）</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14:paraId="0CB26885">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9" w:type="dxa"/>
            <w:tcBorders>
              <w:top w:val="single" w:color="000000" w:sz="4" w:space="0"/>
              <w:left w:val="single" w:color="auto" w:sz="4" w:space="0"/>
              <w:bottom w:val="single" w:color="000000" w:sz="4" w:space="0"/>
              <w:right w:val="single" w:color="000000" w:sz="4" w:space="0"/>
            </w:tcBorders>
            <w:noWrap w:val="0"/>
            <w:vAlign w:val="center"/>
          </w:tcPr>
          <w:p w14:paraId="1C345FC4">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71586</w:t>
            </w:r>
          </w:p>
        </w:tc>
      </w:tr>
      <w:tr w14:paraId="31DC50E4">
        <w:tblPrEx>
          <w:tblCellMar>
            <w:top w:w="0" w:type="dxa"/>
            <w:left w:w="108" w:type="dxa"/>
            <w:bottom w:w="0" w:type="dxa"/>
            <w:right w:w="108" w:type="dxa"/>
          </w:tblCellMar>
        </w:tblPrEx>
        <w:trPr>
          <w:trHeight w:val="432" w:hRule="atLeast"/>
          <w:jc w:val="center"/>
        </w:trPr>
        <w:tc>
          <w:tcPr>
            <w:tcW w:w="3099"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589F16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人员薪资合计费用</w:t>
            </w:r>
          </w:p>
          <w:p w14:paraId="49DD906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（1-6项费用）</w:t>
            </w:r>
          </w:p>
        </w:tc>
        <w:tc>
          <w:tcPr>
            <w:tcW w:w="5453" w:type="dxa"/>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DA4625">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合计</w:t>
            </w:r>
          </w:p>
        </w:tc>
        <w:tc>
          <w:tcPr>
            <w:tcW w:w="172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A2798F0">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382740</w:t>
            </w:r>
          </w:p>
        </w:tc>
      </w:tr>
      <w:tr w14:paraId="2BE28442">
        <w:tblPrEx>
          <w:tblCellMar>
            <w:top w:w="0" w:type="dxa"/>
            <w:left w:w="108" w:type="dxa"/>
            <w:bottom w:w="0" w:type="dxa"/>
            <w:right w:w="108" w:type="dxa"/>
          </w:tblCellMar>
        </w:tblPrEx>
        <w:trPr>
          <w:trHeight w:val="90" w:hRule="atLeast"/>
          <w:jc w:val="center"/>
        </w:trPr>
        <w:tc>
          <w:tcPr>
            <w:tcW w:w="744"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5A5D63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32A7FCD">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最高管理费限价</w:t>
            </w:r>
          </w:p>
        </w:tc>
        <w:tc>
          <w:tcPr>
            <w:tcW w:w="7182" w:type="dxa"/>
            <w:gridSpan w:val="4"/>
            <w:tcBorders>
              <w:top w:val="single" w:color="000000" w:sz="4" w:space="0"/>
              <w:left w:val="single" w:color="000000" w:sz="4" w:space="0"/>
              <w:bottom w:val="single" w:color="000000" w:sz="4" w:space="0"/>
              <w:right w:val="single" w:color="000000" w:sz="4" w:space="0"/>
            </w:tcBorders>
            <w:noWrap w:val="0"/>
            <w:vAlign w:val="center"/>
          </w:tcPr>
          <w:p w14:paraId="39F436FA">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w:t>
            </w:r>
          </w:p>
        </w:tc>
      </w:tr>
      <w:tr w14:paraId="109F3C61">
        <w:tblPrEx>
          <w:tblCellMar>
            <w:top w:w="0" w:type="dxa"/>
            <w:left w:w="108" w:type="dxa"/>
            <w:bottom w:w="0" w:type="dxa"/>
            <w:right w:w="108" w:type="dxa"/>
          </w:tblCellMar>
        </w:tblPrEx>
        <w:trPr>
          <w:trHeight w:val="40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14E07">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55175">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其他费用</w:t>
            </w:r>
          </w:p>
        </w:tc>
        <w:tc>
          <w:tcPr>
            <w:tcW w:w="7182" w:type="dxa"/>
            <w:gridSpan w:val="4"/>
            <w:tcBorders>
              <w:top w:val="single" w:color="000000" w:sz="4" w:space="0"/>
              <w:left w:val="single" w:color="000000" w:sz="4" w:space="0"/>
              <w:bottom w:val="single" w:color="000000" w:sz="4" w:space="0"/>
              <w:right w:val="single" w:color="000000" w:sz="4" w:space="0"/>
            </w:tcBorders>
            <w:noWrap w:val="0"/>
            <w:vAlign w:val="center"/>
          </w:tcPr>
          <w:p w14:paraId="454B0F53">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招标代理费、意外险（包含在管理费中）</w:t>
            </w:r>
          </w:p>
        </w:tc>
      </w:tr>
      <w:tr w14:paraId="50D4AD84">
        <w:tblPrEx>
          <w:tblCellMar>
            <w:top w:w="0" w:type="dxa"/>
            <w:left w:w="108" w:type="dxa"/>
            <w:bottom w:w="0" w:type="dxa"/>
            <w:right w:w="108" w:type="dxa"/>
          </w:tblCellMar>
        </w:tblPrEx>
        <w:trPr>
          <w:trHeight w:val="171" w:hRule="atLeast"/>
          <w:jc w:val="center"/>
        </w:trPr>
        <w:tc>
          <w:tcPr>
            <w:tcW w:w="10281" w:type="dxa"/>
            <w:gridSpan w:val="6"/>
            <w:tcBorders>
              <w:top w:val="single" w:color="000000" w:sz="4" w:space="0"/>
              <w:left w:val="single" w:color="000000" w:sz="4" w:space="0"/>
              <w:bottom w:val="single" w:color="000000" w:sz="4" w:space="0"/>
              <w:right w:val="single" w:color="000000" w:sz="4" w:space="0"/>
            </w:tcBorders>
            <w:noWrap w:val="0"/>
            <w:vAlign w:val="center"/>
          </w:tcPr>
          <w:p w14:paraId="2447A030">
            <w:pPr>
              <w:keepNext w:val="0"/>
              <w:keepLines w:val="0"/>
              <w:pageBreakBefore w:val="0"/>
              <w:widowControl/>
              <w:numPr>
                <w:ilvl w:val="0"/>
                <w:numId w:val="0"/>
              </w:numPr>
              <w:kinsoku/>
              <w:wordWrap/>
              <w:overflowPunct/>
              <w:topLinePunct w:val="0"/>
              <w:autoSpaceDE w:val="0"/>
              <w:autoSpaceDN w:val="0"/>
              <w:bidi w:val="0"/>
              <w:adjustRightInd w:val="0"/>
              <w:snapToGrid/>
              <w:spacing w:line="312"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w:t>
            </w:r>
          </w:p>
          <w:p w14:paraId="739B7648">
            <w:pPr>
              <w:keepNext w:val="0"/>
              <w:keepLines w:val="0"/>
              <w:pageBreakBefore w:val="0"/>
              <w:widowControl w:val="0"/>
              <w:numPr>
                <w:ilvl w:val="0"/>
                <w:numId w:val="3"/>
              </w:numPr>
              <w:kinsoku/>
              <w:wordWrap/>
              <w:overflowPunct/>
              <w:topLinePunct w:val="0"/>
              <w:autoSpaceDE w:val="0"/>
              <w:autoSpaceDN w:val="0"/>
              <w:bidi w:val="0"/>
              <w:adjustRightInd/>
              <w:snapToGrid/>
              <w:spacing w:line="420" w:lineRule="exact"/>
              <w:ind w:firstLine="480" w:firstLineChars="200"/>
              <w:jc w:val="left"/>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上述为岗位用工需求和现行平均薪资标准，包括员工工资、社保费用及意外伤残保险、福利等、劳务管理费、税金等项目实施的一切费用。投标人充分考虑本项目实施风险和实施形式合理报价。本项目采用管理费折扣报价，管理费率最高限价为10.00%（含税），管理服务费用计算方式：管理服务费收费金额=</w:t>
            </w:r>
            <w:r>
              <w:rPr>
                <w:rFonts w:hint="eastAsia" w:ascii="仿宋" w:hAnsi="仿宋" w:eastAsia="仿宋" w:cs="仿宋"/>
                <w:b w:val="0"/>
                <w:bCs w:val="0"/>
                <w:i w:val="0"/>
                <w:iCs w:val="0"/>
                <w:color w:val="auto"/>
                <w:kern w:val="0"/>
                <w:sz w:val="24"/>
                <w:szCs w:val="24"/>
                <w:highlight w:val="none"/>
                <w:u w:val="none"/>
                <w:lang w:val="en-US" w:eastAsia="zh-CN" w:bidi="ar"/>
              </w:rPr>
              <w:t>人员薪资合计费用</w:t>
            </w:r>
            <w:r>
              <w:rPr>
                <w:rFonts w:hint="eastAsia" w:ascii="仿宋" w:hAnsi="仿宋" w:eastAsia="仿宋"/>
                <w:color w:val="auto"/>
                <w:sz w:val="24"/>
                <w:szCs w:val="24"/>
                <w:highlight w:val="none"/>
                <w:lang w:val="en-US" w:eastAsia="zh-CN"/>
              </w:rPr>
              <w:t>×10.00%×中标折扣。如中标人的投标折扣为90.00%，则管理服务费收费金额=</w:t>
            </w:r>
            <w:r>
              <w:rPr>
                <w:rFonts w:hint="eastAsia" w:ascii="仿宋" w:hAnsi="仿宋" w:eastAsia="仿宋" w:cs="仿宋"/>
                <w:b w:val="0"/>
                <w:bCs w:val="0"/>
                <w:i w:val="0"/>
                <w:iCs w:val="0"/>
                <w:color w:val="auto"/>
                <w:kern w:val="0"/>
                <w:sz w:val="24"/>
                <w:szCs w:val="24"/>
                <w:highlight w:val="none"/>
                <w:u w:val="none"/>
                <w:lang w:val="en-US" w:eastAsia="zh-CN" w:bidi="ar"/>
              </w:rPr>
              <w:t>人员薪资合计费用</w:t>
            </w:r>
            <w:r>
              <w:rPr>
                <w:rFonts w:hint="eastAsia" w:ascii="仿宋" w:hAnsi="仿宋" w:eastAsia="仿宋"/>
                <w:color w:val="auto"/>
                <w:sz w:val="24"/>
                <w:szCs w:val="24"/>
                <w:highlight w:val="none"/>
                <w:lang w:val="en-US" w:eastAsia="zh-CN"/>
              </w:rPr>
              <w:t>×10.00%×90.00%。</w:t>
            </w:r>
          </w:p>
          <w:p w14:paraId="759060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2、单位社保按国家规定缴纳。若国家社保缴费标准有变动的，按实调整相应费用。</w:t>
            </w:r>
          </w:p>
          <w:p w14:paraId="3BCE5F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各岗位人员的薪资标准、单位缴纳部分五险一金由中标人制定并报采购人批准后执行，但各岗位人员薪资标准、单位缴纳部分五险一金不得低于采购人现行标准，投标报价必须对每一项薪资进行明确报价，如报价不明确或有漏项将作无效投标处理。</w:t>
            </w:r>
          </w:p>
          <w:p w14:paraId="5E77D3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textAlignment w:val="auto"/>
              <w:rPr>
                <w:rFonts w:hint="default" w:ascii="Times New Roman" w:hAnsi="Times New Roman" w:eastAsia="宋体" w:cs="Times New Roman"/>
                <w:color w:val="auto"/>
                <w:sz w:val="21"/>
                <w:szCs w:val="21"/>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4</w:t>
            </w:r>
            <w:r>
              <w:rPr>
                <w:rFonts w:hint="default" w:ascii="仿宋" w:hAnsi="仿宋" w:eastAsia="仿宋" w:cs="仿宋"/>
                <w:b w:val="0"/>
                <w:bCs w:val="0"/>
                <w:i w:val="0"/>
                <w:iCs w:val="0"/>
                <w:color w:val="auto"/>
                <w:kern w:val="0"/>
                <w:sz w:val="24"/>
                <w:szCs w:val="24"/>
                <w:highlight w:val="none"/>
                <w:u w:val="none"/>
                <w:lang w:val="en-US" w:eastAsia="zh-CN" w:bidi="ar"/>
              </w:rPr>
              <w:t>、</w:t>
            </w:r>
            <w:r>
              <w:rPr>
                <w:rFonts w:hint="eastAsia" w:ascii="仿宋" w:hAnsi="仿宋" w:eastAsia="仿宋" w:cs="仿宋"/>
                <w:b w:val="0"/>
                <w:bCs w:val="0"/>
                <w:i w:val="0"/>
                <w:iCs w:val="0"/>
                <w:color w:val="auto"/>
                <w:kern w:val="0"/>
                <w:sz w:val="24"/>
                <w:szCs w:val="24"/>
                <w:highlight w:val="none"/>
                <w:u w:val="none"/>
                <w:lang w:val="en-US" w:eastAsia="zh-CN" w:bidi="ar"/>
              </w:rPr>
              <w:t>如确因工作需要更换或增加人员，则按所在岗位既定的薪资标准发放工资。如确因实际用工需求减少，则用工人数相应减少后费用按实结算。</w:t>
            </w:r>
          </w:p>
        </w:tc>
      </w:tr>
    </w:tbl>
    <w:p w14:paraId="57C7DC49">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供餐服务内容和标准要求</w:t>
      </w:r>
    </w:p>
    <w:p w14:paraId="37DEE03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1、早餐：提供稀饭、豆浆、面条、包子、面包、饺子、蛋糕、馄饨</w:t>
      </w:r>
      <w:r>
        <w:rPr>
          <w:rFonts w:hint="eastAsia" w:ascii="仿宋" w:hAnsi="仿宋" w:eastAsia="仿宋" w:cs="仿宋"/>
          <w:color w:val="auto"/>
          <w:sz w:val="24"/>
          <w:szCs w:val="24"/>
          <w:highlight w:val="none"/>
          <w:lang w:eastAsia="zh-CN"/>
        </w:rPr>
        <w:t>、油条、</w:t>
      </w:r>
      <w:r>
        <w:rPr>
          <w:rFonts w:hint="eastAsia" w:ascii="仿宋" w:hAnsi="仿宋" w:eastAsia="仿宋" w:cs="仿宋"/>
          <w:color w:val="auto"/>
          <w:sz w:val="24"/>
          <w:szCs w:val="24"/>
          <w:highlight w:val="none"/>
          <w:lang w:val="en-US" w:eastAsia="zh-CN"/>
        </w:rPr>
        <w:t>牛奶</w:t>
      </w:r>
      <w:r>
        <w:rPr>
          <w:rFonts w:hint="eastAsia" w:ascii="仿宋" w:hAnsi="仿宋" w:eastAsia="仿宋" w:cs="仿宋"/>
          <w:b w:val="0"/>
          <w:color w:val="auto"/>
          <w:kern w:val="0"/>
          <w:sz w:val="24"/>
          <w:szCs w:val="24"/>
          <w:highlight w:val="none"/>
          <w:lang w:val="en-US" w:eastAsia="zh-CN" w:bidi="ar-SA"/>
        </w:rPr>
        <w:t>等，花色品种不少于12个；卤、酱菜2个以上。</w:t>
      </w:r>
    </w:p>
    <w:p w14:paraId="4C5C3A7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2、中餐：提供菜肴5荤5素及以上（荤素搭配）；汤及适量的粗杂粮和中式点心。</w:t>
      </w:r>
    </w:p>
    <w:p w14:paraId="2BB774D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3、晚餐：提供菜肴5荤5素及以上和汤</w:t>
      </w:r>
      <w:r>
        <w:rPr>
          <w:rFonts w:hint="eastAsia" w:ascii="仿宋" w:hAnsi="仿宋" w:eastAsia="仿宋" w:cs="仿宋"/>
          <w:color w:val="auto"/>
          <w:sz w:val="24"/>
          <w:highlight w:val="none"/>
        </w:rPr>
        <w:t>。</w:t>
      </w:r>
    </w:p>
    <w:p w14:paraId="6579E04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lang w:val="en-US" w:eastAsia="zh-CN" w:bidi="ar-SA"/>
        </w:rPr>
        <w:t>4、早餐、中餐与晚餐的菜肴做到勤变换，按季节及时调整菜品，每餐菜肴要求荤素搭配均衡、营养安排合理</w:t>
      </w:r>
      <w:r>
        <w:rPr>
          <w:rFonts w:hint="eastAsia" w:ascii="仿宋" w:hAnsi="仿宋" w:eastAsia="仿宋" w:cs="仿宋"/>
          <w:b w:val="0"/>
          <w:strike w:val="0"/>
          <w:dstrike w:val="0"/>
          <w:color w:val="auto"/>
          <w:kern w:val="0"/>
          <w:sz w:val="24"/>
          <w:szCs w:val="24"/>
          <w:highlight w:val="none"/>
          <w:lang w:val="en-US" w:eastAsia="zh-CN" w:bidi="ar-SA"/>
        </w:rPr>
        <w:t>，</w:t>
      </w:r>
      <w:r>
        <w:rPr>
          <w:rFonts w:hint="eastAsia" w:ascii="仿宋" w:hAnsi="仿宋" w:eastAsia="仿宋" w:cs="仿宋"/>
          <w:strike w:val="0"/>
          <w:dstrike w:val="0"/>
          <w:color w:val="auto"/>
          <w:sz w:val="24"/>
          <w:szCs w:val="24"/>
          <w:highlight w:val="none"/>
        </w:rPr>
        <w:t>饭菜必须现烧</w:t>
      </w:r>
      <w:r>
        <w:rPr>
          <w:rFonts w:hint="eastAsia" w:ascii="仿宋" w:hAnsi="仿宋" w:eastAsia="仿宋" w:cs="仿宋"/>
          <w:strike w:val="0"/>
          <w:dstrike w:val="0"/>
          <w:color w:val="auto"/>
          <w:sz w:val="24"/>
          <w:szCs w:val="24"/>
          <w:highlight w:val="none"/>
          <w:lang w:eastAsia="zh-CN"/>
        </w:rPr>
        <w:t>。</w:t>
      </w:r>
    </w:p>
    <w:p w14:paraId="078B9E5A">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食堂服务模式</w:t>
      </w:r>
    </w:p>
    <w:p w14:paraId="336396D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2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单位食堂采用以自行管理为主，与</w:t>
      </w:r>
      <w:r>
        <w:rPr>
          <w:rFonts w:hint="eastAsia" w:ascii="仿宋" w:hAnsi="仿宋" w:eastAsia="仿宋" w:cs="仿宋"/>
          <w:i w:val="0"/>
          <w:caps w:val="0"/>
          <w:color w:val="auto"/>
          <w:spacing w:val="0"/>
          <w:sz w:val="24"/>
          <w:szCs w:val="24"/>
          <w:highlight w:val="none"/>
          <w:shd w:val="clear" w:color="auto" w:fill="FFFFFF"/>
          <w:lang w:val="en-US" w:eastAsia="zh-CN"/>
        </w:rPr>
        <w:t>委托运营</w:t>
      </w:r>
      <w:r>
        <w:rPr>
          <w:rFonts w:hint="eastAsia" w:ascii="仿宋" w:hAnsi="仿宋" w:eastAsia="仿宋" w:cs="仿宋"/>
          <w:i w:val="0"/>
          <w:caps w:val="0"/>
          <w:color w:val="auto"/>
          <w:spacing w:val="0"/>
          <w:sz w:val="24"/>
          <w:szCs w:val="24"/>
          <w:highlight w:val="none"/>
          <w:shd w:val="clear" w:color="auto" w:fill="FFFFFF"/>
        </w:rPr>
        <w:t>相结合的运行模式。</w:t>
      </w:r>
    </w:p>
    <w:p w14:paraId="77C2A8C3">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采购人负责食堂运行的监管、检查和考核、菜价定价的审核。</w:t>
      </w:r>
    </w:p>
    <w:p w14:paraId="425229E4">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根据合同要求，指派相应的厨师</w:t>
      </w:r>
      <w:r>
        <w:rPr>
          <w:rFonts w:hint="eastAsia" w:ascii="仿宋" w:hAnsi="仿宋" w:eastAsia="仿宋" w:cs="仿宋"/>
          <w:color w:val="auto"/>
          <w:sz w:val="24"/>
          <w:szCs w:val="24"/>
          <w:highlight w:val="none"/>
          <w:lang w:val="en-US" w:eastAsia="zh-CN"/>
        </w:rPr>
        <w:t>长</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面点师</w:t>
      </w:r>
      <w:r>
        <w:rPr>
          <w:rFonts w:hint="eastAsia" w:ascii="仿宋" w:hAnsi="仿宋" w:eastAsia="仿宋" w:cs="仿宋"/>
          <w:color w:val="auto"/>
          <w:sz w:val="24"/>
          <w:szCs w:val="24"/>
          <w:highlight w:val="none"/>
          <w:lang w:val="en-US" w:eastAsia="zh-CN"/>
        </w:rPr>
        <w:t>、帮厨</w:t>
      </w:r>
      <w:r>
        <w:rPr>
          <w:rFonts w:hint="eastAsia" w:ascii="仿宋" w:hAnsi="仿宋" w:eastAsia="仿宋" w:cs="仿宋"/>
          <w:color w:val="auto"/>
          <w:sz w:val="24"/>
          <w:szCs w:val="24"/>
          <w:highlight w:val="none"/>
        </w:rPr>
        <w:t>等人员。中标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人员建立相应的劳动关系。</w:t>
      </w:r>
    </w:p>
    <w:p w14:paraId="232282EB">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确定一名负责人，负责对指派人员的管理与业务技术指导，同时积极参与并做好食堂事务管理。负责包厢、窗口、大厅等各项服务；负责食堂每天生产的垃圾处理以及食堂区域内的安全、卫生保洁等工作。</w:t>
      </w:r>
    </w:p>
    <w:p w14:paraId="5200C7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4、中标人需提前一周将菜品安排交予采购人，经采购人同意后，按确定方案实施。</w:t>
      </w:r>
    </w:p>
    <w:p w14:paraId="3D556A53">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服务期限</w:t>
      </w:r>
    </w:p>
    <w:p w14:paraId="57D011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合同履约期限：合同签订之日起至2025年12月31日或本项目采购预算金额满止。若在合同期内，中标人未经采购人同意，无正当理由要求解除合同的，采购人有权扣除全部履约保证金，采购人有权要求中标人赔偿合同金额20%的违约金，及由此对采购人造成的一切损失。</w:t>
      </w:r>
    </w:p>
    <w:p w14:paraId="2BD8D950">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双方职责</w:t>
      </w:r>
    </w:p>
    <w:p w14:paraId="2FE8992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1、中标人服务要求</w:t>
      </w:r>
    </w:p>
    <w:p w14:paraId="0EE003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（1）中标人不得以任何理由将劳务合同转包给他人，并能按双方签订的合同要求，保质保量做好早餐、中餐、晚餐、食品供应以及采购人临时活动所需的增餐服务等工作。</w:t>
      </w:r>
    </w:p>
    <w:p w14:paraId="5DD31CD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（2）中标人须自觉遵守采购人和食堂的有关规章制度，并服从采购人的监督和管理。</w:t>
      </w:r>
    </w:p>
    <w:p w14:paraId="12D9045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（3）中标人须保证正常工作所需的各类人员，确保食堂安全有序正常运行。</w:t>
      </w:r>
    </w:p>
    <w:p w14:paraId="2993637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（4）中标人须对食堂设施设备进行日常保养，人为造成损坏按原价赔偿或更换。需要添置或更新设备、用品，必须提前提出申请，由采购人视实际情况决定，中标人不得以任何理由停止工作。</w:t>
      </w:r>
    </w:p>
    <w:p w14:paraId="3700BF7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（5）中标人须有完善的管理机构、员工考核办法、安全卫生管理制度与应急预防方案，流程清晰，职责明确。有服务优先的管理理念与明确的服务定位和目标方案。</w:t>
      </w:r>
    </w:p>
    <w:p w14:paraId="7401BFC1">
      <w:pPr>
        <w:keepNext w:val="0"/>
        <w:keepLines w:val="0"/>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中标人应对工作人员进行有效管理，并按《中华人民共和国劳动合同法》要求对工作人员进行培训、体检，缴纳“五险一金”等，若发生劳动争议或工伤事故时，均由中标人负责处理解决并承担全部责任，与采购人无关。</w:t>
      </w:r>
    </w:p>
    <w:p w14:paraId="5C122858">
      <w:pPr>
        <w:keepNext w:val="0"/>
        <w:keepLines w:val="0"/>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（7）中标人工作人员必须爱护采购人的设施设备、餐具等，若因工作人员造成设施设备、餐具等损坏的，由中标人照价赔偿。</w:t>
      </w:r>
    </w:p>
    <w:p w14:paraId="1808AC12">
      <w:pPr>
        <w:keepNext w:val="0"/>
        <w:keepLines w:val="0"/>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中标后实际提供的服务团队要符合招标的技术资格要求。在履行期间无特殊情况，主要劳务人员不能随意更换，如变动要事先征得采购人同意后方可调整。若擅自更换服务团队的主要劳务人员或减少必要的劳务人员，由此影响工作，采购人有权扣除服务费，若未能及时落实采购人意见的可以解除合同，违约责任及由此造成的损失由中标人承担赔偿。</w:t>
      </w:r>
    </w:p>
    <w:p w14:paraId="7452F79C">
      <w:pPr>
        <w:keepNext w:val="0"/>
        <w:keepLines w:val="0"/>
        <w:pageBreakBefore w:val="0"/>
        <w:widowControl w:val="0"/>
        <w:kinsoku/>
        <w:wordWrap/>
        <w:overflowPunct/>
        <w:topLinePunct w:val="0"/>
        <w:autoSpaceDE/>
        <w:autoSpaceDN/>
        <w:bidi w:val="0"/>
        <w:snapToGrid/>
        <w:spacing w:line="420" w:lineRule="exact"/>
        <w:ind w:lef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（9）采购人有权更换不符合要求的工作人员，中标人须在2个工作日内完成调换，若因调换过程中产生劳动纠纷问题由中标人负责协商解决并承担相关责任。</w:t>
      </w:r>
      <w:r>
        <w:rPr>
          <w:rFonts w:hint="default" w:ascii="仿宋" w:hAnsi="仿宋" w:eastAsia="仿宋" w:cs="仿宋"/>
          <w:color w:val="auto"/>
          <w:sz w:val="24"/>
          <w:szCs w:val="24"/>
          <w:highlight w:val="none"/>
          <w:lang w:val="en-US" w:eastAsia="zh-CN"/>
        </w:rPr>
        <w:t>（承诺函格式自拟）</w:t>
      </w:r>
    </w:p>
    <w:p w14:paraId="62DAB1A6">
      <w:pPr>
        <w:keepNext w:val="0"/>
        <w:keepLines w:val="0"/>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采购人将依据集团发布的《诸暨市建设集团有限公司第三方服务机构管理及考核办法》和《诸暨市建设集团有限公司“黑名单”管理办法》（诸建发〔2024〕15号）文件对中标人的服务和供货质量进行日常考核和管理，中标人需无条件服从。</w:t>
      </w:r>
    </w:p>
    <w:p w14:paraId="12F839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2"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2、采购人权利及义务</w:t>
      </w:r>
    </w:p>
    <w:p w14:paraId="7F35A5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（1）采购人负责提供食堂所需的用房与水、电、天然气或供气等，并负责做好食堂有关硬件设施的配备，日常维修工作，费用由采购人负责。</w:t>
      </w:r>
    </w:p>
    <w:p w14:paraId="24DA982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（2）采购人有权对中标人任何指派人员进行必要的监管，在正当理由下，有权向中标人提出更换指派人员的要求。</w:t>
      </w:r>
    </w:p>
    <w:p w14:paraId="30491C0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（3）采购人根据实际考核结果，按月向中标人支付服务费用。如无特殊情况，在次月月底前支付上一月服务费用。</w:t>
      </w:r>
    </w:p>
    <w:p w14:paraId="5E0271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2"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3、中标人权利及义务</w:t>
      </w:r>
    </w:p>
    <w:p w14:paraId="0CA19C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（1）中标人须确定一名具有较好管理水平和沟通能力的负责人，指派技艺与素质较好的厨师等相关人员。其中窗口服务员要求品貌端正，年龄要求：女性58周岁以下、男性63周岁以下。</w:t>
      </w:r>
    </w:p>
    <w:p w14:paraId="4165B6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（2）中标人须对指派人员经常进行培训、教育，做到操作规范，文明礼貌，热情周到，优质服务，并要统一规范着装与持证上岗。</w:t>
      </w:r>
    </w:p>
    <w:p w14:paraId="5CD4F2D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（3）中标人须提高餐饮服务质量，注重菜肴的色、香、味、美、鲜，做到品种多样化，对干部提出的合理要求与建议意见要及时改进，确保服务满意度在80%以上。</w:t>
      </w:r>
    </w:p>
    <w:p w14:paraId="7CEE3BEA">
      <w:pPr>
        <w:keepNext w:val="0"/>
        <w:keepLines w:val="0"/>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val="en-US" w:eastAsia="zh-CN"/>
        </w:rPr>
        <w:t>（4）中标人须自觉接受采购人和卫生防疫等职能部门的监督检查。加强对食品卫生的管理，确保食品安全无事故。</w:t>
      </w:r>
      <w:r>
        <w:rPr>
          <w:rFonts w:hint="eastAsia" w:ascii="仿宋" w:hAnsi="仿宋" w:eastAsia="仿宋" w:cs="仿宋"/>
          <w:color w:val="auto"/>
          <w:sz w:val="24"/>
          <w:highlight w:val="none"/>
        </w:rPr>
        <w:t>若因派遣人员工作失误或派遣单位管理不力，发生食品安全事故，由此造成的经济损失与责任，均由中标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负责赔偿与承担。</w:t>
      </w:r>
    </w:p>
    <w:p w14:paraId="536EAD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（5）中标人须严格按照食堂“五常法”管理的要求，认真做好厨具、餐具的消毒工作，对食堂所辖的环境卫生做到每日打扫、一周一大扫，实行定岗、定位实时保洁。</w:t>
      </w:r>
    </w:p>
    <w:p w14:paraId="62429E15">
      <w:pPr>
        <w:keepNext w:val="0"/>
        <w:keepLines w:val="0"/>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val="en-US" w:eastAsia="zh-CN"/>
        </w:rPr>
        <w:t>（6）中标人须按餐饮行业有关规定和采购人要求，做好用电、用水、用火、用气安全教育工作，预防发生此类事故，</w:t>
      </w:r>
      <w:r>
        <w:rPr>
          <w:rFonts w:hint="eastAsia" w:ascii="仿宋" w:hAnsi="仿宋" w:eastAsia="仿宋" w:cs="仿宋"/>
          <w:color w:val="auto"/>
          <w:sz w:val="24"/>
          <w:highlight w:val="none"/>
        </w:rPr>
        <w:t>若人为原因造成损失将由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承担并赔偿。</w:t>
      </w:r>
    </w:p>
    <w:p w14:paraId="57977F05">
      <w:pPr>
        <w:keepNext w:val="0"/>
        <w:keepLines w:val="0"/>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除不可抗力事件或采购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原因外，中标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不得以任何理由不及时或不充足供应餐厅膳食，否则视为严重违约。</w:t>
      </w:r>
    </w:p>
    <w:p w14:paraId="2755C422">
      <w:pPr>
        <w:keepNext w:val="0"/>
        <w:keepLines w:val="0"/>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在服务期间，如发生食品安全事故、员工伤亡、劳动纠纷、债权债务等事故，由中标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负责产生的一切费用，并承担相应的法律责任，与采购</w:t>
      </w:r>
      <w:r>
        <w:rPr>
          <w:rFonts w:hint="eastAsia" w:ascii="仿宋" w:hAnsi="仿宋" w:eastAsia="仿宋" w:cs="仿宋"/>
          <w:color w:val="auto"/>
          <w:sz w:val="24"/>
          <w:highlight w:val="none"/>
          <w:lang w:val="en-US" w:eastAsia="zh-CN"/>
        </w:rPr>
        <w:t>人无关</w:t>
      </w:r>
      <w:r>
        <w:rPr>
          <w:rFonts w:hint="eastAsia" w:ascii="仿宋" w:hAnsi="仿宋" w:eastAsia="仿宋" w:cs="仿宋"/>
          <w:color w:val="auto"/>
          <w:sz w:val="24"/>
          <w:highlight w:val="none"/>
        </w:rPr>
        <w:t>。</w:t>
      </w:r>
    </w:p>
    <w:p w14:paraId="7968F96D">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餐饮服务考核细则</w:t>
      </w:r>
    </w:p>
    <w:tbl>
      <w:tblPr>
        <w:tblStyle w:val="20"/>
        <w:tblW w:w="9071" w:type="dxa"/>
        <w:jc w:val="center"/>
        <w:tblLayout w:type="fixed"/>
        <w:tblCellMar>
          <w:top w:w="0" w:type="dxa"/>
          <w:left w:w="10" w:type="dxa"/>
          <w:bottom w:w="0" w:type="dxa"/>
          <w:right w:w="10" w:type="dxa"/>
        </w:tblCellMar>
      </w:tblPr>
      <w:tblGrid>
        <w:gridCol w:w="828"/>
        <w:gridCol w:w="6130"/>
        <w:gridCol w:w="2113"/>
      </w:tblGrid>
      <w:tr w14:paraId="5058AC62">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37A2B39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08501F9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考核内容</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1C014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扣、奖</w:t>
            </w:r>
          </w:p>
        </w:tc>
      </w:tr>
      <w:tr w14:paraId="335AEDBF">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185D3D9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549BC5CF">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未按规定穿戴上岗或工作服明显不洁</w:t>
            </w:r>
            <w:r>
              <w:rPr>
                <w:rFonts w:hint="eastAsia" w:ascii="仿宋" w:hAnsi="仿宋" w:eastAsia="仿宋" w:cs="仿宋"/>
                <w:color w:val="auto"/>
                <w:sz w:val="24"/>
                <w:highlight w:val="none"/>
                <w:lang w:val="en-US" w:eastAsia="zh-CN"/>
              </w:rPr>
              <w:t>或有美甲现象的</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6F8CBD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0元/人次</w:t>
            </w:r>
          </w:p>
        </w:tc>
      </w:tr>
      <w:tr w14:paraId="717C9DAB">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3A8A592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4982B21C">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工作人员在食堂区域内吸烟</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AF83B4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0元/人次</w:t>
            </w:r>
          </w:p>
        </w:tc>
      </w:tr>
      <w:tr w14:paraId="786B7DD7">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7605C5B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64DE5BE8">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下班后没有及时关灯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离开岗位没有关水龙头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燃气、电器，</w:t>
            </w:r>
            <w:r>
              <w:rPr>
                <w:rFonts w:hint="eastAsia" w:ascii="仿宋" w:hAnsi="仿宋" w:eastAsia="仿宋" w:cs="仿宋"/>
                <w:color w:val="auto"/>
                <w:sz w:val="24"/>
                <w:highlight w:val="none"/>
              </w:rPr>
              <w:t>未造成其他影响</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F62AEF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扣100元/次</w:t>
            </w:r>
          </w:p>
        </w:tc>
      </w:tr>
      <w:tr w14:paraId="47B09062">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5A1679F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3F575C13">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碗、筷、盘等餐具留有食物残渣或不洁</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5D7BBA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扣100元/次</w:t>
            </w:r>
          </w:p>
        </w:tc>
      </w:tr>
      <w:tr w14:paraId="31E2EF69">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141DA2F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0C6118D5">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没有及时清理餐桌与地面卫生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操作间乱堆乱放、地面积水较重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区域卫生没有及时打扫</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86EC70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扣100元/次</w:t>
            </w:r>
          </w:p>
        </w:tc>
      </w:tr>
      <w:tr w14:paraId="1D31A01A">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1EE1D3F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29B87A2D">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在烹饪区及打菜区域发现苍蝇、蟑螂、老鼠</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EA9D6F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扣100元/次</w:t>
            </w:r>
          </w:p>
        </w:tc>
      </w:tr>
      <w:tr w14:paraId="01A061FC">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047199D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25B244A8">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不按要求留样</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01CB78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扣100元/次</w:t>
            </w:r>
          </w:p>
        </w:tc>
      </w:tr>
      <w:tr w14:paraId="3FCE9955">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112382F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5F7360D7">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隔餐饭菜未按规定处理上柜供应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未造成其他影响</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B56F00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扣100元/次</w:t>
            </w:r>
          </w:p>
        </w:tc>
      </w:tr>
      <w:tr w14:paraId="0BF22E90">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2EB33D7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3D46D733">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在饭菜中发现有头发丝、清洁球丝等异物</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13330C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扣100元/次</w:t>
            </w:r>
          </w:p>
        </w:tc>
      </w:tr>
      <w:tr w14:paraId="4733457C">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3E7984D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672926AA">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餐具、炊具未按程序清洗、消毒、存放</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5EA300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扣100元/次</w:t>
            </w:r>
          </w:p>
        </w:tc>
      </w:tr>
      <w:tr w14:paraId="144E9857">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3578BE3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42634F4D">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与就餐人员、同事等发生争吵</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CFBD6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扣100元/次</w:t>
            </w:r>
          </w:p>
        </w:tc>
      </w:tr>
      <w:tr w14:paraId="1B190109">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638F09B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52DE4CBA">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人为贻误开饭时间10分钟以上</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DD38C9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扣100元/次</w:t>
            </w:r>
          </w:p>
        </w:tc>
      </w:tr>
      <w:tr w14:paraId="7539FF55">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34D5CE2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194E0AB4">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擅离工作岗位，工作失职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造成一定影响</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8BED8D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扣200元/次</w:t>
            </w:r>
          </w:p>
        </w:tc>
      </w:tr>
      <w:tr w14:paraId="251F7240">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4158F67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052FB97F">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无正当理由不服从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人员监督管理，造成一定影响</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0A1B62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扣200元/次</w:t>
            </w:r>
          </w:p>
        </w:tc>
      </w:tr>
      <w:tr w14:paraId="554A0538">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0419A1B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7A0D6849">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饭菜准备不够，导致5人以上无法就餐</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A24D1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扣200元/次</w:t>
            </w:r>
          </w:p>
        </w:tc>
      </w:tr>
      <w:tr w14:paraId="35DF8379">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32C2A65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293E9ED0">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饭菜准备太多，导致15份以上浪费</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AF0B15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扣200元/次</w:t>
            </w:r>
          </w:p>
        </w:tc>
      </w:tr>
      <w:tr w14:paraId="39A8F5BE">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712A8FE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17</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698C0AA9">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菜品上报不及时</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1ED776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扣200元/次</w:t>
            </w:r>
          </w:p>
        </w:tc>
      </w:tr>
      <w:tr w14:paraId="65285F39">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28C18E9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18</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1591A78F">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菜品编排搭配不合理</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53CFD2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扣200元/次</w:t>
            </w:r>
          </w:p>
        </w:tc>
      </w:tr>
      <w:tr w14:paraId="3C7EF8A2">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45C70CE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19</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6DF55699">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未按承诺提供服务</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BB3327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扣200元/次</w:t>
            </w:r>
          </w:p>
        </w:tc>
      </w:tr>
      <w:tr w14:paraId="65F6ADAB">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56EE175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20</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00C53DE3">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人为</w:t>
            </w:r>
            <w:r>
              <w:rPr>
                <w:rFonts w:hint="eastAsia" w:ascii="仿宋" w:hAnsi="仿宋" w:eastAsia="仿宋" w:cs="仿宋"/>
                <w:color w:val="auto"/>
                <w:sz w:val="24"/>
                <w:highlight w:val="none"/>
                <w:lang w:val="en-US" w:eastAsia="zh-CN"/>
              </w:rPr>
              <w:t>故意</w:t>
            </w:r>
            <w:r>
              <w:rPr>
                <w:rFonts w:hint="eastAsia" w:ascii="仿宋" w:hAnsi="仿宋" w:eastAsia="仿宋" w:cs="仿宋"/>
                <w:color w:val="auto"/>
                <w:sz w:val="24"/>
                <w:highlight w:val="none"/>
              </w:rPr>
              <w:t>造成原材料浪费</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B71168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扣原值的2倍</w:t>
            </w:r>
          </w:p>
        </w:tc>
      </w:tr>
      <w:tr w14:paraId="67808665">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363BEB2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2A8A7874">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有私自拿食品原材料（含熟食）与其他物品，或做人情</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9331FF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扣原值的5倍</w:t>
            </w:r>
          </w:p>
        </w:tc>
      </w:tr>
      <w:tr w14:paraId="5BAAA47C">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63EBA35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056BF7E7">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主观原因造成食物中毒、人员伤害等安全事故</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C985D5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负全责</w:t>
            </w:r>
          </w:p>
        </w:tc>
      </w:tr>
      <w:tr w14:paraId="788C618F">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201786F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23</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5052FDEE">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违反食堂与其他规定的</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C423C8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按有关规定处理</w:t>
            </w:r>
          </w:p>
        </w:tc>
      </w:tr>
      <w:tr w14:paraId="1E46BFA4">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3A37066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24</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17C40B9E">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拾金不昧（钱包、手机等贵重物品）</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02715D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酌情奖励</w:t>
            </w:r>
          </w:p>
        </w:tc>
      </w:tr>
      <w:tr w14:paraId="50B6F74B">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1456570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13EC20C3">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向食堂提供合理化建议而被采纳</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13C877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酌情奖励</w:t>
            </w:r>
          </w:p>
        </w:tc>
      </w:tr>
      <w:tr w14:paraId="3C8D4166">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5EC2693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276778BD">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厉行节约，成效明显</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4112E0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酌情奖励</w:t>
            </w:r>
          </w:p>
        </w:tc>
      </w:tr>
      <w:tr w14:paraId="607E3408">
        <w:tblPrEx>
          <w:tblCellMar>
            <w:top w:w="0" w:type="dxa"/>
            <w:left w:w="10" w:type="dxa"/>
            <w:bottom w:w="0" w:type="dxa"/>
            <w:right w:w="10" w:type="dxa"/>
          </w:tblCellMar>
        </w:tblPrEx>
        <w:trPr>
          <w:trHeight w:val="454"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14:paraId="11674CE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w:t>
            </w:r>
          </w:p>
        </w:tc>
        <w:tc>
          <w:tcPr>
            <w:tcW w:w="6130" w:type="dxa"/>
            <w:tcBorders>
              <w:top w:val="single" w:color="auto" w:sz="6" w:space="0"/>
              <w:left w:val="single" w:color="auto" w:sz="6" w:space="0"/>
              <w:bottom w:val="single" w:color="auto" w:sz="6" w:space="0"/>
              <w:right w:val="single" w:color="auto" w:sz="6" w:space="0"/>
            </w:tcBorders>
            <w:noWrap w:val="0"/>
            <w:vAlign w:val="center"/>
          </w:tcPr>
          <w:p w14:paraId="0F8AFDAB">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服务满意度在80%以上</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5B3C1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酌情奖励</w:t>
            </w:r>
          </w:p>
        </w:tc>
      </w:tr>
    </w:tbl>
    <w:p w14:paraId="6DA7D005">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履约保证金及付款方式</w:t>
      </w:r>
    </w:p>
    <w:p w14:paraId="1E66AA23">
      <w:pPr>
        <w:keepNext w:val="0"/>
        <w:keepLines w:val="0"/>
        <w:pageBreakBefore w:val="0"/>
        <w:widowControl w:val="0"/>
        <w:kinsoku/>
        <w:wordWrap/>
        <w:overflowPunct/>
        <w:topLinePunct w:val="0"/>
        <w:autoSpaceDE/>
        <w:autoSpaceDN/>
        <w:bidi w:val="0"/>
        <w:adjustRightInd/>
        <w:snapToGrid w:val="0"/>
        <w:spacing w:line="420" w:lineRule="exact"/>
        <w:ind w:left="0" w:firstLine="482" w:firstLineChars="200"/>
        <w:textAlignment w:val="auto"/>
        <w:rPr>
          <w:rFonts w:hint="eastAsia" w:ascii="仿宋" w:hAnsi="仿宋" w:eastAsia="仿宋" w:cs="仿宋"/>
          <w:strike w:val="0"/>
          <w:color w:val="auto"/>
          <w:sz w:val="24"/>
          <w:highlight w:val="none"/>
        </w:rPr>
      </w:pPr>
      <w:r>
        <w:rPr>
          <w:rFonts w:hint="eastAsia" w:ascii="仿宋" w:hAnsi="仿宋" w:eastAsia="仿宋" w:cs="仿宋"/>
          <w:b/>
          <w:bCs/>
          <w:color w:val="auto"/>
          <w:sz w:val="24"/>
          <w:highlight w:val="none"/>
        </w:rPr>
        <w:t>1、履约保证金：</w:t>
      </w:r>
      <w:r>
        <w:rPr>
          <w:rFonts w:hint="eastAsia" w:ascii="仿宋" w:hAnsi="仿宋" w:eastAsia="仿宋" w:cs="仿宋"/>
          <w:color w:val="auto"/>
          <w:sz w:val="24"/>
          <w:highlight w:val="none"/>
        </w:rPr>
        <w:t>合同签订前，</w:t>
      </w:r>
      <w:r>
        <w:rPr>
          <w:rFonts w:hint="eastAsia" w:ascii="仿宋" w:hAnsi="仿宋" w:eastAsia="仿宋" w:cs="仿宋"/>
          <w:color w:val="auto"/>
          <w:sz w:val="24"/>
          <w:szCs w:val="24"/>
          <w:highlight w:val="none"/>
          <w:lang w:val="en-US" w:eastAsia="zh-CN"/>
        </w:rPr>
        <w:t>中标人须向采购人缴纳合同金额2.5%的履约保证金，</w:t>
      </w:r>
      <w:r>
        <w:rPr>
          <w:rFonts w:hint="eastAsia" w:ascii="仿宋" w:hAnsi="仿宋" w:eastAsia="仿宋" w:cs="仿宋"/>
          <w:strike w:val="0"/>
          <w:color w:val="auto"/>
          <w:sz w:val="24"/>
          <w:highlight w:val="none"/>
        </w:rPr>
        <w:t>履约保证金可以采用电汇或支票或保函形式，履约保证金在服务期满后无息退回。</w:t>
      </w:r>
    </w:p>
    <w:p w14:paraId="2CBF256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2、付款方式：</w:t>
      </w:r>
    </w:p>
    <w:p w14:paraId="04B35F2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szCs w:val="24"/>
          <w:highlight w:val="none"/>
        </w:rPr>
        <w:t>合同期内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的服务质量按</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进行考核，并按照考核结果在次</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支付上</w:t>
      </w:r>
      <w:r>
        <w:rPr>
          <w:rFonts w:hint="eastAsia" w:ascii="仿宋" w:hAnsi="仿宋" w:eastAsia="仿宋" w:cs="仿宋"/>
          <w:color w:val="auto"/>
          <w:sz w:val="24"/>
          <w:szCs w:val="24"/>
          <w:highlight w:val="none"/>
          <w:lang w:eastAsia="zh-CN"/>
        </w:rPr>
        <w:t>一月的</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若达不到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的考核标准，</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有权扣减</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服务费，并对</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提出</w:t>
      </w:r>
      <w:r>
        <w:rPr>
          <w:rFonts w:hint="eastAsia" w:ascii="仿宋" w:hAnsi="仿宋" w:eastAsia="仿宋" w:cs="仿宋"/>
          <w:color w:val="auto"/>
          <w:sz w:val="24"/>
          <w:szCs w:val="24"/>
          <w:highlight w:val="none"/>
          <w:lang w:eastAsia="zh-CN"/>
        </w:rPr>
        <w:t>限期</w:t>
      </w:r>
      <w:r>
        <w:rPr>
          <w:rFonts w:hint="eastAsia" w:ascii="仿宋" w:hAnsi="仿宋" w:eastAsia="仿宋" w:cs="仿宋"/>
          <w:color w:val="auto"/>
          <w:sz w:val="24"/>
          <w:szCs w:val="24"/>
          <w:highlight w:val="none"/>
        </w:rPr>
        <w:t>整改，限期整改</w:t>
      </w:r>
      <w:r>
        <w:rPr>
          <w:rFonts w:hint="eastAsia" w:ascii="仿宋" w:hAnsi="仿宋" w:eastAsia="仿宋" w:cs="仿宋"/>
          <w:color w:val="auto"/>
          <w:sz w:val="24"/>
          <w:szCs w:val="24"/>
          <w:highlight w:val="none"/>
          <w:lang w:eastAsia="zh-CN"/>
        </w:rPr>
        <w:t>不能达到</w:t>
      </w:r>
      <w:r>
        <w:rPr>
          <w:rFonts w:hint="eastAsia" w:ascii="仿宋" w:hAnsi="仿宋" w:eastAsia="仿宋" w:cs="仿宋"/>
          <w:color w:val="auto"/>
          <w:sz w:val="24"/>
          <w:szCs w:val="24"/>
          <w:highlight w:val="none"/>
        </w:rPr>
        <w:t>考核标准的，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w:t>
      </w:r>
      <w:r>
        <w:rPr>
          <w:rFonts w:hint="eastAsia" w:ascii="仿宋" w:hAnsi="仿宋" w:eastAsia="仿宋" w:cs="仿宋"/>
          <w:color w:val="auto"/>
          <w:sz w:val="24"/>
          <w:szCs w:val="24"/>
          <w:highlight w:val="none"/>
          <w:lang w:eastAsia="zh-CN"/>
        </w:rPr>
        <w:t>终止</w:t>
      </w:r>
      <w:r>
        <w:rPr>
          <w:rFonts w:hint="eastAsia" w:ascii="仿宋" w:hAnsi="仿宋" w:eastAsia="仿宋" w:cs="仿宋"/>
          <w:color w:val="auto"/>
          <w:sz w:val="24"/>
          <w:szCs w:val="24"/>
          <w:highlight w:val="none"/>
        </w:rPr>
        <w:t>合同，并由</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承担相关损失</w:t>
      </w:r>
      <w:r>
        <w:rPr>
          <w:rFonts w:hint="eastAsia" w:ascii="仿宋" w:hAnsi="仿宋" w:eastAsia="仿宋" w:cs="仿宋"/>
          <w:b w:val="0"/>
          <w:bCs w:val="0"/>
          <w:color w:val="auto"/>
          <w:sz w:val="24"/>
          <w:szCs w:val="24"/>
          <w:highlight w:val="none"/>
        </w:rPr>
        <w:t>。</w:t>
      </w:r>
    </w:p>
    <w:p w14:paraId="1A8905D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如遇特殊接</w:t>
      </w:r>
      <w:r>
        <w:rPr>
          <w:rFonts w:hint="eastAsia" w:ascii="仿宋" w:hAnsi="仿宋" w:eastAsia="仿宋" w:cs="仿宋"/>
          <w:color w:val="auto"/>
          <w:sz w:val="24"/>
          <w:szCs w:val="24"/>
          <w:highlight w:val="none"/>
          <w:lang w:eastAsia="zh-CN"/>
        </w:rPr>
        <w:t>待任务或大型活动和突发性事件需增餐、加班服务的按实际结算，特殊情况需加班的，则加班费另外补贴。</w:t>
      </w:r>
      <w:r>
        <w:rPr>
          <w:rFonts w:hint="eastAsia" w:ascii="仿宋" w:hAnsi="仿宋" w:eastAsia="仿宋" w:cs="仿宋"/>
          <w:color w:val="auto"/>
          <w:sz w:val="24"/>
          <w:szCs w:val="24"/>
          <w:highlight w:val="none"/>
          <w:lang w:val="en-US" w:eastAsia="zh-CN"/>
        </w:rPr>
        <w:t>其他未尽事宜按国家行业标准由双方协商确定。</w:t>
      </w:r>
    </w:p>
    <w:p w14:paraId="58077C3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）由中标人按经双方确认签字后</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实际</w:t>
      </w:r>
      <w:r>
        <w:rPr>
          <w:rFonts w:hint="eastAsia" w:ascii="仿宋" w:hAnsi="仿宋" w:eastAsia="仿宋" w:cs="仿宋"/>
          <w:color w:val="auto"/>
          <w:sz w:val="24"/>
          <w:szCs w:val="24"/>
          <w:highlight w:val="none"/>
          <w:lang w:val="en-US" w:eastAsia="zh-CN"/>
        </w:rPr>
        <w:t>用工</w:t>
      </w:r>
      <w:r>
        <w:rPr>
          <w:rFonts w:hint="eastAsia" w:ascii="仿宋" w:hAnsi="仿宋" w:eastAsia="仿宋" w:cs="仿宋"/>
          <w:color w:val="auto"/>
          <w:sz w:val="24"/>
          <w:szCs w:val="24"/>
          <w:highlight w:val="none"/>
          <w:lang w:eastAsia="zh-CN"/>
        </w:rPr>
        <w:t>数</w:t>
      </w:r>
      <w:r>
        <w:rPr>
          <w:rFonts w:hint="eastAsia" w:ascii="仿宋" w:hAnsi="仿宋" w:eastAsia="仿宋" w:cs="仿宋"/>
          <w:color w:val="auto"/>
          <w:sz w:val="24"/>
          <w:szCs w:val="24"/>
          <w:highlight w:val="none"/>
          <w:lang w:val="en-US" w:eastAsia="zh-CN"/>
        </w:rPr>
        <w:t>量</w:t>
      </w:r>
      <w:r>
        <w:rPr>
          <w:rFonts w:hint="eastAsia" w:ascii="仿宋" w:hAnsi="仿宋" w:eastAsia="仿宋" w:cs="仿宋"/>
          <w:color w:val="auto"/>
          <w:sz w:val="24"/>
          <w:szCs w:val="24"/>
          <w:highlight w:val="none"/>
          <w:lang w:eastAsia="zh-CN"/>
        </w:rPr>
        <w:t>向采购人按月结算</w:t>
      </w:r>
      <w:r>
        <w:rPr>
          <w:rFonts w:hint="eastAsia" w:ascii="仿宋" w:hAnsi="仿宋" w:eastAsia="仿宋" w:cs="仿宋"/>
          <w:color w:val="auto"/>
          <w:sz w:val="24"/>
          <w:szCs w:val="24"/>
          <w:highlight w:val="none"/>
          <w:lang w:val="en-US" w:eastAsia="zh-CN"/>
        </w:rPr>
        <w:t>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付款前</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lang w:eastAsia="zh-CN"/>
        </w:rPr>
        <w:t>开具发票，</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凭发票及时支付。（费用达到合同费用后，服务终止）</w:t>
      </w:r>
    </w:p>
    <w:p w14:paraId="223B9AFE">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报价说明</w:t>
      </w:r>
    </w:p>
    <w:p w14:paraId="5D5AE78E">
      <w:pPr>
        <w:keepNext w:val="0"/>
        <w:keepLines w:val="0"/>
        <w:pageBreakBefore w:val="0"/>
        <w:widowControl w:val="0"/>
        <w:numPr>
          <w:ilvl w:val="0"/>
          <w:numId w:val="4"/>
        </w:numPr>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highlight w:val="none"/>
          <w:lang w:val="en-US" w:eastAsia="zh-CN"/>
        </w:rPr>
        <w:t>本项目采用管理费折扣报价，报价包含员工工资、社保费用及意外伤残保险、福利等、劳务管理费、税金等项目实施的一切费用。加班费不包含在本次费用中。管理费率最高限价为10.00%（含税），</w:t>
      </w:r>
      <w:r>
        <w:rPr>
          <w:rFonts w:hint="default" w:ascii="仿宋" w:hAnsi="仿宋" w:eastAsia="仿宋" w:cs="仿宋"/>
          <w:color w:val="auto"/>
          <w:sz w:val="24"/>
          <w:szCs w:val="24"/>
          <w:highlight w:val="none"/>
          <w:lang w:val="en-US" w:eastAsia="zh-CN"/>
        </w:rPr>
        <w:t>如中标</w:t>
      </w:r>
      <w:r>
        <w:rPr>
          <w:rFonts w:hint="eastAsia" w:ascii="仿宋" w:hAnsi="仿宋" w:eastAsia="仿宋" w:cs="仿宋"/>
          <w:color w:val="auto"/>
          <w:sz w:val="24"/>
          <w:szCs w:val="24"/>
          <w:highlight w:val="none"/>
          <w:lang w:val="en-US" w:eastAsia="zh-CN"/>
        </w:rPr>
        <w:t>人</w:t>
      </w:r>
      <w:r>
        <w:rPr>
          <w:rFonts w:hint="default" w:ascii="仿宋" w:hAnsi="仿宋" w:eastAsia="仿宋" w:cs="仿宋"/>
          <w:color w:val="auto"/>
          <w:sz w:val="24"/>
          <w:szCs w:val="24"/>
          <w:highlight w:val="none"/>
          <w:lang w:val="en-US" w:eastAsia="zh-CN"/>
        </w:rPr>
        <w:t>的投标折扣为90.00%，</w:t>
      </w:r>
      <w:r>
        <w:rPr>
          <w:rFonts w:hint="eastAsia" w:ascii="仿宋" w:hAnsi="仿宋" w:eastAsia="仿宋" w:cs="仿宋"/>
          <w:b w:val="0"/>
          <w:bCs w:val="0"/>
          <w:color w:val="auto"/>
          <w:sz w:val="24"/>
          <w:highlight w:val="none"/>
          <w:lang w:val="en-US" w:eastAsia="zh-CN"/>
        </w:rPr>
        <w:t>管理服务费用计算方式：管理服务费收费金</w:t>
      </w:r>
      <w:r>
        <w:rPr>
          <w:rFonts w:hint="eastAsia" w:ascii="仿宋" w:hAnsi="仿宋" w:eastAsia="仿宋" w:cs="仿宋"/>
          <w:color w:val="auto"/>
          <w:sz w:val="24"/>
          <w:szCs w:val="24"/>
          <w:highlight w:val="none"/>
          <w:lang w:val="en-US" w:eastAsia="zh-CN"/>
        </w:rPr>
        <w:t>额=</w:t>
      </w:r>
      <w:r>
        <w:rPr>
          <w:rFonts w:hint="eastAsia" w:ascii="仿宋" w:hAnsi="仿宋" w:eastAsia="仿宋" w:cs="仿宋"/>
          <w:b w:val="0"/>
          <w:bCs w:val="0"/>
          <w:i w:val="0"/>
          <w:iCs w:val="0"/>
          <w:color w:val="auto"/>
          <w:kern w:val="0"/>
          <w:sz w:val="24"/>
          <w:szCs w:val="24"/>
          <w:highlight w:val="none"/>
          <w:u w:val="none"/>
          <w:lang w:val="en-US" w:eastAsia="zh-CN" w:bidi="ar"/>
        </w:rPr>
        <w:t>人员薪资合计费用</w:t>
      </w: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color w:val="auto"/>
          <w:sz w:val="24"/>
          <w:szCs w:val="24"/>
          <w:highlight w:val="none"/>
          <w:lang w:val="en-US" w:eastAsia="zh-CN"/>
        </w:rPr>
        <w:t>.00%×90.00%。</w:t>
      </w:r>
    </w:p>
    <w:p w14:paraId="6F6FABF9">
      <w:pPr>
        <w:keepNext w:val="0"/>
        <w:keepLines w:val="0"/>
        <w:pageBreakBefore w:val="0"/>
        <w:widowControl w:val="0"/>
        <w:numPr>
          <w:ilvl w:val="0"/>
          <w:numId w:val="0"/>
        </w:numPr>
        <w:kinsoku/>
        <w:wordWrap/>
        <w:overflowPunct/>
        <w:topLinePunct w:val="0"/>
        <w:autoSpaceDE/>
        <w:autoSpaceDN/>
        <w:bidi w:val="0"/>
        <w:adjustRightInd w:val="0"/>
        <w:snapToGrid/>
        <w:spacing w:line="420" w:lineRule="exact"/>
        <w:ind w:leftChars="20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lang w:val="en-US" w:eastAsia="zh-CN"/>
        </w:rPr>
        <w:t>（2）与本项目有关的一切税金由中标人承担。</w:t>
      </w:r>
    </w:p>
    <w:p w14:paraId="67B202AC">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最高限价</w:t>
      </w:r>
    </w:p>
    <w:p w14:paraId="4F83C8A3">
      <w:pPr>
        <w:keepNext w:val="0"/>
        <w:keepLines w:val="0"/>
        <w:pageBreakBefore w:val="0"/>
        <w:widowControl/>
        <w:kinsoku/>
        <w:wordWrap/>
        <w:overflowPunct/>
        <w:topLinePunct w:val="0"/>
        <w:autoSpaceDE/>
        <w:autoSpaceDN/>
        <w:bidi w:val="0"/>
        <w:snapToGrid/>
        <w:spacing w:line="420" w:lineRule="exact"/>
        <w:ind w:left="0" w:leftChars="0" w:firstLine="482" w:firstLineChars="200"/>
        <w:jc w:val="left"/>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u w:val="none"/>
        </w:rPr>
        <w:t>本次采购采用管理费率折扣招标，用工数量按实结算，最高收费费率不超过百分之壹拾点零零（10.00%）。</w:t>
      </w:r>
    </w:p>
    <w:p w14:paraId="7E54D83F">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82" w:firstLineChars="200"/>
        <w:jc w:val="left"/>
        <w:textAlignment w:val="auto"/>
        <w:rPr>
          <w:rFonts w:hint="default" w:ascii="仿宋" w:hAnsi="仿宋" w:eastAsia="仿宋" w:cs="仿宋"/>
          <w:b/>
          <w:bCs/>
          <w:color w:val="auto"/>
          <w:sz w:val="24"/>
          <w:highlight w:val="none"/>
          <w:lang w:val="en-US" w:eastAsia="zh-CN"/>
        </w:rPr>
      </w:pPr>
      <w:r>
        <w:rPr>
          <w:rFonts w:hint="default" w:ascii="仿宋" w:hAnsi="仿宋" w:eastAsia="仿宋" w:cs="仿宋"/>
          <w:b/>
          <w:bCs/>
          <w:color w:val="auto"/>
          <w:sz w:val="24"/>
          <w:highlight w:val="none"/>
          <w:lang w:val="en-US" w:eastAsia="zh-CN"/>
        </w:rPr>
        <w:t>特别说明</w:t>
      </w:r>
    </w:p>
    <w:p w14:paraId="632C81C3">
      <w:pPr>
        <w:keepNext w:val="0"/>
        <w:keepLines w:val="0"/>
        <w:pageBreakBefore w:val="0"/>
        <w:widowControl w:val="0"/>
        <w:numPr>
          <w:ilvl w:val="0"/>
          <w:numId w:val="0"/>
        </w:numPr>
        <w:kinsoku/>
        <w:wordWrap/>
        <w:overflowPunct/>
        <w:topLinePunct w:val="0"/>
        <w:autoSpaceDE w:val="0"/>
        <w:autoSpaceDN w:val="0"/>
        <w:bidi w:val="0"/>
        <w:adjustRightInd w:val="0"/>
        <w:snapToGrid/>
        <w:spacing w:line="410" w:lineRule="exact"/>
        <w:ind w:left="0" w:leftChars="0" w:right="0" w:firstLine="480" w:firstLineChars="200"/>
        <w:textAlignment w:val="auto"/>
        <w:outlineLvl w:val="1"/>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本采购需求中标注“★”项为实质性要求条款，必须作出实质性响应。若其中任意一条打“★”的条款不满足（或出现“负偏离”）则投标无效。供应商须在投标文件中提供相关证明材料复印件或作出相关承诺（承诺函格式自拟），未提供相关证明材料复印件或相关承诺（或承诺内容不符）均作无效投标处理。</w:t>
      </w:r>
    </w:p>
    <w:p w14:paraId="62B814E2">
      <w:pPr>
        <w:snapToGrid w:val="0"/>
        <w:spacing w:line="240" w:lineRule="auto"/>
        <w:jc w:val="center"/>
        <w:textAlignment w:val="bottom"/>
        <w:rPr>
          <w:rFonts w:hint="eastAsia" w:ascii="宋体" w:hAnsi="宋体" w:eastAsia="宋体" w:cs="宋体"/>
          <w:b/>
          <w:bCs/>
          <w:color w:val="auto"/>
          <w:sz w:val="36"/>
          <w:szCs w:val="36"/>
          <w:highlight w:val="none"/>
        </w:rPr>
      </w:pPr>
    </w:p>
    <w:p w14:paraId="0026AA84">
      <w:pPr>
        <w:snapToGrid w:val="0"/>
        <w:spacing w:line="240" w:lineRule="auto"/>
        <w:jc w:val="center"/>
        <w:textAlignment w:val="bottom"/>
        <w:rPr>
          <w:rFonts w:hint="eastAsia" w:ascii="宋体" w:hAnsi="宋体" w:eastAsia="宋体" w:cs="宋体"/>
          <w:b/>
          <w:bCs/>
          <w:color w:val="auto"/>
          <w:sz w:val="36"/>
          <w:szCs w:val="36"/>
          <w:highlight w:val="none"/>
        </w:rPr>
        <w:sectPr>
          <w:footerReference r:id="rId7" w:type="first"/>
          <w:footerReference r:id="rId6" w:type="default"/>
          <w:pgSz w:w="11905"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type="lines" w:linePitch="317" w:charSpace="0"/>
        </w:sectPr>
      </w:pPr>
    </w:p>
    <w:p w14:paraId="5FF5DD12">
      <w:pPr>
        <w:snapToGrid w:val="0"/>
        <w:spacing w:line="240" w:lineRule="auto"/>
        <w:jc w:val="center"/>
        <w:textAlignment w:val="bottom"/>
        <w:rPr>
          <w:rFonts w:hint="eastAsia" w:ascii="宋体" w:hAnsi="宋体" w:eastAsia="宋体" w:cs="宋体"/>
          <w:b/>
          <w:bCs/>
          <w:color w:val="auto"/>
          <w:sz w:val="36"/>
          <w:szCs w:val="36"/>
          <w:highlight w:val="none"/>
        </w:rPr>
      </w:pPr>
    </w:p>
    <w:p w14:paraId="4DBDE8B6">
      <w:pPr>
        <w:pStyle w:val="2"/>
        <w:keepNext/>
        <w:keepLines/>
        <w:pageBreakBefore w:val="0"/>
        <w:widowControl w:val="0"/>
        <w:kinsoku/>
        <w:wordWrap/>
        <w:overflowPunct/>
        <w:topLinePunct w:val="0"/>
        <w:autoSpaceDE w:val="0"/>
        <w:autoSpaceDN w:val="0"/>
        <w:bidi w:val="0"/>
        <w:adjustRightInd w:val="0"/>
        <w:snapToGrid/>
        <w:spacing w:before="240" w:after="240" w:line="420" w:lineRule="exact"/>
        <w:jc w:val="center"/>
        <w:textAlignment w:val="auto"/>
        <w:rPr>
          <w:rFonts w:hint="eastAsia" w:ascii="华文中宋" w:hAnsi="华文中宋" w:eastAsia="华文中宋"/>
          <w:color w:val="auto"/>
          <w:sz w:val="36"/>
          <w:szCs w:val="36"/>
          <w:highlight w:val="none"/>
          <w:lang w:val="en-US" w:eastAsia="zh-CN"/>
        </w:rPr>
      </w:pPr>
      <w:r>
        <w:rPr>
          <w:rFonts w:hint="eastAsia" w:ascii="华文中宋" w:hAnsi="华文中宋" w:eastAsia="华文中宋"/>
          <w:color w:val="auto"/>
          <w:sz w:val="36"/>
          <w:szCs w:val="36"/>
          <w:highlight w:val="none"/>
          <w:lang w:val="en-US" w:eastAsia="zh-CN"/>
        </w:rPr>
        <w:t>第五章  采购项目采购合同</w:t>
      </w:r>
    </w:p>
    <w:p w14:paraId="53539171">
      <w:pPr>
        <w:snapToGrid w:val="0"/>
        <w:spacing w:line="240" w:lineRule="auto"/>
        <w:jc w:val="both"/>
        <w:textAlignment w:val="bottom"/>
        <w:rPr>
          <w:rFonts w:hint="eastAsia" w:ascii="宋体" w:hAnsi="宋体" w:eastAsia="宋体" w:cs="宋体"/>
          <w:b/>
          <w:bCs/>
          <w:color w:val="auto"/>
          <w:sz w:val="36"/>
          <w:szCs w:val="36"/>
          <w:highlight w:val="none"/>
        </w:rPr>
      </w:pPr>
    </w:p>
    <w:p w14:paraId="415AFF85">
      <w:pPr>
        <w:rPr>
          <w:rFonts w:hint="eastAsia" w:ascii="仿宋" w:hAnsi="仿宋" w:eastAsia="仿宋" w:cs="仿宋"/>
          <w:color w:val="auto"/>
          <w:highlight w:val="none"/>
          <w:u w:val="single"/>
        </w:rPr>
      </w:pPr>
      <w:r>
        <w:rPr>
          <w:rFonts w:hint="eastAsia" w:ascii="仿宋" w:hAnsi="仿宋" w:eastAsia="仿宋" w:cs="仿宋"/>
          <w:color w:val="auto"/>
          <w:highlight w:val="none"/>
        </w:rPr>
        <w:t>甲方（采购单位）：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47F1457A">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4142B5B6">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根据《中华人民共和国</w:t>
      </w:r>
      <w:r>
        <w:rPr>
          <w:rFonts w:hint="eastAsia" w:ascii="仿宋" w:hAnsi="仿宋" w:eastAsia="仿宋" w:cs="仿宋"/>
          <w:color w:val="auto"/>
          <w:highlight w:val="none"/>
          <w:lang w:val="en-US" w:eastAsia="zh-CN"/>
        </w:rPr>
        <w:t>民法典</w:t>
      </w:r>
      <w:r>
        <w:rPr>
          <w:rFonts w:hint="eastAsia" w:ascii="仿宋" w:hAnsi="仿宋" w:eastAsia="仿宋" w:cs="仿宋"/>
          <w:color w:val="auto"/>
          <w:highlight w:val="none"/>
        </w:rPr>
        <w:t>》《中华人民共和国政府采购法》等有关规定，以及</w:t>
      </w:r>
      <w:r>
        <w:rPr>
          <w:rFonts w:hint="eastAsia" w:ascii="仿宋" w:hAnsi="仿宋" w:eastAsia="仿宋" w:cs="仿宋"/>
          <w:color w:val="auto"/>
          <w:highlight w:val="none"/>
          <w:lang w:eastAsia="zh-CN"/>
        </w:rPr>
        <w:t>杭州市建设工程管理集团有限公司</w:t>
      </w:r>
      <w:r>
        <w:rPr>
          <w:rFonts w:hint="eastAsia" w:ascii="仿宋" w:hAnsi="仿宋" w:eastAsia="仿宋" w:cs="仿宋"/>
          <w:color w:val="auto"/>
          <w:highlight w:val="none"/>
        </w:rPr>
        <w:t>（编号：</w:t>
      </w:r>
      <w:r>
        <w:rPr>
          <w:rFonts w:hint="eastAsia" w:ascii="仿宋" w:hAnsi="仿宋" w:eastAsia="仿宋" w:cs="仿宋"/>
          <w:color w:val="auto"/>
          <w:highlight w:val="none"/>
          <w:lang w:val="en-US" w:eastAsia="zh-CN"/>
        </w:rPr>
        <w:t>杭建集团</w:t>
      </w:r>
      <w:r>
        <w:rPr>
          <w:rFonts w:hint="eastAsia" w:ascii="仿宋" w:hAnsi="仿宋" w:eastAsia="仿宋" w:cs="仿宋"/>
          <w:color w:val="auto"/>
          <w:highlight w:val="none"/>
        </w:rPr>
        <w:t>20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号）</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相关要求，经法定程序采购，双方同意签订以下合同条款，以便双方共同遵守、履行合同。</w:t>
      </w:r>
    </w:p>
    <w:p w14:paraId="57623D39">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一、采购</w:t>
      </w:r>
      <w:r>
        <w:rPr>
          <w:rFonts w:hint="eastAsia" w:ascii="仿宋" w:hAnsi="仿宋" w:eastAsia="仿宋" w:cs="仿宋"/>
          <w:b/>
          <w:color w:val="auto"/>
          <w:highlight w:val="none"/>
          <w:lang w:val="en-US" w:eastAsia="zh-CN"/>
        </w:rPr>
        <w:t>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14:paraId="76BA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center"/>
          </w:tcPr>
          <w:p w14:paraId="48844B9C">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名称</w:t>
            </w:r>
          </w:p>
        </w:tc>
        <w:tc>
          <w:tcPr>
            <w:tcW w:w="3332" w:type="dxa"/>
            <w:noWrap w:val="0"/>
            <w:vAlign w:val="center"/>
          </w:tcPr>
          <w:p w14:paraId="2F6810C9">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内容</w:t>
            </w:r>
          </w:p>
        </w:tc>
        <w:tc>
          <w:tcPr>
            <w:tcW w:w="1388" w:type="dxa"/>
            <w:noWrap w:val="0"/>
            <w:vAlign w:val="center"/>
          </w:tcPr>
          <w:p w14:paraId="2D018764">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数量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或服务期限</w:t>
            </w:r>
            <w:r>
              <w:rPr>
                <w:rFonts w:hint="eastAsia" w:ascii="仿宋" w:hAnsi="仿宋" w:eastAsia="仿宋" w:cs="仿宋"/>
                <w:color w:val="auto"/>
                <w:highlight w:val="none"/>
                <w:lang w:eastAsia="zh-CN"/>
              </w:rPr>
              <w:t>）</w:t>
            </w:r>
          </w:p>
        </w:tc>
        <w:tc>
          <w:tcPr>
            <w:tcW w:w="1260" w:type="dxa"/>
            <w:noWrap w:val="0"/>
            <w:vAlign w:val="center"/>
          </w:tcPr>
          <w:p w14:paraId="71B7B091">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单价（元）</w:t>
            </w:r>
          </w:p>
        </w:tc>
        <w:tc>
          <w:tcPr>
            <w:tcW w:w="1440" w:type="dxa"/>
            <w:noWrap w:val="0"/>
            <w:vAlign w:val="center"/>
          </w:tcPr>
          <w:p w14:paraId="630C3029">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合价（元）</w:t>
            </w:r>
          </w:p>
        </w:tc>
      </w:tr>
      <w:tr w14:paraId="1C08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25168B3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3332" w:type="dxa"/>
            <w:noWrap w:val="0"/>
            <w:vAlign w:val="top"/>
          </w:tcPr>
          <w:p w14:paraId="15D5CEF0">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388" w:type="dxa"/>
            <w:noWrap w:val="0"/>
            <w:vAlign w:val="top"/>
          </w:tcPr>
          <w:p w14:paraId="7092FFC7">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260" w:type="dxa"/>
            <w:noWrap w:val="0"/>
            <w:vAlign w:val="top"/>
          </w:tcPr>
          <w:p w14:paraId="400E08DD">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440" w:type="dxa"/>
            <w:noWrap w:val="0"/>
            <w:vAlign w:val="top"/>
          </w:tcPr>
          <w:p w14:paraId="2B9FBB9C">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r>
      <w:tr w14:paraId="7ED3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2C0111A3">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3332" w:type="dxa"/>
            <w:noWrap w:val="0"/>
            <w:vAlign w:val="top"/>
          </w:tcPr>
          <w:p w14:paraId="49E3853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388" w:type="dxa"/>
            <w:noWrap w:val="0"/>
            <w:vAlign w:val="top"/>
          </w:tcPr>
          <w:p w14:paraId="59DFBFD0">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260" w:type="dxa"/>
            <w:noWrap w:val="0"/>
            <w:vAlign w:val="top"/>
          </w:tcPr>
          <w:p w14:paraId="30B1289B">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440" w:type="dxa"/>
            <w:noWrap w:val="0"/>
            <w:vAlign w:val="top"/>
          </w:tcPr>
          <w:p w14:paraId="1EC4E88F">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r>
      <w:tr w14:paraId="44C8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noWrap w:val="0"/>
            <w:vAlign w:val="center"/>
          </w:tcPr>
          <w:p w14:paraId="2493030A">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合计人民币（大写）：  佰   拾   万   仟   佰   拾   元    角    分  ￥：</w:t>
            </w:r>
          </w:p>
        </w:tc>
      </w:tr>
    </w:tbl>
    <w:p w14:paraId="0A911374">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二、产品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要求</w:t>
      </w:r>
    </w:p>
    <w:p w14:paraId="00657BC9">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11B5DD0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2127379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7F6560D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28A0C6D6">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（以上按采购文件采购需求中对应的服务要求内容填写）</w:t>
      </w:r>
    </w:p>
    <w:p w14:paraId="5474E9E6">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三、产品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质量要求</w:t>
      </w:r>
    </w:p>
    <w:p w14:paraId="5EB8CF84">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1F4759C4">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0BE64424">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372C3B3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35EA52AC">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（以上按采购文件采购需求中对应的服务质量内容填写）</w:t>
      </w:r>
    </w:p>
    <w:p w14:paraId="0DBA7D71">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四、</w:t>
      </w:r>
      <w:r>
        <w:rPr>
          <w:rFonts w:hint="eastAsia" w:ascii="仿宋" w:hAnsi="仿宋" w:eastAsia="仿宋" w:cs="仿宋"/>
          <w:b/>
          <w:color w:val="auto"/>
          <w:highlight w:val="none"/>
          <w:lang w:val="en-US" w:eastAsia="zh-CN"/>
        </w:rPr>
        <w:t>项目</w:t>
      </w:r>
      <w:r>
        <w:rPr>
          <w:rFonts w:hint="eastAsia" w:ascii="仿宋" w:hAnsi="仿宋" w:eastAsia="仿宋" w:cs="仿宋"/>
          <w:b/>
          <w:color w:val="auto"/>
          <w:highlight w:val="none"/>
        </w:rPr>
        <w:t>验收</w:t>
      </w:r>
    </w:p>
    <w:p w14:paraId="3881AB5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由甲方单位组织验收，产品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完成</w:t>
      </w:r>
      <w:r>
        <w:rPr>
          <w:rFonts w:hint="eastAsia" w:ascii="仿宋" w:hAnsi="仿宋" w:eastAsia="仿宋" w:cs="仿宋"/>
          <w:color w:val="auto"/>
          <w:highlight w:val="none"/>
        </w:rPr>
        <w:t>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天内验收完毕，</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天内提出质量异议。具体按照《诸暨市政府采购合同履约和验收管理暂行规定》执行。</w:t>
      </w:r>
    </w:p>
    <w:p w14:paraId="6EEAECE6">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五、付款方式</w:t>
      </w:r>
    </w:p>
    <w:p w14:paraId="0C316B82">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按采购文件规定付款方式填写</w:t>
      </w:r>
      <w:r>
        <w:rPr>
          <w:rFonts w:hint="eastAsia" w:ascii="仿宋" w:hAnsi="仿宋" w:eastAsia="仿宋" w:cs="仿宋"/>
          <w:color w:val="auto"/>
          <w:highlight w:val="none"/>
          <w:lang w:eastAsia="zh-CN"/>
        </w:rPr>
        <w:t>）</w:t>
      </w:r>
    </w:p>
    <w:p w14:paraId="442466DB">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六、履约保证金</w:t>
      </w:r>
    </w:p>
    <w:p w14:paraId="5295DDE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按采购文件规定履约保证金填写</w:t>
      </w:r>
      <w:r>
        <w:rPr>
          <w:rFonts w:hint="eastAsia" w:ascii="仿宋" w:hAnsi="仿宋" w:eastAsia="仿宋" w:cs="仿宋"/>
          <w:color w:val="auto"/>
          <w:highlight w:val="none"/>
          <w:lang w:eastAsia="zh-CN"/>
        </w:rPr>
        <w:t>）</w:t>
      </w:r>
    </w:p>
    <w:p w14:paraId="5D61CE9D">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七、产品数量变更</w:t>
      </w:r>
    </w:p>
    <w:p w14:paraId="22F416D5">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合同履行过程中，甲方根据实际情况，需要增减与合同标的相同的产品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，在不改变合同其他条款的前提下，可以与乙方协商签订补充合同，但所有补充合同的采购金额不得超过原合同采购金额的10%，增减产品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的价格为相应中标产品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的价格，且事先须向诸暨市建设集团有限公司招投标监管领导小组办公室审核备案。</w:t>
      </w:r>
    </w:p>
    <w:p w14:paraId="22B20A2D">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八、售后服务</w:t>
      </w:r>
    </w:p>
    <w:p w14:paraId="21B9F364">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具体售后服务条款参照</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及乙方</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文件中的售后服务承诺。</w:t>
      </w:r>
    </w:p>
    <w:p w14:paraId="50AA99F5">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九、违约责任</w:t>
      </w:r>
    </w:p>
    <w:p w14:paraId="057FD802">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，由甲方向乙方偿付合同总价的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%违约金。</w:t>
      </w:r>
    </w:p>
    <w:p w14:paraId="7BB904D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2、甲方未能在合同规定期限内验收完毕的，每超过一天，付合同价的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%的违约金给乙方。</w:t>
      </w:r>
    </w:p>
    <w:p w14:paraId="3449BCD6">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3、乙方不能交付产品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，甲方有权扣留全部履约保证金；同时乙方向甲方支付合同款总价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%的违约金。</w:t>
      </w:r>
    </w:p>
    <w:p w14:paraId="49BD8BD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4、乙方逾期交付产品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的，每逾期1天，乙方向甲方偿付逾期部分产品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货款的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%的滞纳金，如乙方逾期15天，甲方有权解除合同，解除合同的通知自到达乙方时生效。</w:t>
      </w:r>
    </w:p>
    <w:p w14:paraId="3CC398E4">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color w:val="auto"/>
          <w:highlight w:val="none"/>
          <w:u w:val="single"/>
        </w:rPr>
      </w:pPr>
      <w:r>
        <w:rPr>
          <w:rFonts w:hint="eastAsia" w:ascii="仿宋" w:hAnsi="仿宋" w:eastAsia="仿宋" w:cs="仿宋"/>
          <w:b/>
          <w:color w:val="auto"/>
          <w:highlight w:val="none"/>
        </w:rPr>
        <w:t>十、其他约定事项</w:t>
      </w:r>
      <w:r>
        <w:rPr>
          <w:rFonts w:hint="eastAsia" w:ascii="仿宋" w:hAnsi="仿宋" w:eastAsia="仿宋" w:cs="仿宋"/>
          <w:b/>
          <w:color w:val="auto"/>
          <w:highlight w:val="none"/>
          <w:u w:val="none"/>
          <w:lang w:val="en-US" w:eastAsia="zh-CN"/>
        </w:rPr>
        <w:t xml:space="preserve">  </w:t>
      </w:r>
      <w:r>
        <w:rPr>
          <w:rFonts w:hint="eastAsia" w:ascii="仿宋" w:hAnsi="仿宋" w:eastAsia="仿宋" w:cs="仿宋"/>
          <w:color w:val="auto"/>
          <w:highlight w:val="none"/>
          <w:u w:val="single"/>
        </w:rPr>
        <w:t xml:space="preserve">                                                                     </w:t>
      </w:r>
    </w:p>
    <w:p w14:paraId="41B6D67D">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十一、解决合同纠纷方式</w:t>
      </w:r>
    </w:p>
    <w:p w14:paraId="6ED4AD3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其它未尽事宜或履行时发生争议，由双方本着诚实信用的原则协商解决，协商不成功可向</w:t>
      </w:r>
      <w:r>
        <w:rPr>
          <w:rFonts w:hint="eastAsia" w:ascii="仿宋" w:hAnsi="仿宋" w:eastAsia="仿宋" w:cs="仿宋"/>
          <w:color w:val="auto"/>
          <w:highlight w:val="none"/>
          <w:u w:val="single"/>
          <w:lang w:val="en-US" w:eastAsia="zh-CN"/>
        </w:rPr>
        <w:t>诸暨市</w:t>
      </w:r>
      <w:r>
        <w:rPr>
          <w:rFonts w:hint="eastAsia" w:ascii="仿宋" w:hAnsi="仿宋" w:eastAsia="仿宋" w:cs="仿宋"/>
          <w:color w:val="auto"/>
          <w:highlight w:val="none"/>
        </w:rPr>
        <w:t>人民法院起诉。</w:t>
      </w:r>
    </w:p>
    <w:p w14:paraId="4BBE6027">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十二、其它</w:t>
      </w:r>
    </w:p>
    <w:p w14:paraId="3AE011FC">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1、本项目的</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文件、中标通知书作为合同的附件，具有同等法律效力。</w:t>
      </w:r>
    </w:p>
    <w:p w14:paraId="4A029FE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highlight w:val="none"/>
        </w:rPr>
        <w:t>2、本合同自签订之日起生效。</w:t>
      </w:r>
      <w:r>
        <w:rPr>
          <w:rFonts w:hint="eastAsia" w:ascii="仿宋" w:hAnsi="仿宋" w:eastAsia="仿宋" w:cs="仿宋"/>
          <w:color w:val="auto"/>
          <w:sz w:val="21"/>
          <w:szCs w:val="21"/>
          <w:highlight w:val="none"/>
        </w:rPr>
        <w:t>授权代表签署的应附法定代表人授权书。</w:t>
      </w:r>
    </w:p>
    <w:p w14:paraId="2A3AD8FB">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3、本合同一式</w:t>
      </w:r>
      <w:r>
        <w:rPr>
          <w:rFonts w:hint="eastAsia" w:ascii="仿宋" w:hAnsi="仿宋" w:eastAsia="仿宋" w:cs="仿宋"/>
          <w:color w:val="auto"/>
          <w:highlight w:val="none"/>
          <w:lang w:val="en-US" w:eastAsia="zh-CN"/>
        </w:rPr>
        <w:t>陆</w:t>
      </w:r>
      <w:r>
        <w:rPr>
          <w:rFonts w:hint="eastAsia" w:ascii="仿宋" w:hAnsi="仿宋" w:eastAsia="仿宋" w:cs="仿宋"/>
          <w:color w:val="auto"/>
          <w:highlight w:val="none"/>
        </w:rPr>
        <w:t>份，甲乙双方各执</w:t>
      </w:r>
      <w:r>
        <w:rPr>
          <w:rFonts w:hint="eastAsia" w:ascii="仿宋" w:hAnsi="仿宋" w:eastAsia="仿宋" w:cs="仿宋"/>
          <w:color w:val="auto"/>
          <w:highlight w:val="none"/>
          <w:lang w:val="en-US" w:eastAsia="zh-CN"/>
        </w:rPr>
        <w:t>贰</w:t>
      </w:r>
      <w:r>
        <w:rPr>
          <w:rFonts w:hint="eastAsia" w:ascii="仿宋" w:hAnsi="仿宋" w:eastAsia="仿宋" w:cs="仿宋"/>
          <w:color w:val="auto"/>
          <w:highlight w:val="none"/>
        </w:rPr>
        <w:t>份，代理机构、</w:t>
      </w:r>
      <w:r>
        <w:rPr>
          <w:rFonts w:hint="eastAsia" w:ascii="仿宋" w:hAnsi="仿宋" w:eastAsia="仿宋" w:cs="仿宋"/>
          <w:color w:val="auto"/>
          <w:highlight w:val="none"/>
          <w:lang w:val="en-US" w:eastAsia="zh-CN"/>
        </w:rPr>
        <w:t>招标办</w:t>
      </w:r>
      <w:r>
        <w:rPr>
          <w:rFonts w:hint="eastAsia" w:ascii="仿宋" w:hAnsi="仿宋" w:eastAsia="仿宋" w:cs="仿宋"/>
          <w:color w:val="auto"/>
          <w:highlight w:val="none"/>
        </w:rPr>
        <w:t>各备案</w:t>
      </w:r>
      <w:r>
        <w:rPr>
          <w:rFonts w:hint="eastAsia" w:ascii="仿宋" w:hAnsi="仿宋" w:eastAsia="仿宋" w:cs="仿宋"/>
          <w:color w:val="auto"/>
          <w:highlight w:val="none"/>
          <w:lang w:val="en-US" w:eastAsia="zh-CN"/>
        </w:rPr>
        <w:t>壹</w:t>
      </w:r>
      <w:r>
        <w:rPr>
          <w:rFonts w:hint="eastAsia" w:ascii="仿宋" w:hAnsi="仿宋" w:eastAsia="仿宋" w:cs="仿宋"/>
          <w:color w:val="auto"/>
          <w:highlight w:val="none"/>
        </w:rPr>
        <w:t>份。</w:t>
      </w:r>
    </w:p>
    <w:tbl>
      <w:tblPr>
        <w:tblStyle w:val="2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4650"/>
      </w:tblGrid>
      <w:tr w14:paraId="7E3E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589" w:type="dxa"/>
            <w:noWrap w:val="0"/>
            <w:vAlign w:val="center"/>
          </w:tcPr>
          <w:p w14:paraId="42879E57">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采购单位</w:t>
            </w:r>
          </w:p>
        </w:tc>
        <w:tc>
          <w:tcPr>
            <w:tcW w:w="4650" w:type="dxa"/>
            <w:noWrap w:val="0"/>
            <w:vAlign w:val="center"/>
          </w:tcPr>
          <w:p w14:paraId="7A703CA9">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供货单位</w:t>
            </w:r>
          </w:p>
        </w:tc>
      </w:tr>
      <w:tr w14:paraId="6170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4589" w:type="dxa"/>
            <w:noWrap w:val="0"/>
            <w:vAlign w:val="top"/>
          </w:tcPr>
          <w:p w14:paraId="0EE477B2">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70DFB348">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37128FED">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68007512">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2641B536">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03985D99">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7FEABEB8">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4650" w:type="dxa"/>
            <w:noWrap w:val="0"/>
            <w:vAlign w:val="top"/>
          </w:tcPr>
          <w:p w14:paraId="3307B8EF">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23885D56">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7711907B">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49528D53">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0F2387A5">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6C439667">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365370E0">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35538515">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70EF281F">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tc>
      </w:tr>
    </w:tbl>
    <w:p w14:paraId="73B74E5B">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w:t>
      </w:r>
      <w:r>
        <w:rPr>
          <w:rFonts w:hint="eastAsia" w:ascii="仿宋" w:hAnsi="仿宋" w:eastAsia="仿宋" w:cs="仿宋"/>
          <w:color w:val="auto"/>
          <w:highlight w:val="none"/>
        </w:rPr>
        <w:t>该合同模板与招标文件中实质性内容不相符部分，以招标文件规定为准，在签订前相应调整。</w:t>
      </w:r>
    </w:p>
    <w:p w14:paraId="69090A51">
      <w:pPr>
        <w:spacing w:before="120" w:line="288" w:lineRule="auto"/>
        <w:rPr>
          <w:rFonts w:hint="eastAsia" w:ascii="仿宋" w:hAnsi="仿宋" w:eastAsia="仿宋" w:cs="仿宋"/>
          <w:color w:val="auto"/>
          <w:sz w:val="22"/>
          <w:szCs w:val="20"/>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type="lines" w:linePitch="317" w:charSpace="0"/>
        </w:sectPr>
      </w:pPr>
    </w:p>
    <w:p w14:paraId="74C89F35">
      <w:pPr>
        <w:jc w:val="center"/>
        <w:rPr>
          <w:rFonts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rPr>
        <w:t>第六章  应提交的有关格式范例</w:t>
      </w:r>
    </w:p>
    <w:p w14:paraId="0BF63C1E">
      <w:pPr>
        <w:widowControl/>
        <w:tabs>
          <w:tab w:val="left" w:pos="450"/>
          <w:tab w:val="left" w:pos="8280"/>
        </w:tabs>
        <w:spacing w:beforeLines="10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0D8FCADD">
      <w:pPr>
        <w:widowControl/>
        <w:tabs>
          <w:tab w:val="left" w:pos="450"/>
          <w:tab w:val="left" w:pos="2520"/>
          <w:tab w:val="left" w:pos="8280"/>
        </w:tabs>
        <w:spacing w:line="360" w:lineRule="auto"/>
        <w:jc w:val="center"/>
        <w:rPr>
          <w:rFonts w:ascii="仿宋" w:hAnsi="仿宋" w:eastAsia="仿宋" w:cs="宋体"/>
          <w:b/>
          <w:color w:val="auto"/>
          <w:sz w:val="32"/>
          <w:szCs w:val="32"/>
          <w:highlight w:val="none"/>
        </w:rPr>
      </w:pPr>
      <w:r>
        <w:rPr>
          <w:rFonts w:hint="eastAsia" w:ascii="仿宋" w:hAnsi="仿宋" w:eastAsia="仿宋"/>
          <w:b/>
          <w:color w:val="auto"/>
          <w:sz w:val="32"/>
          <w:szCs w:val="32"/>
          <w:highlight w:val="none"/>
        </w:rPr>
        <w:t>一、封面格式</w:t>
      </w:r>
    </w:p>
    <w:p w14:paraId="53F6EB3C">
      <w:pPr>
        <w:widowControl/>
        <w:tabs>
          <w:tab w:val="left" w:pos="8280"/>
        </w:tabs>
        <w:spacing w:beforeLines="200" w:afterLines="100" w:line="360" w:lineRule="auto"/>
        <w:ind w:firstLine="482"/>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资格文件或商务技术文件或报价文件</w:t>
      </w:r>
    </w:p>
    <w:p w14:paraId="432A05E6">
      <w:pPr>
        <w:widowControl/>
        <w:tabs>
          <w:tab w:val="left" w:pos="275"/>
          <w:tab w:val="left" w:pos="8280"/>
        </w:tabs>
        <w:spacing w:line="360" w:lineRule="auto"/>
        <w:ind w:firstLine="1606" w:firstLineChars="500"/>
        <w:jc w:val="left"/>
        <w:rPr>
          <w:rFonts w:hint="eastAsia" w:ascii="仿宋" w:hAnsi="仿宋" w:eastAsia="仿宋" w:cs="宋体"/>
          <w:b/>
          <w:color w:val="auto"/>
          <w:sz w:val="32"/>
          <w:szCs w:val="32"/>
          <w:highlight w:val="none"/>
        </w:rPr>
      </w:pPr>
    </w:p>
    <w:p w14:paraId="34408F37">
      <w:pPr>
        <w:widowControl/>
        <w:tabs>
          <w:tab w:val="left" w:pos="275"/>
          <w:tab w:val="left" w:pos="8280"/>
        </w:tabs>
        <w:spacing w:line="360" w:lineRule="auto"/>
        <w:ind w:firstLine="1606" w:firstLineChars="500"/>
        <w:jc w:val="left"/>
        <w:rPr>
          <w:rFonts w:hint="default" w:ascii="仿宋" w:hAnsi="仿宋" w:eastAsia="仿宋" w:cs="宋体"/>
          <w:b/>
          <w:color w:val="auto"/>
          <w:sz w:val="32"/>
          <w:szCs w:val="32"/>
          <w:highlight w:val="none"/>
          <w:lang w:val="en-US" w:eastAsia="zh-CN"/>
        </w:rPr>
      </w:pPr>
      <w:r>
        <w:rPr>
          <w:rFonts w:hint="eastAsia" w:ascii="仿宋" w:hAnsi="仿宋" w:eastAsia="仿宋" w:cs="宋体"/>
          <w:b/>
          <w:color w:val="auto"/>
          <w:sz w:val="32"/>
          <w:szCs w:val="32"/>
          <w:highlight w:val="none"/>
        </w:rPr>
        <w:t>项目名称：</w:t>
      </w:r>
      <w:r>
        <w:rPr>
          <w:rFonts w:hint="eastAsia" w:ascii="仿宋" w:hAnsi="仿宋" w:eastAsia="仿宋" w:cs="宋体"/>
          <w:b/>
          <w:color w:val="auto"/>
          <w:sz w:val="32"/>
          <w:szCs w:val="32"/>
          <w:highlight w:val="none"/>
          <w:u w:val="single"/>
          <w:lang w:val="en-US" w:eastAsia="zh-CN"/>
        </w:rPr>
        <w:t xml:space="preserve">                              </w:t>
      </w:r>
    </w:p>
    <w:p w14:paraId="7AF67107">
      <w:pPr>
        <w:widowControl/>
        <w:tabs>
          <w:tab w:val="left" w:pos="275"/>
          <w:tab w:val="left" w:pos="8280"/>
        </w:tabs>
        <w:spacing w:line="360" w:lineRule="auto"/>
        <w:ind w:firstLine="964" w:firstLineChars="300"/>
        <w:jc w:val="left"/>
        <w:rPr>
          <w:rFonts w:hint="eastAsia" w:ascii="仿宋" w:hAnsi="仿宋" w:eastAsia="仿宋" w:cs="宋体"/>
          <w:b/>
          <w:color w:val="auto"/>
          <w:sz w:val="32"/>
          <w:szCs w:val="32"/>
          <w:highlight w:val="none"/>
        </w:rPr>
      </w:pPr>
    </w:p>
    <w:p w14:paraId="0FBBEE41">
      <w:pPr>
        <w:widowControl/>
        <w:tabs>
          <w:tab w:val="left" w:pos="275"/>
          <w:tab w:val="left" w:pos="8280"/>
        </w:tabs>
        <w:spacing w:line="360" w:lineRule="auto"/>
        <w:ind w:firstLine="1606" w:firstLineChars="500"/>
        <w:jc w:val="left"/>
        <w:rPr>
          <w:rFonts w:hint="default" w:ascii="仿宋" w:hAnsi="仿宋" w:eastAsia="仿宋" w:cs="宋体"/>
          <w:b/>
          <w:color w:val="auto"/>
          <w:sz w:val="36"/>
          <w:szCs w:val="36"/>
          <w:highlight w:val="none"/>
          <w:u w:val="single"/>
          <w:lang w:val="en-US" w:eastAsia="zh-CN"/>
        </w:rPr>
      </w:pPr>
      <w:r>
        <w:rPr>
          <w:rFonts w:hint="eastAsia" w:ascii="仿宋" w:hAnsi="仿宋" w:eastAsia="仿宋" w:cs="宋体"/>
          <w:b/>
          <w:color w:val="auto"/>
          <w:sz w:val="32"/>
          <w:szCs w:val="32"/>
          <w:highlight w:val="none"/>
        </w:rPr>
        <w:t>项目编号：</w:t>
      </w:r>
      <w:r>
        <w:rPr>
          <w:rFonts w:hint="eastAsia" w:ascii="仿宋" w:hAnsi="仿宋" w:eastAsia="仿宋" w:cs="宋体"/>
          <w:b/>
          <w:color w:val="auto"/>
          <w:sz w:val="32"/>
          <w:szCs w:val="32"/>
          <w:highlight w:val="none"/>
          <w:u w:val="single"/>
          <w:lang w:val="en-US" w:eastAsia="zh-CN"/>
        </w:rPr>
        <w:t xml:space="preserve">                              </w:t>
      </w:r>
    </w:p>
    <w:p w14:paraId="2B26EB0D">
      <w:pPr>
        <w:widowControl/>
        <w:tabs>
          <w:tab w:val="left" w:pos="765"/>
          <w:tab w:val="left" w:pos="8280"/>
        </w:tabs>
        <w:spacing w:line="360" w:lineRule="auto"/>
        <w:ind w:firstLine="480"/>
        <w:jc w:val="left"/>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ab/>
      </w:r>
    </w:p>
    <w:p w14:paraId="2C5BBB4A">
      <w:pPr>
        <w:widowControl/>
        <w:tabs>
          <w:tab w:val="left" w:pos="765"/>
          <w:tab w:val="left" w:pos="8280"/>
        </w:tabs>
        <w:spacing w:line="360" w:lineRule="auto"/>
        <w:ind w:firstLine="1606" w:firstLineChars="500"/>
        <w:jc w:val="left"/>
        <w:rPr>
          <w:rFonts w:ascii="仿宋" w:hAnsi="仿宋" w:eastAsia="仿宋" w:cs="宋体"/>
          <w:b/>
          <w:color w:val="auto"/>
          <w:sz w:val="36"/>
          <w:szCs w:val="36"/>
          <w:highlight w:val="none"/>
          <w:u w:val="single"/>
        </w:rPr>
      </w:pPr>
      <w:r>
        <w:rPr>
          <w:rFonts w:hint="eastAsia" w:ascii="仿宋" w:hAnsi="仿宋" w:eastAsia="仿宋" w:cs="宋体"/>
          <w:b/>
          <w:color w:val="auto"/>
          <w:sz w:val="32"/>
          <w:szCs w:val="32"/>
          <w:highlight w:val="none"/>
        </w:rPr>
        <w:t>投 标 人：</w:t>
      </w:r>
      <w:r>
        <w:rPr>
          <w:rFonts w:hint="eastAsia" w:ascii="仿宋" w:hAnsi="仿宋" w:eastAsia="仿宋" w:cs="宋体"/>
          <w:b/>
          <w:color w:val="auto"/>
          <w:sz w:val="32"/>
          <w:szCs w:val="32"/>
          <w:highlight w:val="none"/>
          <w:u w:val="single"/>
        </w:rPr>
        <w:t xml:space="preserve">          （盖单位公章）      </w:t>
      </w:r>
    </w:p>
    <w:p w14:paraId="62AD760D">
      <w:pPr>
        <w:widowControl/>
        <w:tabs>
          <w:tab w:val="left" w:pos="8280"/>
        </w:tabs>
        <w:spacing w:line="360" w:lineRule="auto"/>
        <w:ind w:firstLine="480"/>
        <w:jc w:val="center"/>
        <w:rPr>
          <w:rFonts w:ascii="仿宋" w:hAnsi="仿宋" w:eastAsia="仿宋" w:cs="宋体"/>
          <w:b/>
          <w:color w:val="auto"/>
          <w:sz w:val="32"/>
          <w:szCs w:val="32"/>
          <w:highlight w:val="none"/>
        </w:rPr>
      </w:pPr>
    </w:p>
    <w:p w14:paraId="741297FF">
      <w:pPr>
        <w:widowControl/>
        <w:tabs>
          <w:tab w:val="left" w:pos="350"/>
          <w:tab w:val="left" w:pos="8280"/>
        </w:tabs>
        <w:spacing w:line="360" w:lineRule="auto"/>
        <w:ind w:firstLine="1606" w:firstLineChars="500"/>
        <w:jc w:val="left"/>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日    期：     年     月    日</w:t>
      </w:r>
    </w:p>
    <w:p w14:paraId="6260FBAB">
      <w:pPr>
        <w:widowControl/>
        <w:tabs>
          <w:tab w:val="left" w:pos="350"/>
          <w:tab w:val="left" w:pos="8280"/>
        </w:tabs>
        <w:spacing w:line="360" w:lineRule="auto"/>
        <w:jc w:val="left"/>
        <w:rPr>
          <w:rFonts w:ascii="仿宋" w:hAnsi="仿宋" w:eastAsia="仿宋" w:cs="宋体"/>
          <w:b/>
          <w:color w:val="auto"/>
          <w:sz w:val="32"/>
          <w:szCs w:val="32"/>
          <w:highlight w:val="none"/>
        </w:rPr>
        <w:sectPr>
          <w:headerReference r:id="rId8" w:type="first"/>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1CA16FED">
      <w:pPr>
        <w:pStyle w:val="3"/>
        <w:spacing w:before="0" w:line="500" w:lineRule="exact"/>
        <w:jc w:val="center"/>
        <w:rPr>
          <w:rFonts w:ascii="仿宋" w:hAnsi="仿宋" w:eastAsia="仿宋"/>
          <w:bCs w:val="0"/>
          <w:color w:val="auto"/>
          <w:highlight w:val="none"/>
        </w:rPr>
      </w:pPr>
      <w:r>
        <w:rPr>
          <w:rFonts w:hint="eastAsia" w:ascii="仿宋" w:hAnsi="仿宋" w:eastAsia="仿宋"/>
          <w:b/>
          <w:color w:val="auto"/>
          <w:sz w:val="32"/>
          <w:szCs w:val="32"/>
          <w:highlight w:val="none"/>
        </w:rPr>
        <w:t>二、</w:t>
      </w:r>
      <w:r>
        <w:rPr>
          <w:rFonts w:ascii="仿宋" w:hAnsi="仿宋" w:eastAsia="仿宋"/>
          <w:b/>
          <w:color w:val="auto"/>
          <w:sz w:val="32"/>
          <w:szCs w:val="32"/>
          <w:highlight w:val="none"/>
        </w:rPr>
        <w:t>符</w:t>
      </w:r>
      <w:r>
        <w:rPr>
          <w:rFonts w:ascii="仿宋" w:hAnsi="仿宋" w:eastAsia="仿宋" w:cs="Times New Roman"/>
          <w:b/>
          <w:color w:val="auto"/>
          <w:sz w:val="32"/>
          <w:szCs w:val="32"/>
          <w:highlight w:val="none"/>
        </w:rPr>
        <w:t>合</w:t>
      </w:r>
      <w:r>
        <w:rPr>
          <w:rFonts w:ascii="仿宋" w:hAnsi="仿宋" w:eastAsia="仿宋"/>
          <w:b/>
          <w:color w:val="auto"/>
          <w:sz w:val="32"/>
          <w:szCs w:val="32"/>
          <w:highlight w:val="none"/>
        </w:rPr>
        <w:t>参与采购活动资格条件的承诺函</w:t>
      </w:r>
      <w:r>
        <w:rPr>
          <w:rFonts w:hint="eastAsia" w:ascii="仿宋" w:hAnsi="仿宋" w:eastAsia="仿宋"/>
          <w:bCs w:val="0"/>
          <w:color w:val="auto"/>
          <w:highlight w:val="none"/>
        </w:rPr>
        <w:t>（格式）</w:t>
      </w:r>
    </w:p>
    <w:p w14:paraId="3064A5FE">
      <w:pPr>
        <w:spacing w:line="360" w:lineRule="auto"/>
        <w:rPr>
          <w:rFonts w:ascii="仿宋" w:hAnsi="仿宋" w:eastAsia="仿宋" w:cs="宋体"/>
          <w:b/>
          <w:color w:val="auto"/>
          <w:sz w:val="24"/>
          <w:szCs w:val="24"/>
          <w:highlight w:val="none"/>
        </w:rPr>
      </w:pPr>
      <w:r>
        <w:rPr>
          <w:rFonts w:hint="eastAsia" w:ascii="仿宋" w:hAnsi="仿宋" w:eastAsia="仿宋" w:cs="宋体"/>
          <w:color w:val="auto"/>
          <w:spacing w:val="8"/>
          <w:sz w:val="24"/>
          <w:szCs w:val="24"/>
          <w:highlight w:val="none"/>
          <w:lang w:eastAsia="zh-CN"/>
        </w:rPr>
        <w:t>诸暨市公共交通有限公司</w:t>
      </w:r>
      <w:r>
        <w:rPr>
          <w:rFonts w:hint="eastAsia" w:ascii="仿宋" w:hAnsi="仿宋" w:eastAsia="仿宋" w:cs="宋体"/>
          <w:b/>
          <w:color w:val="auto"/>
          <w:sz w:val="24"/>
          <w:szCs w:val="24"/>
          <w:highlight w:val="none"/>
        </w:rPr>
        <w:t>、</w:t>
      </w:r>
      <w:r>
        <w:rPr>
          <w:rFonts w:hint="eastAsia" w:ascii="仿宋" w:hAnsi="仿宋" w:eastAsia="仿宋" w:cs="宋体"/>
          <w:color w:val="auto"/>
          <w:spacing w:val="8"/>
          <w:sz w:val="24"/>
          <w:szCs w:val="24"/>
          <w:highlight w:val="none"/>
          <w:lang w:eastAsia="zh-CN"/>
        </w:rPr>
        <w:t>杭州市建设工程管理集团有限公司：</w:t>
      </w:r>
    </w:p>
    <w:p w14:paraId="3D4EBC6C">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我方参与</w:t>
      </w:r>
      <w:r>
        <w:rPr>
          <w:rFonts w:hint="eastAsia" w:ascii="仿宋" w:hAnsi="仿宋" w:eastAsia="仿宋" w:cs="宋体"/>
          <w:i/>
          <w:color w:val="auto"/>
          <w:spacing w:val="8"/>
          <w:sz w:val="24"/>
          <w:szCs w:val="24"/>
          <w:highlight w:val="none"/>
          <w:u w:val="single"/>
        </w:rPr>
        <w:t>（项目名称）   （项目编号：     ）</w:t>
      </w:r>
      <w:r>
        <w:rPr>
          <w:rFonts w:hint="eastAsia" w:ascii="仿宋" w:hAnsi="仿宋" w:eastAsia="仿宋" w:cs="宋体"/>
          <w:color w:val="auto"/>
          <w:spacing w:val="8"/>
          <w:sz w:val="24"/>
          <w:szCs w:val="24"/>
          <w:highlight w:val="none"/>
        </w:rPr>
        <w:t>采购活动，郑重承诺：</w:t>
      </w:r>
    </w:p>
    <w:p w14:paraId="2B665046">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（一）我方具备</w:t>
      </w:r>
      <w:r>
        <w:rPr>
          <w:rFonts w:hint="eastAsia" w:ascii="仿宋" w:hAnsi="仿宋" w:eastAsia="仿宋" w:cs="Arial"/>
          <w:color w:val="auto"/>
          <w:sz w:val="24"/>
          <w:szCs w:val="24"/>
          <w:highlight w:val="none"/>
          <w:u w:val="single"/>
        </w:rPr>
        <w:t>“</w:t>
      </w:r>
      <w:r>
        <w:rPr>
          <w:rFonts w:hint="eastAsia" w:ascii="仿宋" w:hAnsi="仿宋" w:eastAsia="仿宋"/>
          <w:color w:val="auto"/>
          <w:sz w:val="24"/>
          <w:szCs w:val="24"/>
          <w:highlight w:val="none"/>
          <w:u w:val="single"/>
        </w:rPr>
        <w:t>投标（供应商）人</w:t>
      </w:r>
      <w:r>
        <w:rPr>
          <w:rFonts w:hint="eastAsia" w:ascii="仿宋" w:hAnsi="仿宋" w:eastAsia="仿宋" w:cs="Arial"/>
          <w:color w:val="auto"/>
          <w:sz w:val="24"/>
          <w:szCs w:val="24"/>
          <w:highlight w:val="none"/>
          <w:u w:val="single"/>
        </w:rPr>
        <w:t>资格要求”</w:t>
      </w:r>
      <w:r>
        <w:rPr>
          <w:rFonts w:hint="eastAsia" w:ascii="仿宋" w:hAnsi="仿宋" w:eastAsia="仿宋" w:cs="宋体"/>
          <w:color w:val="auto"/>
          <w:spacing w:val="8"/>
          <w:sz w:val="24"/>
          <w:szCs w:val="24"/>
          <w:highlight w:val="none"/>
        </w:rPr>
        <w:t>第一条规定的条件：</w:t>
      </w:r>
    </w:p>
    <w:p w14:paraId="3B48EEF1">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1.具有独立承担民事责任的能力；</w:t>
      </w:r>
    </w:p>
    <w:p w14:paraId="16D68DC3">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2.具有良好的商业信誉和健全的财务会计制度；</w:t>
      </w:r>
    </w:p>
    <w:p w14:paraId="29281304">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3.具有履行合同所必需的设备和专业技术能力；</w:t>
      </w:r>
    </w:p>
    <w:p w14:paraId="1E58BF17">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4.有依法缴纳税收和社会保障资金的良好记录；</w:t>
      </w:r>
    </w:p>
    <w:p w14:paraId="249CFA12">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5.参加采购活动前三年内，在经营活动中没有重大违法记录（即我方没有因违法经营受到刑事处罚，没有被责令停产停业、被吊销许可证或者执照、被处以较大数额罚款等行政处罚）；</w:t>
      </w:r>
    </w:p>
    <w:p w14:paraId="05937B4D">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6.具有法律、行政法规规定的其他条件。</w:t>
      </w:r>
    </w:p>
    <w:p w14:paraId="38C78B4E">
      <w:pPr>
        <w:spacing w:line="300" w:lineRule="auto"/>
        <w:ind w:firstLine="512" w:firstLineChars="200"/>
        <w:rPr>
          <w:color w:val="auto"/>
          <w:highlight w:val="none"/>
        </w:rPr>
      </w:pPr>
      <w:r>
        <w:rPr>
          <w:rFonts w:hint="eastAsia" w:ascii="仿宋" w:hAnsi="仿宋" w:eastAsia="仿宋" w:cs="宋体"/>
          <w:color w:val="auto"/>
          <w:spacing w:val="8"/>
          <w:sz w:val="24"/>
          <w:szCs w:val="24"/>
          <w:highlight w:val="none"/>
        </w:rPr>
        <w:t>（二）</w:t>
      </w:r>
      <w:r>
        <w:rPr>
          <w:rFonts w:ascii="仿宋" w:hAnsi="仿宋" w:eastAsia="仿宋" w:cs="宋体"/>
          <w:color w:val="auto"/>
          <w:spacing w:val="8"/>
          <w:sz w:val="24"/>
          <w:szCs w:val="24"/>
          <w:highlight w:val="none"/>
        </w:rPr>
        <w:t>未被“信用中国”</w:t>
      </w:r>
      <w:r>
        <w:rPr>
          <w:rFonts w:hAnsi="仿宋" w:eastAsia="仿宋"/>
          <w:color w:val="auto"/>
          <w:spacing w:val="8"/>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5"/>
          <w:rFonts w:eastAsia="仿宋"/>
          <w:color w:val="auto"/>
          <w:spacing w:val="8"/>
          <w:highlight w:val="none"/>
          <w:u w:val="none"/>
        </w:rPr>
        <w:t>www.creditchina.gov.cn</w:t>
      </w:r>
      <w:r>
        <w:rPr>
          <w:rStyle w:val="25"/>
          <w:rFonts w:eastAsia="仿宋"/>
          <w:color w:val="auto"/>
          <w:spacing w:val="8"/>
          <w:highlight w:val="none"/>
          <w:u w:val="none"/>
        </w:rPr>
        <w:fldChar w:fldCharType="end"/>
      </w:r>
      <w:r>
        <w:rPr>
          <w:rFonts w:hAnsi="仿宋" w:eastAsia="仿宋"/>
          <w:color w:val="auto"/>
          <w:spacing w:val="8"/>
          <w:highlight w:val="none"/>
        </w:rPr>
        <w:t>）</w:t>
      </w:r>
      <w:r>
        <w:rPr>
          <w:rFonts w:ascii="仿宋" w:hAnsi="仿宋" w:eastAsia="仿宋" w:cs="宋体"/>
          <w:color w:val="auto"/>
          <w:spacing w:val="8"/>
          <w:sz w:val="24"/>
          <w:szCs w:val="24"/>
          <w:highlight w:val="none"/>
        </w:rPr>
        <w:t>、中国政府采购网</w:t>
      </w:r>
      <w:r>
        <w:rPr>
          <w:rFonts w:hAnsi="仿宋" w:eastAsia="仿宋"/>
          <w:color w:val="auto"/>
          <w:spacing w:val="8"/>
          <w:highlight w:val="none"/>
        </w:rPr>
        <w:t>（www.ccgp.gov.cn）</w:t>
      </w:r>
      <w:r>
        <w:rPr>
          <w:rFonts w:ascii="仿宋" w:hAnsi="仿宋" w:eastAsia="仿宋" w:cs="宋体"/>
          <w:color w:val="auto"/>
          <w:spacing w:val="8"/>
          <w:sz w:val="24"/>
          <w:szCs w:val="24"/>
          <w:highlight w:val="none"/>
        </w:rPr>
        <w:t>列入失信被执行人、重大税收违法案件当事人名单、政府采购严重违法失信行为记录名单。</w:t>
      </w:r>
    </w:p>
    <w:p w14:paraId="72E333DD">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（三）不存在以下情况：</w:t>
      </w:r>
    </w:p>
    <w:p w14:paraId="3418CF24">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1.</w:t>
      </w:r>
      <w:r>
        <w:rPr>
          <w:rFonts w:ascii="仿宋" w:hAnsi="仿宋" w:eastAsia="仿宋" w:cs="宋体"/>
          <w:color w:val="auto"/>
          <w:spacing w:val="8"/>
          <w:sz w:val="24"/>
          <w:szCs w:val="24"/>
          <w:highlight w:val="none"/>
        </w:rPr>
        <w:t>单位负责人为同一人或者存在直接控股、管理关系的不同供应商参加同一合同项下的采购活动的。</w:t>
      </w:r>
    </w:p>
    <w:p w14:paraId="4C01D3F9">
      <w:pPr>
        <w:spacing w:line="360" w:lineRule="auto"/>
        <w:ind w:firstLine="512" w:firstLineChars="200"/>
        <w:rPr>
          <w:rFonts w:ascii="仿宋" w:hAnsi="仿宋" w:eastAsia="仿宋" w:cs="Arial"/>
          <w:color w:val="auto"/>
          <w:sz w:val="24"/>
          <w:szCs w:val="24"/>
          <w:highlight w:val="none"/>
        </w:rPr>
      </w:pPr>
      <w:r>
        <w:rPr>
          <w:rFonts w:hint="eastAsia" w:ascii="仿宋" w:hAnsi="仿宋" w:eastAsia="仿宋" w:cs="宋体"/>
          <w:color w:val="auto"/>
          <w:spacing w:val="8"/>
          <w:sz w:val="24"/>
          <w:szCs w:val="24"/>
          <w:highlight w:val="none"/>
        </w:rPr>
        <w:t>2.为采购项目提供整体设计、规范编制或者项目管理、监理、检测等服务后再参加该采购项目的其他采购活动的。</w:t>
      </w:r>
    </w:p>
    <w:p w14:paraId="2964C6EC">
      <w:pPr>
        <w:ind w:firstLine="420" w:firstLineChars="200"/>
        <w:rPr>
          <w:color w:val="auto"/>
          <w:highlight w:val="none"/>
        </w:rPr>
      </w:pPr>
    </w:p>
    <w:p w14:paraId="583A12DF">
      <w:pPr>
        <w:wordWrap w:val="0"/>
        <w:spacing w:line="360" w:lineRule="auto"/>
        <w:ind w:firstLine="425"/>
        <w:jc w:val="both"/>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397519BB">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日期：_____年_____月_____日</w:t>
      </w:r>
    </w:p>
    <w:p w14:paraId="1D0F2305">
      <w:pPr>
        <w:keepNext w:val="0"/>
        <w:keepLines w:val="0"/>
        <w:pageBreakBefore w:val="0"/>
        <w:widowControl w:val="0"/>
        <w:kinsoku/>
        <w:wordWrap/>
        <w:overflowPunct/>
        <w:topLinePunct w:val="0"/>
        <w:autoSpaceDE w:val="0"/>
        <w:autoSpaceDN w:val="0"/>
        <w:bidi w:val="0"/>
        <w:adjustRightInd w:val="0"/>
        <w:snapToGrid/>
        <w:spacing w:line="480" w:lineRule="auto"/>
        <w:ind w:firstLine="482" w:firstLineChars="200"/>
        <w:textAlignment w:val="auto"/>
        <w:rPr>
          <w:rFonts w:ascii="仿宋" w:hAnsi="仿宋" w:eastAsia="仿宋"/>
          <w:color w:val="auto"/>
          <w:sz w:val="24"/>
          <w:szCs w:val="24"/>
          <w:highlight w:val="none"/>
        </w:rPr>
        <w:sectPr>
          <w:pgSz w:w="11911" w:h="16838"/>
          <w:pgMar w:top="1440" w:right="1080" w:bottom="1440" w:left="1080" w:header="850" w:footer="941" w:gutter="0"/>
          <w:pgNumType w:fmt="decimal"/>
          <w:cols w:space="0" w:num="1"/>
          <w:rtlGutter w:val="0"/>
          <w:docGrid w:linePitch="315" w:charSpace="0"/>
        </w:sectPr>
      </w:pPr>
      <w:r>
        <w:rPr>
          <w:rFonts w:hint="eastAsia" w:ascii="仿宋" w:hAnsi="仿宋" w:eastAsia="仿宋"/>
          <w:b/>
          <w:i/>
          <w:color w:val="auto"/>
          <w:sz w:val="24"/>
          <w:szCs w:val="24"/>
          <w:highlight w:val="none"/>
          <w:u w:val="single"/>
        </w:rPr>
        <w:t>注：按本格式要求提供。</w:t>
      </w:r>
    </w:p>
    <w:p w14:paraId="5A7F178C">
      <w:pPr>
        <w:pStyle w:val="3"/>
        <w:spacing w:before="0" w:line="500" w:lineRule="exact"/>
        <w:jc w:val="center"/>
        <w:rPr>
          <w:rFonts w:ascii="仿宋" w:hAnsi="仿宋" w:eastAsia="仿宋"/>
          <w:bCs w:val="0"/>
          <w:color w:val="auto"/>
          <w:highlight w:val="none"/>
        </w:rPr>
      </w:pPr>
      <w:r>
        <w:rPr>
          <w:rFonts w:hint="eastAsia" w:ascii="仿宋" w:hAnsi="仿宋" w:eastAsia="仿宋"/>
          <w:bCs w:val="0"/>
          <w:color w:val="auto"/>
          <w:highlight w:val="none"/>
          <w:lang w:val="en-US" w:eastAsia="zh-CN"/>
        </w:rPr>
        <w:t>三、</w:t>
      </w:r>
      <w:r>
        <w:rPr>
          <w:rFonts w:hint="eastAsia" w:ascii="仿宋" w:hAnsi="仿宋" w:eastAsia="仿宋"/>
          <w:bCs w:val="0"/>
          <w:color w:val="auto"/>
          <w:highlight w:val="none"/>
        </w:rPr>
        <w:t>投标函（格式）</w:t>
      </w:r>
    </w:p>
    <w:p w14:paraId="1CFB7308">
      <w:pPr>
        <w:spacing w:line="420" w:lineRule="exact"/>
        <w:rPr>
          <w:rFonts w:hint="eastAsia"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lang w:eastAsia="zh-CN"/>
        </w:rPr>
        <w:t>诸暨市公共交通有限公司</w:t>
      </w:r>
      <w:r>
        <w:rPr>
          <w:rFonts w:hint="eastAsia" w:ascii="仿宋" w:hAnsi="仿宋" w:eastAsia="仿宋" w:cs="宋体"/>
          <w:b/>
          <w:color w:val="auto"/>
          <w:sz w:val="24"/>
          <w:szCs w:val="24"/>
          <w:highlight w:val="none"/>
        </w:rPr>
        <w:t>、</w:t>
      </w:r>
      <w:r>
        <w:rPr>
          <w:rFonts w:hint="eastAsia" w:ascii="仿宋" w:hAnsi="仿宋" w:eastAsia="仿宋" w:cs="宋体"/>
          <w:color w:val="auto"/>
          <w:spacing w:val="8"/>
          <w:sz w:val="24"/>
          <w:szCs w:val="24"/>
          <w:highlight w:val="none"/>
          <w:lang w:eastAsia="zh-CN"/>
        </w:rPr>
        <w:t>杭州市建设工程管理集团有限公司：</w:t>
      </w:r>
    </w:p>
    <w:p w14:paraId="59600BD0">
      <w:pPr>
        <w:spacing w:line="420" w:lineRule="exact"/>
        <w:ind w:firstLine="512" w:firstLineChars="200"/>
        <w:rPr>
          <w:rFonts w:ascii="仿宋" w:hAnsi="仿宋" w:eastAsia="仿宋"/>
          <w:color w:val="auto"/>
          <w:sz w:val="24"/>
          <w:szCs w:val="24"/>
          <w:highlight w:val="none"/>
        </w:rPr>
      </w:pPr>
      <w:r>
        <w:rPr>
          <w:rFonts w:hint="eastAsia" w:ascii="仿宋" w:hAnsi="仿宋" w:eastAsia="仿宋"/>
          <w:color w:val="auto"/>
          <w:spacing w:val="8"/>
          <w:sz w:val="24"/>
          <w:szCs w:val="24"/>
          <w:highlight w:val="none"/>
        </w:rPr>
        <w:t>根据贵方</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项目名称</w:t>
      </w:r>
      <w:r>
        <w:rPr>
          <w:rFonts w:ascii="仿宋" w:hAnsi="仿宋" w:eastAsia="仿宋"/>
          <w:color w:val="auto"/>
          <w:sz w:val="24"/>
          <w:szCs w:val="24"/>
          <w:highlight w:val="none"/>
          <w:u w:val="single"/>
        </w:rPr>
        <w:t>)</w:t>
      </w:r>
      <w:r>
        <w:rPr>
          <w:rFonts w:hint="eastAsia" w:ascii="仿宋" w:hAnsi="仿宋" w:eastAsia="仿宋"/>
          <w:color w:val="auto"/>
          <w:spacing w:val="8"/>
          <w:sz w:val="24"/>
          <w:szCs w:val="24"/>
          <w:highlight w:val="none"/>
          <w:u w:val="single"/>
        </w:rPr>
        <w:t>项目的</w:t>
      </w:r>
      <w:r>
        <w:rPr>
          <w:rFonts w:hint="eastAsia" w:ascii="仿宋" w:hAnsi="仿宋" w:eastAsia="仿宋"/>
          <w:color w:val="auto"/>
          <w:spacing w:val="8"/>
          <w:sz w:val="24"/>
          <w:szCs w:val="24"/>
          <w:highlight w:val="none"/>
        </w:rPr>
        <w:t>招标文件（编号：</w:t>
      </w:r>
      <w:r>
        <w:rPr>
          <w:rFonts w:hint="eastAsia" w:ascii="仿宋" w:hAnsi="仿宋" w:eastAsia="仿宋"/>
          <w:color w:val="auto"/>
          <w:spacing w:val="8"/>
          <w:sz w:val="24"/>
          <w:szCs w:val="24"/>
          <w:highlight w:val="none"/>
          <w:lang w:val="en-US" w:eastAsia="zh-CN"/>
        </w:rPr>
        <w:t>杭建集团2025</w:t>
      </w:r>
      <w:r>
        <w:rPr>
          <w:rFonts w:ascii="仿宋" w:hAnsi="仿宋" w:eastAsia="仿宋"/>
          <w:color w:val="auto"/>
          <w:spacing w:val="8"/>
          <w:sz w:val="24"/>
          <w:szCs w:val="24"/>
          <w:highlight w:val="none"/>
        </w:rPr>
        <w:t>-</w:t>
      </w:r>
      <w:r>
        <w:rPr>
          <w:rFonts w:hint="eastAsia" w:ascii="仿宋" w:hAnsi="仿宋" w:eastAsia="仿宋"/>
          <w:color w:val="auto"/>
          <w:spacing w:val="8"/>
          <w:sz w:val="24"/>
          <w:szCs w:val="24"/>
          <w:highlight w:val="none"/>
        </w:rPr>
        <w:t>**</w:t>
      </w:r>
      <w:r>
        <w:rPr>
          <w:rFonts w:ascii="仿宋" w:hAnsi="仿宋" w:eastAsia="仿宋"/>
          <w:color w:val="auto"/>
          <w:spacing w:val="8"/>
          <w:sz w:val="24"/>
          <w:szCs w:val="24"/>
          <w:highlight w:val="none"/>
        </w:rPr>
        <w:t>-</w:t>
      </w:r>
      <w:r>
        <w:rPr>
          <w:rFonts w:hint="eastAsia" w:ascii="仿宋" w:hAnsi="仿宋" w:eastAsia="仿宋"/>
          <w:color w:val="auto"/>
          <w:spacing w:val="8"/>
          <w:sz w:val="24"/>
          <w:szCs w:val="24"/>
          <w:highlight w:val="none"/>
        </w:rPr>
        <w:t>**）有关要求，</w:t>
      </w:r>
      <w:r>
        <w:rPr>
          <w:rFonts w:hint="eastAsia" w:ascii="仿宋" w:hAnsi="仿宋" w:eastAsia="仿宋"/>
          <w:color w:val="auto"/>
          <w:spacing w:val="8"/>
          <w:sz w:val="24"/>
          <w:szCs w:val="24"/>
          <w:highlight w:val="none"/>
          <w:u w:val="single"/>
        </w:rPr>
        <w:t xml:space="preserve">（投标人全称）       </w:t>
      </w:r>
      <w:r>
        <w:rPr>
          <w:rFonts w:hint="eastAsia" w:ascii="仿宋" w:hAnsi="仿宋" w:eastAsia="仿宋"/>
          <w:color w:val="auto"/>
          <w:spacing w:val="8"/>
          <w:sz w:val="24"/>
          <w:szCs w:val="24"/>
          <w:highlight w:val="none"/>
        </w:rPr>
        <w:t>授权</w:t>
      </w:r>
      <w:r>
        <w:rPr>
          <w:rFonts w:hint="eastAsia" w:ascii="仿宋" w:hAnsi="仿宋" w:eastAsia="仿宋"/>
          <w:color w:val="auto"/>
          <w:spacing w:val="8"/>
          <w:sz w:val="24"/>
          <w:szCs w:val="24"/>
          <w:highlight w:val="none"/>
          <w:u w:val="single"/>
        </w:rPr>
        <w:t xml:space="preserve">  （委托代理人姓名）</w:t>
      </w:r>
      <w:r>
        <w:rPr>
          <w:rFonts w:hint="eastAsia" w:ascii="仿宋" w:hAnsi="仿宋" w:eastAsia="仿宋"/>
          <w:color w:val="auto"/>
          <w:sz w:val="24"/>
          <w:szCs w:val="24"/>
          <w:highlight w:val="none"/>
        </w:rPr>
        <w:t>为全权代表，参加贵方组织的招标采购活动，并进行投标。为此：</w:t>
      </w:r>
    </w:p>
    <w:p w14:paraId="2C89A937">
      <w:pPr>
        <w:snapToGrid w:val="0"/>
        <w:spacing w:line="420" w:lineRule="exact"/>
        <w:ind w:firstLine="480" w:firstLineChars="200"/>
        <w:rPr>
          <w:rFonts w:ascii="仿宋" w:hAnsi="仿宋" w:eastAsia="仿宋"/>
          <w:bCs/>
          <w:color w:val="auto"/>
          <w:sz w:val="24"/>
          <w:szCs w:val="24"/>
          <w:highlight w:val="none"/>
        </w:rPr>
      </w:pPr>
      <w:r>
        <w:rPr>
          <w:rFonts w:hint="eastAsia" w:ascii="仿宋" w:hAnsi="仿宋" w:eastAsia="仿宋"/>
          <w:color w:val="auto"/>
          <w:sz w:val="24"/>
          <w:szCs w:val="24"/>
          <w:highlight w:val="none"/>
        </w:rPr>
        <w:t>1、我方已详细研读了全部招标文件，包括修改文件（如有的话）以及全部参考资料和有关附件等，</w:t>
      </w:r>
      <w:r>
        <w:rPr>
          <w:rFonts w:hint="eastAsia" w:ascii="仿宋" w:hAnsi="仿宋" w:eastAsia="仿宋"/>
          <w:bCs/>
          <w:color w:val="auto"/>
          <w:sz w:val="24"/>
          <w:szCs w:val="24"/>
          <w:highlight w:val="none"/>
        </w:rPr>
        <w:t>完全理解并接受招标文件的各项规定和要求，对招标文件的合理性、合法性不再有异议。</w:t>
      </w:r>
    </w:p>
    <w:p w14:paraId="2700590A">
      <w:pPr>
        <w:tabs>
          <w:tab w:val="left" w:pos="900"/>
        </w:tabs>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我方承诺投标有效期从提交投标文件的截止之日起</w:t>
      </w:r>
      <w:r>
        <w:rPr>
          <w:rFonts w:hint="eastAsia" w:ascii="仿宋" w:hAnsi="仿宋" w:eastAsia="仿宋"/>
          <w:color w:val="auto"/>
          <w:sz w:val="24"/>
          <w:szCs w:val="24"/>
          <w:highlight w:val="none"/>
        </w:rPr>
        <w:t>___天（不少于</w:t>
      </w:r>
      <w:r>
        <w:rPr>
          <w:rFonts w:ascii="仿宋" w:hAnsi="仿宋" w:eastAsia="仿宋"/>
          <w:color w:val="auto"/>
          <w:sz w:val="24"/>
          <w:szCs w:val="24"/>
          <w:highlight w:val="none"/>
        </w:rPr>
        <w:t>90天）</w:t>
      </w:r>
      <w:r>
        <w:rPr>
          <w:rFonts w:hint="eastAsia" w:ascii="仿宋" w:hAnsi="仿宋" w:eastAsia="仿宋"/>
          <w:color w:val="auto"/>
          <w:sz w:val="24"/>
          <w:szCs w:val="24"/>
          <w:highlight w:val="none"/>
        </w:rPr>
        <w:t>，本投标文件在投标有效期满之前均具有约束力。</w:t>
      </w:r>
    </w:p>
    <w:p w14:paraId="190722CA">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3、我方承诺已经具备《中华人民共和国政府采购法》及招标文件中规定的参加本项目的供应商资格条件。</w:t>
      </w:r>
    </w:p>
    <w:p w14:paraId="3F53F522">
      <w:pPr>
        <w:snapToGrid w:val="0"/>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4、我方严格按照招标文件的规定报价，并提供招标文件规定的全部投标文件。</w:t>
      </w:r>
    </w:p>
    <w:p w14:paraId="1472A299">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5、如我方中标，投标文件将作为本项目合同的组成部分，直到合同履行完毕均保持有效，我方将按招标文件及政府采购法律、法规的规定履行合同责任和义务。</w:t>
      </w:r>
    </w:p>
    <w:p w14:paraId="6C9188D9">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6、我方完全理解贵方不一定接受最低价的投标。</w:t>
      </w:r>
    </w:p>
    <w:p w14:paraId="43F82A40">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7、我方同意向贵方提供任何与该项投标有关的一切数据或资料。若贵方需要，我方愿意提供我方作出的一切承诺的证明材料。</w:t>
      </w:r>
    </w:p>
    <w:p w14:paraId="12DD56B3">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8、与本次投标有关的一切正式往来通讯，请寄：</w:t>
      </w:r>
    </w:p>
    <w:p w14:paraId="4CCBCD33">
      <w:pPr>
        <w:spacing w:line="360" w:lineRule="auto"/>
        <w:ind w:firstLine="42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地址：_____________邮编：_____________</w:t>
      </w:r>
    </w:p>
    <w:p w14:paraId="5922E3CD">
      <w:pPr>
        <w:spacing w:line="360" w:lineRule="auto"/>
        <w:ind w:firstLine="42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电话：_____________传真：_____________</w:t>
      </w:r>
    </w:p>
    <w:p w14:paraId="2A2683B6">
      <w:pPr>
        <w:spacing w:line="360" w:lineRule="auto"/>
        <w:rPr>
          <w:rFonts w:ascii="仿宋" w:hAnsi="仿宋" w:eastAsia="仿宋"/>
          <w:color w:val="auto"/>
          <w:sz w:val="24"/>
          <w:szCs w:val="24"/>
          <w:highlight w:val="none"/>
        </w:rPr>
      </w:pPr>
    </w:p>
    <w:p w14:paraId="357FD7C3">
      <w:pPr>
        <w:wordWrap w:val="0"/>
        <w:spacing w:line="360" w:lineRule="auto"/>
        <w:ind w:firstLine="425"/>
        <w:jc w:val="both"/>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7D96E23C">
      <w:pPr>
        <w:widowControl/>
        <w:tabs>
          <w:tab w:val="left" w:pos="350"/>
          <w:tab w:val="left" w:pos="8280"/>
        </w:tabs>
        <w:spacing w:afterLines="100" w:line="360" w:lineRule="auto"/>
        <w:ind w:firstLine="425"/>
        <w:rPr>
          <w:rFonts w:ascii="仿宋" w:hAnsi="仿宋" w:eastAsia="仿宋"/>
          <w:color w:val="auto"/>
          <w:sz w:val="24"/>
          <w:szCs w:val="24"/>
          <w:highlight w:val="none"/>
        </w:rPr>
      </w:pPr>
      <w:r>
        <w:rPr>
          <w:rFonts w:hint="eastAsia" w:ascii="仿宋" w:hAnsi="仿宋" w:eastAsia="仿宋"/>
          <w:color w:val="auto"/>
          <w:sz w:val="24"/>
          <w:szCs w:val="24"/>
          <w:highlight w:val="none"/>
        </w:rPr>
        <w:t>日期：________年________月________日</w:t>
      </w:r>
    </w:p>
    <w:p w14:paraId="46AB61B9">
      <w:pPr>
        <w:widowControl/>
        <w:tabs>
          <w:tab w:val="left" w:pos="350"/>
          <w:tab w:val="left" w:pos="8280"/>
        </w:tabs>
        <w:spacing w:afterLines="200" w:line="360" w:lineRule="auto"/>
        <w:ind w:firstLine="425"/>
        <w:rPr>
          <w:rFonts w:ascii="仿宋" w:hAnsi="仿宋" w:eastAsia="仿宋"/>
          <w:b/>
          <w:i/>
          <w:color w:val="auto"/>
          <w:sz w:val="24"/>
          <w:szCs w:val="24"/>
          <w:highlight w:val="none"/>
          <w:u w:val="single"/>
        </w:rPr>
      </w:pPr>
      <w:r>
        <w:rPr>
          <w:rFonts w:hint="eastAsia" w:ascii="仿宋" w:hAnsi="仿宋" w:eastAsia="仿宋"/>
          <w:b/>
          <w:i/>
          <w:color w:val="auto"/>
          <w:sz w:val="24"/>
          <w:szCs w:val="24"/>
          <w:highlight w:val="none"/>
          <w:u w:val="single"/>
        </w:rPr>
        <w:t>注：按本格式和要求提供。</w:t>
      </w:r>
    </w:p>
    <w:p w14:paraId="260DE9B5">
      <w:pPr>
        <w:widowControl/>
        <w:tabs>
          <w:tab w:val="left" w:pos="350"/>
          <w:tab w:val="left" w:pos="8280"/>
        </w:tabs>
        <w:spacing w:afterLines="200" w:line="360" w:lineRule="auto"/>
        <w:ind w:firstLine="425"/>
        <w:rPr>
          <w:rFonts w:ascii="仿宋" w:hAnsi="仿宋" w:eastAsia="仿宋"/>
          <w:color w:val="auto"/>
          <w:sz w:val="24"/>
          <w:szCs w:val="24"/>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5FF30411">
      <w:pPr>
        <w:pStyle w:val="3"/>
        <w:spacing w:before="0" w:line="500" w:lineRule="exact"/>
        <w:jc w:val="center"/>
        <w:rPr>
          <w:rFonts w:ascii="仿宋" w:hAnsi="仿宋" w:eastAsia="仿宋"/>
          <w:color w:val="auto"/>
          <w:highlight w:val="none"/>
        </w:rPr>
      </w:pPr>
      <w:r>
        <w:rPr>
          <w:rFonts w:hint="eastAsia" w:ascii="仿宋" w:hAnsi="仿宋" w:eastAsia="仿宋"/>
          <w:color w:val="auto"/>
          <w:highlight w:val="none"/>
          <w:lang w:val="en-US" w:eastAsia="zh-CN"/>
        </w:rPr>
        <w:t>四</w:t>
      </w:r>
      <w:r>
        <w:rPr>
          <w:rFonts w:hint="eastAsia" w:ascii="仿宋" w:hAnsi="仿宋" w:eastAsia="仿宋"/>
          <w:color w:val="auto"/>
          <w:highlight w:val="none"/>
        </w:rPr>
        <w:t>、授权委托书（格式）</w:t>
      </w:r>
    </w:p>
    <w:p w14:paraId="6204AB0C">
      <w:pPr>
        <w:spacing w:line="360" w:lineRule="auto"/>
        <w:rPr>
          <w:rFonts w:hint="eastAsia" w:ascii="仿宋" w:hAnsi="仿宋" w:eastAsia="仿宋" w:cs="宋体"/>
          <w:color w:val="auto"/>
          <w:spacing w:val="8"/>
          <w:sz w:val="24"/>
          <w:szCs w:val="24"/>
          <w:highlight w:val="none"/>
          <w:lang w:eastAsia="zh-CN"/>
        </w:rPr>
      </w:pPr>
      <w:r>
        <w:rPr>
          <w:rFonts w:hint="eastAsia" w:ascii="仿宋" w:hAnsi="仿宋" w:eastAsia="仿宋" w:cs="宋体"/>
          <w:color w:val="auto"/>
          <w:spacing w:val="8"/>
          <w:sz w:val="24"/>
          <w:szCs w:val="24"/>
          <w:highlight w:val="none"/>
          <w:lang w:eastAsia="zh-CN"/>
        </w:rPr>
        <w:t>诸暨市公共交通有限公司</w:t>
      </w:r>
      <w:r>
        <w:rPr>
          <w:rFonts w:hint="eastAsia" w:ascii="仿宋" w:hAnsi="仿宋" w:eastAsia="仿宋" w:cs="宋体"/>
          <w:b/>
          <w:color w:val="auto"/>
          <w:sz w:val="24"/>
          <w:szCs w:val="24"/>
          <w:highlight w:val="none"/>
        </w:rPr>
        <w:t>、</w:t>
      </w:r>
      <w:r>
        <w:rPr>
          <w:rFonts w:hint="eastAsia" w:ascii="仿宋" w:hAnsi="仿宋" w:eastAsia="仿宋" w:cs="宋体"/>
          <w:color w:val="auto"/>
          <w:spacing w:val="8"/>
          <w:sz w:val="24"/>
          <w:szCs w:val="24"/>
          <w:highlight w:val="none"/>
          <w:lang w:eastAsia="zh-CN"/>
        </w:rPr>
        <w:t>杭州市建设工程管理集团有限公司：</w:t>
      </w:r>
    </w:p>
    <w:p w14:paraId="41A3D164">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我</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姓名</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xml:space="preserve">（职务：     身份证号码：    ） </w:t>
      </w:r>
      <w:r>
        <w:rPr>
          <w:rFonts w:hint="eastAsia" w:ascii="仿宋" w:hAnsi="仿宋" w:eastAsia="仿宋"/>
          <w:color w:val="auto"/>
          <w:sz w:val="24"/>
          <w:szCs w:val="24"/>
          <w:highlight w:val="none"/>
        </w:rPr>
        <w:t>系</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投标人名称</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w:t>
      </w:r>
      <w:r>
        <w:rPr>
          <w:rFonts w:hint="eastAsia" w:ascii="仿宋" w:hAnsi="仿宋" w:eastAsia="仿宋"/>
          <w:color w:val="auto"/>
          <w:sz w:val="24"/>
          <w:szCs w:val="24"/>
          <w:highlight w:val="none"/>
        </w:rPr>
        <w:t>的</w:t>
      </w:r>
      <w:r>
        <w:rPr>
          <w:rFonts w:hint="eastAsia" w:ascii="仿宋" w:hAnsi="仿宋" w:eastAsia="仿宋"/>
          <w:color w:val="auto"/>
          <w:sz w:val="24"/>
          <w:szCs w:val="24"/>
          <w:highlight w:val="none"/>
          <w:u w:val="single"/>
        </w:rPr>
        <w:t xml:space="preserve">（法定代表人或单位负责人）  </w:t>
      </w:r>
      <w:r>
        <w:rPr>
          <w:rFonts w:hint="eastAsia" w:ascii="仿宋" w:hAnsi="仿宋" w:eastAsia="仿宋"/>
          <w:color w:val="auto"/>
          <w:sz w:val="24"/>
          <w:szCs w:val="24"/>
          <w:highlight w:val="none"/>
        </w:rPr>
        <w:t>，现授权委托本单位在职职工</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姓名</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xml:space="preserve">  　 （职务：    身份证号码：     ）</w:t>
      </w:r>
      <w:r>
        <w:rPr>
          <w:rFonts w:hint="eastAsia" w:ascii="仿宋" w:hAnsi="仿宋" w:eastAsia="仿宋"/>
          <w:color w:val="auto"/>
          <w:sz w:val="24"/>
          <w:szCs w:val="24"/>
          <w:highlight w:val="none"/>
        </w:rPr>
        <w:t>以我方的名义参加贵方组织的</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项目名称</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项目</w:t>
      </w:r>
      <w:r>
        <w:rPr>
          <w:rFonts w:hint="eastAsia" w:ascii="仿宋" w:hAnsi="仿宋" w:eastAsia="仿宋"/>
          <w:color w:val="auto"/>
          <w:sz w:val="24"/>
          <w:szCs w:val="24"/>
          <w:highlight w:val="none"/>
        </w:rPr>
        <w:t>的投标活动，并代表我方全权办理针对上述项目的投标、开标、评标、签约等具体事务和签署相关文件。</w:t>
      </w:r>
    </w:p>
    <w:p w14:paraId="2D4DA747">
      <w:pPr>
        <w:snapToGrid w:val="0"/>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我方对被授权人的签名事项负全部责任。</w:t>
      </w:r>
    </w:p>
    <w:p w14:paraId="1F039EA4">
      <w:pPr>
        <w:snapToGrid w:val="0"/>
        <w:spacing w:line="42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在撤销授权的书面通知以前，本授权书一直有效。被授权人在授权书有效期内签署的所有文件不因授权的撤销而失效。</w:t>
      </w:r>
    </w:p>
    <w:p w14:paraId="59B7F009">
      <w:pPr>
        <w:snapToGrid w:val="0"/>
        <w:spacing w:line="42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被授权人无转委托权，特此委托。</w:t>
      </w:r>
    </w:p>
    <w:p w14:paraId="46120E70">
      <w:pPr>
        <w:snapToGrid w:val="0"/>
        <w:spacing w:line="360" w:lineRule="auto"/>
        <w:ind w:firstLine="480"/>
        <w:rPr>
          <w:rFonts w:ascii="仿宋" w:hAnsi="仿宋" w:eastAsia="仿宋"/>
          <w:color w:val="auto"/>
          <w:sz w:val="24"/>
          <w:szCs w:val="24"/>
          <w:highlight w:val="none"/>
        </w:rPr>
      </w:pPr>
    </w:p>
    <w:p w14:paraId="6FB43E9D">
      <w:pPr>
        <w:spacing w:line="420" w:lineRule="exact"/>
        <w:ind w:firstLine="470" w:firstLineChars="196"/>
        <w:rPr>
          <w:rFonts w:ascii="仿宋" w:hAnsi="仿宋" w:eastAsia="仿宋"/>
          <w:bCs/>
          <w:i/>
          <w:color w:val="auto"/>
          <w:sz w:val="24"/>
          <w:szCs w:val="24"/>
          <w:highlight w:val="none"/>
          <w:u w:val="single"/>
        </w:rPr>
      </w:pPr>
      <w:r>
        <w:rPr>
          <w:rFonts w:hint="eastAsia" w:ascii="仿宋" w:hAnsi="仿宋" w:eastAsia="仿宋"/>
          <w:bCs/>
          <w:i/>
          <w:color w:val="auto"/>
          <w:sz w:val="24"/>
          <w:szCs w:val="24"/>
          <w:highlight w:val="none"/>
          <w:u w:val="single"/>
        </w:rPr>
        <w:t>注：《授权委托书》须后附法定代表人（或单位负责人）和被授权人的身份证（正反面）复印件（加盖单位公章）。</w:t>
      </w:r>
    </w:p>
    <w:p w14:paraId="0770762B">
      <w:pPr>
        <w:spacing w:line="360" w:lineRule="auto"/>
        <w:rPr>
          <w:rFonts w:ascii="仿宋" w:hAnsi="仿宋" w:eastAsia="仿宋"/>
          <w:b/>
          <w:color w:val="auto"/>
          <w:sz w:val="24"/>
          <w:szCs w:val="24"/>
          <w:highlight w:val="none"/>
        </w:rPr>
      </w:pPr>
    </w:p>
    <w:p w14:paraId="772F069A">
      <w:pPr>
        <w:wordWrap w:val="0"/>
        <w:spacing w:line="360" w:lineRule="auto"/>
        <w:ind w:firstLine="425"/>
        <w:jc w:val="righ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1DF1540E">
      <w:pPr>
        <w:spacing w:line="360" w:lineRule="auto"/>
        <w:ind w:firstLine="425"/>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日期：________年________月________日</w:t>
      </w:r>
    </w:p>
    <w:p w14:paraId="10CC364E">
      <w:pPr>
        <w:spacing w:line="480" w:lineRule="auto"/>
        <w:rPr>
          <w:rFonts w:ascii="仿宋" w:hAnsi="仿宋" w:eastAsia="仿宋"/>
          <w:b/>
          <w:bCs/>
          <w:color w:val="auto"/>
          <w:spacing w:val="-6"/>
          <w:sz w:val="24"/>
          <w:szCs w:val="24"/>
          <w:highlight w:val="none"/>
        </w:rPr>
      </w:pPr>
    </w:p>
    <w:p w14:paraId="441BB20A">
      <w:pPr>
        <w:spacing w:line="420" w:lineRule="exact"/>
        <w:rPr>
          <w:rFonts w:ascii="仿宋" w:hAnsi="仿宋" w:eastAsia="仿宋"/>
          <w:b/>
          <w:i/>
          <w:color w:val="auto"/>
          <w:sz w:val="24"/>
          <w:szCs w:val="24"/>
          <w:highlight w:val="none"/>
          <w:u w:val="single"/>
        </w:rPr>
      </w:pPr>
      <w:r>
        <w:rPr>
          <w:rFonts w:hint="eastAsia" w:ascii="仿宋" w:hAnsi="仿宋" w:eastAsia="仿宋"/>
          <w:b/>
          <w:bCs/>
          <w:i/>
          <w:color w:val="auto"/>
          <w:spacing w:val="-6"/>
          <w:sz w:val="24"/>
          <w:szCs w:val="24"/>
          <w:highlight w:val="none"/>
          <w:u w:val="single"/>
        </w:rPr>
        <w:t>说明：</w:t>
      </w:r>
    </w:p>
    <w:p w14:paraId="2A489F2D">
      <w:pPr>
        <w:spacing w:line="420" w:lineRule="exact"/>
        <w:rPr>
          <w:rFonts w:ascii="仿宋" w:hAnsi="仿宋" w:eastAsia="仿宋"/>
          <w:bCs/>
          <w:i/>
          <w:color w:val="auto"/>
          <w:sz w:val="24"/>
          <w:szCs w:val="24"/>
          <w:highlight w:val="none"/>
          <w:u w:val="single"/>
        </w:rPr>
      </w:pPr>
      <w:r>
        <w:rPr>
          <w:rFonts w:hint="eastAsia" w:ascii="仿宋" w:hAnsi="仿宋" w:eastAsia="仿宋"/>
          <w:bCs/>
          <w:i/>
          <w:color w:val="auto"/>
          <w:sz w:val="24"/>
          <w:szCs w:val="24"/>
          <w:highlight w:val="none"/>
          <w:u w:val="single"/>
        </w:rPr>
        <w:t>1、</w:t>
      </w:r>
      <w:r>
        <w:rPr>
          <w:rFonts w:ascii="仿宋" w:hAnsi="仿宋" w:eastAsia="仿宋"/>
          <w:bCs/>
          <w:i/>
          <w:color w:val="auto"/>
          <w:sz w:val="24"/>
          <w:szCs w:val="24"/>
          <w:highlight w:val="none"/>
          <w:u w:val="single"/>
        </w:rPr>
        <w:t>投标人代表为法定代表人（或单位负责人）的，只需提供法定代表人（或单位负责人）身份证（正反面）复印件（加盖单位公章）。</w:t>
      </w:r>
    </w:p>
    <w:p w14:paraId="736A0813">
      <w:pPr>
        <w:widowControl/>
        <w:tabs>
          <w:tab w:val="left" w:pos="350"/>
          <w:tab w:val="left" w:pos="8280"/>
        </w:tabs>
        <w:spacing w:line="420" w:lineRule="exact"/>
        <w:rPr>
          <w:rFonts w:ascii="仿宋" w:hAnsi="仿宋" w:eastAsia="仿宋"/>
          <w:bCs/>
          <w:color w:val="auto"/>
          <w:sz w:val="24"/>
          <w:highlight w:val="none"/>
          <w:u w:val="singl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bCs/>
          <w:i/>
          <w:color w:val="auto"/>
          <w:sz w:val="24"/>
          <w:szCs w:val="24"/>
          <w:highlight w:val="none"/>
          <w:u w:val="single"/>
        </w:rPr>
        <w:t>2、</w:t>
      </w:r>
      <w:r>
        <w:rPr>
          <w:rFonts w:ascii="仿宋" w:hAnsi="仿宋" w:eastAsia="仿宋"/>
          <w:bCs/>
          <w:i/>
          <w:color w:val="auto"/>
          <w:sz w:val="24"/>
          <w:highlight w:val="none"/>
          <w:u w:val="single"/>
        </w:rPr>
        <w:t>投标人代表不是法定代表人（或单位负责人）的，必须提供《授权委托书》。</w:t>
      </w:r>
    </w:p>
    <w:p w14:paraId="58319752">
      <w:pPr>
        <w:pStyle w:val="3"/>
        <w:spacing w:before="0" w:line="500" w:lineRule="exact"/>
        <w:jc w:val="center"/>
        <w:rPr>
          <w:rFonts w:ascii="仿宋" w:hAnsi="仿宋" w:eastAsia="仿宋"/>
          <w:color w:val="auto"/>
          <w:highlight w:val="none"/>
        </w:rPr>
      </w:pPr>
      <w:r>
        <w:rPr>
          <w:rFonts w:hint="eastAsia" w:ascii="仿宋" w:hAnsi="仿宋" w:eastAsia="仿宋"/>
          <w:color w:val="auto"/>
          <w:highlight w:val="none"/>
          <w:lang w:val="en-US" w:eastAsia="zh-CN"/>
        </w:rPr>
        <w:t>五</w:t>
      </w:r>
      <w:r>
        <w:rPr>
          <w:rFonts w:hint="eastAsia" w:ascii="仿宋" w:hAnsi="仿宋" w:eastAsia="仿宋"/>
          <w:color w:val="auto"/>
          <w:highlight w:val="none"/>
        </w:rPr>
        <w:t>、开标一览表（格式）</w:t>
      </w:r>
    </w:p>
    <w:p w14:paraId="75FBA512">
      <w:pPr>
        <w:keepNext w:val="0"/>
        <w:keepLines w:val="0"/>
        <w:pageBreakBefore w:val="0"/>
        <w:widowControl w:val="0"/>
        <w:kinsoku/>
        <w:wordWrap/>
        <w:overflowPunct/>
        <w:topLinePunct w:val="0"/>
        <w:autoSpaceDE w:val="0"/>
        <w:autoSpaceDN w:val="0"/>
        <w:bidi w:val="0"/>
        <w:adjustRightInd w:val="0"/>
        <w:snapToGrid/>
        <w:spacing w:before="120" w:after="120" w:line="360" w:lineRule="auto"/>
        <w:ind w:firstLine="281" w:firstLineChars="100"/>
        <w:textAlignment w:val="auto"/>
        <w:rPr>
          <w:rFonts w:hint="eastAsia" w:ascii="仿宋" w:hAnsi="仿宋" w:eastAsia="仿宋"/>
          <w:b/>
          <w:bCs/>
          <w:color w:val="auto"/>
          <w:sz w:val="28"/>
          <w:szCs w:val="28"/>
          <w:highlight w:val="none"/>
          <w:lang w:eastAsia="zh-CN"/>
        </w:rPr>
      </w:pPr>
      <w:r>
        <w:rPr>
          <w:rFonts w:hint="eastAsia" w:ascii="仿宋" w:hAnsi="仿宋" w:eastAsia="仿宋"/>
          <w:b/>
          <w:bCs/>
          <w:color w:val="auto"/>
          <w:sz w:val="28"/>
          <w:szCs w:val="28"/>
          <w:highlight w:val="none"/>
        </w:rPr>
        <w:t>项目名称：</w:t>
      </w:r>
      <w:r>
        <w:rPr>
          <w:rFonts w:hint="eastAsia" w:ascii="仿宋" w:hAnsi="仿宋" w:eastAsia="仿宋"/>
          <w:b/>
          <w:bCs/>
          <w:color w:val="auto"/>
          <w:sz w:val="28"/>
          <w:szCs w:val="28"/>
          <w:highlight w:val="none"/>
          <w:lang w:val="en-US" w:eastAsia="zh-CN"/>
        </w:rPr>
        <w:t>2025年诸暨市公共交通有限公司食堂劳务外包服务采购项目</w:t>
      </w:r>
    </w:p>
    <w:p w14:paraId="78E45CD2">
      <w:pPr>
        <w:keepNext w:val="0"/>
        <w:keepLines w:val="0"/>
        <w:pageBreakBefore w:val="0"/>
        <w:widowControl w:val="0"/>
        <w:kinsoku/>
        <w:wordWrap/>
        <w:overflowPunct/>
        <w:topLinePunct w:val="0"/>
        <w:autoSpaceDE w:val="0"/>
        <w:autoSpaceDN w:val="0"/>
        <w:bidi w:val="0"/>
        <w:adjustRightInd w:val="0"/>
        <w:snapToGrid/>
        <w:spacing w:before="120" w:after="120" w:line="360" w:lineRule="auto"/>
        <w:ind w:firstLine="281" w:firstLineChars="100"/>
        <w:textAlignment w:val="auto"/>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项目编号：</w:t>
      </w:r>
      <w:r>
        <w:rPr>
          <w:rFonts w:hint="eastAsia" w:ascii="仿宋" w:hAnsi="仿宋" w:eastAsia="仿宋"/>
          <w:b/>
          <w:bCs/>
          <w:color w:val="auto"/>
          <w:sz w:val="28"/>
          <w:szCs w:val="28"/>
          <w:highlight w:val="none"/>
          <w:lang w:val="en-US" w:eastAsia="zh-CN"/>
        </w:rPr>
        <w:t>杭建集团2025-07-09</w:t>
      </w:r>
    </w:p>
    <w:tbl>
      <w:tblPr>
        <w:tblStyle w:val="20"/>
        <w:tblW w:w="10055" w:type="dxa"/>
        <w:jc w:val="center"/>
        <w:tblLayout w:type="fixed"/>
        <w:tblCellMar>
          <w:top w:w="0" w:type="dxa"/>
          <w:left w:w="108" w:type="dxa"/>
          <w:bottom w:w="0" w:type="dxa"/>
          <w:right w:w="108" w:type="dxa"/>
        </w:tblCellMar>
      </w:tblPr>
      <w:tblGrid>
        <w:gridCol w:w="719"/>
        <w:gridCol w:w="2124"/>
        <w:gridCol w:w="1265"/>
        <w:gridCol w:w="2249"/>
        <w:gridCol w:w="2028"/>
        <w:gridCol w:w="1670"/>
      </w:tblGrid>
      <w:tr w14:paraId="6CFF0481">
        <w:tblPrEx>
          <w:tblCellMar>
            <w:top w:w="0" w:type="dxa"/>
            <w:left w:w="108" w:type="dxa"/>
            <w:bottom w:w="0" w:type="dxa"/>
            <w:right w:w="108" w:type="dxa"/>
          </w:tblCellMar>
        </w:tblPrEx>
        <w:trPr>
          <w:trHeight w:val="433" w:hRule="atLeast"/>
          <w:jc w:val="center"/>
        </w:trPr>
        <w:tc>
          <w:tcPr>
            <w:tcW w:w="719" w:type="dxa"/>
            <w:tcBorders>
              <w:top w:val="single" w:color="000000" w:sz="4" w:space="0"/>
              <w:left w:val="single" w:color="000000" w:sz="4" w:space="0"/>
              <w:bottom w:val="single" w:color="000000" w:sz="4" w:space="0"/>
              <w:right w:val="single" w:color="auto" w:sz="4" w:space="0"/>
            </w:tcBorders>
            <w:noWrap w:val="0"/>
            <w:vAlign w:val="center"/>
          </w:tcPr>
          <w:p w14:paraId="3F91C25C">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2124" w:type="dxa"/>
            <w:tcBorders>
              <w:top w:val="single" w:color="000000" w:sz="4" w:space="0"/>
              <w:left w:val="single" w:color="000000" w:sz="4" w:space="0"/>
              <w:bottom w:val="single" w:color="000000" w:sz="4" w:space="0"/>
              <w:right w:val="single" w:color="auto" w:sz="4" w:space="0"/>
            </w:tcBorders>
            <w:noWrap w:val="0"/>
            <w:vAlign w:val="center"/>
          </w:tcPr>
          <w:p w14:paraId="0FC024A7">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岗位</w:t>
            </w:r>
          </w:p>
        </w:tc>
        <w:tc>
          <w:tcPr>
            <w:tcW w:w="1265" w:type="dxa"/>
            <w:tcBorders>
              <w:top w:val="single" w:color="000000" w:sz="4" w:space="0"/>
              <w:left w:val="single" w:color="auto" w:sz="4" w:space="0"/>
              <w:bottom w:val="single" w:color="000000" w:sz="4" w:space="0"/>
              <w:right w:val="single" w:color="000000" w:sz="4" w:space="0"/>
            </w:tcBorders>
            <w:noWrap w:val="0"/>
            <w:vAlign w:val="center"/>
          </w:tcPr>
          <w:p w14:paraId="4C4247B5">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人数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lang w:eastAsia="zh-CN"/>
              </w:rPr>
              <w:t>）</w:t>
            </w:r>
          </w:p>
        </w:tc>
        <w:tc>
          <w:tcPr>
            <w:tcW w:w="2249" w:type="dxa"/>
            <w:tcBorders>
              <w:top w:val="single" w:color="000000" w:sz="4" w:space="0"/>
              <w:left w:val="single" w:color="auto" w:sz="4" w:space="0"/>
              <w:bottom w:val="single" w:color="000000" w:sz="4" w:space="0"/>
              <w:right w:val="single" w:color="000000" w:sz="4" w:space="0"/>
            </w:tcBorders>
            <w:noWrap w:val="0"/>
            <w:vAlign w:val="center"/>
          </w:tcPr>
          <w:p w14:paraId="1E7B1720">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平均薪资（</w:t>
            </w:r>
            <w:r>
              <w:rPr>
                <w:rFonts w:hint="eastAsia" w:ascii="仿宋" w:hAnsi="仿宋" w:eastAsia="仿宋" w:cs="仿宋"/>
                <w:color w:val="auto"/>
                <w:sz w:val="24"/>
                <w:szCs w:val="24"/>
                <w:highlight w:val="none"/>
                <w:lang w:val="en-US" w:eastAsia="zh-CN"/>
              </w:rPr>
              <w:t>元/月</w:t>
            </w:r>
            <w:r>
              <w:rPr>
                <w:rFonts w:hint="eastAsia" w:ascii="仿宋" w:hAnsi="仿宋" w:eastAsia="仿宋" w:cs="仿宋"/>
                <w:color w:val="auto"/>
                <w:kern w:val="0"/>
                <w:sz w:val="24"/>
                <w:szCs w:val="24"/>
                <w:highlight w:val="none"/>
                <w:lang w:val="en-US" w:eastAsia="zh-CN"/>
              </w:rPr>
              <w:t>）</w:t>
            </w:r>
          </w:p>
        </w:tc>
        <w:tc>
          <w:tcPr>
            <w:tcW w:w="2028" w:type="dxa"/>
            <w:tcBorders>
              <w:top w:val="single" w:color="000000" w:sz="4" w:space="0"/>
              <w:left w:val="single" w:color="auto" w:sz="4" w:space="0"/>
              <w:bottom w:val="single" w:color="000000" w:sz="4" w:space="0"/>
              <w:right w:val="single" w:color="000000" w:sz="4" w:space="0"/>
            </w:tcBorders>
            <w:noWrap w:val="0"/>
            <w:vAlign w:val="center"/>
          </w:tcPr>
          <w:p w14:paraId="7C438934">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服务期限（月）</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14:paraId="6E0BBCFD">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年合计（元）</w:t>
            </w:r>
          </w:p>
        </w:tc>
      </w:tr>
      <w:tr w14:paraId="02255D60">
        <w:tblPrEx>
          <w:tblCellMar>
            <w:top w:w="0" w:type="dxa"/>
            <w:left w:w="108" w:type="dxa"/>
            <w:bottom w:w="0" w:type="dxa"/>
            <w:right w:w="108" w:type="dxa"/>
          </w:tblCellMar>
        </w:tblPrEx>
        <w:trPr>
          <w:trHeight w:val="558" w:hRule="atLeast"/>
          <w:jc w:val="center"/>
        </w:trPr>
        <w:tc>
          <w:tcPr>
            <w:tcW w:w="719" w:type="dxa"/>
            <w:tcBorders>
              <w:top w:val="single" w:color="000000" w:sz="4" w:space="0"/>
              <w:left w:val="single" w:color="000000" w:sz="4" w:space="0"/>
              <w:bottom w:val="single" w:color="000000" w:sz="4" w:space="0"/>
              <w:right w:val="single" w:color="auto" w:sz="4" w:space="0"/>
            </w:tcBorders>
            <w:noWrap w:val="0"/>
            <w:vAlign w:val="center"/>
          </w:tcPr>
          <w:p w14:paraId="43362568">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124" w:type="dxa"/>
            <w:tcBorders>
              <w:top w:val="single" w:color="000000" w:sz="4" w:space="0"/>
              <w:left w:val="single" w:color="000000" w:sz="4" w:space="0"/>
              <w:bottom w:val="single" w:color="000000" w:sz="4" w:space="0"/>
              <w:right w:val="single" w:color="auto" w:sz="4" w:space="0"/>
            </w:tcBorders>
            <w:noWrap w:val="0"/>
            <w:vAlign w:val="center"/>
          </w:tcPr>
          <w:p w14:paraId="2E6CE3EC">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厨师</w:t>
            </w:r>
          </w:p>
        </w:tc>
        <w:tc>
          <w:tcPr>
            <w:tcW w:w="1265" w:type="dxa"/>
            <w:tcBorders>
              <w:top w:val="single" w:color="000000" w:sz="4" w:space="0"/>
              <w:left w:val="single" w:color="auto" w:sz="4" w:space="0"/>
              <w:bottom w:val="single" w:color="000000" w:sz="4" w:space="0"/>
              <w:right w:val="single" w:color="000000" w:sz="4" w:space="0"/>
            </w:tcBorders>
            <w:noWrap w:val="0"/>
            <w:vAlign w:val="center"/>
          </w:tcPr>
          <w:p w14:paraId="5D8D5A72">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249" w:type="dxa"/>
            <w:tcBorders>
              <w:top w:val="single" w:color="000000" w:sz="4" w:space="0"/>
              <w:left w:val="single" w:color="auto" w:sz="4" w:space="0"/>
              <w:bottom w:val="single" w:color="000000" w:sz="4" w:space="0"/>
              <w:right w:val="single" w:color="000000" w:sz="4" w:space="0"/>
            </w:tcBorders>
            <w:noWrap w:val="0"/>
            <w:vAlign w:val="center"/>
          </w:tcPr>
          <w:p w14:paraId="27B91D7A">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7660（含社保）</w:t>
            </w:r>
          </w:p>
        </w:tc>
        <w:tc>
          <w:tcPr>
            <w:tcW w:w="2028" w:type="dxa"/>
            <w:tcBorders>
              <w:top w:val="single" w:color="000000" w:sz="4" w:space="0"/>
              <w:left w:val="single" w:color="auto" w:sz="4" w:space="0"/>
              <w:bottom w:val="single" w:color="000000" w:sz="4" w:space="0"/>
              <w:right w:val="single" w:color="000000" w:sz="4" w:space="0"/>
            </w:tcBorders>
            <w:noWrap w:val="0"/>
            <w:vAlign w:val="center"/>
          </w:tcPr>
          <w:p w14:paraId="10F5D0C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14:paraId="68823A61">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91920</w:t>
            </w:r>
          </w:p>
        </w:tc>
      </w:tr>
      <w:tr w14:paraId="6C29BB83">
        <w:tblPrEx>
          <w:tblCellMar>
            <w:top w:w="0" w:type="dxa"/>
            <w:left w:w="108" w:type="dxa"/>
            <w:bottom w:w="0" w:type="dxa"/>
            <w:right w:w="108" w:type="dxa"/>
          </w:tblCellMar>
        </w:tblPrEx>
        <w:trPr>
          <w:trHeight w:val="558" w:hRule="atLeast"/>
          <w:jc w:val="center"/>
        </w:trPr>
        <w:tc>
          <w:tcPr>
            <w:tcW w:w="719" w:type="dxa"/>
            <w:tcBorders>
              <w:top w:val="single" w:color="000000" w:sz="4" w:space="0"/>
              <w:left w:val="single" w:color="000000" w:sz="4" w:space="0"/>
              <w:bottom w:val="single" w:color="000000" w:sz="4" w:space="0"/>
              <w:right w:val="single" w:color="auto" w:sz="4" w:space="0"/>
            </w:tcBorders>
            <w:noWrap w:val="0"/>
            <w:vAlign w:val="center"/>
          </w:tcPr>
          <w:p w14:paraId="3F253A62">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124" w:type="dxa"/>
            <w:tcBorders>
              <w:top w:val="single" w:color="000000" w:sz="4" w:space="0"/>
              <w:left w:val="single" w:color="000000" w:sz="4" w:space="0"/>
              <w:bottom w:val="single" w:color="000000" w:sz="4" w:space="0"/>
              <w:right w:val="single" w:color="auto" w:sz="4" w:space="0"/>
            </w:tcBorders>
            <w:noWrap w:val="0"/>
            <w:vAlign w:val="center"/>
          </w:tcPr>
          <w:p w14:paraId="137E26D4">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副厨</w:t>
            </w:r>
          </w:p>
        </w:tc>
        <w:tc>
          <w:tcPr>
            <w:tcW w:w="1265" w:type="dxa"/>
            <w:tcBorders>
              <w:top w:val="single" w:color="000000" w:sz="4" w:space="0"/>
              <w:left w:val="single" w:color="auto" w:sz="4" w:space="0"/>
              <w:bottom w:val="single" w:color="000000" w:sz="4" w:space="0"/>
              <w:right w:val="single" w:color="000000" w:sz="4" w:space="0"/>
            </w:tcBorders>
            <w:noWrap w:val="0"/>
            <w:vAlign w:val="center"/>
          </w:tcPr>
          <w:p w14:paraId="6EF21FCA">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49" w:type="dxa"/>
            <w:tcBorders>
              <w:top w:val="single" w:color="000000" w:sz="4" w:space="0"/>
              <w:left w:val="single" w:color="auto" w:sz="4" w:space="0"/>
              <w:bottom w:val="single" w:color="000000" w:sz="4" w:space="0"/>
              <w:right w:val="single" w:color="000000" w:sz="4" w:space="0"/>
            </w:tcBorders>
            <w:noWrap w:val="0"/>
            <w:vAlign w:val="center"/>
          </w:tcPr>
          <w:p w14:paraId="5F63EE5D">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5577（含社保）</w:t>
            </w:r>
          </w:p>
        </w:tc>
        <w:tc>
          <w:tcPr>
            <w:tcW w:w="2028" w:type="dxa"/>
            <w:tcBorders>
              <w:top w:val="single" w:color="000000" w:sz="4" w:space="0"/>
              <w:left w:val="single" w:color="auto" w:sz="4" w:space="0"/>
              <w:bottom w:val="single" w:color="000000" w:sz="4" w:space="0"/>
              <w:right w:val="single" w:color="000000" w:sz="4" w:space="0"/>
            </w:tcBorders>
            <w:noWrap w:val="0"/>
            <w:vAlign w:val="center"/>
          </w:tcPr>
          <w:p w14:paraId="35406C8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14:paraId="25672A91">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33462</w:t>
            </w:r>
          </w:p>
        </w:tc>
      </w:tr>
      <w:tr w14:paraId="514B2140">
        <w:tblPrEx>
          <w:tblCellMar>
            <w:top w:w="0" w:type="dxa"/>
            <w:left w:w="108" w:type="dxa"/>
            <w:bottom w:w="0" w:type="dxa"/>
            <w:right w:w="108" w:type="dxa"/>
          </w:tblCellMar>
        </w:tblPrEx>
        <w:trPr>
          <w:trHeight w:val="558" w:hRule="atLeast"/>
          <w:jc w:val="center"/>
        </w:trPr>
        <w:tc>
          <w:tcPr>
            <w:tcW w:w="719" w:type="dxa"/>
            <w:tcBorders>
              <w:top w:val="single" w:color="000000" w:sz="4" w:space="0"/>
              <w:left w:val="single" w:color="000000" w:sz="4" w:space="0"/>
              <w:bottom w:val="single" w:color="000000" w:sz="4" w:space="0"/>
              <w:right w:val="single" w:color="auto" w:sz="4" w:space="0"/>
            </w:tcBorders>
            <w:noWrap w:val="0"/>
            <w:vAlign w:val="center"/>
          </w:tcPr>
          <w:p w14:paraId="2833C74B">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124" w:type="dxa"/>
            <w:tcBorders>
              <w:top w:val="single" w:color="000000" w:sz="4" w:space="0"/>
              <w:left w:val="single" w:color="000000" w:sz="4" w:space="0"/>
              <w:bottom w:val="single" w:color="000000" w:sz="4" w:space="0"/>
              <w:right w:val="single" w:color="auto" w:sz="4" w:space="0"/>
            </w:tcBorders>
            <w:noWrap w:val="0"/>
            <w:vAlign w:val="center"/>
          </w:tcPr>
          <w:p w14:paraId="1FBB1C34">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面点师</w:t>
            </w:r>
          </w:p>
        </w:tc>
        <w:tc>
          <w:tcPr>
            <w:tcW w:w="1265" w:type="dxa"/>
            <w:tcBorders>
              <w:top w:val="single" w:color="000000" w:sz="4" w:space="0"/>
              <w:left w:val="single" w:color="auto" w:sz="4" w:space="0"/>
              <w:bottom w:val="single" w:color="000000" w:sz="4" w:space="0"/>
              <w:right w:val="single" w:color="000000" w:sz="4" w:space="0"/>
            </w:tcBorders>
            <w:noWrap w:val="0"/>
            <w:vAlign w:val="center"/>
          </w:tcPr>
          <w:p w14:paraId="4890E907">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2249" w:type="dxa"/>
            <w:tcBorders>
              <w:top w:val="single" w:color="000000" w:sz="4" w:space="0"/>
              <w:left w:val="single" w:color="auto" w:sz="4" w:space="0"/>
              <w:bottom w:val="single" w:color="000000" w:sz="4" w:space="0"/>
              <w:right w:val="single" w:color="000000" w:sz="4" w:space="0"/>
            </w:tcBorders>
            <w:noWrap w:val="0"/>
            <w:vAlign w:val="center"/>
          </w:tcPr>
          <w:p w14:paraId="3BB37727">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5027（含社保）</w:t>
            </w:r>
          </w:p>
        </w:tc>
        <w:tc>
          <w:tcPr>
            <w:tcW w:w="2028" w:type="dxa"/>
            <w:tcBorders>
              <w:top w:val="single" w:color="000000" w:sz="4" w:space="0"/>
              <w:left w:val="single" w:color="auto" w:sz="4" w:space="0"/>
              <w:bottom w:val="single" w:color="000000" w:sz="4" w:space="0"/>
              <w:right w:val="single" w:color="000000" w:sz="4" w:space="0"/>
            </w:tcBorders>
            <w:noWrap w:val="0"/>
            <w:vAlign w:val="center"/>
          </w:tcPr>
          <w:p w14:paraId="7581CF4D">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14:paraId="7D621C42">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30162</w:t>
            </w:r>
          </w:p>
        </w:tc>
      </w:tr>
      <w:tr w14:paraId="6DA3890D">
        <w:tblPrEx>
          <w:tblCellMar>
            <w:top w:w="0" w:type="dxa"/>
            <w:left w:w="108" w:type="dxa"/>
            <w:bottom w:w="0" w:type="dxa"/>
            <w:right w:w="108" w:type="dxa"/>
          </w:tblCellMar>
        </w:tblPrEx>
        <w:trPr>
          <w:trHeight w:val="558" w:hRule="atLeast"/>
          <w:jc w:val="center"/>
        </w:trPr>
        <w:tc>
          <w:tcPr>
            <w:tcW w:w="719" w:type="dxa"/>
            <w:tcBorders>
              <w:top w:val="single" w:color="000000" w:sz="4" w:space="0"/>
              <w:left w:val="single" w:color="000000" w:sz="4" w:space="0"/>
              <w:bottom w:val="single" w:color="000000" w:sz="4" w:space="0"/>
              <w:right w:val="single" w:color="auto" w:sz="4" w:space="0"/>
            </w:tcBorders>
            <w:noWrap w:val="0"/>
            <w:vAlign w:val="center"/>
          </w:tcPr>
          <w:p w14:paraId="3D5E93C1">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124" w:type="dxa"/>
            <w:tcBorders>
              <w:top w:val="single" w:color="000000" w:sz="4" w:space="0"/>
              <w:left w:val="single" w:color="000000" w:sz="4" w:space="0"/>
              <w:bottom w:val="single" w:color="000000" w:sz="4" w:space="0"/>
              <w:right w:val="single" w:color="auto" w:sz="4" w:space="0"/>
            </w:tcBorders>
            <w:noWrap w:val="0"/>
            <w:vAlign w:val="center"/>
          </w:tcPr>
          <w:p w14:paraId="4B523C4A">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配送员</w:t>
            </w:r>
          </w:p>
        </w:tc>
        <w:tc>
          <w:tcPr>
            <w:tcW w:w="1265" w:type="dxa"/>
            <w:tcBorders>
              <w:top w:val="single" w:color="000000" w:sz="4" w:space="0"/>
              <w:left w:val="single" w:color="auto" w:sz="4" w:space="0"/>
              <w:bottom w:val="single" w:color="000000" w:sz="4" w:space="0"/>
              <w:right w:val="single" w:color="000000" w:sz="4" w:space="0"/>
            </w:tcBorders>
            <w:noWrap w:val="0"/>
            <w:vAlign w:val="center"/>
          </w:tcPr>
          <w:p w14:paraId="1392F398">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49" w:type="dxa"/>
            <w:tcBorders>
              <w:top w:val="single" w:color="000000" w:sz="4" w:space="0"/>
              <w:left w:val="single" w:color="auto" w:sz="4" w:space="0"/>
              <w:bottom w:val="single" w:color="000000" w:sz="4" w:space="0"/>
              <w:right w:val="single" w:color="000000" w:sz="4" w:space="0"/>
            </w:tcBorders>
            <w:noWrap w:val="0"/>
            <w:vAlign w:val="center"/>
          </w:tcPr>
          <w:p w14:paraId="322CBDFB">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4550（含社保）</w:t>
            </w:r>
          </w:p>
        </w:tc>
        <w:tc>
          <w:tcPr>
            <w:tcW w:w="2028" w:type="dxa"/>
            <w:tcBorders>
              <w:top w:val="single" w:color="000000" w:sz="4" w:space="0"/>
              <w:left w:val="single" w:color="auto" w:sz="4" w:space="0"/>
              <w:bottom w:val="single" w:color="000000" w:sz="4" w:space="0"/>
              <w:right w:val="single" w:color="000000" w:sz="4" w:space="0"/>
            </w:tcBorders>
            <w:noWrap w:val="0"/>
            <w:vAlign w:val="center"/>
          </w:tcPr>
          <w:p w14:paraId="7072B021">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14:paraId="71BE566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27300</w:t>
            </w:r>
          </w:p>
        </w:tc>
      </w:tr>
      <w:tr w14:paraId="708845DF">
        <w:tblPrEx>
          <w:tblCellMar>
            <w:top w:w="0" w:type="dxa"/>
            <w:left w:w="108" w:type="dxa"/>
            <w:bottom w:w="0" w:type="dxa"/>
            <w:right w:w="108" w:type="dxa"/>
          </w:tblCellMar>
        </w:tblPrEx>
        <w:trPr>
          <w:trHeight w:val="558" w:hRule="atLeast"/>
          <w:jc w:val="center"/>
        </w:trPr>
        <w:tc>
          <w:tcPr>
            <w:tcW w:w="719" w:type="dxa"/>
            <w:tcBorders>
              <w:top w:val="single" w:color="000000" w:sz="4" w:space="0"/>
              <w:left w:val="single" w:color="000000" w:sz="4" w:space="0"/>
              <w:bottom w:val="single" w:color="000000" w:sz="4" w:space="0"/>
              <w:right w:val="single" w:color="auto" w:sz="4" w:space="0"/>
            </w:tcBorders>
            <w:noWrap w:val="0"/>
            <w:vAlign w:val="center"/>
          </w:tcPr>
          <w:p w14:paraId="2AC9D1C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124" w:type="dxa"/>
            <w:tcBorders>
              <w:top w:val="single" w:color="000000" w:sz="4" w:space="0"/>
              <w:left w:val="single" w:color="000000" w:sz="4" w:space="0"/>
              <w:bottom w:val="single" w:color="000000" w:sz="4" w:space="0"/>
              <w:right w:val="single" w:color="auto" w:sz="4" w:space="0"/>
            </w:tcBorders>
            <w:noWrap w:val="0"/>
            <w:vAlign w:val="center"/>
          </w:tcPr>
          <w:p w14:paraId="0F9D0B53">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帮厨1</w:t>
            </w:r>
          </w:p>
        </w:tc>
        <w:tc>
          <w:tcPr>
            <w:tcW w:w="1265" w:type="dxa"/>
            <w:tcBorders>
              <w:top w:val="single" w:color="000000" w:sz="4" w:space="0"/>
              <w:left w:val="single" w:color="auto" w:sz="4" w:space="0"/>
              <w:bottom w:val="single" w:color="000000" w:sz="4" w:space="0"/>
              <w:right w:val="single" w:color="000000" w:sz="4" w:space="0"/>
            </w:tcBorders>
            <w:noWrap w:val="0"/>
            <w:vAlign w:val="center"/>
          </w:tcPr>
          <w:p w14:paraId="4525D655">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249" w:type="dxa"/>
            <w:tcBorders>
              <w:top w:val="single" w:color="000000" w:sz="4" w:space="0"/>
              <w:left w:val="single" w:color="auto" w:sz="4" w:space="0"/>
              <w:bottom w:val="single" w:color="000000" w:sz="4" w:space="0"/>
              <w:right w:val="single" w:color="000000" w:sz="4" w:space="0"/>
            </w:tcBorders>
            <w:noWrap w:val="0"/>
            <w:vAlign w:val="center"/>
          </w:tcPr>
          <w:p w14:paraId="0D079C6D">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4277（含社保）</w:t>
            </w:r>
          </w:p>
        </w:tc>
        <w:tc>
          <w:tcPr>
            <w:tcW w:w="2028" w:type="dxa"/>
            <w:tcBorders>
              <w:top w:val="single" w:color="000000" w:sz="4" w:space="0"/>
              <w:left w:val="single" w:color="auto" w:sz="4" w:space="0"/>
              <w:bottom w:val="single" w:color="000000" w:sz="4" w:space="0"/>
              <w:right w:val="single" w:color="000000" w:sz="4" w:space="0"/>
            </w:tcBorders>
            <w:noWrap w:val="0"/>
            <w:vAlign w:val="center"/>
          </w:tcPr>
          <w:p w14:paraId="129D506E">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14:paraId="5F9B810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128310</w:t>
            </w:r>
          </w:p>
        </w:tc>
      </w:tr>
      <w:tr w14:paraId="3769082E">
        <w:tblPrEx>
          <w:tblCellMar>
            <w:top w:w="0" w:type="dxa"/>
            <w:left w:w="108" w:type="dxa"/>
            <w:bottom w:w="0" w:type="dxa"/>
            <w:right w:w="108" w:type="dxa"/>
          </w:tblCellMar>
        </w:tblPrEx>
        <w:trPr>
          <w:trHeight w:val="558" w:hRule="atLeast"/>
          <w:jc w:val="center"/>
        </w:trPr>
        <w:tc>
          <w:tcPr>
            <w:tcW w:w="719" w:type="dxa"/>
            <w:tcBorders>
              <w:top w:val="single" w:color="000000" w:sz="4" w:space="0"/>
              <w:left w:val="single" w:color="000000" w:sz="4" w:space="0"/>
              <w:bottom w:val="single" w:color="000000" w:sz="4" w:space="0"/>
              <w:right w:val="single" w:color="auto" w:sz="4" w:space="0"/>
            </w:tcBorders>
            <w:noWrap w:val="0"/>
            <w:vAlign w:val="center"/>
          </w:tcPr>
          <w:p w14:paraId="45CB4C15">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124" w:type="dxa"/>
            <w:tcBorders>
              <w:top w:val="single" w:color="000000" w:sz="4" w:space="0"/>
              <w:left w:val="single" w:color="000000" w:sz="4" w:space="0"/>
              <w:bottom w:val="single" w:color="000000" w:sz="4" w:space="0"/>
              <w:right w:val="single" w:color="auto" w:sz="4" w:space="0"/>
            </w:tcBorders>
            <w:noWrap w:val="0"/>
            <w:vAlign w:val="center"/>
          </w:tcPr>
          <w:p w14:paraId="117BBBDD">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帮厨2</w:t>
            </w:r>
          </w:p>
        </w:tc>
        <w:tc>
          <w:tcPr>
            <w:tcW w:w="1265" w:type="dxa"/>
            <w:tcBorders>
              <w:top w:val="single" w:color="000000" w:sz="4" w:space="0"/>
              <w:left w:val="single" w:color="auto" w:sz="4" w:space="0"/>
              <w:bottom w:val="single" w:color="000000" w:sz="4" w:space="0"/>
              <w:right w:val="single" w:color="000000" w:sz="4" w:space="0"/>
            </w:tcBorders>
            <w:noWrap w:val="0"/>
            <w:vAlign w:val="center"/>
          </w:tcPr>
          <w:p w14:paraId="4ABD2DA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249" w:type="dxa"/>
            <w:tcBorders>
              <w:top w:val="single" w:color="000000" w:sz="4" w:space="0"/>
              <w:left w:val="single" w:color="auto" w:sz="4" w:space="0"/>
              <w:bottom w:val="single" w:color="000000" w:sz="4" w:space="0"/>
              <w:right w:val="single" w:color="000000" w:sz="4" w:space="0"/>
            </w:tcBorders>
            <w:noWrap w:val="0"/>
            <w:vAlign w:val="center"/>
          </w:tcPr>
          <w:p w14:paraId="02EA63AC">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3977（含社保）</w:t>
            </w:r>
          </w:p>
        </w:tc>
        <w:tc>
          <w:tcPr>
            <w:tcW w:w="2028" w:type="dxa"/>
            <w:tcBorders>
              <w:top w:val="single" w:color="000000" w:sz="4" w:space="0"/>
              <w:left w:val="single" w:color="auto" w:sz="4" w:space="0"/>
              <w:bottom w:val="single" w:color="000000" w:sz="4" w:space="0"/>
              <w:right w:val="single" w:color="000000" w:sz="4" w:space="0"/>
            </w:tcBorders>
            <w:noWrap w:val="0"/>
            <w:vAlign w:val="center"/>
          </w:tcPr>
          <w:p w14:paraId="747032F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14:paraId="58AA85EC">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71586</w:t>
            </w:r>
          </w:p>
        </w:tc>
      </w:tr>
      <w:tr w14:paraId="70ABFD1A">
        <w:tblPrEx>
          <w:tblCellMar>
            <w:top w:w="0" w:type="dxa"/>
            <w:left w:w="108" w:type="dxa"/>
            <w:bottom w:w="0" w:type="dxa"/>
            <w:right w:w="108" w:type="dxa"/>
          </w:tblCellMar>
        </w:tblPrEx>
        <w:trPr>
          <w:trHeight w:val="558" w:hRule="atLeast"/>
          <w:jc w:val="center"/>
        </w:trPr>
        <w:tc>
          <w:tcPr>
            <w:tcW w:w="2843"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A95BED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人员薪资合计费用</w:t>
            </w:r>
          </w:p>
          <w:p w14:paraId="156ADA48">
            <w:pPr>
              <w:keepNext w:val="0"/>
              <w:keepLines w:val="0"/>
              <w:widowControl/>
              <w:suppressLineNumbers w:val="0"/>
              <w:jc w:val="center"/>
              <w:textAlignment w:val="center"/>
              <w:rPr>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（1-6项费用）</w:t>
            </w:r>
          </w:p>
        </w:tc>
        <w:tc>
          <w:tcPr>
            <w:tcW w:w="5542" w:type="dxa"/>
            <w:gridSpan w:val="3"/>
            <w:tcBorders>
              <w:top w:val="single" w:color="000000" w:sz="4" w:space="0"/>
              <w:left w:val="single" w:color="auto" w:sz="4" w:space="0"/>
              <w:bottom w:val="single" w:color="000000" w:sz="4" w:space="0"/>
              <w:right w:val="single" w:color="000000" w:sz="4" w:space="0"/>
            </w:tcBorders>
            <w:noWrap w:val="0"/>
            <w:vAlign w:val="center"/>
          </w:tcPr>
          <w:p w14:paraId="204A6D6A">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合计</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14:paraId="3CE82CE0">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382740</w:t>
            </w:r>
          </w:p>
        </w:tc>
      </w:tr>
      <w:tr w14:paraId="1B7DE8FE">
        <w:tblPrEx>
          <w:tblCellMar>
            <w:top w:w="0" w:type="dxa"/>
            <w:left w:w="108" w:type="dxa"/>
            <w:bottom w:w="0" w:type="dxa"/>
            <w:right w:w="108" w:type="dxa"/>
          </w:tblCellMar>
        </w:tblPrEx>
        <w:trPr>
          <w:trHeight w:val="558" w:hRule="atLeast"/>
          <w:jc w:val="center"/>
        </w:trPr>
        <w:tc>
          <w:tcPr>
            <w:tcW w:w="71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5EC8C1F">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124"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DBC2BCE">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highlight w:val="none"/>
              </w:rPr>
            </w:pPr>
            <w:r>
              <w:rPr>
                <w:rFonts w:hint="eastAsia" w:ascii="仿宋" w:hAnsi="仿宋" w:eastAsia="仿宋" w:cs="仿宋"/>
                <w:color w:val="auto"/>
                <w:sz w:val="24"/>
                <w:szCs w:val="24"/>
                <w:highlight w:val="none"/>
                <w:lang w:val="en-US" w:eastAsia="zh-CN"/>
              </w:rPr>
              <w:t>最高管理费限价</w:t>
            </w:r>
          </w:p>
        </w:tc>
        <w:tc>
          <w:tcPr>
            <w:tcW w:w="7212" w:type="dxa"/>
            <w:gridSpan w:val="4"/>
            <w:tcBorders>
              <w:top w:val="single" w:color="000000" w:sz="4" w:space="0"/>
              <w:left w:val="single" w:color="000000" w:sz="4" w:space="0"/>
              <w:bottom w:val="single" w:color="000000" w:sz="4" w:space="0"/>
              <w:right w:val="single" w:color="000000" w:sz="4" w:space="0"/>
            </w:tcBorders>
            <w:noWrap w:val="0"/>
            <w:vAlign w:val="center"/>
          </w:tcPr>
          <w:p w14:paraId="2F075B2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w:t>
            </w:r>
          </w:p>
        </w:tc>
      </w:tr>
      <w:tr w14:paraId="0D162337">
        <w:tblPrEx>
          <w:tblCellMar>
            <w:top w:w="0" w:type="dxa"/>
            <w:left w:w="108" w:type="dxa"/>
            <w:bottom w:w="0" w:type="dxa"/>
            <w:right w:w="108" w:type="dxa"/>
          </w:tblCellMar>
        </w:tblPrEx>
        <w:trPr>
          <w:trHeight w:val="558" w:hRule="atLeast"/>
          <w:jc w:val="center"/>
        </w:trPr>
        <w:tc>
          <w:tcPr>
            <w:tcW w:w="71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A3F9C9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48B7BA07">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其他费用</w:t>
            </w:r>
          </w:p>
        </w:tc>
        <w:tc>
          <w:tcPr>
            <w:tcW w:w="7212" w:type="dxa"/>
            <w:gridSpan w:val="4"/>
            <w:tcBorders>
              <w:top w:val="single" w:color="000000" w:sz="4" w:space="0"/>
              <w:left w:val="single" w:color="000000" w:sz="4" w:space="0"/>
              <w:bottom w:val="single" w:color="000000" w:sz="4" w:space="0"/>
              <w:right w:val="single" w:color="000000" w:sz="4" w:space="0"/>
            </w:tcBorders>
            <w:noWrap w:val="0"/>
            <w:vAlign w:val="center"/>
          </w:tcPr>
          <w:p w14:paraId="0CB6DEA8">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招标代理费、意外险（包含在管理费中）</w:t>
            </w:r>
          </w:p>
        </w:tc>
      </w:tr>
      <w:tr w14:paraId="1F59571D">
        <w:tblPrEx>
          <w:tblCellMar>
            <w:top w:w="0" w:type="dxa"/>
            <w:left w:w="108" w:type="dxa"/>
            <w:bottom w:w="0" w:type="dxa"/>
            <w:right w:w="108" w:type="dxa"/>
          </w:tblCellMar>
        </w:tblPrEx>
        <w:trPr>
          <w:trHeight w:val="1103" w:hRule="atLeast"/>
          <w:jc w:val="center"/>
        </w:trPr>
        <w:tc>
          <w:tcPr>
            <w:tcW w:w="719" w:type="dxa"/>
            <w:tcBorders>
              <w:top w:val="single" w:color="000000" w:sz="4" w:space="0"/>
              <w:left w:val="single" w:color="000000" w:sz="4" w:space="0"/>
              <w:bottom w:val="single" w:color="000000" w:sz="4" w:space="0"/>
              <w:right w:val="single" w:color="auto" w:sz="4" w:space="0"/>
            </w:tcBorders>
            <w:noWrap w:val="0"/>
            <w:vAlign w:val="center"/>
          </w:tcPr>
          <w:p w14:paraId="44C03FC9">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47BD361D">
            <w:pPr>
              <w:keepNext w:val="0"/>
              <w:keepLines w:val="0"/>
              <w:pageBreakBefore w:val="0"/>
              <w:widowControl/>
              <w:kinsoku/>
              <w:wordWrap/>
              <w:overflowPunct/>
              <w:topLinePunct w:val="0"/>
              <w:autoSpaceDE w:val="0"/>
              <w:autoSpaceDN w:val="0"/>
              <w:bidi w:val="0"/>
              <w:adjustRightInd w:val="0"/>
              <w:snapToGrid/>
              <w:spacing w:line="312" w:lineRule="auto"/>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管理费报价</w:t>
            </w:r>
          </w:p>
        </w:tc>
        <w:tc>
          <w:tcPr>
            <w:tcW w:w="7212" w:type="dxa"/>
            <w:gridSpan w:val="4"/>
            <w:tcBorders>
              <w:top w:val="single" w:color="000000" w:sz="4" w:space="0"/>
              <w:left w:val="single" w:color="000000" w:sz="4" w:space="0"/>
              <w:bottom w:val="single" w:color="000000" w:sz="4" w:space="0"/>
              <w:right w:val="single" w:color="000000" w:sz="4" w:space="0"/>
            </w:tcBorders>
            <w:noWrap w:val="0"/>
            <w:vAlign w:val="center"/>
          </w:tcPr>
          <w:p w14:paraId="1DBE3B92">
            <w:pPr>
              <w:keepNext w:val="0"/>
              <w:keepLines w:val="0"/>
              <w:pageBreakBefore w:val="0"/>
              <w:widowControl/>
              <w:kinsoku/>
              <w:wordWrap/>
              <w:overflowPunct/>
              <w:topLinePunct w:val="0"/>
              <w:autoSpaceDE w:val="0"/>
              <w:autoSpaceDN w:val="0"/>
              <w:bidi w:val="0"/>
              <w:adjustRightInd w:val="0"/>
              <w:snapToGrid/>
              <w:spacing w:line="312" w:lineRule="auto"/>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大写：百分之</w:t>
            </w:r>
            <w:r>
              <w:rPr>
                <w:rFonts w:hint="eastAsia" w:ascii="仿宋" w:hAnsi="仿宋" w:eastAsia="仿宋" w:cs="仿宋"/>
                <w:b/>
                <w:bCs/>
                <w:color w:val="auto"/>
                <w:sz w:val="24"/>
                <w:szCs w:val="24"/>
                <w:highlight w:val="none"/>
                <w:u w:val="single"/>
                <w:lang w:val="en-US" w:eastAsia="zh-CN"/>
              </w:rPr>
              <w:t xml:space="preserve">            </w:t>
            </w:r>
          </w:p>
          <w:p w14:paraId="353E1283">
            <w:pPr>
              <w:keepNext w:val="0"/>
              <w:keepLines w:val="0"/>
              <w:pageBreakBefore w:val="0"/>
              <w:widowControl/>
              <w:kinsoku/>
              <w:wordWrap/>
              <w:overflowPunct/>
              <w:topLinePunct w:val="0"/>
              <w:autoSpaceDE w:val="0"/>
              <w:autoSpaceDN w:val="0"/>
              <w:bidi w:val="0"/>
              <w:adjustRightInd w:val="0"/>
              <w:snapToGrid/>
              <w:spacing w:line="312" w:lineRule="auto"/>
              <w:jc w:val="left"/>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小写：</w:t>
            </w:r>
            <w:r>
              <w:rPr>
                <w:rFonts w:hint="eastAsia" w:ascii="仿宋" w:hAnsi="仿宋" w:eastAsia="仿宋" w:cs="仿宋"/>
                <w:b/>
                <w:bCs/>
                <w:color w:val="auto"/>
                <w:sz w:val="24"/>
                <w:szCs w:val="24"/>
                <w:highlight w:val="none"/>
                <w:u w:val="single"/>
                <w:lang w:val="en-US" w:eastAsia="zh-CN"/>
              </w:rPr>
              <w:t xml:space="preserve">       .      </w:t>
            </w:r>
            <w:r>
              <w:rPr>
                <w:rFonts w:hint="eastAsia" w:ascii="仿宋" w:hAnsi="仿宋" w:eastAsia="仿宋" w:cs="仿宋"/>
                <w:b/>
                <w:bCs/>
                <w:color w:val="auto"/>
                <w:sz w:val="24"/>
                <w:szCs w:val="24"/>
                <w:highlight w:val="none"/>
                <w:lang w:val="en-US" w:eastAsia="zh-CN"/>
              </w:rPr>
              <w:t xml:space="preserve"> %</w:t>
            </w:r>
          </w:p>
        </w:tc>
      </w:tr>
    </w:tbl>
    <w:p w14:paraId="0AE11928">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jc w:val="left"/>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注：上述为岗位用工需求和现行平均薪资标准，包括员工工资、社保费用及意外伤残保险、福利等、劳务管理费、税金等项目实施的一切费用。投标人充分考虑本项目实施风险和实施形式合理报价。本项目采用管理费折扣报价，管理费率最高限价为10.00%（含税），管理服务费用计算方式：管理服务费收费金额=</w:t>
      </w:r>
      <w:r>
        <w:rPr>
          <w:rFonts w:hint="eastAsia" w:ascii="仿宋" w:hAnsi="仿宋" w:eastAsia="仿宋" w:cs="仿宋"/>
          <w:b w:val="0"/>
          <w:bCs w:val="0"/>
          <w:i w:val="0"/>
          <w:iCs w:val="0"/>
          <w:color w:val="auto"/>
          <w:kern w:val="0"/>
          <w:sz w:val="24"/>
          <w:szCs w:val="24"/>
          <w:highlight w:val="none"/>
          <w:u w:val="none"/>
          <w:lang w:val="en-US" w:eastAsia="zh-CN" w:bidi="ar"/>
        </w:rPr>
        <w:t>人员薪资合计费用</w:t>
      </w:r>
      <w:r>
        <w:rPr>
          <w:rFonts w:hint="eastAsia" w:ascii="仿宋" w:hAnsi="仿宋" w:eastAsia="仿宋"/>
          <w:color w:val="auto"/>
          <w:sz w:val="24"/>
          <w:szCs w:val="24"/>
          <w:highlight w:val="none"/>
          <w:lang w:val="en-US" w:eastAsia="zh-CN"/>
        </w:rPr>
        <w:t>×10.00%×中标折扣。如中标人的投标折扣为90.00%，则管理服务费收费金额=</w:t>
      </w:r>
      <w:r>
        <w:rPr>
          <w:rFonts w:hint="eastAsia" w:ascii="仿宋" w:hAnsi="仿宋" w:eastAsia="仿宋" w:cs="仿宋"/>
          <w:b w:val="0"/>
          <w:bCs w:val="0"/>
          <w:i w:val="0"/>
          <w:iCs w:val="0"/>
          <w:color w:val="auto"/>
          <w:kern w:val="0"/>
          <w:sz w:val="24"/>
          <w:szCs w:val="24"/>
          <w:highlight w:val="none"/>
          <w:u w:val="none"/>
          <w:lang w:val="en-US" w:eastAsia="zh-CN" w:bidi="ar"/>
        </w:rPr>
        <w:t>人员薪资合计费用</w:t>
      </w:r>
      <w:r>
        <w:rPr>
          <w:rFonts w:hint="eastAsia" w:ascii="仿宋" w:hAnsi="仿宋" w:eastAsia="仿宋"/>
          <w:color w:val="auto"/>
          <w:sz w:val="24"/>
          <w:szCs w:val="24"/>
          <w:highlight w:val="none"/>
          <w:lang w:val="en-US" w:eastAsia="zh-CN"/>
        </w:rPr>
        <w:t>×10.00%×90.00%。</w:t>
      </w:r>
    </w:p>
    <w:p w14:paraId="69AA47C7">
      <w:pPr>
        <w:spacing w:line="480" w:lineRule="auto"/>
        <w:jc w:val="right"/>
        <w:rPr>
          <w:rFonts w:hint="eastAsia" w:ascii="仿宋" w:hAnsi="仿宋" w:eastAsia="仿宋"/>
          <w:color w:val="auto"/>
          <w:sz w:val="24"/>
          <w:szCs w:val="24"/>
          <w:highlight w:val="none"/>
        </w:rPr>
      </w:pPr>
    </w:p>
    <w:p w14:paraId="12355EDA">
      <w:pPr>
        <w:spacing w:line="480" w:lineRule="auto"/>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投标人全称（电子签章）：___________</w:t>
      </w:r>
    </w:p>
    <w:p w14:paraId="3B1B6813">
      <w:pPr>
        <w:spacing w:line="360" w:lineRule="auto"/>
        <w:jc w:val="right"/>
        <w:rPr>
          <w:rFonts w:hint="eastAsia" w:ascii="仿宋" w:hAnsi="仿宋" w:eastAsia="仿宋"/>
          <w:color w:val="auto"/>
          <w:sz w:val="24"/>
          <w:szCs w:val="24"/>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color w:val="auto"/>
          <w:sz w:val="24"/>
          <w:szCs w:val="24"/>
          <w:highlight w:val="none"/>
        </w:rPr>
        <w:t>日  期：_______年_______月_______日</w:t>
      </w:r>
    </w:p>
    <w:p w14:paraId="68EEF0F1">
      <w:pPr>
        <w:pStyle w:val="3"/>
        <w:spacing w:before="0" w:line="500" w:lineRule="exact"/>
        <w:jc w:val="center"/>
        <w:rPr>
          <w:rFonts w:ascii="仿宋" w:hAnsi="仿宋" w:eastAsia="仿宋"/>
          <w:color w:val="auto"/>
          <w:highlight w:val="none"/>
        </w:rPr>
      </w:pPr>
      <w:r>
        <w:rPr>
          <w:rFonts w:hint="eastAsia" w:ascii="仿宋" w:hAnsi="仿宋" w:eastAsia="仿宋" w:cs="Times New Roman"/>
          <w:b/>
          <w:bCs/>
          <w:color w:val="auto"/>
          <w:kern w:val="2"/>
          <w:sz w:val="32"/>
          <w:szCs w:val="32"/>
          <w:highlight w:val="none"/>
          <w:lang w:val="en-US" w:eastAsia="zh-CN" w:bidi="ar-SA"/>
        </w:rPr>
        <w:t>六、</w:t>
      </w:r>
      <w:r>
        <w:rPr>
          <w:rFonts w:hint="eastAsia" w:ascii="仿宋" w:hAnsi="仿宋" w:eastAsia="仿宋"/>
          <w:color w:val="auto"/>
          <w:highlight w:val="none"/>
        </w:rPr>
        <w:t>投标承诺书（格式）</w:t>
      </w:r>
    </w:p>
    <w:p w14:paraId="67D4CEE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我公司已详细阅读了项目（项目编号：</w:t>
      </w:r>
      <w:r>
        <w:rPr>
          <w:rFonts w:hint="eastAsia" w:ascii="仿宋" w:hAnsi="仿宋" w:eastAsia="仿宋" w:cs="仿宋"/>
          <w:color w:val="auto"/>
          <w:highlight w:val="none"/>
          <w:u w:val="none"/>
          <w:lang w:val="en-US" w:eastAsia="zh-CN"/>
        </w:rPr>
        <w:t>杭建集团20**-**-**</w:t>
      </w:r>
      <w:r>
        <w:rPr>
          <w:rFonts w:hint="eastAsia" w:ascii="仿宋" w:hAnsi="仿宋" w:eastAsia="仿宋" w:cs="仿宋"/>
          <w:color w:val="auto"/>
          <w:highlight w:val="none"/>
        </w:rPr>
        <w:t>）招标文件，现参加该项目投标，并就有关事项作出如下承诺：</w:t>
      </w:r>
    </w:p>
    <w:p w14:paraId="41F18AB2">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一、我公司在该项目招投标及合同履约过程中，不会出现以下行为，否则我公司愿意接受该行为被记录为不良行为，并在不良行为记录时限内放弃在</w:t>
      </w:r>
      <w:r>
        <w:rPr>
          <w:rFonts w:hint="eastAsia" w:ascii="仿宋" w:hAnsi="仿宋" w:eastAsia="仿宋" w:cs="仿宋"/>
          <w:color w:val="auto"/>
          <w:highlight w:val="none"/>
          <w:lang w:eastAsia="zh-CN"/>
        </w:rPr>
        <w:t>诸暨市建设集团有限公司</w:t>
      </w:r>
      <w:r>
        <w:rPr>
          <w:rFonts w:hint="eastAsia" w:ascii="仿宋" w:hAnsi="仿宋" w:eastAsia="仿宋" w:cs="仿宋"/>
          <w:color w:val="auto"/>
          <w:highlight w:val="none"/>
        </w:rPr>
        <w:t>及下属公司投标的资格。</w:t>
      </w:r>
    </w:p>
    <w:p w14:paraId="15E66F26">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（1）已报名但无故放弃投标(开标前已有书面说明并证实的除外)一年内累计3次以上的；</w:t>
      </w:r>
    </w:p>
    <w:p w14:paraId="3CCDAC9E">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（2）在招标采购过程中，与采购单位进行协商谈判的；</w:t>
      </w:r>
    </w:p>
    <w:p w14:paraId="4F2379E5">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（3）投标有效期内撤回其投标文件的；</w:t>
      </w:r>
    </w:p>
    <w:p w14:paraId="604F5BA3">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（4）拒绝有关部门监督检查或提供虚假情况的；</w:t>
      </w:r>
    </w:p>
    <w:p w14:paraId="38AA8261">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（5）不积极配合采购单位做好标的验收工作的；</w:t>
      </w:r>
    </w:p>
    <w:p w14:paraId="3A5334F6">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（6）在有关部门的监督检查或考核中被通报批评或处以警告及以上处罚的；</w:t>
      </w:r>
    </w:p>
    <w:p w14:paraId="2D23873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（7）不遵守投标会场纪律，无理取闹，扰乱交易秩序的；</w:t>
      </w:r>
    </w:p>
    <w:p w14:paraId="3A94F2A1">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（8）中标后无正当理由放弃中标，或不与采购单位签订政府采购合同，或在签订合同时提出附加条件或更改合同实质性内容，或拒不提交所要求的履约保证金的；</w:t>
      </w:r>
    </w:p>
    <w:p w14:paraId="47BECFB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（9）虚假投诉、恶意投诉或未按层级和相关程序逐级质疑、投诉而影响采购工作正常进行或造成不良影响的；</w:t>
      </w:r>
    </w:p>
    <w:p w14:paraId="7DF04440">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（10）不按照与采购单位订立的合同履行义务（包括提供标的、售后服务、技术支持等），严重违反合同规定和廉政合同要求的；</w:t>
      </w:r>
    </w:p>
    <w:p w14:paraId="0323338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（11）项目负责人不到位，或擅自变换项目负责人，或不认真履行职责造成采购单位损失的；</w:t>
      </w:r>
    </w:p>
    <w:p w14:paraId="1B41B0A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（12）发生经营状况重大变化以及重要担保、重大合同纠纷或诉讼、信用等级和资质变化等可能影响履约能力的重大事项，未及时向市公共资源交易中心提供书面报告，因而造成采购单位损失的；</w:t>
      </w:r>
    </w:p>
    <w:p w14:paraId="188837F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（13）与采购单位、其他供应商或者采购代理机构相互串通的；</w:t>
      </w:r>
    </w:p>
    <w:p w14:paraId="768126DB">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（14）采取不正当手段排挤其他供应商，进行不公平竞争的；</w:t>
      </w:r>
    </w:p>
    <w:p w14:paraId="52BF6EF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（15）中标后与采购单位另行订立背离合同实质内容的协议的；</w:t>
      </w:r>
    </w:p>
    <w:p w14:paraId="362013D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（16）事先有承诺，而事后违反承诺内容的；</w:t>
      </w:r>
    </w:p>
    <w:p w14:paraId="3C41CE51">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（17）将中标项目转包或违反规定进行分包的；</w:t>
      </w:r>
    </w:p>
    <w:p w14:paraId="077B2B8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（18）以他人名义投标或允许他人以自己名义投标，或者以其他方式弄虚作假的；</w:t>
      </w:r>
    </w:p>
    <w:p w14:paraId="2F328B0E">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（19）未按照采购合同约定及时提供全部货物的，或无故拖延工期的；</w:t>
      </w:r>
    </w:p>
    <w:p w14:paraId="2735A8D4">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（20）无故不提供中标要求的型号、配置等产品的，或有拆换、调换、截留产品零部件和备品备件的行为的；</w:t>
      </w:r>
    </w:p>
    <w:p w14:paraId="34FFC723">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（21）为获取自身利益，向采购单位及其他有利害关系的单位或个人提供不正当利益的；</w:t>
      </w:r>
    </w:p>
    <w:p w14:paraId="5AA8220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（22）提供假冒伪劣产品或走私物品的；</w:t>
      </w:r>
    </w:p>
    <w:p w14:paraId="0611F3E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（23）擅自变更、中止、终止或解除政府采购合同的；</w:t>
      </w:r>
    </w:p>
    <w:p w14:paraId="2B8D446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（24）向有关人员行贿或者提供不正当利益谋取中标的；</w:t>
      </w:r>
    </w:p>
    <w:p w14:paraId="14D5FAC1">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（25）在政府采购活动期间，对管理机构、采购单位、其他投标人、评标专家、中介机构等政府采购相关机构和人员，采取诋毁、诽谤、胁迫、暴力等不正当手段的；</w:t>
      </w:r>
    </w:p>
    <w:p w14:paraId="0E1EB59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w:t>
      </w:r>
      <w:r>
        <w:rPr>
          <w:rFonts w:hint="eastAsia" w:ascii="仿宋" w:hAnsi="仿宋" w:eastAsia="仿宋" w:cs="仿宋"/>
          <w:color w:val="auto"/>
          <w:highlight w:val="none"/>
          <w:lang w:eastAsia="zh-CN"/>
        </w:rPr>
        <w:t>诸暨市建设集团有限公司</w:t>
      </w:r>
      <w:r>
        <w:rPr>
          <w:rFonts w:hint="eastAsia" w:ascii="仿宋" w:hAnsi="仿宋" w:eastAsia="仿宋" w:cs="仿宋"/>
          <w:color w:val="auto"/>
          <w:highlight w:val="none"/>
        </w:rPr>
        <w:t>招投标监管领导小组办公室认定的其他违反政府采购管理的行为。</w:t>
      </w:r>
    </w:p>
    <w:p w14:paraId="34F0182C">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计为不良行为的，记录时限应从上次记录时限截止日起算。</w:t>
      </w:r>
    </w:p>
    <w:p w14:paraId="6D964EA0">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二、我公司及其他利害关系人如对该项目的中标公示有异议，将在招标文件规定的公示期限内提出符合以下条件的有效质疑，否则我公司愿意接受相关部门不予受理的决定。</w:t>
      </w:r>
    </w:p>
    <w:p w14:paraId="6B80081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1、质疑人须为投标人和其他利害关系人；</w:t>
      </w:r>
    </w:p>
    <w:p w14:paraId="40AB570C">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2、投诉时，应当递交质疑书，质疑书应当包括下列内容：</w:t>
      </w:r>
    </w:p>
    <w:p w14:paraId="25B4513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（1）质疑人的名称、地址及有效联系方式；</w:t>
      </w:r>
    </w:p>
    <w:p w14:paraId="618A9800">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（2）被质疑人的名称、地址及联系方式；</w:t>
      </w:r>
    </w:p>
    <w:p w14:paraId="27A1A54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（3）质疑事项的基本事实；</w:t>
      </w:r>
    </w:p>
    <w:p w14:paraId="0B5E9766">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（4）相关请求及主张；</w:t>
      </w:r>
    </w:p>
    <w:p w14:paraId="40708AC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（5）有效线索和相关证明材料；</w:t>
      </w:r>
    </w:p>
    <w:p w14:paraId="3B30560B">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（6）质疑人是法人的，质疑书必须由其法定代表人或者授权代表签字并加盖章；其他组织或者个人质疑的，质疑书必须由其主要负责人或者质疑人本人签字，并附有效身份证明复印件。</w:t>
      </w:r>
    </w:p>
    <w:p w14:paraId="0A1779B0">
      <w:pPr>
        <w:spacing w:line="340" w:lineRule="exact"/>
        <w:ind w:firstLine="723" w:firstLineChars="400"/>
        <w:rPr>
          <w:rFonts w:ascii="仿宋" w:hAnsi="仿宋" w:eastAsia="仿宋" w:cs="仿宋"/>
          <w:b/>
          <w:color w:val="auto"/>
          <w:sz w:val="18"/>
          <w:szCs w:val="18"/>
          <w:highlight w:val="none"/>
        </w:rPr>
      </w:pPr>
    </w:p>
    <w:p w14:paraId="3D65A0FD">
      <w:pPr>
        <w:spacing w:line="340" w:lineRule="exact"/>
        <w:ind w:firstLine="840" w:firstLineChars="400"/>
        <w:rPr>
          <w:rFonts w:ascii="仿宋" w:hAnsi="仿宋" w:eastAsia="仿宋" w:cs="仿宋"/>
          <w:color w:val="auto"/>
          <w:highlight w:val="none"/>
        </w:rPr>
      </w:pPr>
    </w:p>
    <w:p w14:paraId="6538E038">
      <w:pPr>
        <w:spacing w:line="340" w:lineRule="exact"/>
        <w:ind w:firstLine="840" w:firstLineChars="400"/>
        <w:rPr>
          <w:rFonts w:ascii="仿宋" w:hAnsi="仿宋" w:eastAsia="仿宋" w:cs="仿宋"/>
          <w:color w:val="auto"/>
          <w:highlight w:val="none"/>
        </w:rPr>
      </w:pPr>
    </w:p>
    <w:p w14:paraId="1816EB70">
      <w:pPr>
        <w:spacing w:line="480" w:lineRule="auto"/>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投标人全称（电子签章）：___________</w:t>
      </w:r>
    </w:p>
    <w:p w14:paraId="07BB1C32">
      <w:pPr>
        <w:spacing w:line="360" w:lineRule="auto"/>
        <w:jc w:val="right"/>
        <w:rPr>
          <w:rFonts w:hint="eastAsia" w:ascii="仿宋" w:hAnsi="仿宋" w:eastAsia="仿宋"/>
          <w:color w:val="auto"/>
          <w:sz w:val="24"/>
          <w:szCs w:val="24"/>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color w:val="auto"/>
          <w:sz w:val="24"/>
          <w:szCs w:val="24"/>
          <w:highlight w:val="none"/>
        </w:rPr>
        <w:t>日  期：_______年_______月_______日</w:t>
      </w:r>
    </w:p>
    <w:p w14:paraId="5E74B723">
      <w:pPr>
        <w:pStyle w:val="1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七</w:t>
      </w:r>
      <w:r>
        <w:rPr>
          <w:rFonts w:hint="eastAsia" w:ascii="仿宋" w:hAnsi="仿宋" w:eastAsia="仿宋"/>
          <w:b/>
          <w:bCs/>
          <w:color w:val="auto"/>
          <w:sz w:val="32"/>
          <w:szCs w:val="32"/>
          <w:highlight w:val="none"/>
        </w:rPr>
        <w:t>、技术</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服务</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偏离表</w:t>
      </w:r>
    </w:p>
    <w:tbl>
      <w:tblPr>
        <w:tblStyle w:val="20"/>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595"/>
        <w:gridCol w:w="2551"/>
        <w:gridCol w:w="2126"/>
      </w:tblGrid>
      <w:tr w14:paraId="1FF6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683AA0AF">
            <w:pPr>
              <w:pStyle w:val="13"/>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内容</w:t>
            </w:r>
          </w:p>
        </w:tc>
        <w:tc>
          <w:tcPr>
            <w:tcW w:w="2595" w:type="dxa"/>
            <w:vAlign w:val="center"/>
          </w:tcPr>
          <w:p w14:paraId="67707157">
            <w:pPr>
              <w:pStyle w:val="13"/>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招标文件</w:t>
            </w:r>
          </w:p>
          <w:p w14:paraId="2E007EF0">
            <w:pPr>
              <w:pStyle w:val="13"/>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规范要求</w:t>
            </w:r>
          </w:p>
        </w:tc>
        <w:tc>
          <w:tcPr>
            <w:tcW w:w="2551" w:type="dxa"/>
            <w:vAlign w:val="center"/>
          </w:tcPr>
          <w:p w14:paraId="534BA82A">
            <w:pPr>
              <w:pStyle w:val="13"/>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投标文件</w:t>
            </w:r>
          </w:p>
          <w:p w14:paraId="6C26E737">
            <w:pPr>
              <w:pStyle w:val="13"/>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对应规范</w:t>
            </w:r>
          </w:p>
        </w:tc>
        <w:tc>
          <w:tcPr>
            <w:tcW w:w="2126" w:type="dxa"/>
            <w:vAlign w:val="center"/>
          </w:tcPr>
          <w:p w14:paraId="6E431F12">
            <w:pPr>
              <w:pStyle w:val="13"/>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 xml:space="preserve"> 偏离情况</w:t>
            </w:r>
          </w:p>
        </w:tc>
      </w:tr>
      <w:tr w14:paraId="253D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2F3B8962">
            <w:pPr>
              <w:pStyle w:val="13"/>
              <w:spacing w:line="400" w:lineRule="atLeast"/>
              <w:jc w:val="center"/>
              <w:rPr>
                <w:rFonts w:ascii="仿宋" w:hAnsi="仿宋" w:eastAsia="仿宋"/>
                <w:color w:val="auto"/>
                <w:szCs w:val="24"/>
                <w:highlight w:val="none"/>
              </w:rPr>
            </w:pPr>
          </w:p>
        </w:tc>
        <w:tc>
          <w:tcPr>
            <w:tcW w:w="2595" w:type="dxa"/>
            <w:vAlign w:val="center"/>
          </w:tcPr>
          <w:p w14:paraId="32D1662C">
            <w:pPr>
              <w:pStyle w:val="13"/>
              <w:spacing w:line="400" w:lineRule="atLeast"/>
              <w:jc w:val="center"/>
              <w:rPr>
                <w:rFonts w:ascii="仿宋" w:hAnsi="仿宋" w:eastAsia="仿宋"/>
                <w:color w:val="auto"/>
                <w:szCs w:val="24"/>
                <w:highlight w:val="none"/>
              </w:rPr>
            </w:pPr>
          </w:p>
        </w:tc>
        <w:tc>
          <w:tcPr>
            <w:tcW w:w="2551" w:type="dxa"/>
            <w:vAlign w:val="center"/>
          </w:tcPr>
          <w:p w14:paraId="383822DD">
            <w:pPr>
              <w:pStyle w:val="13"/>
              <w:spacing w:line="400" w:lineRule="atLeast"/>
              <w:jc w:val="center"/>
              <w:rPr>
                <w:rFonts w:ascii="仿宋" w:hAnsi="仿宋" w:eastAsia="仿宋"/>
                <w:color w:val="auto"/>
                <w:szCs w:val="24"/>
                <w:highlight w:val="none"/>
              </w:rPr>
            </w:pPr>
          </w:p>
        </w:tc>
        <w:tc>
          <w:tcPr>
            <w:tcW w:w="2126" w:type="dxa"/>
            <w:vAlign w:val="center"/>
          </w:tcPr>
          <w:p w14:paraId="2B0D3416">
            <w:pPr>
              <w:pStyle w:val="13"/>
              <w:spacing w:line="400" w:lineRule="atLeast"/>
              <w:jc w:val="center"/>
              <w:rPr>
                <w:rFonts w:ascii="仿宋" w:hAnsi="仿宋" w:eastAsia="仿宋"/>
                <w:color w:val="auto"/>
                <w:szCs w:val="24"/>
                <w:highlight w:val="none"/>
              </w:rPr>
            </w:pPr>
          </w:p>
        </w:tc>
      </w:tr>
      <w:tr w14:paraId="19E0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7DA2DED0">
            <w:pPr>
              <w:pStyle w:val="13"/>
              <w:spacing w:line="400" w:lineRule="atLeast"/>
              <w:jc w:val="center"/>
              <w:rPr>
                <w:rFonts w:ascii="仿宋" w:hAnsi="仿宋" w:eastAsia="仿宋"/>
                <w:color w:val="auto"/>
                <w:szCs w:val="24"/>
                <w:highlight w:val="none"/>
              </w:rPr>
            </w:pPr>
          </w:p>
        </w:tc>
        <w:tc>
          <w:tcPr>
            <w:tcW w:w="2595" w:type="dxa"/>
            <w:vAlign w:val="center"/>
          </w:tcPr>
          <w:p w14:paraId="0837AFBE">
            <w:pPr>
              <w:pStyle w:val="13"/>
              <w:spacing w:line="400" w:lineRule="atLeast"/>
              <w:jc w:val="center"/>
              <w:rPr>
                <w:rFonts w:ascii="仿宋" w:hAnsi="仿宋" w:eastAsia="仿宋"/>
                <w:color w:val="auto"/>
                <w:szCs w:val="24"/>
                <w:highlight w:val="none"/>
              </w:rPr>
            </w:pPr>
          </w:p>
        </w:tc>
        <w:tc>
          <w:tcPr>
            <w:tcW w:w="2551" w:type="dxa"/>
            <w:vAlign w:val="center"/>
          </w:tcPr>
          <w:p w14:paraId="52149015">
            <w:pPr>
              <w:pStyle w:val="13"/>
              <w:spacing w:line="400" w:lineRule="atLeast"/>
              <w:jc w:val="center"/>
              <w:rPr>
                <w:rFonts w:ascii="仿宋" w:hAnsi="仿宋" w:eastAsia="仿宋"/>
                <w:color w:val="auto"/>
                <w:szCs w:val="24"/>
                <w:highlight w:val="none"/>
              </w:rPr>
            </w:pPr>
          </w:p>
        </w:tc>
        <w:tc>
          <w:tcPr>
            <w:tcW w:w="2126" w:type="dxa"/>
            <w:vAlign w:val="center"/>
          </w:tcPr>
          <w:p w14:paraId="223F0BE7">
            <w:pPr>
              <w:pStyle w:val="13"/>
              <w:spacing w:line="400" w:lineRule="atLeast"/>
              <w:jc w:val="center"/>
              <w:rPr>
                <w:rFonts w:ascii="仿宋" w:hAnsi="仿宋" w:eastAsia="仿宋"/>
                <w:color w:val="auto"/>
                <w:szCs w:val="24"/>
                <w:highlight w:val="none"/>
              </w:rPr>
            </w:pPr>
          </w:p>
        </w:tc>
      </w:tr>
      <w:tr w14:paraId="0A25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0647E03B">
            <w:pPr>
              <w:pStyle w:val="13"/>
              <w:spacing w:line="400" w:lineRule="atLeast"/>
              <w:jc w:val="center"/>
              <w:rPr>
                <w:rFonts w:ascii="仿宋" w:hAnsi="仿宋" w:eastAsia="仿宋"/>
                <w:color w:val="auto"/>
                <w:szCs w:val="24"/>
                <w:highlight w:val="none"/>
              </w:rPr>
            </w:pPr>
          </w:p>
        </w:tc>
        <w:tc>
          <w:tcPr>
            <w:tcW w:w="2595" w:type="dxa"/>
            <w:vAlign w:val="center"/>
          </w:tcPr>
          <w:p w14:paraId="02D8A0E0">
            <w:pPr>
              <w:pStyle w:val="13"/>
              <w:spacing w:line="400" w:lineRule="atLeast"/>
              <w:jc w:val="center"/>
              <w:rPr>
                <w:rFonts w:ascii="仿宋" w:hAnsi="仿宋" w:eastAsia="仿宋"/>
                <w:color w:val="auto"/>
                <w:szCs w:val="24"/>
                <w:highlight w:val="none"/>
              </w:rPr>
            </w:pPr>
          </w:p>
        </w:tc>
        <w:tc>
          <w:tcPr>
            <w:tcW w:w="2551" w:type="dxa"/>
            <w:vAlign w:val="center"/>
          </w:tcPr>
          <w:p w14:paraId="6ECD1A38">
            <w:pPr>
              <w:pStyle w:val="13"/>
              <w:spacing w:line="400" w:lineRule="atLeast"/>
              <w:jc w:val="center"/>
              <w:rPr>
                <w:rFonts w:ascii="仿宋" w:hAnsi="仿宋" w:eastAsia="仿宋"/>
                <w:color w:val="auto"/>
                <w:szCs w:val="24"/>
                <w:highlight w:val="none"/>
              </w:rPr>
            </w:pPr>
          </w:p>
        </w:tc>
        <w:tc>
          <w:tcPr>
            <w:tcW w:w="2126" w:type="dxa"/>
            <w:vAlign w:val="center"/>
          </w:tcPr>
          <w:p w14:paraId="28F4B7C0">
            <w:pPr>
              <w:pStyle w:val="13"/>
              <w:spacing w:line="400" w:lineRule="atLeast"/>
              <w:jc w:val="center"/>
              <w:rPr>
                <w:rFonts w:ascii="仿宋" w:hAnsi="仿宋" w:eastAsia="仿宋"/>
                <w:color w:val="auto"/>
                <w:szCs w:val="24"/>
                <w:highlight w:val="none"/>
              </w:rPr>
            </w:pPr>
          </w:p>
        </w:tc>
      </w:tr>
      <w:tr w14:paraId="3239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6AE4C153">
            <w:pPr>
              <w:pStyle w:val="13"/>
              <w:spacing w:line="400" w:lineRule="atLeast"/>
              <w:jc w:val="center"/>
              <w:rPr>
                <w:rFonts w:ascii="仿宋" w:hAnsi="仿宋" w:eastAsia="仿宋"/>
                <w:color w:val="auto"/>
                <w:szCs w:val="24"/>
                <w:highlight w:val="none"/>
              </w:rPr>
            </w:pPr>
          </w:p>
        </w:tc>
        <w:tc>
          <w:tcPr>
            <w:tcW w:w="2595" w:type="dxa"/>
            <w:vAlign w:val="center"/>
          </w:tcPr>
          <w:p w14:paraId="562E79BB">
            <w:pPr>
              <w:pStyle w:val="13"/>
              <w:spacing w:line="400" w:lineRule="atLeast"/>
              <w:jc w:val="center"/>
              <w:rPr>
                <w:rFonts w:ascii="仿宋" w:hAnsi="仿宋" w:eastAsia="仿宋"/>
                <w:color w:val="auto"/>
                <w:szCs w:val="24"/>
                <w:highlight w:val="none"/>
              </w:rPr>
            </w:pPr>
          </w:p>
        </w:tc>
        <w:tc>
          <w:tcPr>
            <w:tcW w:w="2551" w:type="dxa"/>
            <w:vAlign w:val="center"/>
          </w:tcPr>
          <w:p w14:paraId="1A5C9977">
            <w:pPr>
              <w:pStyle w:val="13"/>
              <w:spacing w:line="400" w:lineRule="atLeast"/>
              <w:jc w:val="center"/>
              <w:rPr>
                <w:rFonts w:ascii="仿宋" w:hAnsi="仿宋" w:eastAsia="仿宋"/>
                <w:color w:val="auto"/>
                <w:szCs w:val="24"/>
                <w:highlight w:val="none"/>
              </w:rPr>
            </w:pPr>
          </w:p>
        </w:tc>
        <w:tc>
          <w:tcPr>
            <w:tcW w:w="2126" w:type="dxa"/>
            <w:vAlign w:val="center"/>
          </w:tcPr>
          <w:p w14:paraId="275CD630">
            <w:pPr>
              <w:pStyle w:val="13"/>
              <w:spacing w:line="400" w:lineRule="atLeast"/>
              <w:jc w:val="center"/>
              <w:rPr>
                <w:rFonts w:ascii="仿宋" w:hAnsi="仿宋" w:eastAsia="仿宋"/>
                <w:color w:val="auto"/>
                <w:szCs w:val="24"/>
                <w:highlight w:val="none"/>
              </w:rPr>
            </w:pPr>
          </w:p>
        </w:tc>
      </w:tr>
      <w:tr w14:paraId="76F4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39B00892">
            <w:pPr>
              <w:pStyle w:val="13"/>
              <w:spacing w:line="400" w:lineRule="atLeast"/>
              <w:jc w:val="center"/>
              <w:rPr>
                <w:rFonts w:ascii="仿宋" w:hAnsi="仿宋" w:eastAsia="仿宋"/>
                <w:color w:val="auto"/>
                <w:szCs w:val="24"/>
                <w:highlight w:val="none"/>
              </w:rPr>
            </w:pPr>
          </w:p>
        </w:tc>
        <w:tc>
          <w:tcPr>
            <w:tcW w:w="2595" w:type="dxa"/>
            <w:vAlign w:val="center"/>
          </w:tcPr>
          <w:p w14:paraId="4FB1B784">
            <w:pPr>
              <w:pStyle w:val="13"/>
              <w:spacing w:line="400" w:lineRule="atLeast"/>
              <w:jc w:val="center"/>
              <w:rPr>
                <w:rFonts w:ascii="仿宋" w:hAnsi="仿宋" w:eastAsia="仿宋"/>
                <w:color w:val="auto"/>
                <w:szCs w:val="24"/>
                <w:highlight w:val="none"/>
              </w:rPr>
            </w:pPr>
          </w:p>
        </w:tc>
        <w:tc>
          <w:tcPr>
            <w:tcW w:w="2551" w:type="dxa"/>
            <w:vAlign w:val="center"/>
          </w:tcPr>
          <w:p w14:paraId="2257A2A7">
            <w:pPr>
              <w:pStyle w:val="13"/>
              <w:spacing w:line="400" w:lineRule="atLeast"/>
              <w:jc w:val="center"/>
              <w:rPr>
                <w:rFonts w:ascii="仿宋" w:hAnsi="仿宋" w:eastAsia="仿宋"/>
                <w:color w:val="auto"/>
                <w:szCs w:val="24"/>
                <w:highlight w:val="none"/>
              </w:rPr>
            </w:pPr>
          </w:p>
        </w:tc>
        <w:tc>
          <w:tcPr>
            <w:tcW w:w="2126" w:type="dxa"/>
            <w:vAlign w:val="center"/>
          </w:tcPr>
          <w:p w14:paraId="0E6FD2C3">
            <w:pPr>
              <w:pStyle w:val="13"/>
              <w:spacing w:line="400" w:lineRule="atLeast"/>
              <w:jc w:val="center"/>
              <w:rPr>
                <w:rFonts w:ascii="仿宋" w:hAnsi="仿宋" w:eastAsia="仿宋"/>
                <w:color w:val="auto"/>
                <w:szCs w:val="24"/>
                <w:highlight w:val="none"/>
              </w:rPr>
            </w:pPr>
          </w:p>
        </w:tc>
      </w:tr>
      <w:tr w14:paraId="62D9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58651E6C">
            <w:pPr>
              <w:pStyle w:val="13"/>
              <w:spacing w:line="400" w:lineRule="atLeast"/>
              <w:jc w:val="center"/>
              <w:rPr>
                <w:rFonts w:ascii="仿宋" w:hAnsi="仿宋" w:eastAsia="仿宋"/>
                <w:color w:val="auto"/>
                <w:szCs w:val="24"/>
                <w:highlight w:val="none"/>
              </w:rPr>
            </w:pPr>
          </w:p>
        </w:tc>
        <w:tc>
          <w:tcPr>
            <w:tcW w:w="2595" w:type="dxa"/>
            <w:vAlign w:val="center"/>
          </w:tcPr>
          <w:p w14:paraId="4D0E6FA0">
            <w:pPr>
              <w:pStyle w:val="13"/>
              <w:spacing w:line="400" w:lineRule="atLeast"/>
              <w:jc w:val="center"/>
              <w:rPr>
                <w:rFonts w:ascii="仿宋" w:hAnsi="仿宋" w:eastAsia="仿宋"/>
                <w:color w:val="auto"/>
                <w:szCs w:val="24"/>
                <w:highlight w:val="none"/>
              </w:rPr>
            </w:pPr>
          </w:p>
        </w:tc>
        <w:tc>
          <w:tcPr>
            <w:tcW w:w="2551" w:type="dxa"/>
            <w:vAlign w:val="center"/>
          </w:tcPr>
          <w:p w14:paraId="62FAE984">
            <w:pPr>
              <w:pStyle w:val="13"/>
              <w:spacing w:line="400" w:lineRule="atLeast"/>
              <w:jc w:val="center"/>
              <w:rPr>
                <w:rFonts w:ascii="仿宋" w:hAnsi="仿宋" w:eastAsia="仿宋"/>
                <w:color w:val="auto"/>
                <w:szCs w:val="24"/>
                <w:highlight w:val="none"/>
              </w:rPr>
            </w:pPr>
          </w:p>
        </w:tc>
        <w:tc>
          <w:tcPr>
            <w:tcW w:w="2126" w:type="dxa"/>
            <w:vAlign w:val="center"/>
          </w:tcPr>
          <w:p w14:paraId="25CEA0A6">
            <w:pPr>
              <w:pStyle w:val="13"/>
              <w:spacing w:line="400" w:lineRule="atLeast"/>
              <w:jc w:val="center"/>
              <w:rPr>
                <w:rFonts w:ascii="仿宋" w:hAnsi="仿宋" w:eastAsia="仿宋"/>
                <w:color w:val="auto"/>
                <w:szCs w:val="24"/>
                <w:highlight w:val="none"/>
              </w:rPr>
            </w:pPr>
          </w:p>
        </w:tc>
      </w:tr>
      <w:tr w14:paraId="7AE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22108D45">
            <w:pPr>
              <w:pStyle w:val="13"/>
              <w:spacing w:line="400" w:lineRule="atLeast"/>
              <w:jc w:val="center"/>
              <w:rPr>
                <w:rFonts w:ascii="仿宋" w:hAnsi="仿宋" w:eastAsia="仿宋"/>
                <w:color w:val="auto"/>
                <w:szCs w:val="24"/>
                <w:highlight w:val="none"/>
              </w:rPr>
            </w:pPr>
          </w:p>
        </w:tc>
        <w:tc>
          <w:tcPr>
            <w:tcW w:w="2595" w:type="dxa"/>
            <w:vAlign w:val="center"/>
          </w:tcPr>
          <w:p w14:paraId="6F9F7DFB">
            <w:pPr>
              <w:pStyle w:val="13"/>
              <w:spacing w:line="400" w:lineRule="atLeast"/>
              <w:jc w:val="center"/>
              <w:rPr>
                <w:rFonts w:ascii="仿宋" w:hAnsi="仿宋" w:eastAsia="仿宋"/>
                <w:color w:val="auto"/>
                <w:szCs w:val="24"/>
                <w:highlight w:val="none"/>
              </w:rPr>
            </w:pPr>
          </w:p>
        </w:tc>
        <w:tc>
          <w:tcPr>
            <w:tcW w:w="2551" w:type="dxa"/>
            <w:vAlign w:val="center"/>
          </w:tcPr>
          <w:p w14:paraId="292AF4E0">
            <w:pPr>
              <w:pStyle w:val="13"/>
              <w:spacing w:line="400" w:lineRule="atLeast"/>
              <w:jc w:val="center"/>
              <w:rPr>
                <w:rFonts w:ascii="仿宋" w:hAnsi="仿宋" w:eastAsia="仿宋"/>
                <w:color w:val="auto"/>
                <w:szCs w:val="24"/>
                <w:highlight w:val="none"/>
              </w:rPr>
            </w:pPr>
          </w:p>
        </w:tc>
        <w:tc>
          <w:tcPr>
            <w:tcW w:w="2126" w:type="dxa"/>
            <w:vAlign w:val="center"/>
          </w:tcPr>
          <w:p w14:paraId="72E2C51A">
            <w:pPr>
              <w:pStyle w:val="13"/>
              <w:spacing w:line="400" w:lineRule="atLeast"/>
              <w:jc w:val="center"/>
              <w:rPr>
                <w:rFonts w:ascii="仿宋" w:hAnsi="仿宋" w:eastAsia="仿宋"/>
                <w:color w:val="auto"/>
                <w:szCs w:val="24"/>
                <w:highlight w:val="none"/>
              </w:rPr>
            </w:pPr>
          </w:p>
        </w:tc>
      </w:tr>
      <w:tr w14:paraId="18CC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2D433ADE">
            <w:pPr>
              <w:pStyle w:val="13"/>
              <w:spacing w:line="400" w:lineRule="atLeast"/>
              <w:jc w:val="center"/>
              <w:rPr>
                <w:rFonts w:ascii="仿宋" w:hAnsi="仿宋" w:eastAsia="仿宋"/>
                <w:color w:val="auto"/>
                <w:szCs w:val="24"/>
                <w:highlight w:val="none"/>
              </w:rPr>
            </w:pPr>
          </w:p>
        </w:tc>
        <w:tc>
          <w:tcPr>
            <w:tcW w:w="2595" w:type="dxa"/>
            <w:vAlign w:val="center"/>
          </w:tcPr>
          <w:p w14:paraId="4BBA64FA">
            <w:pPr>
              <w:pStyle w:val="13"/>
              <w:spacing w:line="400" w:lineRule="atLeast"/>
              <w:jc w:val="center"/>
              <w:rPr>
                <w:rFonts w:ascii="仿宋" w:hAnsi="仿宋" w:eastAsia="仿宋"/>
                <w:color w:val="auto"/>
                <w:szCs w:val="24"/>
                <w:highlight w:val="none"/>
              </w:rPr>
            </w:pPr>
          </w:p>
        </w:tc>
        <w:tc>
          <w:tcPr>
            <w:tcW w:w="2551" w:type="dxa"/>
            <w:vAlign w:val="center"/>
          </w:tcPr>
          <w:p w14:paraId="19476EAA">
            <w:pPr>
              <w:pStyle w:val="13"/>
              <w:spacing w:line="400" w:lineRule="atLeast"/>
              <w:jc w:val="center"/>
              <w:rPr>
                <w:rFonts w:ascii="仿宋" w:hAnsi="仿宋" w:eastAsia="仿宋"/>
                <w:color w:val="auto"/>
                <w:szCs w:val="24"/>
                <w:highlight w:val="none"/>
              </w:rPr>
            </w:pPr>
          </w:p>
        </w:tc>
        <w:tc>
          <w:tcPr>
            <w:tcW w:w="2126" w:type="dxa"/>
            <w:vAlign w:val="center"/>
          </w:tcPr>
          <w:p w14:paraId="2DAE884A">
            <w:pPr>
              <w:pStyle w:val="13"/>
              <w:spacing w:line="400" w:lineRule="atLeast"/>
              <w:jc w:val="center"/>
              <w:rPr>
                <w:rFonts w:ascii="仿宋" w:hAnsi="仿宋" w:eastAsia="仿宋"/>
                <w:color w:val="auto"/>
                <w:szCs w:val="24"/>
                <w:highlight w:val="none"/>
              </w:rPr>
            </w:pPr>
          </w:p>
        </w:tc>
      </w:tr>
      <w:tr w14:paraId="377F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1BBCCE0F">
            <w:pPr>
              <w:pStyle w:val="13"/>
              <w:spacing w:line="400" w:lineRule="atLeast"/>
              <w:jc w:val="center"/>
              <w:rPr>
                <w:rFonts w:ascii="仿宋" w:hAnsi="仿宋" w:eastAsia="仿宋"/>
                <w:color w:val="auto"/>
                <w:szCs w:val="24"/>
                <w:highlight w:val="none"/>
              </w:rPr>
            </w:pPr>
          </w:p>
        </w:tc>
        <w:tc>
          <w:tcPr>
            <w:tcW w:w="2595" w:type="dxa"/>
            <w:vAlign w:val="center"/>
          </w:tcPr>
          <w:p w14:paraId="6BBACEEB">
            <w:pPr>
              <w:pStyle w:val="13"/>
              <w:spacing w:line="400" w:lineRule="atLeast"/>
              <w:jc w:val="center"/>
              <w:rPr>
                <w:rFonts w:ascii="仿宋" w:hAnsi="仿宋" w:eastAsia="仿宋"/>
                <w:color w:val="auto"/>
                <w:szCs w:val="24"/>
                <w:highlight w:val="none"/>
              </w:rPr>
            </w:pPr>
          </w:p>
        </w:tc>
        <w:tc>
          <w:tcPr>
            <w:tcW w:w="2551" w:type="dxa"/>
            <w:vAlign w:val="center"/>
          </w:tcPr>
          <w:p w14:paraId="72DA8A47">
            <w:pPr>
              <w:pStyle w:val="13"/>
              <w:spacing w:line="400" w:lineRule="atLeast"/>
              <w:jc w:val="center"/>
              <w:rPr>
                <w:rFonts w:ascii="仿宋" w:hAnsi="仿宋" w:eastAsia="仿宋"/>
                <w:color w:val="auto"/>
                <w:szCs w:val="24"/>
                <w:highlight w:val="none"/>
              </w:rPr>
            </w:pPr>
          </w:p>
        </w:tc>
        <w:tc>
          <w:tcPr>
            <w:tcW w:w="2126" w:type="dxa"/>
            <w:vAlign w:val="center"/>
          </w:tcPr>
          <w:p w14:paraId="23C8D7E9">
            <w:pPr>
              <w:pStyle w:val="13"/>
              <w:spacing w:line="400" w:lineRule="atLeast"/>
              <w:jc w:val="center"/>
              <w:rPr>
                <w:rFonts w:ascii="仿宋" w:hAnsi="仿宋" w:eastAsia="仿宋"/>
                <w:color w:val="auto"/>
                <w:szCs w:val="24"/>
                <w:highlight w:val="none"/>
              </w:rPr>
            </w:pPr>
          </w:p>
        </w:tc>
      </w:tr>
      <w:tr w14:paraId="355B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70FF4FD3">
            <w:pPr>
              <w:pStyle w:val="13"/>
              <w:spacing w:line="400" w:lineRule="atLeast"/>
              <w:jc w:val="center"/>
              <w:rPr>
                <w:rFonts w:ascii="仿宋" w:hAnsi="仿宋" w:eastAsia="仿宋"/>
                <w:color w:val="auto"/>
                <w:szCs w:val="24"/>
                <w:highlight w:val="none"/>
              </w:rPr>
            </w:pPr>
          </w:p>
        </w:tc>
        <w:tc>
          <w:tcPr>
            <w:tcW w:w="2595" w:type="dxa"/>
            <w:vAlign w:val="center"/>
          </w:tcPr>
          <w:p w14:paraId="23E1105C">
            <w:pPr>
              <w:pStyle w:val="13"/>
              <w:spacing w:line="400" w:lineRule="atLeast"/>
              <w:jc w:val="center"/>
              <w:rPr>
                <w:rFonts w:ascii="仿宋" w:hAnsi="仿宋" w:eastAsia="仿宋"/>
                <w:color w:val="auto"/>
                <w:szCs w:val="24"/>
                <w:highlight w:val="none"/>
              </w:rPr>
            </w:pPr>
          </w:p>
        </w:tc>
        <w:tc>
          <w:tcPr>
            <w:tcW w:w="2551" w:type="dxa"/>
            <w:vAlign w:val="center"/>
          </w:tcPr>
          <w:p w14:paraId="3C8FBE97">
            <w:pPr>
              <w:pStyle w:val="13"/>
              <w:spacing w:line="400" w:lineRule="atLeast"/>
              <w:jc w:val="center"/>
              <w:rPr>
                <w:rFonts w:ascii="仿宋" w:hAnsi="仿宋" w:eastAsia="仿宋"/>
                <w:color w:val="auto"/>
                <w:szCs w:val="24"/>
                <w:highlight w:val="none"/>
              </w:rPr>
            </w:pPr>
          </w:p>
        </w:tc>
        <w:tc>
          <w:tcPr>
            <w:tcW w:w="2126" w:type="dxa"/>
            <w:vAlign w:val="center"/>
          </w:tcPr>
          <w:p w14:paraId="7704F4E5">
            <w:pPr>
              <w:pStyle w:val="13"/>
              <w:spacing w:line="400" w:lineRule="atLeast"/>
              <w:jc w:val="center"/>
              <w:rPr>
                <w:rFonts w:ascii="仿宋" w:hAnsi="仿宋" w:eastAsia="仿宋"/>
                <w:color w:val="auto"/>
                <w:szCs w:val="24"/>
                <w:highlight w:val="none"/>
              </w:rPr>
            </w:pPr>
          </w:p>
        </w:tc>
      </w:tr>
    </w:tbl>
    <w:p w14:paraId="591B858A">
      <w:pPr>
        <w:pStyle w:val="13"/>
        <w:spacing w:line="400" w:lineRule="exact"/>
        <w:rPr>
          <w:rFonts w:ascii="仿宋" w:hAnsi="仿宋" w:eastAsia="仿宋"/>
          <w:color w:val="auto"/>
          <w:szCs w:val="24"/>
          <w:highlight w:val="none"/>
        </w:rPr>
      </w:pPr>
      <w:r>
        <w:rPr>
          <w:rFonts w:hint="eastAsia" w:ascii="仿宋" w:hAnsi="仿宋" w:eastAsia="仿宋"/>
          <w:color w:val="auto"/>
          <w:szCs w:val="24"/>
          <w:highlight w:val="none"/>
        </w:rPr>
        <w:t>注：</w:t>
      </w:r>
    </w:p>
    <w:p w14:paraId="09B911C2">
      <w:pPr>
        <w:pStyle w:val="13"/>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highlight w:val="none"/>
        </w:rPr>
      </w:pPr>
      <w:r>
        <w:rPr>
          <w:rFonts w:hint="eastAsia" w:ascii="仿宋" w:hAnsi="仿宋" w:eastAsia="仿宋"/>
          <w:color w:val="auto"/>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567AFDC3">
      <w:pPr>
        <w:pStyle w:val="13"/>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highlight w:val="none"/>
        </w:rPr>
      </w:pPr>
      <w:r>
        <w:rPr>
          <w:rFonts w:hint="eastAsia" w:ascii="仿宋" w:hAnsi="仿宋" w:eastAsia="仿宋"/>
          <w:color w:val="auto"/>
          <w:szCs w:val="24"/>
          <w:highlight w:val="none"/>
        </w:rPr>
        <w:t>2、投标人递交的技术规格书中必须真实逐条列明，否则由投标人自行承担相关风险。</w:t>
      </w:r>
    </w:p>
    <w:p w14:paraId="218E8A1A">
      <w:pPr>
        <w:pStyle w:val="13"/>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highlight w:val="none"/>
        </w:rPr>
      </w:pPr>
      <w:r>
        <w:rPr>
          <w:rFonts w:hint="eastAsia" w:ascii="仿宋" w:hAnsi="仿宋" w:eastAsia="仿宋"/>
          <w:color w:val="auto"/>
          <w:szCs w:val="24"/>
          <w:highlight w:val="none"/>
        </w:rPr>
        <w:t>3、此表在不改变格式的情况下可自行制作。</w:t>
      </w:r>
    </w:p>
    <w:p w14:paraId="7D0B08B3">
      <w:pPr>
        <w:pStyle w:val="13"/>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highlight w:val="none"/>
        </w:rPr>
      </w:pPr>
      <w:r>
        <w:rPr>
          <w:rFonts w:hint="eastAsia" w:ascii="仿宋" w:hAnsi="仿宋" w:eastAsia="仿宋"/>
          <w:color w:val="auto"/>
          <w:szCs w:val="24"/>
          <w:highlight w:val="none"/>
        </w:rPr>
        <w:t>4、此表置于此标书中。</w:t>
      </w:r>
    </w:p>
    <w:p w14:paraId="39F4D583">
      <w:pPr>
        <w:spacing w:line="400" w:lineRule="exact"/>
        <w:jc w:val="right"/>
        <w:rPr>
          <w:rFonts w:ascii="仿宋" w:hAnsi="仿宋" w:eastAsia="仿宋"/>
          <w:color w:val="auto"/>
          <w:sz w:val="28"/>
          <w:highlight w:val="none"/>
        </w:rPr>
      </w:pPr>
    </w:p>
    <w:p w14:paraId="28BB4966">
      <w:pPr>
        <w:spacing w:line="480" w:lineRule="auto"/>
        <w:jc w:val="righ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投标人全称（电子签章）：______________</w:t>
      </w:r>
    </w:p>
    <w:p w14:paraId="08CC2238">
      <w:pPr>
        <w:spacing w:line="360" w:lineRule="auto"/>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日期：_______年_____月_____日</w:t>
      </w:r>
    </w:p>
    <w:p w14:paraId="55EE6DEC">
      <w:pPr>
        <w:spacing w:line="360" w:lineRule="auto"/>
        <w:rPr>
          <w:rFonts w:hint="eastAsia" w:ascii="仿宋" w:hAnsi="仿宋" w:eastAsia="仿宋"/>
          <w:color w:val="auto"/>
          <w:sz w:val="24"/>
          <w:szCs w:val="24"/>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4FE61DBC">
      <w:pPr>
        <w:pStyle w:val="28"/>
        <w:numPr>
          <w:ilvl w:val="0"/>
          <w:numId w:val="0"/>
        </w:numPr>
        <w:ind w:left="0" w:leftChars="0" w:firstLine="0" w:firstLineChars="0"/>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八、投标人需要说明的其他文件和说明（格式自拟）</w:t>
      </w:r>
    </w:p>
    <w:p w14:paraId="6F511537">
      <w:pPr>
        <w:snapToGrid w:val="0"/>
        <w:spacing w:line="240" w:lineRule="auto"/>
        <w:jc w:val="center"/>
        <w:textAlignment w:val="bottom"/>
        <w:rPr>
          <w:rFonts w:hint="eastAsia" w:ascii="宋体" w:hAnsi="宋体" w:eastAsia="宋体" w:cs="宋体"/>
          <w:b/>
          <w:bCs/>
          <w:color w:val="auto"/>
          <w:sz w:val="36"/>
          <w:szCs w:val="36"/>
          <w:highlight w:val="none"/>
        </w:rPr>
      </w:pPr>
    </w:p>
    <w:p w14:paraId="30FC354F">
      <w:pPr>
        <w:snapToGrid w:val="0"/>
        <w:spacing w:line="240" w:lineRule="auto"/>
        <w:jc w:val="center"/>
        <w:textAlignment w:val="bottom"/>
        <w:rPr>
          <w:rFonts w:hint="eastAsia" w:ascii="宋体" w:hAnsi="宋体" w:eastAsia="宋体" w:cs="宋体"/>
          <w:b/>
          <w:bCs/>
          <w:color w:val="auto"/>
          <w:sz w:val="36"/>
          <w:szCs w:val="36"/>
          <w:highlight w:val="none"/>
        </w:rPr>
      </w:pPr>
    </w:p>
    <w:p w14:paraId="4BE03051">
      <w:pPr>
        <w:snapToGrid w:val="0"/>
        <w:spacing w:line="240" w:lineRule="auto"/>
        <w:jc w:val="center"/>
        <w:textAlignment w:val="bottom"/>
        <w:rPr>
          <w:rFonts w:hint="eastAsia" w:ascii="宋体" w:hAnsi="宋体" w:eastAsia="宋体" w:cs="宋体"/>
          <w:b/>
          <w:bCs/>
          <w:color w:val="auto"/>
          <w:sz w:val="36"/>
          <w:szCs w:val="36"/>
          <w:highlight w:val="none"/>
        </w:rPr>
      </w:pPr>
    </w:p>
    <w:p w14:paraId="40337E80">
      <w:pPr>
        <w:snapToGrid w:val="0"/>
        <w:spacing w:line="240" w:lineRule="auto"/>
        <w:jc w:val="center"/>
        <w:textAlignment w:val="bottom"/>
        <w:rPr>
          <w:rFonts w:hint="eastAsia" w:ascii="宋体" w:hAnsi="宋体" w:eastAsia="宋体" w:cs="宋体"/>
          <w:b/>
          <w:bCs/>
          <w:color w:val="auto"/>
          <w:sz w:val="36"/>
          <w:szCs w:val="36"/>
          <w:highlight w:val="none"/>
        </w:rPr>
      </w:pPr>
    </w:p>
    <w:p w14:paraId="3743FC7F">
      <w:pPr>
        <w:snapToGrid w:val="0"/>
        <w:spacing w:line="240" w:lineRule="auto"/>
        <w:jc w:val="center"/>
        <w:textAlignment w:val="bottom"/>
        <w:rPr>
          <w:rFonts w:hint="eastAsia" w:ascii="宋体" w:hAnsi="宋体" w:eastAsia="宋体" w:cs="宋体"/>
          <w:b/>
          <w:bCs/>
          <w:color w:val="auto"/>
          <w:sz w:val="36"/>
          <w:szCs w:val="36"/>
          <w:highlight w:val="none"/>
        </w:rPr>
      </w:pPr>
    </w:p>
    <w:p w14:paraId="46BD8115">
      <w:pPr>
        <w:snapToGrid w:val="0"/>
        <w:spacing w:line="240" w:lineRule="auto"/>
        <w:jc w:val="center"/>
        <w:textAlignment w:val="bottom"/>
        <w:rPr>
          <w:rFonts w:hint="eastAsia" w:ascii="宋体" w:hAnsi="宋体" w:eastAsia="宋体" w:cs="宋体"/>
          <w:b/>
          <w:bCs/>
          <w:color w:val="auto"/>
          <w:sz w:val="36"/>
          <w:szCs w:val="36"/>
          <w:highlight w:val="none"/>
        </w:rPr>
      </w:pPr>
    </w:p>
    <w:p w14:paraId="5D83DC26">
      <w:pPr>
        <w:snapToGrid w:val="0"/>
        <w:spacing w:line="240" w:lineRule="auto"/>
        <w:jc w:val="center"/>
        <w:textAlignment w:val="bottom"/>
        <w:rPr>
          <w:rFonts w:hint="eastAsia" w:ascii="宋体" w:hAnsi="宋体" w:eastAsia="宋体" w:cs="宋体"/>
          <w:b/>
          <w:bCs/>
          <w:color w:val="auto"/>
          <w:sz w:val="36"/>
          <w:szCs w:val="36"/>
          <w:highlight w:val="none"/>
        </w:rPr>
      </w:pPr>
    </w:p>
    <w:p w14:paraId="07B2B39F">
      <w:pPr>
        <w:snapToGrid w:val="0"/>
        <w:spacing w:line="240" w:lineRule="auto"/>
        <w:jc w:val="center"/>
        <w:textAlignment w:val="bottom"/>
        <w:rPr>
          <w:rFonts w:hint="eastAsia" w:ascii="宋体" w:hAnsi="宋体" w:eastAsia="宋体" w:cs="宋体"/>
          <w:b/>
          <w:bCs/>
          <w:color w:val="auto"/>
          <w:sz w:val="36"/>
          <w:szCs w:val="36"/>
          <w:highlight w:val="none"/>
        </w:rPr>
      </w:pPr>
    </w:p>
    <w:p w14:paraId="2C52ED02">
      <w:pPr>
        <w:snapToGrid w:val="0"/>
        <w:spacing w:line="240" w:lineRule="auto"/>
        <w:jc w:val="center"/>
        <w:textAlignment w:val="bottom"/>
        <w:rPr>
          <w:rFonts w:hint="eastAsia" w:ascii="宋体" w:hAnsi="宋体" w:eastAsia="宋体" w:cs="宋体"/>
          <w:b/>
          <w:bCs/>
          <w:color w:val="auto"/>
          <w:sz w:val="36"/>
          <w:szCs w:val="36"/>
          <w:highlight w:val="none"/>
        </w:rPr>
      </w:pPr>
    </w:p>
    <w:p w14:paraId="335C6133">
      <w:pPr>
        <w:snapToGrid w:val="0"/>
        <w:spacing w:line="240" w:lineRule="auto"/>
        <w:jc w:val="center"/>
        <w:textAlignment w:val="bottom"/>
        <w:rPr>
          <w:rFonts w:hint="eastAsia" w:ascii="宋体" w:hAnsi="宋体" w:eastAsia="宋体" w:cs="宋体"/>
          <w:b/>
          <w:bCs/>
          <w:color w:val="auto"/>
          <w:sz w:val="36"/>
          <w:szCs w:val="36"/>
          <w:highlight w:val="none"/>
        </w:rPr>
      </w:pPr>
    </w:p>
    <w:p w14:paraId="0190FCA3">
      <w:pPr>
        <w:rPr>
          <w:rFonts w:hint="eastAsia" w:ascii="宋体" w:hAnsi="宋体" w:eastAsia="宋体" w:cs="宋体"/>
          <w:color w:val="auto"/>
          <w:sz w:val="24"/>
          <w:szCs w:val="24"/>
          <w:highlight w:val="none"/>
        </w:rPr>
      </w:pPr>
    </w:p>
    <w:sectPr>
      <w:headerReference r:id="rId9" w:type="default"/>
      <w:footerReference r:id="rId10"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8D25B">
    <w:pPr>
      <w:pStyle w:val="15"/>
      <w:framePr w:wrap="around" w:vAnchor="text" w:hAnchor="margin" w:xAlign="center" w:y="1"/>
      <w:rPr>
        <w:rStyle w:val="24"/>
      </w:rPr>
    </w:pPr>
    <w:r>
      <w:fldChar w:fldCharType="begin"/>
    </w:r>
    <w:r>
      <w:rPr>
        <w:rStyle w:val="24"/>
        <w:sz w:val="21"/>
        <w:szCs w:val="21"/>
      </w:rPr>
      <w:instrText xml:space="preserve">PAGE  </w:instrText>
    </w:r>
    <w:r>
      <w:fldChar w:fldCharType="separate"/>
    </w:r>
    <w:r>
      <w:fldChar w:fldCharType="end"/>
    </w:r>
  </w:p>
  <w:p w14:paraId="3F509F0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EF95C">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6281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6281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FEF3">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85DF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C85DF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68D3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D5AA0">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CDD5AA0">
                    <w:pPr>
                      <w:pStyle w:val="15"/>
                    </w:pPr>
                    <w:r>
                      <w:fldChar w:fldCharType="begin"/>
                    </w:r>
                    <w:r>
                      <w:instrText xml:space="preserve"> PAGE  \* MERGEFORMAT </w:instrText>
                    </w:r>
                    <w:r>
                      <w:fldChar w:fldCharType="separate"/>
                    </w:r>
                    <w:r>
                      <w:t>22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4890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9148902"/>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8972">
    <w:pPr>
      <w:pStyle w:val="16"/>
      <w:keepNext w:val="0"/>
      <w:keepLines w:val="0"/>
      <w:pageBreakBefore w:val="0"/>
      <w:widowControl w:val="0"/>
      <w:kinsoku/>
      <w:wordWrap/>
      <w:overflowPunct/>
      <w:topLinePunct w:val="0"/>
      <w:autoSpaceDE w:val="0"/>
      <w:autoSpaceDN w:val="0"/>
      <w:bidi w:val="0"/>
      <w:adjustRightInd w:val="0"/>
      <w:snapToGrid w:val="0"/>
      <w:spacing w:line="312" w:lineRule="auto"/>
      <w:jc w:val="both"/>
      <w:textAlignment w:val="auto"/>
      <w:rPr>
        <w:rFonts w:hint="eastAsia"/>
        <w:lang w:eastAsia="zh-CN"/>
      </w:rPr>
    </w:pPr>
    <w:r>
      <w:rPr>
        <w:rFonts w:hint="eastAsia"/>
        <w:color w:val="auto"/>
        <w:lang w:val="en-US" w:eastAsia="zh-CN"/>
      </w:rPr>
      <w:t xml:space="preserve">                                                                                   招标文件</w: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2F08C">
    <w:pPr>
      <w:pStyle w:val="16"/>
      <w:keepNext w:val="0"/>
      <w:keepLines w:val="0"/>
      <w:pageBreakBefore w:val="0"/>
      <w:widowControl w:val="0"/>
      <w:kinsoku/>
      <w:wordWrap/>
      <w:overflowPunct/>
      <w:topLinePunct w:val="0"/>
      <w:autoSpaceDE w:val="0"/>
      <w:autoSpaceDN w:val="0"/>
      <w:bidi w:val="0"/>
      <w:adjustRightInd w:val="0"/>
      <w:snapToGrid w:val="0"/>
      <w:spacing w:line="312" w:lineRule="auto"/>
      <w:jc w:val="both"/>
      <w:textAlignment w:val="auto"/>
      <w:rPr>
        <w:rFonts w:hint="eastAsia"/>
        <w:lang w:eastAsia="zh-CN"/>
      </w:rPr>
    </w:pPr>
    <w:r>
      <w:rPr>
        <w:rFonts w:hint="eastAsia"/>
        <w:color w:val="auto"/>
        <w:lang w:val="en-US" w:eastAsia="zh-CN"/>
      </w:rPr>
      <w:t xml:space="preserve">                                                                            招标文件</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3F31C">
    <w:pPr>
      <w:pStyle w:val="16"/>
      <w:pBdr>
        <w:bottom w:val="single" w:color="auto" w:sz="4" w:space="1"/>
      </w:pBdr>
      <w:rPr>
        <w:rFonts w:ascii="宋体" w:hAnsi="宋体" w:eastAsia="宋体" w:cs="宋体"/>
        <w:sz w:val="20"/>
        <w:szCs w:val="20"/>
      </w:rPr>
    </w:pPr>
    <w:r>
      <w:rPr>
        <w:rFonts w:hint="eastAsia" w:ascii="宋体" w:hAnsi="宋体" w:eastAsia="宋体" w:cs="宋体"/>
        <w:sz w:val="20"/>
        <w:szCs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F379F">
    <w:pPr>
      <w:pStyle w:val="16"/>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center"/>
      <w:textAlignment w:val="auto"/>
    </w:pPr>
    <w:r>
      <w:rPr>
        <w:rFonts w:hint="eastAsia"/>
        <w:color w:val="auto"/>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9CE1B"/>
    <w:multiLevelType w:val="singleLevel"/>
    <w:tmpl w:val="0ED9CE1B"/>
    <w:lvl w:ilvl="0" w:tentative="0">
      <w:start w:val="1"/>
      <w:numFmt w:val="chineseCounting"/>
      <w:suff w:val="nothing"/>
      <w:lvlText w:val="（%1）"/>
      <w:lvlJc w:val="left"/>
      <w:pPr>
        <w:ind w:left="86" w:firstLine="420"/>
      </w:pPr>
      <w:rPr>
        <w:rFonts w:hint="eastAsia"/>
        <w:b/>
        <w:bCs/>
      </w:rPr>
    </w:lvl>
  </w:abstractNum>
  <w:abstractNum w:abstractNumId="1">
    <w:nsid w:val="12219BE5"/>
    <w:multiLevelType w:val="singleLevel"/>
    <w:tmpl w:val="12219BE5"/>
    <w:lvl w:ilvl="0" w:tentative="0">
      <w:start w:val="1"/>
      <w:numFmt w:val="decimal"/>
      <w:suff w:val="nothing"/>
      <w:lvlText w:val="%1、"/>
      <w:lvlJc w:val="left"/>
    </w:lvl>
  </w:abstractNum>
  <w:abstractNum w:abstractNumId="2">
    <w:nsid w:val="12EA4E77"/>
    <w:multiLevelType w:val="singleLevel"/>
    <w:tmpl w:val="12EA4E77"/>
    <w:lvl w:ilvl="0" w:tentative="0">
      <w:start w:val="1"/>
      <w:numFmt w:val="decimal"/>
      <w:pStyle w:val="5"/>
      <w:lvlText w:val="%1."/>
      <w:lvlJc w:val="left"/>
      <w:pPr>
        <w:tabs>
          <w:tab w:val="left" w:pos="360"/>
        </w:tabs>
        <w:ind w:left="360" w:hanging="360"/>
      </w:pPr>
    </w:lvl>
  </w:abstractNum>
  <w:abstractNum w:abstractNumId="3">
    <w:nsid w:val="40BDED43"/>
    <w:multiLevelType w:val="singleLevel"/>
    <w:tmpl w:val="40BDED43"/>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mYzM2YzNDhjODEyZjU5M2I2MzM3ZjczMTFlZjQifQ=="/>
    <w:docVar w:name="KSO_WPS_MARK_KEY" w:val="ec0f165e-3fc4-4208-85f5-c93d46224e77"/>
  </w:docVars>
  <w:rsids>
    <w:rsidRoot w:val="00000000"/>
    <w:rsid w:val="007929DB"/>
    <w:rsid w:val="00BF706B"/>
    <w:rsid w:val="01402632"/>
    <w:rsid w:val="015D0D5E"/>
    <w:rsid w:val="01C56903"/>
    <w:rsid w:val="023C7614"/>
    <w:rsid w:val="02F76F90"/>
    <w:rsid w:val="04240D29"/>
    <w:rsid w:val="04460048"/>
    <w:rsid w:val="04E918D9"/>
    <w:rsid w:val="051A15A8"/>
    <w:rsid w:val="06CD24E2"/>
    <w:rsid w:val="07666CB3"/>
    <w:rsid w:val="078608E3"/>
    <w:rsid w:val="08AB06E4"/>
    <w:rsid w:val="09E07CC5"/>
    <w:rsid w:val="0A8705BE"/>
    <w:rsid w:val="0B901D30"/>
    <w:rsid w:val="0CD45A1D"/>
    <w:rsid w:val="0D3C7DAF"/>
    <w:rsid w:val="0D804871"/>
    <w:rsid w:val="0DB461AA"/>
    <w:rsid w:val="0EB328CE"/>
    <w:rsid w:val="0ED64801"/>
    <w:rsid w:val="0F2C7FC2"/>
    <w:rsid w:val="0F310DC4"/>
    <w:rsid w:val="0F5A1CA5"/>
    <w:rsid w:val="0F776EF0"/>
    <w:rsid w:val="0FD12B1F"/>
    <w:rsid w:val="10150A56"/>
    <w:rsid w:val="10F009E1"/>
    <w:rsid w:val="118714DF"/>
    <w:rsid w:val="11F54591"/>
    <w:rsid w:val="140B63F8"/>
    <w:rsid w:val="147321EF"/>
    <w:rsid w:val="15086DDB"/>
    <w:rsid w:val="152614B5"/>
    <w:rsid w:val="157A59A5"/>
    <w:rsid w:val="15AD4FB1"/>
    <w:rsid w:val="15F91B57"/>
    <w:rsid w:val="17542220"/>
    <w:rsid w:val="176C0D57"/>
    <w:rsid w:val="17EA0EE3"/>
    <w:rsid w:val="17EF7FD7"/>
    <w:rsid w:val="18266606"/>
    <w:rsid w:val="1849453D"/>
    <w:rsid w:val="188F73E6"/>
    <w:rsid w:val="18A40BC9"/>
    <w:rsid w:val="19455206"/>
    <w:rsid w:val="19A0238A"/>
    <w:rsid w:val="19DB2093"/>
    <w:rsid w:val="1AF133E9"/>
    <w:rsid w:val="1C00080C"/>
    <w:rsid w:val="1C5172BA"/>
    <w:rsid w:val="1C563F8B"/>
    <w:rsid w:val="1C761828"/>
    <w:rsid w:val="1C983511"/>
    <w:rsid w:val="1CCC13B7"/>
    <w:rsid w:val="1CDC3027"/>
    <w:rsid w:val="1D0D54B9"/>
    <w:rsid w:val="1D250B64"/>
    <w:rsid w:val="1D547F1B"/>
    <w:rsid w:val="1E2A02CE"/>
    <w:rsid w:val="1F744FB8"/>
    <w:rsid w:val="1FAA6915"/>
    <w:rsid w:val="20010443"/>
    <w:rsid w:val="20457135"/>
    <w:rsid w:val="209D0D1F"/>
    <w:rsid w:val="210677BA"/>
    <w:rsid w:val="21AD478D"/>
    <w:rsid w:val="21FC72EB"/>
    <w:rsid w:val="22423245"/>
    <w:rsid w:val="224B6BF7"/>
    <w:rsid w:val="2303032F"/>
    <w:rsid w:val="23096C83"/>
    <w:rsid w:val="23864095"/>
    <w:rsid w:val="23DA1943"/>
    <w:rsid w:val="247400B9"/>
    <w:rsid w:val="24AD5B2B"/>
    <w:rsid w:val="257A525F"/>
    <w:rsid w:val="25D4327F"/>
    <w:rsid w:val="263A208C"/>
    <w:rsid w:val="26C419B4"/>
    <w:rsid w:val="270216C1"/>
    <w:rsid w:val="272F01F7"/>
    <w:rsid w:val="27361586"/>
    <w:rsid w:val="27F06777"/>
    <w:rsid w:val="289041FE"/>
    <w:rsid w:val="28AB620A"/>
    <w:rsid w:val="28E079FB"/>
    <w:rsid w:val="291750BF"/>
    <w:rsid w:val="2A0911D4"/>
    <w:rsid w:val="2A4C2E6E"/>
    <w:rsid w:val="2ADB5CCE"/>
    <w:rsid w:val="2AE8528D"/>
    <w:rsid w:val="2BFE7ED3"/>
    <w:rsid w:val="2C2E0A7D"/>
    <w:rsid w:val="2C804AD2"/>
    <w:rsid w:val="2C9C1E8B"/>
    <w:rsid w:val="2CE91B01"/>
    <w:rsid w:val="2CFF4695"/>
    <w:rsid w:val="2D233DAE"/>
    <w:rsid w:val="2E36630F"/>
    <w:rsid w:val="2E734E6D"/>
    <w:rsid w:val="2EA126FE"/>
    <w:rsid w:val="2F106B60"/>
    <w:rsid w:val="3005059D"/>
    <w:rsid w:val="3057492F"/>
    <w:rsid w:val="30B40706"/>
    <w:rsid w:val="31CB1747"/>
    <w:rsid w:val="323D621B"/>
    <w:rsid w:val="32A06E57"/>
    <w:rsid w:val="33766BFC"/>
    <w:rsid w:val="340A54B0"/>
    <w:rsid w:val="34F82570"/>
    <w:rsid w:val="35711E15"/>
    <w:rsid w:val="35E328D9"/>
    <w:rsid w:val="35F44EE7"/>
    <w:rsid w:val="360D4EC2"/>
    <w:rsid w:val="37920A5A"/>
    <w:rsid w:val="37A215B6"/>
    <w:rsid w:val="38243982"/>
    <w:rsid w:val="382F0960"/>
    <w:rsid w:val="398334DB"/>
    <w:rsid w:val="39AC74B3"/>
    <w:rsid w:val="3A7A7584"/>
    <w:rsid w:val="3A824DB6"/>
    <w:rsid w:val="3AB842C0"/>
    <w:rsid w:val="3AC10B5F"/>
    <w:rsid w:val="3AE55345"/>
    <w:rsid w:val="3B0E03F8"/>
    <w:rsid w:val="3C6D55F2"/>
    <w:rsid w:val="3C7060DA"/>
    <w:rsid w:val="3D232155"/>
    <w:rsid w:val="3E3A3B89"/>
    <w:rsid w:val="3E8D2843"/>
    <w:rsid w:val="3FDD65EB"/>
    <w:rsid w:val="40604C98"/>
    <w:rsid w:val="40BA7BC1"/>
    <w:rsid w:val="40CF189E"/>
    <w:rsid w:val="41354560"/>
    <w:rsid w:val="41782A6F"/>
    <w:rsid w:val="41796FA9"/>
    <w:rsid w:val="41F12885"/>
    <w:rsid w:val="42CA554C"/>
    <w:rsid w:val="433E1A96"/>
    <w:rsid w:val="438576C5"/>
    <w:rsid w:val="44132AE2"/>
    <w:rsid w:val="45250DA4"/>
    <w:rsid w:val="453018B3"/>
    <w:rsid w:val="457605A4"/>
    <w:rsid w:val="45AD467E"/>
    <w:rsid w:val="46AC31BB"/>
    <w:rsid w:val="477E4B57"/>
    <w:rsid w:val="47847862"/>
    <w:rsid w:val="488C5AAE"/>
    <w:rsid w:val="48F414E3"/>
    <w:rsid w:val="49221512"/>
    <w:rsid w:val="4922756D"/>
    <w:rsid w:val="4A000C7A"/>
    <w:rsid w:val="4A206C93"/>
    <w:rsid w:val="4AE90539"/>
    <w:rsid w:val="4B076C12"/>
    <w:rsid w:val="4B71034B"/>
    <w:rsid w:val="4B93258A"/>
    <w:rsid w:val="4D752558"/>
    <w:rsid w:val="4F355850"/>
    <w:rsid w:val="507F3B1D"/>
    <w:rsid w:val="5149319D"/>
    <w:rsid w:val="51694182"/>
    <w:rsid w:val="52F05006"/>
    <w:rsid w:val="5421050F"/>
    <w:rsid w:val="546B0211"/>
    <w:rsid w:val="54A96B8F"/>
    <w:rsid w:val="54C372D7"/>
    <w:rsid w:val="5560120E"/>
    <w:rsid w:val="557578F0"/>
    <w:rsid w:val="56BA5E8F"/>
    <w:rsid w:val="56ED315F"/>
    <w:rsid w:val="57551369"/>
    <w:rsid w:val="578D7B40"/>
    <w:rsid w:val="58DA7DBC"/>
    <w:rsid w:val="59705057"/>
    <w:rsid w:val="59A75CCB"/>
    <w:rsid w:val="59D75BB7"/>
    <w:rsid w:val="5AB86C2B"/>
    <w:rsid w:val="5ACB7C5C"/>
    <w:rsid w:val="5B2017CE"/>
    <w:rsid w:val="5B2461D2"/>
    <w:rsid w:val="5C9712F2"/>
    <w:rsid w:val="5CBC78D7"/>
    <w:rsid w:val="5CD34BA6"/>
    <w:rsid w:val="5CF07506"/>
    <w:rsid w:val="5E554891"/>
    <w:rsid w:val="5EB17168"/>
    <w:rsid w:val="5EE017FC"/>
    <w:rsid w:val="5EEC01A1"/>
    <w:rsid w:val="5F9D632B"/>
    <w:rsid w:val="5FA623B0"/>
    <w:rsid w:val="607A3018"/>
    <w:rsid w:val="60B60A66"/>
    <w:rsid w:val="60E13425"/>
    <w:rsid w:val="61283212"/>
    <w:rsid w:val="61554B37"/>
    <w:rsid w:val="61C93D1D"/>
    <w:rsid w:val="61CD250B"/>
    <w:rsid w:val="61F84EE4"/>
    <w:rsid w:val="62A274F4"/>
    <w:rsid w:val="62C17C69"/>
    <w:rsid w:val="62E123C8"/>
    <w:rsid w:val="62E82422"/>
    <w:rsid w:val="633E78A8"/>
    <w:rsid w:val="6421269A"/>
    <w:rsid w:val="647C54E3"/>
    <w:rsid w:val="64EA33D4"/>
    <w:rsid w:val="651A348D"/>
    <w:rsid w:val="657B6CAA"/>
    <w:rsid w:val="65B4171D"/>
    <w:rsid w:val="66A0559D"/>
    <w:rsid w:val="66E04A8F"/>
    <w:rsid w:val="674A015A"/>
    <w:rsid w:val="67BE4926"/>
    <w:rsid w:val="67F66E96"/>
    <w:rsid w:val="691251C6"/>
    <w:rsid w:val="692757B4"/>
    <w:rsid w:val="693D70DE"/>
    <w:rsid w:val="697B2927"/>
    <w:rsid w:val="69C6209C"/>
    <w:rsid w:val="6A033CF5"/>
    <w:rsid w:val="6A3624B4"/>
    <w:rsid w:val="6AA10091"/>
    <w:rsid w:val="6B8876F3"/>
    <w:rsid w:val="6C544E4B"/>
    <w:rsid w:val="6D210722"/>
    <w:rsid w:val="6D665378"/>
    <w:rsid w:val="6EE93148"/>
    <w:rsid w:val="6FF23675"/>
    <w:rsid w:val="70141305"/>
    <w:rsid w:val="719E357C"/>
    <w:rsid w:val="720B4C11"/>
    <w:rsid w:val="722C2936"/>
    <w:rsid w:val="72B561BF"/>
    <w:rsid w:val="740831B5"/>
    <w:rsid w:val="74560408"/>
    <w:rsid w:val="749E1262"/>
    <w:rsid w:val="74FC2BFE"/>
    <w:rsid w:val="75287C90"/>
    <w:rsid w:val="755F069C"/>
    <w:rsid w:val="75613E65"/>
    <w:rsid w:val="75D5172B"/>
    <w:rsid w:val="75F61BD9"/>
    <w:rsid w:val="76EA7DA2"/>
    <w:rsid w:val="77F3781A"/>
    <w:rsid w:val="780A371A"/>
    <w:rsid w:val="790808B0"/>
    <w:rsid w:val="79E81839"/>
    <w:rsid w:val="7A6E4A0C"/>
    <w:rsid w:val="7ACE39F6"/>
    <w:rsid w:val="7B4E7CDE"/>
    <w:rsid w:val="7BA9426A"/>
    <w:rsid w:val="7BD209F2"/>
    <w:rsid w:val="7C0D5D78"/>
    <w:rsid w:val="7C214AE5"/>
    <w:rsid w:val="7C5E5DE2"/>
    <w:rsid w:val="7CA262C5"/>
    <w:rsid w:val="7D7E7635"/>
    <w:rsid w:val="7D823D52"/>
    <w:rsid w:val="7DAD587B"/>
    <w:rsid w:val="7DD55627"/>
    <w:rsid w:val="7E410BFA"/>
    <w:rsid w:val="7F4A1BE6"/>
    <w:rsid w:val="7F754BC9"/>
    <w:rsid w:val="7FBB2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kern w:val="44"/>
      <w:sz w:val="44"/>
    </w:rPr>
  </w:style>
  <w:style w:type="paragraph" w:styleId="3">
    <w:name w:val="heading 2"/>
    <w:basedOn w:val="1"/>
    <w:next w:val="1"/>
    <w:qFormat/>
    <w:uiPriority w:val="0"/>
    <w:pPr>
      <w:keepNext/>
      <w:keepLines/>
      <w:widowControl w:val="0"/>
      <w:autoSpaceDE/>
      <w:autoSpaceDN/>
      <w:adjustRightInd/>
      <w:spacing w:before="260" w:beforeLines="0" w:after="260" w:afterLines="0" w:line="415" w:lineRule="auto"/>
      <w:jc w:val="both"/>
      <w:outlineLvl w:val="1"/>
    </w:pPr>
    <w:rPr>
      <w:rFonts w:ascii="Arial" w:hAnsi="Arial" w:eastAsia="黑体" w:cs="Times New Roman"/>
      <w:b/>
      <w:bCs/>
      <w:color w:val="auto"/>
      <w:kern w:val="2"/>
      <w:sz w:val="32"/>
      <w:szCs w:val="32"/>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7"/>
    <w:qFormat/>
    <w:uiPriority w:val="0"/>
    <w:pPr>
      <w:widowControl w:val="0"/>
      <w:autoSpaceDE/>
      <w:autoSpaceDN/>
      <w:adjustRightInd/>
      <w:ind w:firstLine="420"/>
      <w:jc w:val="both"/>
    </w:pPr>
    <w:rPr>
      <w:rFonts w:ascii="Times New Roman" w:hAnsi="Times New Roman" w:eastAsia="宋体" w:cs="Times New Roman"/>
      <w:color w:val="auto"/>
      <w:kern w:val="2"/>
      <w:sz w:val="21"/>
      <w:szCs w:val="20"/>
      <w:lang w:val="en-US" w:eastAsia="zh-CN" w:bidi="ar-SA"/>
    </w:rPr>
  </w:style>
  <w:style w:type="paragraph" w:styleId="7">
    <w:name w:val="Body Text Indent"/>
    <w:basedOn w:val="1"/>
    <w:next w:val="8"/>
    <w:qFormat/>
    <w:uiPriority w:val="0"/>
    <w:pPr>
      <w:widowControl w:val="0"/>
      <w:autoSpaceDE w:val="0"/>
      <w:autoSpaceDN w:val="0"/>
      <w:adjustRightInd w:val="0"/>
      <w:spacing w:after="120" w:afterLines="0"/>
      <w:ind w:left="420" w:leftChars="200"/>
      <w:jc w:val="both"/>
    </w:pPr>
    <w:rPr>
      <w:rFonts w:ascii="Times New Roman" w:hAnsi="Times New Roman" w:eastAsia="宋体" w:cs="Times New Roman"/>
      <w:color w:val="000000"/>
      <w:sz w:val="21"/>
      <w:szCs w:val="21"/>
      <w:lang w:val="en-US" w:eastAsia="zh-CN" w:bidi="ar-SA"/>
    </w:rPr>
  </w:style>
  <w:style w:type="paragraph" w:styleId="8">
    <w:name w:val="envelope return"/>
    <w:basedOn w:val="1"/>
    <w:qFormat/>
    <w:uiPriority w:val="0"/>
    <w:pPr>
      <w:widowControl w:val="0"/>
      <w:autoSpaceDE w:val="0"/>
      <w:autoSpaceDN w:val="0"/>
      <w:adjustRightInd w:val="0"/>
      <w:snapToGrid w:val="0"/>
      <w:jc w:val="both"/>
    </w:pPr>
    <w:rPr>
      <w:rFonts w:ascii="Arial" w:hAnsi="Arial" w:eastAsia="宋体" w:cs="Arial"/>
      <w:color w:val="000000"/>
      <w:kern w:val="2"/>
      <w:sz w:val="21"/>
      <w:szCs w:val="24"/>
      <w:lang w:val="en-US" w:eastAsia="zh-CN" w:bidi="ar-SA"/>
    </w:rPr>
  </w:style>
  <w:style w:type="paragraph" w:styleId="9">
    <w:name w:val="Body Text 3"/>
    <w:basedOn w:val="1"/>
    <w:qFormat/>
    <w:uiPriority w:val="0"/>
    <w:pPr>
      <w:widowControl w:val="0"/>
      <w:autoSpaceDE w:val="0"/>
      <w:autoSpaceDN w:val="0"/>
      <w:adjustRightInd w:val="0"/>
      <w:spacing w:after="120" w:afterLines="0"/>
      <w:jc w:val="both"/>
    </w:pPr>
    <w:rPr>
      <w:rFonts w:ascii="Times New Roman" w:hAnsi="Times New Roman" w:eastAsia="宋体" w:cs="Times New Roman"/>
      <w:color w:val="000000"/>
      <w:sz w:val="16"/>
      <w:szCs w:val="16"/>
      <w:lang w:val="en-US" w:eastAsia="zh-CN" w:bidi="ar-SA"/>
    </w:rPr>
  </w:style>
  <w:style w:type="paragraph" w:styleId="10">
    <w:name w:val="Body Text"/>
    <w:basedOn w:val="1"/>
    <w:next w:val="11"/>
    <w:semiHidden/>
    <w:qFormat/>
    <w:uiPriority w:val="0"/>
    <w:rPr>
      <w:rFonts w:ascii="等线" w:hAnsi="等线" w:eastAsia="等线" w:cs="等线"/>
      <w:sz w:val="43"/>
      <w:szCs w:val="43"/>
      <w:lang w:val="en-US" w:eastAsia="en-US" w:bidi="ar-SA"/>
    </w:rPr>
  </w:style>
  <w:style w:type="paragraph" w:styleId="11">
    <w:name w:val="Body Text First Indent"/>
    <w:basedOn w:val="10"/>
    <w:next w:val="12"/>
    <w:unhideWhenUsed/>
    <w:qFormat/>
    <w:uiPriority w:val="0"/>
    <w:pPr>
      <w:ind w:firstLine="420" w:firstLineChars="100"/>
    </w:pPr>
  </w:style>
  <w:style w:type="paragraph" w:styleId="12">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13">
    <w:name w:val="Plain Text"/>
    <w:basedOn w:val="1"/>
    <w:next w:val="14"/>
    <w:qFormat/>
    <w:uiPriority w:val="0"/>
    <w:pPr>
      <w:widowControl w:val="0"/>
      <w:autoSpaceDE/>
      <w:autoSpaceDN/>
      <w:adjustRightInd/>
      <w:jc w:val="both"/>
    </w:pPr>
    <w:rPr>
      <w:rFonts w:ascii="Times New Roman" w:hAnsi="Times New Roman" w:eastAsia="宋体" w:cs="Times New Roman"/>
      <w:color w:val="000000"/>
      <w:kern w:val="2"/>
      <w:sz w:val="24"/>
      <w:szCs w:val="21"/>
      <w:lang w:val="en-US" w:eastAsia="zh-CN" w:bidi="ar-SA"/>
    </w:rPr>
  </w:style>
  <w:style w:type="paragraph" w:styleId="14">
    <w:name w:val="index 7"/>
    <w:basedOn w:val="1"/>
    <w:next w:val="1"/>
    <w:qFormat/>
    <w:uiPriority w:val="0"/>
    <w:pPr>
      <w:ind w:left="1200" w:leftChars="1200"/>
    </w:pPr>
  </w:style>
  <w:style w:type="paragraph" w:styleId="15">
    <w:name w:val="footer"/>
    <w:basedOn w:val="1"/>
    <w:qFormat/>
    <w:uiPriority w:val="0"/>
    <w:pPr>
      <w:widowControl w:val="0"/>
      <w:tabs>
        <w:tab w:val="center" w:pos="4153"/>
        <w:tab w:val="right" w:pos="8306"/>
      </w:tabs>
      <w:autoSpaceDE w:val="0"/>
      <w:autoSpaceDN w:val="0"/>
      <w:adjustRightInd w:val="0"/>
      <w:snapToGrid w:val="0"/>
      <w:jc w:val="left"/>
    </w:pPr>
    <w:rPr>
      <w:rFonts w:ascii="Times New Roman" w:hAnsi="Times New Roman" w:eastAsia="宋体" w:cs="Times New Roman"/>
      <w:color w:val="000000"/>
      <w:sz w:val="18"/>
      <w:szCs w:val="18"/>
      <w:lang w:val="en-US" w:eastAsia="zh-CN" w:bidi="ar-SA"/>
    </w:rPr>
  </w:style>
  <w:style w:type="paragraph" w:styleId="16">
    <w:name w:val="header"/>
    <w:basedOn w:val="1"/>
    <w:qFormat/>
    <w:uiPriority w:val="0"/>
    <w:pPr>
      <w:widowControl w:val="0"/>
      <w:pBdr>
        <w:bottom w:val="single" w:color="auto" w:sz="6" w:space="1"/>
      </w:pBdr>
      <w:tabs>
        <w:tab w:val="center" w:pos="4153"/>
        <w:tab w:val="right" w:pos="8306"/>
      </w:tabs>
      <w:autoSpaceDE w:val="0"/>
      <w:autoSpaceDN w:val="0"/>
      <w:adjustRightInd w:val="0"/>
      <w:snapToGrid w:val="0"/>
      <w:jc w:val="center"/>
    </w:pPr>
    <w:rPr>
      <w:rFonts w:ascii="Times New Roman" w:hAnsi="Times New Roman" w:eastAsia="宋体" w:cs="Times New Roman"/>
      <w:color w:val="000000"/>
      <w:sz w:val="18"/>
      <w:szCs w:val="18"/>
      <w:lang w:val="en-US" w:eastAsia="zh-CN" w:bidi="ar-SA"/>
    </w:rPr>
  </w:style>
  <w:style w:type="paragraph" w:styleId="17">
    <w:name w:val="Body Text Indent 3"/>
    <w:basedOn w:val="1"/>
    <w:qFormat/>
    <w:uiPriority w:val="0"/>
    <w:pPr>
      <w:widowControl w:val="0"/>
      <w:autoSpaceDE/>
      <w:autoSpaceDN/>
      <w:adjustRightInd/>
      <w:ind w:firstLine="435"/>
      <w:jc w:val="both"/>
    </w:pPr>
    <w:rPr>
      <w:rFonts w:ascii="Times New Roman" w:hAnsi="Times New Roman" w:eastAsia="宋体" w:cs="Times New Roman"/>
      <w:color w:val="auto"/>
      <w:kern w:val="2"/>
      <w:sz w:val="21"/>
      <w:szCs w:val="24"/>
      <w:lang w:val="en-US" w:eastAsia="zh-CN" w:bidi="ar-SA"/>
    </w:rPr>
  </w:style>
  <w:style w:type="paragraph" w:styleId="18">
    <w:name w:val="Normal (Web)"/>
    <w:basedOn w:val="1"/>
    <w:qFormat/>
    <w:uiPriority w:val="0"/>
    <w:pPr>
      <w:widowControl/>
      <w:autoSpaceDE/>
      <w:autoSpaceDN/>
      <w:adjustRightInd/>
      <w:spacing w:before="100" w:beforeAutospacing="1" w:after="100" w:afterAutospacing="1"/>
      <w:jc w:val="left"/>
    </w:pPr>
    <w:rPr>
      <w:rFonts w:ascii="宋体" w:hAnsi="宋体" w:eastAsia="Times New Roman" w:cs="Times New Roman"/>
      <w:color w:val="000000"/>
      <w:sz w:val="24"/>
      <w:szCs w:val="24"/>
      <w:lang w:val="en-US" w:eastAsia="zh-CN" w:bidi="ar-SA"/>
    </w:rPr>
  </w:style>
  <w:style w:type="paragraph" w:styleId="19">
    <w:name w:val="Body Text First Indent 2"/>
    <w:basedOn w:val="7"/>
    <w:qFormat/>
    <w:uiPriority w:val="0"/>
    <w:pPr>
      <w:widowControl w:val="0"/>
      <w:autoSpaceDE/>
      <w:autoSpaceDN/>
      <w:adjustRightInd/>
      <w:spacing w:after="120" w:afterLines="0" w:line="360" w:lineRule="auto"/>
      <w:ind w:left="420" w:leftChars="200" w:firstLine="420" w:firstLineChars="200"/>
      <w:jc w:val="both"/>
    </w:pPr>
    <w:rPr>
      <w:rFonts w:ascii="Calibri" w:hAnsi="Calibri" w:eastAsia="宋体" w:cs="Times New Roman"/>
      <w:color w:val="auto"/>
      <w:kern w:val="2"/>
      <w:sz w:val="24"/>
      <w:szCs w:val="22"/>
      <w:lang w:val="en-US" w:eastAsia="zh-CN" w:bidi="ar-SA"/>
    </w:rPr>
  </w:style>
  <w:style w:type="table" w:styleId="2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style>
  <w:style w:type="character" w:styleId="24">
    <w:name w:val="page number"/>
    <w:qFormat/>
    <w:uiPriority w:val="0"/>
  </w:style>
  <w:style w:type="character" w:styleId="25">
    <w:name w:val="Hyperlink"/>
    <w:basedOn w:val="22"/>
    <w:qFormat/>
    <w:uiPriority w:val="0"/>
    <w:rPr>
      <w:color w:val="0000FF"/>
      <w:u w:val="single"/>
    </w:rPr>
  </w:style>
  <w:style w:type="paragraph" w:customStyle="1" w:styleId="2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Body Text 31"/>
    <w:basedOn w:val="1"/>
    <w:qFormat/>
    <w:uiPriority w:val="0"/>
    <w:pPr>
      <w:spacing w:after="120" w:afterLines="0"/>
    </w:pPr>
    <w:rPr>
      <w:sz w:val="16"/>
      <w:szCs w:val="16"/>
    </w:rPr>
  </w:style>
  <w:style w:type="paragraph" w:customStyle="1" w:styleId="28">
    <w:name w:val="Body Text First Indent 21"/>
    <w:basedOn w:val="29"/>
    <w:qFormat/>
    <w:uiPriority w:val="0"/>
    <w:pPr>
      <w:spacing w:after="120"/>
      <w:ind w:left="420" w:leftChars="200" w:firstLine="420"/>
    </w:pPr>
    <w:rPr>
      <w:rFonts w:cs="宋体"/>
    </w:rPr>
  </w:style>
  <w:style w:type="paragraph" w:customStyle="1" w:styleId="29">
    <w:name w:val="Body Text Indent1"/>
    <w:basedOn w:val="1"/>
    <w:next w:val="1"/>
    <w:qFormat/>
    <w:uiPriority w:val="0"/>
    <w:pPr>
      <w:spacing w:after="120"/>
      <w:ind w:left="420" w:leftChars="200"/>
    </w:pPr>
  </w:style>
  <w:style w:type="paragraph" w:customStyle="1" w:styleId="30">
    <w:name w:val="正文缩进1"/>
    <w:basedOn w:val="1"/>
    <w:next w:val="7"/>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1">
    <w:name w:val="索引 11"/>
    <w:basedOn w:val="1"/>
    <w:next w:val="1"/>
    <w:qFormat/>
    <w:uiPriority w:val="99"/>
    <w:pPr>
      <w:adjustRightInd/>
      <w:spacing w:line="360" w:lineRule="auto"/>
    </w:pPr>
    <w:rPr>
      <w:rFonts w:ascii="仿宋_GB2312" w:eastAsia="仿宋_GB2312"/>
      <w:sz w:val="24"/>
      <w:szCs w:val="20"/>
    </w:rPr>
  </w:style>
  <w:style w:type="paragraph" w:customStyle="1" w:styleId="32">
    <w:name w:val="BodyText1I"/>
    <w:basedOn w:val="33"/>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33">
    <w:name w:val="BodyText"/>
    <w:basedOn w:val="1"/>
    <w:next w:val="32"/>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34">
    <w:name w:val="Table Text"/>
    <w:basedOn w:val="1"/>
    <w:semiHidden/>
    <w:qFormat/>
    <w:uiPriority w:val="0"/>
    <w:rPr>
      <w:rFonts w:ascii="宋体" w:hAnsi="宋体" w:eastAsia="宋体" w:cs="宋体"/>
      <w:sz w:val="24"/>
      <w:szCs w:val="24"/>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 w:type="character" w:customStyle="1" w:styleId="36">
    <w:name w:val="font61"/>
    <w:basedOn w:val="22"/>
    <w:qFormat/>
    <w:uiPriority w:val="0"/>
    <w:rPr>
      <w:rFonts w:hint="eastAsia" w:ascii="宋体" w:hAnsi="宋体" w:eastAsia="宋体" w:cs="宋体"/>
      <w:color w:val="000000"/>
      <w:sz w:val="12"/>
      <w:szCs w:val="12"/>
      <w:u w:val="none"/>
    </w:rPr>
  </w:style>
  <w:style w:type="character" w:customStyle="1" w:styleId="37">
    <w:name w:val="font31"/>
    <w:basedOn w:val="22"/>
    <w:qFormat/>
    <w:uiPriority w:val="0"/>
    <w:rPr>
      <w:rFonts w:ascii="Arial" w:hAnsi="Arial" w:cs="Arial"/>
      <w:color w:val="000000"/>
      <w:sz w:val="24"/>
      <w:szCs w:val="24"/>
      <w:u w:val="none"/>
    </w:rPr>
  </w:style>
  <w:style w:type="character" w:customStyle="1" w:styleId="3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27166</Words>
  <Characters>28964</Characters>
  <Lines>0</Lines>
  <Paragraphs>0</Paragraphs>
  <TotalTime>29</TotalTime>
  <ScaleCrop>false</ScaleCrop>
  <LinksUpToDate>false</LinksUpToDate>
  <CharactersWithSpaces>29482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2025-02-27T00:30:00Z</dcterms:created>
  <dc:creator>BOCE-31</dc:creator>
  <cp:lastModifiedBy>jia.</cp:lastModifiedBy>
  <cp:lastPrinted>2025-06-06T01:46:00Z</cp:lastPrinted>
  <dcterms:modified xsi:type="dcterms:W3CDTF">2025-07-09T08:01:47Z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0BDAD865599844C8B52C6B5CEC1D1858_13</vt:lpwstr>
  </property>
  <property fmtid="{D5CDD505-2E9C-101B-9397-08002B2CF9AE}" pid="4" name="KSOTemplateDocerSaveRecord">
    <vt:lpwstr>eyJoZGlkIjoiODliMDE1YjNkOGRjYjliMDFmZDAwZjMyYjg1NGM2ODQiLCJ1c2VySWQiOiI0MzM1Mjc4NzAifQ==</vt:lpwstr>
  </property>
</Properties>
</file>