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90C95">
      <w:pPr>
        <w:spacing w:line="360" w:lineRule="auto"/>
        <w:jc w:val="center"/>
        <w:rPr>
          <w:rFonts w:ascii="宋体" w:hAnsi="宋体" w:cs="宋体"/>
          <w:b/>
          <w:color w:val="auto"/>
          <w:sz w:val="24"/>
          <w:highlight w:val="none"/>
        </w:rPr>
      </w:pPr>
    </w:p>
    <w:p w14:paraId="3524DB49">
      <w:pPr>
        <w:spacing w:line="360" w:lineRule="auto"/>
        <w:jc w:val="center"/>
        <w:rPr>
          <w:rFonts w:ascii="宋体" w:hAnsi="宋体" w:cs="宋体"/>
          <w:b/>
          <w:color w:val="auto"/>
          <w:sz w:val="24"/>
          <w:highlight w:val="none"/>
        </w:rPr>
      </w:pPr>
    </w:p>
    <w:p w14:paraId="09F0EBB2">
      <w:pPr>
        <w:adjustRightInd/>
        <w:spacing w:line="360" w:lineRule="auto"/>
        <w:jc w:val="center"/>
        <w:rPr>
          <w:rFonts w:ascii="宋体" w:hAnsi="宋体" w:cs="宋体"/>
          <w:b/>
          <w:color w:val="auto"/>
          <w:sz w:val="48"/>
          <w:szCs w:val="48"/>
          <w:highlight w:val="none"/>
        </w:rPr>
      </w:pPr>
    </w:p>
    <w:p w14:paraId="5661BF99">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杭州二中东河校区校舍维修与环境提升项目</w:t>
      </w:r>
    </w:p>
    <w:p w14:paraId="429A98C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7B61EDD7">
      <w:pPr>
        <w:adjustRightInd/>
        <w:spacing w:line="360" w:lineRule="auto"/>
        <w:jc w:val="center"/>
        <w:rPr>
          <w:rFonts w:ascii="宋体" w:hAnsi="宋体" w:cs="宋体"/>
          <w:b/>
          <w:color w:val="auto"/>
          <w:sz w:val="44"/>
          <w:szCs w:val="44"/>
          <w:highlight w:val="none"/>
        </w:rPr>
      </w:pPr>
      <w:r>
        <w:rPr>
          <w:rFonts w:hint="eastAsia" w:ascii="宋体" w:hAnsi="宋体"/>
          <w:b/>
          <w:color w:val="auto"/>
          <w:sz w:val="32"/>
          <w:szCs w:val="32"/>
          <w:highlight w:val="none"/>
        </w:rPr>
        <w:t>（非政府采购项目-电子交易）</w:t>
      </w:r>
    </w:p>
    <w:p w14:paraId="0E33C5FC">
      <w:pPr>
        <w:snapToGrid w:val="0"/>
        <w:spacing w:line="360" w:lineRule="auto"/>
        <w:jc w:val="center"/>
        <w:rPr>
          <w:rFonts w:hint="eastAsia" w:ascii="宋体" w:hAnsi="宋体" w:cs="宋体"/>
          <w:color w:val="auto"/>
          <w:sz w:val="30"/>
          <w:szCs w:val="30"/>
          <w:highlight w:val="none"/>
        </w:rPr>
      </w:pPr>
    </w:p>
    <w:p w14:paraId="032BE79E">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HSZB-2025-722</w:t>
      </w:r>
    </w:p>
    <w:p w14:paraId="21FB2902">
      <w:pPr>
        <w:adjustRightInd/>
        <w:spacing w:line="360" w:lineRule="auto"/>
        <w:rPr>
          <w:rFonts w:ascii="宋体" w:hAnsi="宋体" w:cs="宋体"/>
          <w:color w:val="auto"/>
          <w:sz w:val="28"/>
          <w:szCs w:val="20"/>
          <w:highlight w:val="none"/>
        </w:rPr>
      </w:pPr>
    </w:p>
    <w:p w14:paraId="5541418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8214095">
      <w:pPr>
        <w:spacing w:line="360" w:lineRule="auto"/>
        <w:jc w:val="center"/>
        <w:rPr>
          <w:rFonts w:ascii="宋体" w:hAnsi="宋体" w:cs="宋体"/>
          <w:b/>
          <w:color w:val="auto"/>
          <w:sz w:val="44"/>
          <w:szCs w:val="44"/>
          <w:highlight w:val="none"/>
        </w:rPr>
      </w:pPr>
    </w:p>
    <w:p w14:paraId="3956670A">
      <w:pPr>
        <w:spacing w:line="360" w:lineRule="auto"/>
        <w:jc w:val="center"/>
        <w:rPr>
          <w:rFonts w:ascii="宋体" w:hAnsi="宋体" w:cs="宋体"/>
          <w:color w:val="auto"/>
          <w:sz w:val="24"/>
          <w:highlight w:val="none"/>
        </w:rPr>
      </w:pPr>
    </w:p>
    <w:p w14:paraId="3A16364B">
      <w:pPr>
        <w:spacing w:line="360" w:lineRule="auto"/>
        <w:jc w:val="center"/>
        <w:rPr>
          <w:rFonts w:ascii="宋体" w:hAnsi="宋体" w:cs="宋体"/>
          <w:color w:val="auto"/>
          <w:sz w:val="24"/>
          <w:highlight w:val="none"/>
        </w:rPr>
      </w:pPr>
    </w:p>
    <w:p w14:paraId="0C06BE25">
      <w:pPr>
        <w:spacing w:line="360" w:lineRule="auto"/>
        <w:rPr>
          <w:rFonts w:ascii="宋体" w:hAnsi="宋体" w:cs="宋体"/>
          <w:color w:val="auto"/>
          <w:sz w:val="32"/>
          <w:szCs w:val="32"/>
          <w:highlight w:val="none"/>
        </w:rPr>
      </w:pPr>
    </w:p>
    <w:p w14:paraId="0D473812">
      <w:pPr>
        <w:snapToGrid w:val="0"/>
        <w:spacing w:line="360" w:lineRule="auto"/>
        <w:jc w:val="center"/>
        <w:rPr>
          <w:rFonts w:ascii="宋体" w:hAnsi="宋体" w:cs="宋体"/>
          <w:color w:val="auto"/>
          <w:sz w:val="32"/>
          <w:szCs w:val="32"/>
          <w:highlight w:val="none"/>
        </w:rPr>
      </w:pPr>
    </w:p>
    <w:p w14:paraId="693D4760">
      <w:pPr>
        <w:snapToGrid w:val="0"/>
        <w:spacing w:line="360" w:lineRule="auto"/>
        <w:jc w:val="center"/>
        <w:rPr>
          <w:rFonts w:ascii="宋体" w:hAnsi="宋体" w:cs="宋体"/>
          <w:color w:val="auto"/>
          <w:sz w:val="32"/>
          <w:szCs w:val="32"/>
          <w:highlight w:val="none"/>
        </w:rPr>
      </w:pPr>
    </w:p>
    <w:p w14:paraId="29A2BDB9">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浙江省杭州第二中学</w:t>
      </w:r>
    </w:p>
    <w:p w14:paraId="5CCE6B99">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浙江豪圣建设项目管理有限公司</w:t>
      </w:r>
    </w:p>
    <w:p w14:paraId="4FA5107C">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十六</w:t>
      </w:r>
      <w:r>
        <w:rPr>
          <w:rFonts w:hint="eastAsia" w:ascii="宋体" w:hAnsi="宋体" w:cs="宋体"/>
          <w:bCs/>
          <w:color w:val="auto"/>
          <w:sz w:val="32"/>
          <w:szCs w:val="32"/>
          <w:highlight w:val="none"/>
        </w:rPr>
        <w:t>日</w:t>
      </w:r>
    </w:p>
    <w:p w14:paraId="3FDB175C">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CCDC428">
      <w:pPr>
        <w:spacing w:line="360" w:lineRule="auto"/>
        <w:jc w:val="center"/>
        <w:rPr>
          <w:rFonts w:ascii="宋体" w:hAnsi="宋体" w:cs="宋体"/>
          <w:color w:val="auto"/>
          <w:sz w:val="24"/>
          <w:highlight w:val="none"/>
        </w:rPr>
      </w:pPr>
    </w:p>
    <w:p w14:paraId="6817A68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2B4BFD1">
      <w:pPr>
        <w:spacing w:line="360" w:lineRule="auto"/>
        <w:rPr>
          <w:rFonts w:ascii="宋体" w:hAnsi="宋体" w:cs="宋体"/>
          <w:color w:val="auto"/>
          <w:sz w:val="32"/>
          <w:szCs w:val="32"/>
          <w:highlight w:val="none"/>
        </w:rPr>
      </w:pPr>
    </w:p>
    <w:p w14:paraId="59295F2C">
      <w:pPr>
        <w:spacing w:line="360" w:lineRule="auto"/>
        <w:rPr>
          <w:rFonts w:ascii="宋体" w:hAnsi="宋体" w:cs="宋体"/>
          <w:color w:val="auto"/>
          <w:sz w:val="32"/>
          <w:szCs w:val="32"/>
          <w:highlight w:val="none"/>
        </w:rPr>
      </w:pPr>
    </w:p>
    <w:p w14:paraId="6B620BC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66D10E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73074EF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FDE4A2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3A3AA28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2B0FA7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B1928BC">
      <w:pPr>
        <w:spacing w:line="360" w:lineRule="auto"/>
        <w:ind w:firstLine="1280" w:firstLineChars="400"/>
        <w:rPr>
          <w:rFonts w:ascii="宋体" w:hAnsi="宋体" w:cs="宋体"/>
          <w:color w:val="auto"/>
          <w:sz w:val="32"/>
          <w:szCs w:val="32"/>
          <w:highlight w:val="none"/>
        </w:rPr>
      </w:pPr>
    </w:p>
    <w:p w14:paraId="1DB4758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1890120">
      <w:pPr>
        <w:spacing w:line="360" w:lineRule="auto"/>
        <w:ind w:firstLine="549" w:firstLineChars="229"/>
        <w:rPr>
          <w:rFonts w:ascii="宋体" w:hAnsi="宋体" w:cs="宋体"/>
          <w:color w:val="auto"/>
          <w:sz w:val="24"/>
          <w:highlight w:val="none"/>
        </w:rPr>
      </w:pPr>
    </w:p>
    <w:p w14:paraId="4AD87053">
      <w:pPr>
        <w:spacing w:line="360" w:lineRule="auto"/>
        <w:ind w:firstLine="549" w:firstLineChars="229"/>
        <w:rPr>
          <w:rFonts w:ascii="宋体" w:hAnsi="宋体" w:cs="宋体"/>
          <w:color w:val="auto"/>
          <w:sz w:val="24"/>
          <w:highlight w:val="none"/>
        </w:rPr>
      </w:pPr>
    </w:p>
    <w:p w14:paraId="595997D5">
      <w:pPr>
        <w:spacing w:line="360" w:lineRule="auto"/>
        <w:ind w:firstLine="549" w:firstLineChars="229"/>
        <w:rPr>
          <w:rFonts w:ascii="宋体" w:hAnsi="宋体" w:cs="宋体"/>
          <w:color w:val="auto"/>
          <w:sz w:val="24"/>
          <w:highlight w:val="none"/>
        </w:rPr>
      </w:pPr>
    </w:p>
    <w:p w14:paraId="6F27724C">
      <w:pPr>
        <w:spacing w:line="360" w:lineRule="auto"/>
        <w:ind w:firstLine="549" w:firstLineChars="229"/>
        <w:rPr>
          <w:rFonts w:ascii="宋体" w:hAnsi="宋体" w:cs="宋体"/>
          <w:color w:val="auto"/>
          <w:sz w:val="24"/>
          <w:highlight w:val="none"/>
        </w:rPr>
      </w:pPr>
    </w:p>
    <w:p w14:paraId="604E9843">
      <w:pPr>
        <w:spacing w:line="360" w:lineRule="auto"/>
        <w:ind w:firstLine="549" w:firstLineChars="229"/>
        <w:rPr>
          <w:rFonts w:ascii="宋体" w:hAnsi="宋体" w:cs="宋体"/>
          <w:color w:val="auto"/>
          <w:sz w:val="24"/>
          <w:highlight w:val="none"/>
        </w:rPr>
      </w:pPr>
    </w:p>
    <w:p w14:paraId="1460033A">
      <w:pPr>
        <w:spacing w:line="360" w:lineRule="auto"/>
        <w:ind w:firstLine="549" w:firstLineChars="229"/>
        <w:rPr>
          <w:rFonts w:ascii="宋体" w:hAnsi="宋体" w:cs="宋体"/>
          <w:color w:val="auto"/>
          <w:sz w:val="24"/>
          <w:highlight w:val="none"/>
        </w:rPr>
      </w:pPr>
    </w:p>
    <w:p w14:paraId="061E181B">
      <w:pPr>
        <w:spacing w:line="360" w:lineRule="auto"/>
        <w:ind w:firstLine="549" w:firstLineChars="229"/>
        <w:rPr>
          <w:rFonts w:ascii="宋体" w:hAnsi="宋体" w:cs="宋体"/>
          <w:color w:val="auto"/>
          <w:sz w:val="24"/>
          <w:highlight w:val="none"/>
        </w:rPr>
      </w:pPr>
    </w:p>
    <w:p w14:paraId="1DF8129B">
      <w:pPr>
        <w:spacing w:line="360" w:lineRule="auto"/>
        <w:ind w:firstLine="549" w:firstLineChars="229"/>
        <w:rPr>
          <w:rFonts w:ascii="宋体" w:hAnsi="宋体" w:cs="宋体"/>
          <w:color w:val="auto"/>
          <w:sz w:val="24"/>
          <w:highlight w:val="none"/>
        </w:rPr>
      </w:pPr>
    </w:p>
    <w:p w14:paraId="7D55F55E">
      <w:pPr>
        <w:spacing w:line="360" w:lineRule="auto"/>
        <w:ind w:firstLine="549" w:firstLineChars="229"/>
        <w:rPr>
          <w:rFonts w:ascii="宋体" w:hAnsi="宋体" w:cs="宋体"/>
          <w:color w:val="auto"/>
          <w:sz w:val="24"/>
          <w:highlight w:val="none"/>
        </w:rPr>
      </w:pPr>
    </w:p>
    <w:p w14:paraId="27E00032">
      <w:pPr>
        <w:spacing w:line="360" w:lineRule="auto"/>
        <w:ind w:firstLine="549" w:firstLineChars="229"/>
        <w:rPr>
          <w:rFonts w:ascii="宋体" w:hAnsi="宋体" w:cs="宋体"/>
          <w:color w:val="auto"/>
          <w:sz w:val="24"/>
          <w:highlight w:val="none"/>
        </w:rPr>
      </w:pPr>
    </w:p>
    <w:p w14:paraId="48D6DE40">
      <w:pPr>
        <w:spacing w:line="360" w:lineRule="auto"/>
        <w:ind w:firstLine="549" w:firstLineChars="229"/>
        <w:rPr>
          <w:rFonts w:ascii="宋体" w:hAnsi="宋体" w:cs="宋体"/>
          <w:color w:val="auto"/>
          <w:sz w:val="24"/>
          <w:highlight w:val="none"/>
        </w:rPr>
      </w:pPr>
    </w:p>
    <w:p w14:paraId="52996A77">
      <w:pPr>
        <w:spacing w:line="360" w:lineRule="auto"/>
        <w:ind w:firstLine="549" w:firstLineChars="229"/>
        <w:rPr>
          <w:rFonts w:ascii="宋体" w:hAnsi="宋体" w:cs="宋体"/>
          <w:color w:val="auto"/>
          <w:sz w:val="24"/>
          <w:highlight w:val="none"/>
        </w:rPr>
      </w:pPr>
    </w:p>
    <w:p w14:paraId="1D0458FA">
      <w:pPr>
        <w:spacing w:line="360" w:lineRule="auto"/>
        <w:rPr>
          <w:rFonts w:ascii="宋体" w:hAnsi="宋体" w:cs="宋体"/>
          <w:color w:val="auto"/>
          <w:sz w:val="24"/>
          <w:highlight w:val="none"/>
        </w:rPr>
      </w:pPr>
    </w:p>
    <w:p w14:paraId="4DC1C387">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2"/>
          <w:szCs w:val="32"/>
          <w:highlight w:val="none"/>
        </w:rPr>
        <w:t>第一部分 竞争性磋商公告</w:t>
      </w:r>
    </w:p>
    <w:p w14:paraId="08FD5FA1">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项目概况</w:t>
      </w:r>
    </w:p>
    <w:p w14:paraId="25E22643">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lang w:eastAsia="zh-CN"/>
        </w:rPr>
        <w:t>杭州二中东河校区校舍维修与环境提升项目</w:t>
      </w:r>
      <w:r>
        <w:rPr>
          <w:rFonts w:hint="eastAsia" w:asciiTheme="minorEastAsia" w:hAnsiTheme="minorEastAsia" w:eastAsiaTheme="minorEastAsia" w:cstheme="minorEastAsia"/>
          <w:color w:val="auto"/>
          <w:sz w:val="21"/>
          <w:szCs w:val="21"/>
          <w:highlight w:val="none"/>
        </w:rPr>
        <w:t>采购项目的潜在供应商应在</w:t>
      </w:r>
      <w:r>
        <w:rPr>
          <w:rFonts w:hint="eastAsia" w:asciiTheme="minorEastAsia" w:hAnsiTheme="minorEastAsia" w:eastAsiaTheme="minorEastAsia" w:cstheme="minorEastAsia"/>
          <w:color w:val="auto"/>
          <w:sz w:val="21"/>
          <w:szCs w:val="21"/>
          <w:highlight w:val="none"/>
          <w:lang w:eastAsia="zh-CN"/>
        </w:rPr>
        <w:t>乐采云平台</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"https://www.zcygov.cn/）获取（下载）招标文件，并于2021年" </w:instrText>
      </w:r>
      <w:r>
        <w:rPr>
          <w:rFonts w:hint="eastAsia" w:asciiTheme="minorEastAsia" w:hAnsiTheme="minorEastAsia" w:eastAsiaTheme="minorEastAsia" w:cstheme="minorEastAsia"/>
          <w:color w:val="auto"/>
          <w:sz w:val="21"/>
          <w:szCs w:val="21"/>
          <w:highlight w:val="none"/>
        </w:rPr>
        <w:fldChar w:fldCharType="separate"/>
      </w:r>
      <w:r>
        <w:rPr>
          <w:rStyle w:val="76"/>
          <w:rFonts w:hint="eastAsia" w:asciiTheme="minorEastAsia" w:hAnsiTheme="minorEastAsia" w:eastAsiaTheme="minorEastAsia" w:cstheme="minorEastAsia"/>
          <w:snapToGrid/>
          <w:color w:val="auto"/>
          <w:kern w:val="2"/>
          <w:sz w:val="21"/>
          <w:szCs w:val="21"/>
          <w:highlight w:val="none"/>
          <w:lang w:eastAsia="zh-CN"/>
        </w:rPr>
        <w:t>https://www.lecaiyun.com/</w:t>
      </w:r>
      <w:r>
        <w:rPr>
          <w:rStyle w:val="76"/>
          <w:rFonts w:hint="eastAsia" w:asciiTheme="minorEastAsia" w:hAnsiTheme="minorEastAsia" w:eastAsiaTheme="minorEastAsia" w:cstheme="minorEastAsia"/>
          <w:snapToGrid/>
          <w:color w:val="auto"/>
          <w:kern w:val="2"/>
          <w:sz w:val="21"/>
          <w:szCs w:val="21"/>
          <w:highlight w:val="none"/>
        </w:rPr>
        <w:t>）获取（下载）采购文件，并于</w:t>
      </w:r>
      <w:r>
        <w:rPr>
          <w:rFonts w:hint="eastAsia" w:asciiTheme="minorEastAsia" w:hAnsiTheme="minorEastAsia" w:eastAsiaTheme="minorEastAsia" w:cstheme="minorEastAsia"/>
          <w:color w:val="auto"/>
          <w:sz w:val="21"/>
          <w:szCs w:val="21"/>
          <w:highlight w:val="none"/>
          <w:u w:val="single"/>
        </w:rPr>
        <w:t>2025年</w:t>
      </w:r>
      <w:r>
        <w:rPr>
          <w:rFonts w:hint="eastAsia" w:asciiTheme="minorEastAsia" w:hAnsiTheme="minorEastAsia" w:eastAsiaTheme="minorEastAsia" w:cstheme="minorEastAsia"/>
          <w:color w:val="auto"/>
          <w:sz w:val="21"/>
          <w:szCs w:val="21"/>
          <w:highlight w:val="none"/>
          <w:u w:val="single"/>
          <w:lang w:val="en-US" w:eastAsia="zh-CN"/>
        </w:rPr>
        <w:t>06月27日</w:t>
      </w:r>
      <w:r>
        <w:rPr>
          <w:rFonts w:hint="eastAsia" w:asciiTheme="minorEastAsia" w:hAnsiTheme="minorEastAsia" w:eastAsiaTheme="minorEastAsia" w:cstheme="minorEastAsia"/>
          <w:color w:val="auto"/>
          <w:sz w:val="21"/>
          <w:szCs w:val="21"/>
          <w:highlight w:val="none"/>
          <w:u w:val="single"/>
          <w:lang w:val="en-US" w:eastAsia="zh-CN"/>
        </w:rPr>
        <w:t>13</w:t>
      </w:r>
      <w:r>
        <w:rPr>
          <w:rFonts w:hint="eastAsia" w:asciiTheme="minorEastAsia" w:hAnsiTheme="minorEastAsia" w:eastAsiaTheme="minorEastAsia" w:cstheme="minorEastAsia"/>
          <w:color w:val="auto"/>
          <w:sz w:val="21"/>
          <w:szCs w:val="21"/>
          <w:highlight w:val="none"/>
          <w:u w:val="single"/>
        </w:rPr>
        <w:t>点</w:t>
      </w:r>
      <w:r>
        <w:rPr>
          <w:rFonts w:hint="eastAsia" w:asciiTheme="minorEastAsia" w:hAnsiTheme="minorEastAsia" w:eastAsiaTheme="minorEastAsia" w:cstheme="minorEastAsia"/>
          <w:color w:val="auto"/>
          <w:sz w:val="21"/>
          <w:szCs w:val="21"/>
          <w:highlight w:val="none"/>
          <w:u w:val="single"/>
          <w:lang w:val="en-US" w:eastAsia="zh-CN"/>
        </w:rPr>
        <w:t>30</w:t>
      </w:r>
      <w:r>
        <w:rPr>
          <w:rFonts w:hint="eastAsia" w:asciiTheme="minorEastAsia" w:hAnsiTheme="minorEastAsia" w:eastAsiaTheme="minorEastAsia" w:cstheme="minorEastAsia"/>
          <w:color w:val="auto"/>
          <w:sz w:val="21"/>
          <w:szCs w:val="21"/>
          <w:highlight w:val="none"/>
          <w:u w:val="single"/>
        </w:rPr>
        <w:t>分</w:t>
      </w:r>
      <w:r>
        <w:rPr>
          <w:rFonts w:hint="eastAsia" w:asciiTheme="minorEastAsia" w:hAnsiTheme="minorEastAsia" w:eastAsiaTheme="minorEastAsia" w:cstheme="minorEastAsia"/>
          <w:bCs/>
          <w:color w:val="auto"/>
          <w:sz w:val="21"/>
          <w:szCs w:val="21"/>
          <w:highlight w:val="none"/>
          <w:u w:val="single"/>
        </w:rPr>
        <w:t>00秒</w:t>
      </w:r>
      <w:r>
        <w:rPr>
          <w:rFonts w:hint="eastAsia" w:asciiTheme="minorEastAsia" w:hAnsiTheme="minorEastAsia" w:eastAsiaTheme="minorEastAsia" w:cstheme="minorEastAsia"/>
          <w:bCs/>
          <w:color w:val="auto"/>
          <w:sz w:val="21"/>
          <w:szCs w:val="21"/>
          <w:highlight w:val="none"/>
          <w:u w:val="single"/>
        </w:rPr>
        <w:fldChar w:fldCharType="end"/>
      </w:r>
      <w:r>
        <w:rPr>
          <w:rFonts w:hint="eastAsia" w:asciiTheme="minorEastAsia" w:hAnsiTheme="minorEastAsia" w:eastAsiaTheme="minorEastAsia" w:cstheme="minorEastAsia"/>
          <w:bCs/>
          <w:color w:val="auto"/>
          <w:sz w:val="21"/>
          <w:szCs w:val="21"/>
          <w:highlight w:val="none"/>
        </w:rPr>
        <w:t>（北京时间）前</w:t>
      </w:r>
      <w:r>
        <w:rPr>
          <w:rFonts w:hint="eastAsia" w:asciiTheme="minorEastAsia" w:hAnsiTheme="minorEastAsia" w:eastAsiaTheme="minorEastAsia" w:cstheme="minorEastAsia"/>
          <w:color w:val="auto"/>
          <w:sz w:val="21"/>
          <w:szCs w:val="21"/>
          <w:highlight w:val="none"/>
        </w:rPr>
        <w:t>提交（上传）响应文件。</w:t>
      </w:r>
    </w:p>
    <w:p w14:paraId="7AB3D4C3">
      <w:pPr>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一、项目基本情况</w:t>
      </w:r>
    </w:p>
    <w:p w14:paraId="0A4225F8">
      <w:pPr>
        <w:snapToGrid w:val="0"/>
        <w:spacing w:line="360" w:lineRule="auto"/>
        <w:ind w:firstLine="422"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项目编号：</w:t>
      </w:r>
      <w:r>
        <w:rPr>
          <w:rFonts w:hint="eastAsia" w:asciiTheme="minorEastAsia" w:hAnsiTheme="minorEastAsia" w:eastAsiaTheme="minorEastAsia" w:cstheme="minorEastAsia"/>
          <w:color w:val="auto"/>
          <w:sz w:val="21"/>
          <w:szCs w:val="21"/>
          <w:highlight w:val="none"/>
          <w:lang w:eastAsia="zh-CN"/>
        </w:rPr>
        <w:t>HSZB-2025-722</w:t>
      </w:r>
    </w:p>
    <w:p w14:paraId="09539C59">
      <w:pPr>
        <w:snapToGrid w:val="0"/>
        <w:spacing w:line="360" w:lineRule="auto"/>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eastAsia="zh-CN"/>
        </w:rPr>
        <w:t>杭州二中东河校区校舍维修与环境提升项目</w:t>
      </w:r>
    </w:p>
    <w:p w14:paraId="5BE38EBB">
      <w:pPr>
        <w:snapToGrid w:val="0"/>
        <w:spacing w:line="360" w:lineRule="auto"/>
        <w:ind w:firstLine="422"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rPr>
        <w:t>预算金额（元）：</w:t>
      </w:r>
      <w:r>
        <w:rPr>
          <w:rFonts w:hint="eastAsia" w:asciiTheme="minorEastAsia" w:hAnsiTheme="minorEastAsia" w:eastAsiaTheme="minorEastAsia" w:cstheme="minorEastAsia"/>
          <w:bCs/>
          <w:color w:val="auto"/>
          <w:sz w:val="21"/>
          <w:szCs w:val="21"/>
          <w:highlight w:val="none"/>
          <w:lang w:val="en-US" w:eastAsia="zh-CN"/>
        </w:rPr>
        <w:t>830000</w:t>
      </w:r>
    </w:p>
    <w:p w14:paraId="68FEBA3F">
      <w:pPr>
        <w:snapToGrid w:val="0"/>
        <w:spacing w:line="360" w:lineRule="auto"/>
        <w:ind w:firstLine="422"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rPr>
        <w:t>最高限价（元）：</w:t>
      </w:r>
      <w:r>
        <w:rPr>
          <w:rFonts w:hint="eastAsia" w:asciiTheme="minorEastAsia" w:hAnsiTheme="minorEastAsia" w:eastAsiaTheme="minorEastAsia" w:cstheme="minorEastAsia"/>
          <w:b/>
          <w:color w:val="auto"/>
          <w:sz w:val="21"/>
          <w:szCs w:val="21"/>
          <w:highlight w:val="none"/>
          <w:lang w:val="en-US" w:eastAsia="zh-CN"/>
        </w:rPr>
        <w:t>830000</w:t>
      </w:r>
    </w:p>
    <w:p w14:paraId="3C7CB3B0">
      <w:pPr>
        <w:pStyle w:val="16"/>
        <w:spacing w:line="360" w:lineRule="auto"/>
        <w:ind w:firstLine="422" w:firstLineChars="200"/>
        <w:rPr>
          <w:rFonts w:hint="eastAsia" w:asciiTheme="minorEastAsia" w:hAnsiTheme="minorEastAsia" w:eastAsiaTheme="minorEastAsia" w:cstheme="minorEastAsia"/>
          <w:bCs/>
          <w:snapToGrid/>
          <w:color w:val="auto"/>
          <w:kern w:val="2"/>
          <w:sz w:val="21"/>
          <w:szCs w:val="21"/>
          <w:highlight w:val="none"/>
        </w:rPr>
      </w:pPr>
      <w:r>
        <w:rPr>
          <w:rFonts w:hint="eastAsia" w:asciiTheme="minorEastAsia" w:hAnsiTheme="minorEastAsia" w:eastAsiaTheme="minorEastAsia" w:cstheme="minorEastAsia"/>
          <w:b/>
          <w:color w:val="auto"/>
          <w:sz w:val="21"/>
          <w:szCs w:val="21"/>
          <w:highlight w:val="none"/>
        </w:rPr>
        <w:t>采购需求：</w:t>
      </w:r>
      <w:r>
        <w:rPr>
          <w:rFonts w:hint="eastAsia" w:asciiTheme="minorEastAsia" w:hAnsiTheme="minorEastAsia" w:eastAsiaTheme="minorEastAsia" w:cstheme="minorEastAsia"/>
          <w:bCs/>
          <w:snapToGrid/>
          <w:color w:val="auto"/>
          <w:kern w:val="2"/>
          <w:sz w:val="21"/>
          <w:szCs w:val="21"/>
          <w:highlight w:val="none"/>
          <w:lang w:eastAsia="zh-CN"/>
        </w:rPr>
        <w:t>杭州二中东河校区校舍维修与环境提升项目，食堂北侧绿化下管线杂乱，缺少隔油池，需进行五水共治整改。整改后可达到相关要求。物理实验室地面管线、地胶等需配合实验器材进行配套装修。</w:t>
      </w:r>
      <w:r>
        <w:rPr>
          <w:rFonts w:hint="eastAsia" w:asciiTheme="minorEastAsia" w:hAnsiTheme="minorEastAsia" w:eastAsiaTheme="minorEastAsia" w:cstheme="minorEastAsia"/>
          <w:bCs/>
          <w:snapToGrid/>
          <w:color w:val="auto"/>
          <w:kern w:val="2"/>
          <w:sz w:val="21"/>
          <w:szCs w:val="21"/>
          <w:highlight w:val="none"/>
        </w:rPr>
        <w:t>具体详见磋商文件、工程量清单、图纸等材料。</w:t>
      </w:r>
    </w:p>
    <w:p w14:paraId="4A1E3FA2">
      <w:pPr>
        <w:pStyle w:val="131"/>
        <w:snapToGrid w:val="0"/>
        <w:spacing w:before="0"/>
        <w:ind w:firstLine="482"/>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合同履约期限：</w:t>
      </w:r>
      <w:r>
        <w:rPr>
          <w:rFonts w:hint="eastAsia" w:asciiTheme="minorEastAsia" w:hAnsiTheme="minorEastAsia" w:eastAsiaTheme="minorEastAsia" w:cstheme="minorEastAsia"/>
          <w:b/>
          <w:color w:val="auto"/>
          <w:sz w:val="21"/>
          <w:szCs w:val="21"/>
          <w:highlight w:val="none"/>
          <w:lang w:eastAsia="zh-CN"/>
        </w:rPr>
        <w:t>7月6日-8月20日暑期内完工</w:t>
      </w:r>
      <w:r>
        <w:rPr>
          <w:rFonts w:hint="eastAsia" w:asciiTheme="minorEastAsia" w:hAnsiTheme="minorEastAsia" w:eastAsiaTheme="minorEastAsia" w:cstheme="minorEastAsia"/>
          <w:bCs/>
          <w:color w:val="auto"/>
          <w:sz w:val="21"/>
          <w:szCs w:val="21"/>
          <w:highlight w:val="none"/>
        </w:rPr>
        <w:t>。</w:t>
      </w:r>
    </w:p>
    <w:p w14:paraId="07F52D21">
      <w:pPr>
        <w:pStyle w:val="16"/>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本项目接受联合体：</w:t>
      </w:r>
    </w:p>
    <w:p w14:paraId="45F8C0BB">
      <w:pPr>
        <w:pStyle w:val="16"/>
        <w:spacing w:line="360" w:lineRule="auto"/>
        <w:ind w:firstLine="420" w:firstLineChars="200"/>
        <w:rPr>
          <w:rFonts w:hint="eastAsia" w:asciiTheme="minorEastAsia" w:hAnsiTheme="minorEastAsia" w:eastAsiaTheme="minorEastAsia" w:cstheme="minorEastAsia"/>
          <w:color w:val="auto"/>
          <w:sz w:val="21"/>
          <w:szCs w:val="21"/>
          <w:highlight w:val="none"/>
        </w:rPr>
      </w:pPr>
      <w:sdt>
        <w:sdtPr>
          <w:rPr>
            <w:rFonts w:hint="eastAsia" w:asciiTheme="minorEastAsia" w:hAnsiTheme="minorEastAsia" w:eastAsiaTheme="minorEastAsia" w:cstheme="minorEastAsia"/>
            <w:color w:val="auto"/>
            <w:kern w:val="0"/>
            <w:sz w:val="21"/>
            <w:szCs w:val="21"/>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highlight w:val="none"/>
          </w:rPr>
        </w:sdtEndPr>
        <w:sdtContent>
          <w:r>
            <w:rPr>
              <w:rFonts w:hint="eastAsia" w:asciiTheme="minorEastAsia" w:hAnsiTheme="minorEastAsia" w:eastAsiaTheme="minorEastAsia" w:cstheme="minorEastAsia"/>
              <w:color w:val="auto"/>
              <w:kern w:val="0"/>
              <w:sz w:val="21"/>
              <w:szCs w:val="21"/>
              <w:highlight w:val="none"/>
            </w:rPr>
            <w:sym w:font="Wingdings" w:char="F0FE"/>
          </w:r>
        </w:sdtContent>
      </w:sdt>
      <w:r>
        <w:rPr>
          <w:rFonts w:hint="eastAsia" w:asciiTheme="minorEastAsia" w:hAnsiTheme="minorEastAsia" w:eastAsiaTheme="minorEastAsia" w:cstheme="minorEastAsia"/>
          <w:color w:val="auto"/>
          <w:sz w:val="21"/>
          <w:szCs w:val="21"/>
          <w:highlight w:val="none"/>
        </w:rPr>
        <w:t>是；</w:t>
      </w:r>
    </w:p>
    <w:p w14:paraId="10F83198">
      <w:pPr>
        <w:pStyle w:val="16"/>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sdt>
        <w:sdtPr>
          <w:rPr>
            <w:rFonts w:hint="eastAsia" w:asciiTheme="minorEastAsia" w:hAnsiTheme="minorEastAsia" w:eastAsiaTheme="minorEastAsia" w:cstheme="minorEastAsia"/>
            <w:color w:val="auto"/>
            <w:kern w:val="0"/>
            <w:sz w:val="21"/>
            <w:szCs w:val="21"/>
            <w:highlight w:val="none"/>
          </w:rPr>
          <w:id w:val="8716812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highlight w:val="none"/>
          </w:rPr>
        </w:sdtEndPr>
        <w:sdtContent>
          <w:r>
            <w:rPr>
              <w:rFonts w:hint="eastAsia" w:asciiTheme="minorEastAsia" w:hAnsiTheme="minorEastAsia" w:eastAsiaTheme="minorEastAsia" w:cstheme="minorEastAsia"/>
              <w:color w:val="auto"/>
              <w:kern w:val="0"/>
              <w:sz w:val="21"/>
              <w:szCs w:val="21"/>
              <w:highlight w:val="none"/>
            </w:rPr>
            <w:t>☐</w:t>
          </w:r>
        </w:sdtContent>
      </w:sdt>
      <w:r>
        <w:rPr>
          <w:rFonts w:hint="eastAsia" w:asciiTheme="minorEastAsia" w:hAnsiTheme="minorEastAsia" w:eastAsiaTheme="minorEastAsia" w:cstheme="minorEastAsia"/>
          <w:color w:val="auto"/>
          <w:sz w:val="21"/>
          <w:szCs w:val="21"/>
          <w:highlight w:val="none"/>
        </w:rPr>
        <w:t>否</w:t>
      </w:r>
      <w:r>
        <w:rPr>
          <w:rFonts w:hint="eastAsia" w:asciiTheme="minorEastAsia" w:hAnsiTheme="minorEastAsia" w:eastAsiaTheme="minorEastAsia" w:cstheme="minorEastAsia"/>
          <w:color w:val="auto"/>
          <w:kern w:val="0"/>
          <w:sz w:val="21"/>
          <w:szCs w:val="21"/>
          <w:highlight w:val="none"/>
        </w:rPr>
        <w:t>，不接受联合体理由：</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60421EBA">
      <w:pPr>
        <w:pStyle w:val="131"/>
        <w:snapToGrid w:val="0"/>
        <w:spacing w:before="0"/>
        <w:ind w:firstLine="482"/>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注：/</w:t>
      </w:r>
    </w:p>
    <w:p w14:paraId="5FDF9849">
      <w:pPr>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w:t>
      </w:r>
      <w:bookmarkStart w:id="11" w:name="_Hlk101132948"/>
      <w:r>
        <w:rPr>
          <w:rFonts w:hint="eastAsia" w:asciiTheme="minorEastAsia" w:hAnsiTheme="minorEastAsia" w:eastAsiaTheme="minorEastAsia" w:cstheme="minorEastAsia"/>
          <w:b/>
          <w:color w:val="auto"/>
          <w:sz w:val="21"/>
          <w:szCs w:val="21"/>
          <w:highlight w:val="none"/>
        </w:rPr>
        <w:t>申请人的资格要求</w:t>
      </w:r>
      <w:bookmarkEnd w:id="11"/>
      <w:r>
        <w:rPr>
          <w:rFonts w:hint="eastAsia" w:asciiTheme="minorEastAsia" w:hAnsiTheme="minorEastAsia" w:eastAsiaTheme="minorEastAsia" w:cstheme="minorEastAsia"/>
          <w:b/>
          <w:color w:val="auto"/>
          <w:sz w:val="21"/>
          <w:szCs w:val="21"/>
          <w:highlight w:val="none"/>
        </w:rPr>
        <w:t>：</w:t>
      </w:r>
    </w:p>
    <w:p w14:paraId="07ABA5A8">
      <w:pPr>
        <w:spacing w:line="360" w:lineRule="auto"/>
        <w:ind w:firstLine="480"/>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93DB359">
      <w:pPr>
        <w:spacing w:line="360" w:lineRule="auto"/>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 xml:space="preserve">    2.</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snapToGrid w:val="0"/>
          <w:color w:val="auto"/>
          <w:kern w:val="28"/>
          <w:sz w:val="21"/>
          <w:szCs w:val="21"/>
          <w:highlight w:val="none"/>
        </w:rPr>
        <w:t>以联合体形式参与的，提供联合协议(本项目不接受联合体或者供应商不以联合体形式参与的，则不需要提供) ；</w:t>
      </w:r>
    </w:p>
    <w:p w14:paraId="3418B551">
      <w:pPr>
        <w:spacing w:line="360" w:lineRule="auto"/>
        <w:ind w:firstLine="420" w:firstLineChars="200"/>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3.落实政府采购政策需满足的资格要求：</w:t>
      </w:r>
    </w:p>
    <w:p w14:paraId="1323F040">
      <w:pPr>
        <w:spacing w:line="360" w:lineRule="auto"/>
        <w:ind w:firstLine="420" w:firstLineChars="200"/>
        <w:rPr>
          <w:rFonts w:hint="eastAsia" w:asciiTheme="minorEastAsia" w:hAnsiTheme="minorEastAsia" w:eastAsiaTheme="minorEastAsia" w:cstheme="minorEastAsia"/>
          <w:color w:val="auto"/>
          <w:sz w:val="21"/>
          <w:szCs w:val="21"/>
          <w:highlight w:val="none"/>
        </w:rPr>
      </w:pPr>
      <w:sdt>
        <w:sdtPr>
          <w:rPr>
            <w:rFonts w:hint="eastAsia" w:asciiTheme="minorEastAsia" w:hAnsiTheme="minorEastAsia" w:eastAsiaTheme="minorEastAsia" w:cstheme="minorEastAsia"/>
            <w:color w:val="auto"/>
            <w:kern w:val="0"/>
            <w:sz w:val="21"/>
            <w:szCs w:val="21"/>
            <w:highlight w:val="none"/>
          </w:rPr>
          <w:id w:val="192861692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highlight w:val="none"/>
          </w:rPr>
        </w:sdtEndPr>
        <w:sdtContent>
          <w:r>
            <w:rPr>
              <w:rFonts w:hint="eastAsia" w:asciiTheme="minorEastAsia" w:hAnsiTheme="minorEastAsia" w:eastAsiaTheme="minorEastAsia" w:cstheme="minorEastAsia"/>
              <w:color w:val="auto"/>
              <w:kern w:val="0"/>
              <w:sz w:val="21"/>
              <w:szCs w:val="21"/>
              <w:highlight w:val="none"/>
            </w:rPr>
            <w:t>☐</w:t>
          </w:r>
        </w:sdtContent>
      </w:sdt>
      <w:r>
        <w:rPr>
          <w:rFonts w:hint="eastAsia" w:asciiTheme="minorEastAsia" w:hAnsiTheme="minorEastAsia" w:eastAsiaTheme="minorEastAsia" w:cstheme="minorEastAsia"/>
          <w:color w:val="auto"/>
          <w:sz w:val="21"/>
          <w:szCs w:val="21"/>
          <w:highlight w:val="none"/>
        </w:rPr>
        <w:t>无；</w:t>
      </w:r>
    </w:p>
    <w:p w14:paraId="55741FB1">
      <w:pPr>
        <w:spacing w:line="360" w:lineRule="auto"/>
        <w:ind w:firstLine="420" w:firstLineChars="200"/>
        <w:rPr>
          <w:rFonts w:hint="eastAsia" w:asciiTheme="minorEastAsia" w:hAnsiTheme="minorEastAsia" w:eastAsiaTheme="minorEastAsia" w:cstheme="minorEastAsia"/>
          <w:color w:val="auto"/>
          <w:sz w:val="21"/>
          <w:szCs w:val="21"/>
          <w:highlight w:val="none"/>
        </w:rPr>
      </w:pPr>
      <w:sdt>
        <w:sdtPr>
          <w:rPr>
            <w:rFonts w:hint="eastAsia" w:asciiTheme="minorEastAsia" w:hAnsiTheme="minorEastAsia" w:eastAsiaTheme="minorEastAsia" w:cstheme="minorEastAsia"/>
            <w:color w:val="auto"/>
            <w:kern w:val="0"/>
            <w:sz w:val="21"/>
            <w:szCs w:val="21"/>
            <w:highlight w:val="none"/>
          </w:rPr>
          <w:id w:val="609159493"/>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highlight w:val="none"/>
          </w:rPr>
        </w:sdtEndPr>
        <w:sdtContent>
          <w:r>
            <w:rPr>
              <w:rFonts w:hint="eastAsia" w:asciiTheme="minorEastAsia" w:hAnsiTheme="minorEastAsia" w:eastAsiaTheme="minorEastAsia" w:cstheme="minorEastAsia"/>
              <w:color w:val="auto"/>
              <w:kern w:val="0"/>
              <w:sz w:val="21"/>
              <w:szCs w:val="21"/>
              <w:highlight w:val="none"/>
            </w:rPr>
            <w:sym w:font="Wingdings" w:char="F0FE"/>
          </w:r>
        </w:sdtContent>
      </w:sdt>
      <w:r>
        <w:rPr>
          <w:rFonts w:hint="eastAsia" w:asciiTheme="minorEastAsia" w:hAnsiTheme="minorEastAsia" w:eastAsiaTheme="minorEastAsia" w:cstheme="minorEastAsia"/>
          <w:color w:val="auto"/>
          <w:kern w:val="0"/>
          <w:sz w:val="21"/>
          <w:szCs w:val="21"/>
          <w:highlight w:val="none"/>
        </w:rPr>
        <w:t>专</w:t>
      </w:r>
      <w:r>
        <w:rPr>
          <w:rFonts w:hint="eastAsia" w:asciiTheme="minorEastAsia" w:hAnsiTheme="minorEastAsia" w:eastAsiaTheme="minorEastAsia" w:cstheme="minorEastAsia"/>
          <w:color w:val="auto"/>
          <w:sz w:val="21"/>
          <w:szCs w:val="21"/>
          <w:highlight w:val="none"/>
        </w:rPr>
        <w:t>门面向中小企业</w:t>
      </w:r>
    </w:p>
    <w:p w14:paraId="14EA60E7">
      <w:pPr>
        <w:spacing w:line="360" w:lineRule="auto"/>
        <w:ind w:firstLine="785" w:firstLineChars="374"/>
        <w:rPr>
          <w:rFonts w:hint="eastAsia" w:asciiTheme="minorEastAsia" w:hAnsiTheme="minorEastAsia" w:eastAsiaTheme="minorEastAsia" w:cstheme="minorEastAsia"/>
          <w:color w:val="auto"/>
          <w:sz w:val="21"/>
          <w:szCs w:val="21"/>
          <w:highlight w:val="none"/>
          <w:u w:val="single"/>
        </w:rPr>
      </w:pPr>
      <w:sdt>
        <w:sdtPr>
          <w:rPr>
            <w:rFonts w:hint="eastAsia" w:asciiTheme="minorEastAsia" w:hAnsiTheme="minorEastAsia" w:eastAsiaTheme="minorEastAsia" w:cstheme="minorEastAsia"/>
            <w:color w:val="auto"/>
            <w:kern w:val="0"/>
            <w:sz w:val="21"/>
            <w:szCs w:val="21"/>
            <w:highlight w:val="none"/>
          </w:rPr>
          <w:id w:val="22816380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highlight w:val="none"/>
          </w:rPr>
        </w:sdtEndPr>
        <w:sdtContent>
          <w:r>
            <w:rPr>
              <w:rFonts w:hint="eastAsia" w:asciiTheme="minorEastAsia" w:hAnsiTheme="minorEastAsia" w:eastAsiaTheme="minorEastAsia" w:cstheme="minorEastAsia"/>
              <w:color w:val="auto"/>
              <w:kern w:val="0"/>
              <w:sz w:val="21"/>
              <w:szCs w:val="21"/>
              <w:highlight w:val="none"/>
            </w:rPr>
            <w:sym w:font="Wingdings" w:char="F0FE"/>
          </w:r>
        </w:sdtContent>
      </w:sdt>
      <w:r>
        <w:rPr>
          <w:rFonts w:hint="eastAsia" w:asciiTheme="minorEastAsia" w:hAnsiTheme="minorEastAsia" w:eastAsiaTheme="minorEastAsia" w:cstheme="minorEastAsia"/>
          <w:color w:val="auto"/>
          <w:sz w:val="21"/>
          <w:szCs w:val="21"/>
          <w:highlight w:val="none"/>
        </w:rPr>
        <w:t>工程全部由符合政策要求的中小企业承建，提供中小企业声明函；</w:t>
      </w:r>
    </w:p>
    <w:p w14:paraId="17142B5A">
      <w:pPr>
        <w:spacing w:line="360" w:lineRule="auto"/>
        <w:ind w:firstLine="785" w:firstLineChars="374"/>
        <w:rPr>
          <w:rFonts w:hint="eastAsia" w:asciiTheme="minorEastAsia" w:hAnsiTheme="minorEastAsia" w:eastAsiaTheme="minorEastAsia" w:cstheme="minorEastAsia"/>
          <w:color w:val="auto"/>
          <w:sz w:val="21"/>
          <w:szCs w:val="21"/>
          <w:highlight w:val="none"/>
        </w:rPr>
      </w:pPr>
      <w:sdt>
        <w:sdtPr>
          <w:rPr>
            <w:rFonts w:hint="eastAsia" w:asciiTheme="minorEastAsia" w:hAnsiTheme="minorEastAsia" w:eastAsiaTheme="minorEastAsia" w:cstheme="minorEastAsia"/>
            <w:color w:val="auto"/>
            <w:kern w:val="0"/>
            <w:sz w:val="21"/>
            <w:szCs w:val="21"/>
            <w:highlight w:val="none"/>
          </w:rPr>
          <w:id w:val="70114385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highlight w:val="none"/>
          </w:rPr>
        </w:sdtEndPr>
        <w:sdtContent>
          <w:r>
            <w:rPr>
              <w:rFonts w:hint="eastAsia" w:asciiTheme="minorEastAsia" w:hAnsiTheme="minorEastAsia" w:eastAsiaTheme="minorEastAsia" w:cstheme="minorEastAsia"/>
              <w:color w:val="auto"/>
              <w:kern w:val="0"/>
              <w:sz w:val="21"/>
              <w:szCs w:val="21"/>
              <w:highlight w:val="none"/>
            </w:rPr>
            <w:t>☐</w:t>
          </w:r>
        </w:sdtContent>
      </w:sdt>
      <w:r>
        <w:rPr>
          <w:rFonts w:hint="eastAsia" w:asciiTheme="minorEastAsia" w:hAnsiTheme="minorEastAsia" w:eastAsiaTheme="minorEastAsia" w:cstheme="minorEastAsia"/>
          <w:color w:val="auto"/>
          <w:sz w:val="21"/>
          <w:szCs w:val="21"/>
          <w:highlight w:val="none"/>
        </w:rPr>
        <w:t>工程全部由符合政策要求的小微企业承建，提供中小企业声明函；</w:t>
      </w:r>
    </w:p>
    <w:p w14:paraId="289F0230">
      <w:pPr>
        <w:spacing w:line="360" w:lineRule="auto"/>
        <w:ind w:firstLine="420" w:firstLineChars="200"/>
        <w:rPr>
          <w:rFonts w:hint="eastAsia" w:asciiTheme="minorEastAsia" w:hAnsiTheme="minorEastAsia" w:eastAsiaTheme="minorEastAsia" w:cstheme="minorEastAsia"/>
          <w:color w:val="auto"/>
          <w:sz w:val="21"/>
          <w:szCs w:val="21"/>
          <w:highlight w:val="none"/>
        </w:rPr>
      </w:pPr>
      <w:sdt>
        <w:sdtPr>
          <w:rPr>
            <w:rFonts w:hint="eastAsia" w:asciiTheme="minorEastAsia" w:hAnsiTheme="minorEastAsia" w:eastAsiaTheme="minorEastAsia" w:cstheme="minorEastAsia"/>
            <w:color w:val="auto"/>
            <w:kern w:val="0"/>
            <w:sz w:val="21"/>
            <w:szCs w:val="21"/>
            <w:highlight w:val="none"/>
          </w:rPr>
          <w:id w:val="13928015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highlight w:val="none"/>
          </w:rPr>
        </w:sdtEndPr>
        <w:sdtContent>
          <w:r>
            <w:rPr>
              <w:rFonts w:hint="eastAsia" w:asciiTheme="minorEastAsia" w:hAnsiTheme="minorEastAsia" w:eastAsiaTheme="minorEastAsia" w:cstheme="minorEastAsia"/>
              <w:color w:val="auto"/>
              <w:kern w:val="0"/>
              <w:sz w:val="21"/>
              <w:szCs w:val="21"/>
              <w:highlight w:val="none"/>
            </w:rPr>
            <w:t>☐</w:t>
          </w:r>
          <w:bookmarkStart w:id="12" w:name="_Hlk101132524"/>
        </w:sdtContent>
      </w:sdt>
      <w:r>
        <w:rPr>
          <w:rFonts w:hint="eastAsia" w:asciiTheme="minorEastAsia" w:hAnsiTheme="minorEastAsia" w:eastAsiaTheme="minorEastAsia" w:cstheme="minorEastAsia"/>
          <w:color w:val="auto"/>
          <w:sz w:val="21"/>
          <w:szCs w:val="21"/>
          <w:highlight w:val="none"/>
        </w:rPr>
        <w:t>要求以联合体形式参加，提供联合协议和中小企业声明函，联合协议中中小企业合同金额应当达到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%，其中小微企业合同金额应当达到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8"/>
          <w:kern w:val="0"/>
          <w:sz w:val="21"/>
          <w:szCs w:val="21"/>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Theme="minorEastAsia" w:hAnsiTheme="minorEastAsia" w:eastAsiaTheme="minorEastAsia" w:cstheme="minorEastAsia"/>
          <w:color w:val="auto"/>
          <w:sz w:val="21"/>
          <w:szCs w:val="21"/>
          <w:highlight w:val="none"/>
        </w:rPr>
        <w:t>；</w:t>
      </w:r>
    </w:p>
    <w:bookmarkEnd w:id="12"/>
    <w:p w14:paraId="5BFB715D">
      <w:pPr>
        <w:spacing w:line="360" w:lineRule="auto"/>
        <w:ind w:firstLine="420" w:firstLineChars="200"/>
        <w:rPr>
          <w:rFonts w:hint="eastAsia" w:asciiTheme="minorEastAsia" w:hAnsiTheme="minorEastAsia" w:eastAsiaTheme="minorEastAsia" w:cstheme="minorEastAsia"/>
          <w:color w:val="auto"/>
          <w:sz w:val="21"/>
          <w:szCs w:val="21"/>
          <w:highlight w:val="none"/>
        </w:rPr>
      </w:pPr>
      <w:sdt>
        <w:sdtPr>
          <w:rPr>
            <w:rFonts w:hint="eastAsia" w:asciiTheme="minorEastAsia" w:hAnsiTheme="minorEastAsia" w:eastAsiaTheme="minorEastAsia" w:cstheme="minorEastAsia"/>
            <w:color w:val="auto"/>
            <w:kern w:val="0"/>
            <w:sz w:val="21"/>
            <w:szCs w:val="21"/>
            <w:highlight w:val="none"/>
          </w:rPr>
          <w:id w:val="3463064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highlight w:val="none"/>
          </w:rPr>
        </w:sdtEndPr>
        <w:sdtContent>
          <w:r>
            <w:rPr>
              <w:rFonts w:hint="eastAsia" w:asciiTheme="minorEastAsia" w:hAnsiTheme="minorEastAsia" w:eastAsiaTheme="minorEastAsia" w:cstheme="minorEastAsia"/>
              <w:color w:val="auto"/>
              <w:kern w:val="0"/>
              <w:sz w:val="21"/>
              <w:szCs w:val="21"/>
              <w:highlight w:val="none"/>
            </w:rPr>
            <w:t>☐</w:t>
          </w:r>
        </w:sdtContent>
      </w:sdt>
      <w:r>
        <w:rPr>
          <w:rFonts w:hint="eastAsia" w:asciiTheme="minorEastAsia" w:hAnsiTheme="minorEastAsia" w:eastAsiaTheme="minorEastAsia" w:cstheme="minorEastAsia"/>
          <w:color w:val="auto"/>
          <w:sz w:val="21"/>
          <w:szCs w:val="21"/>
          <w:highlight w:val="none"/>
        </w:rPr>
        <w:t>要求合同分包，提供分包意向协议和中小企业声明函，分包意向协议中中小企业合同金额应当达到达到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，其中小微企业合同金额应当达到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w:t>
      </w:r>
      <w:r>
        <w:rPr>
          <w:rFonts w:hint="eastAsia" w:asciiTheme="minorEastAsia" w:hAnsiTheme="minorEastAsia" w:eastAsiaTheme="minorEastAsia" w:cstheme="minorEastAsia"/>
          <w:color w:val="auto"/>
          <w:spacing w:val="8"/>
          <w:kern w:val="0"/>
          <w:sz w:val="21"/>
          <w:szCs w:val="21"/>
          <w:highlight w:val="none"/>
        </w:rPr>
        <w:t>如果供应商本身提供所有标的均由中小企业承建，并相应达到了前述比例要求，视同符合了资格条件，无需再向中小企业分包，无需提供分包意向协议</w:t>
      </w:r>
      <w:r>
        <w:rPr>
          <w:rFonts w:hint="eastAsia" w:asciiTheme="minorEastAsia" w:hAnsiTheme="minorEastAsia" w:eastAsiaTheme="minorEastAsia" w:cstheme="minorEastAsia"/>
          <w:color w:val="auto"/>
          <w:sz w:val="21"/>
          <w:szCs w:val="21"/>
          <w:highlight w:val="none"/>
        </w:rPr>
        <w:t>；</w:t>
      </w:r>
    </w:p>
    <w:p w14:paraId="75ECF20A">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4.本项目的特定资格要求：</w:t>
      </w:r>
    </w:p>
    <w:p w14:paraId="5CDF498D">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sdt>
        <w:sdtPr>
          <w:rPr>
            <w:rFonts w:hint="eastAsia" w:asciiTheme="minorEastAsia" w:hAnsiTheme="minorEastAsia" w:eastAsiaTheme="minorEastAsia" w:cstheme="minorEastAsia"/>
            <w:color w:val="auto"/>
            <w:kern w:val="0"/>
            <w:sz w:val="21"/>
            <w:szCs w:val="21"/>
            <w:highlight w:val="none"/>
          </w:rPr>
          <w:id w:val="14746646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highlight w:val="none"/>
          </w:rPr>
        </w:sdtEndPr>
        <w:sdtContent>
          <w:r>
            <w:rPr>
              <w:rFonts w:hint="eastAsia" w:asciiTheme="minorEastAsia" w:hAnsiTheme="minorEastAsia" w:eastAsiaTheme="minorEastAsia" w:cstheme="minorEastAsia"/>
              <w:color w:val="auto"/>
              <w:kern w:val="0"/>
              <w:sz w:val="21"/>
              <w:szCs w:val="21"/>
              <w:highlight w:val="none"/>
            </w:rPr>
            <w:t>☐</w:t>
          </w:r>
        </w:sdtContent>
      </w:sdt>
      <w:r>
        <w:rPr>
          <w:rFonts w:hint="eastAsia" w:asciiTheme="minorEastAsia" w:hAnsiTheme="minorEastAsia" w:eastAsiaTheme="minorEastAsia" w:cstheme="minorEastAsia"/>
          <w:color w:val="auto"/>
          <w:kern w:val="0"/>
          <w:sz w:val="21"/>
          <w:szCs w:val="21"/>
          <w:highlight w:val="none"/>
        </w:rPr>
        <w:t>无。</w:t>
      </w:r>
    </w:p>
    <w:p w14:paraId="32EC52DE">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sdt>
        <w:sdtPr>
          <w:rPr>
            <w:rFonts w:hint="eastAsia" w:asciiTheme="minorEastAsia" w:hAnsiTheme="minorEastAsia" w:eastAsiaTheme="minorEastAsia" w:cstheme="minorEastAsia"/>
            <w:color w:val="auto"/>
            <w:kern w:val="0"/>
            <w:sz w:val="21"/>
            <w:szCs w:val="21"/>
            <w:highlight w:val="none"/>
          </w:rPr>
          <w:id w:val="900648444"/>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highlight w:val="none"/>
          </w:rPr>
        </w:sdtEndPr>
        <w:sdtContent>
          <w:r>
            <w:rPr>
              <w:rFonts w:hint="eastAsia" w:asciiTheme="minorEastAsia" w:hAnsiTheme="minorEastAsia" w:eastAsiaTheme="minorEastAsia" w:cstheme="minorEastAsia"/>
              <w:color w:val="auto"/>
              <w:kern w:val="0"/>
              <w:sz w:val="21"/>
              <w:szCs w:val="21"/>
              <w:highlight w:val="none"/>
            </w:rPr>
            <w:t></w:t>
          </w:r>
        </w:sdtContent>
      </w:sdt>
      <w:r>
        <w:rPr>
          <w:rFonts w:hint="eastAsia" w:asciiTheme="minorEastAsia" w:hAnsiTheme="minorEastAsia" w:eastAsiaTheme="minorEastAsia" w:cstheme="minorEastAsia"/>
          <w:color w:val="auto"/>
          <w:sz w:val="21"/>
          <w:szCs w:val="21"/>
          <w:highlight w:val="none"/>
        </w:rPr>
        <w:t>有特定资格要求：</w:t>
      </w:r>
    </w:p>
    <w:p w14:paraId="4820E87B">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（1）</w:t>
      </w:r>
      <w:r>
        <w:rPr>
          <w:rFonts w:hint="eastAsia" w:asciiTheme="minorEastAsia" w:hAnsiTheme="minorEastAsia" w:eastAsiaTheme="minorEastAsia" w:cstheme="minorEastAsia"/>
          <w:color w:val="auto"/>
          <w:sz w:val="21"/>
          <w:szCs w:val="21"/>
          <w:highlight w:val="none"/>
          <w:u w:val="single"/>
        </w:rPr>
        <w:t>供应商具有建筑工程施工总承包三级及以上资质；</w:t>
      </w:r>
    </w:p>
    <w:p w14:paraId="411F06E2">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（2）具有有效期内的《安全生产许可证书》；</w:t>
      </w:r>
    </w:p>
    <w:p w14:paraId="51B68434">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该特定条件的法律法规依据：</w:t>
      </w:r>
      <w:r>
        <w:rPr>
          <w:rFonts w:hint="eastAsia" w:asciiTheme="minorEastAsia" w:hAnsiTheme="minorEastAsia" w:eastAsiaTheme="minorEastAsia" w:cstheme="minorEastAsia"/>
          <w:color w:val="auto"/>
          <w:sz w:val="21"/>
          <w:szCs w:val="21"/>
          <w:highlight w:val="none"/>
          <w:u w:val="single"/>
        </w:rPr>
        <w:t>《中华人民共和国建筑法》，第二十六条“承包建筑工程的单位应当持有依法取得的资质证书，并在其资质等级许可的业务范围内承揽工程”及中华人民共和国住房和城乡建设部发布的《建筑业企业资质标准》；《建筑施工企业安全生产许可证管理规定》，第一章 第二条“国家对建筑施工企业实行安全生产许可制度，建筑施工企业未取得安全生产许可证的，不得从事建筑施工活动”</w:t>
      </w:r>
      <w:r>
        <w:rPr>
          <w:rFonts w:hint="eastAsia" w:asciiTheme="minorEastAsia" w:hAnsiTheme="minorEastAsia" w:eastAsiaTheme="minorEastAsia" w:cstheme="minorEastAsia"/>
          <w:color w:val="auto"/>
          <w:sz w:val="21"/>
          <w:szCs w:val="21"/>
          <w:highlight w:val="none"/>
        </w:rPr>
        <w:t>。</w:t>
      </w:r>
    </w:p>
    <w:p w14:paraId="35738C47">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205EF60">
      <w:pPr>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三、获取采购文件 </w:t>
      </w:r>
    </w:p>
    <w:p w14:paraId="16CA758D">
      <w:pPr>
        <w:spacing w:line="360" w:lineRule="auto"/>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时间：</w:t>
      </w:r>
      <w:r>
        <w:rPr>
          <w:rFonts w:hint="eastAsia" w:asciiTheme="minorEastAsia" w:hAnsiTheme="minorEastAsia" w:eastAsiaTheme="minorEastAsia" w:cstheme="minorEastAsia"/>
          <w:color w:val="auto"/>
          <w:sz w:val="21"/>
          <w:szCs w:val="21"/>
          <w:highlight w:val="none"/>
        </w:rPr>
        <w:t>/至</w:t>
      </w:r>
      <w:r>
        <w:rPr>
          <w:rFonts w:hint="eastAsia" w:asciiTheme="minorEastAsia" w:hAnsiTheme="minorEastAsia" w:eastAsiaTheme="minorEastAsia" w:cstheme="minorEastAsia"/>
          <w:color w:val="auto"/>
          <w:sz w:val="21"/>
          <w:szCs w:val="21"/>
          <w:highlight w:val="none"/>
          <w:u w:val="single"/>
        </w:rPr>
        <w:t>2025年</w:t>
      </w:r>
      <w:r>
        <w:rPr>
          <w:rFonts w:hint="eastAsia" w:asciiTheme="minorEastAsia" w:hAnsiTheme="minorEastAsia" w:eastAsiaTheme="minorEastAsia" w:cstheme="minorEastAsia"/>
          <w:color w:val="auto"/>
          <w:sz w:val="21"/>
          <w:szCs w:val="21"/>
          <w:highlight w:val="none"/>
          <w:u w:val="single"/>
          <w:lang w:val="en-US" w:eastAsia="zh-CN"/>
        </w:rPr>
        <w:t>06月27日</w:t>
      </w:r>
      <w:r>
        <w:rPr>
          <w:rFonts w:hint="eastAsia" w:asciiTheme="minorEastAsia" w:hAnsiTheme="minorEastAsia" w:eastAsiaTheme="minorEastAsia" w:cstheme="minorEastAsia"/>
          <w:color w:val="auto"/>
          <w:sz w:val="21"/>
          <w:szCs w:val="21"/>
          <w:highlight w:val="none"/>
        </w:rPr>
        <w:t>，每天上午00:00至12:00 ，下午12:00至23:59（北京时间，线上获取法定节假日均可，线下获取文件法定节假日除外）</w:t>
      </w:r>
    </w:p>
    <w:p w14:paraId="618453F4">
      <w:pPr>
        <w:spacing w:line="360" w:lineRule="auto"/>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地点（网址）：</w:t>
      </w:r>
      <w:r>
        <w:rPr>
          <w:rFonts w:hint="eastAsia" w:asciiTheme="minorEastAsia" w:hAnsiTheme="minorEastAsia" w:eastAsiaTheme="minorEastAsia" w:cstheme="minorEastAsia"/>
          <w:color w:val="auto"/>
          <w:sz w:val="21"/>
          <w:szCs w:val="21"/>
          <w:highlight w:val="none"/>
          <w:lang w:eastAsia="zh-CN"/>
        </w:rPr>
        <w:t>乐采云平台</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https://www.lecaiyun.com/</w:t>
      </w:r>
      <w:r>
        <w:rPr>
          <w:rFonts w:hint="eastAsia" w:asciiTheme="minorEastAsia" w:hAnsiTheme="minorEastAsia" w:eastAsiaTheme="minorEastAsia" w:cstheme="minorEastAsia"/>
          <w:color w:val="auto"/>
          <w:sz w:val="21"/>
          <w:szCs w:val="21"/>
          <w:highlight w:val="none"/>
        </w:rPr>
        <w:t xml:space="preserve">） </w:t>
      </w:r>
    </w:p>
    <w:p w14:paraId="476A0813">
      <w:pPr>
        <w:spacing w:line="360" w:lineRule="auto"/>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方式：</w:t>
      </w:r>
      <w:r>
        <w:rPr>
          <w:rFonts w:hint="eastAsia" w:asciiTheme="minorEastAsia" w:hAnsiTheme="minorEastAsia" w:eastAsiaTheme="minorEastAsia" w:cstheme="minorEastAsia"/>
          <w:color w:val="auto"/>
          <w:sz w:val="21"/>
          <w:szCs w:val="21"/>
          <w:highlight w:val="none"/>
        </w:rPr>
        <w:t>供应商登录</w:t>
      </w:r>
      <w:r>
        <w:rPr>
          <w:rFonts w:hint="eastAsia" w:asciiTheme="minorEastAsia" w:hAnsiTheme="minorEastAsia" w:eastAsiaTheme="minorEastAsia" w:cstheme="minorEastAsia"/>
          <w:color w:val="auto"/>
          <w:sz w:val="21"/>
          <w:szCs w:val="21"/>
          <w:highlight w:val="none"/>
          <w:lang w:eastAsia="zh-CN"/>
        </w:rPr>
        <w:t>乐采云平台https://www.lecaiyun.com/</w:t>
      </w:r>
      <w:r>
        <w:rPr>
          <w:rFonts w:hint="eastAsia" w:asciiTheme="minorEastAsia" w:hAnsiTheme="minorEastAsia" w:eastAsiaTheme="minorEastAsia" w:cstheme="minorEastAsia"/>
          <w:color w:val="auto"/>
          <w:sz w:val="21"/>
          <w:szCs w:val="21"/>
          <w:highlight w:val="none"/>
        </w:rPr>
        <w:t xml:space="preserve">在线申请获取采购文件（进入“项目采购”应用，在获取采购文件菜单中选择项目，申请获取采购文件）。 </w:t>
      </w:r>
    </w:p>
    <w:p w14:paraId="1A99CCBF">
      <w:pPr>
        <w:spacing w:line="360" w:lineRule="auto"/>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售价（元）：</w:t>
      </w:r>
      <w:r>
        <w:rPr>
          <w:rFonts w:hint="eastAsia" w:asciiTheme="minorEastAsia" w:hAnsiTheme="minorEastAsia" w:eastAsiaTheme="minorEastAsia" w:cstheme="minorEastAsia"/>
          <w:color w:val="auto"/>
          <w:sz w:val="21"/>
          <w:szCs w:val="21"/>
          <w:highlight w:val="none"/>
        </w:rPr>
        <w:t xml:space="preserve">0 </w:t>
      </w:r>
      <w:r>
        <w:rPr>
          <w:rFonts w:hint="eastAsia" w:asciiTheme="minorEastAsia" w:hAnsiTheme="minorEastAsia" w:eastAsiaTheme="minorEastAsia" w:cstheme="minorEastAsia"/>
          <w:color w:val="auto"/>
          <w:sz w:val="21"/>
          <w:szCs w:val="21"/>
          <w:highlight w:val="none"/>
        </w:rPr>
        <w:tab/>
      </w:r>
    </w:p>
    <w:p w14:paraId="5ACAB5FA">
      <w:pPr>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四、响应文件提交（上传）</w:t>
      </w:r>
    </w:p>
    <w:p w14:paraId="0A5365AD">
      <w:pPr>
        <w:spacing w:line="360" w:lineRule="auto"/>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截止时间：</w:t>
      </w:r>
      <w:r>
        <w:rPr>
          <w:rFonts w:hint="eastAsia" w:asciiTheme="minorEastAsia" w:hAnsiTheme="minorEastAsia" w:eastAsiaTheme="minorEastAsia" w:cstheme="minorEastAsia"/>
          <w:color w:val="auto"/>
          <w:sz w:val="21"/>
          <w:szCs w:val="21"/>
          <w:highlight w:val="none"/>
          <w:u w:val="single"/>
        </w:rPr>
        <w:t xml:space="preserve"> 2025年</w:t>
      </w:r>
      <w:r>
        <w:rPr>
          <w:rFonts w:hint="eastAsia" w:asciiTheme="minorEastAsia" w:hAnsiTheme="minorEastAsia" w:eastAsiaTheme="minorEastAsia" w:cstheme="minorEastAsia"/>
          <w:color w:val="auto"/>
          <w:sz w:val="21"/>
          <w:szCs w:val="21"/>
          <w:highlight w:val="none"/>
          <w:u w:val="single"/>
          <w:lang w:val="en-US" w:eastAsia="zh-CN"/>
        </w:rPr>
        <w:t>06月27日13</w:t>
      </w:r>
      <w:r>
        <w:rPr>
          <w:rFonts w:hint="eastAsia" w:asciiTheme="minorEastAsia" w:hAnsiTheme="minorEastAsia" w:eastAsiaTheme="minorEastAsia" w:cstheme="minorEastAsia"/>
          <w:color w:val="auto"/>
          <w:sz w:val="21"/>
          <w:szCs w:val="21"/>
          <w:highlight w:val="none"/>
          <w:u w:val="single"/>
        </w:rPr>
        <w:t>点</w:t>
      </w:r>
      <w:r>
        <w:rPr>
          <w:rFonts w:hint="eastAsia" w:asciiTheme="minorEastAsia" w:hAnsiTheme="minorEastAsia" w:eastAsiaTheme="minorEastAsia" w:cstheme="minorEastAsia"/>
          <w:color w:val="auto"/>
          <w:sz w:val="21"/>
          <w:szCs w:val="21"/>
          <w:highlight w:val="none"/>
          <w:u w:val="single"/>
          <w:lang w:val="en-US" w:eastAsia="zh-CN"/>
        </w:rPr>
        <w:t>30</w:t>
      </w:r>
      <w:r>
        <w:rPr>
          <w:rFonts w:hint="eastAsia" w:asciiTheme="minorEastAsia" w:hAnsiTheme="minorEastAsia" w:eastAsiaTheme="minorEastAsia" w:cstheme="minorEastAsia"/>
          <w:color w:val="auto"/>
          <w:sz w:val="21"/>
          <w:szCs w:val="21"/>
          <w:highlight w:val="none"/>
          <w:u w:val="single"/>
        </w:rPr>
        <w:t>分</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（北京时间）</w:t>
      </w:r>
    </w:p>
    <w:p w14:paraId="1957B0ED">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地点（网址）：</w:t>
      </w:r>
      <w:r>
        <w:rPr>
          <w:rFonts w:hint="eastAsia" w:asciiTheme="minorEastAsia" w:hAnsiTheme="minorEastAsia" w:eastAsiaTheme="minorEastAsia" w:cstheme="minorEastAsia"/>
          <w:color w:val="auto"/>
          <w:sz w:val="21"/>
          <w:szCs w:val="21"/>
          <w:highlight w:val="none"/>
          <w:lang w:eastAsia="zh-CN"/>
        </w:rPr>
        <w:t>乐采云平台</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https://www.lecaiyun.com/</w:t>
      </w:r>
      <w:r>
        <w:rPr>
          <w:rFonts w:hint="eastAsia" w:asciiTheme="minorEastAsia" w:hAnsiTheme="minorEastAsia" w:eastAsiaTheme="minorEastAsia" w:cstheme="minorEastAsia"/>
          <w:color w:val="auto"/>
          <w:sz w:val="21"/>
          <w:szCs w:val="21"/>
          <w:highlight w:val="none"/>
        </w:rPr>
        <w:t xml:space="preserve">） </w:t>
      </w:r>
    </w:p>
    <w:p w14:paraId="359BE9DA">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五、响应文件开启 </w:t>
      </w:r>
    </w:p>
    <w:p w14:paraId="1CF7DAE4">
      <w:pPr>
        <w:spacing w:line="360" w:lineRule="auto"/>
        <w:ind w:firstLine="422" w:firstLineChars="200"/>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b/>
          <w:color w:val="auto"/>
          <w:sz w:val="21"/>
          <w:szCs w:val="21"/>
          <w:highlight w:val="none"/>
        </w:rPr>
        <w:t>开启时间：</w:t>
      </w:r>
      <w:r>
        <w:rPr>
          <w:rFonts w:hint="eastAsia" w:asciiTheme="minorEastAsia" w:hAnsiTheme="minorEastAsia" w:eastAsiaTheme="minorEastAsia" w:cstheme="minorEastAsia"/>
          <w:color w:val="auto"/>
          <w:sz w:val="21"/>
          <w:szCs w:val="21"/>
          <w:highlight w:val="none"/>
          <w:u w:val="single"/>
        </w:rPr>
        <w:t>2025年</w:t>
      </w:r>
      <w:r>
        <w:rPr>
          <w:rFonts w:hint="eastAsia" w:asciiTheme="minorEastAsia" w:hAnsiTheme="minorEastAsia" w:eastAsiaTheme="minorEastAsia" w:cstheme="minorEastAsia"/>
          <w:color w:val="auto"/>
          <w:sz w:val="21"/>
          <w:szCs w:val="21"/>
          <w:highlight w:val="none"/>
          <w:u w:val="single"/>
          <w:lang w:val="en-US" w:eastAsia="zh-CN"/>
        </w:rPr>
        <w:t>06月27日13</w:t>
      </w:r>
      <w:r>
        <w:rPr>
          <w:rFonts w:hint="eastAsia" w:asciiTheme="minorEastAsia" w:hAnsiTheme="minorEastAsia" w:eastAsiaTheme="minorEastAsia" w:cstheme="minorEastAsia"/>
          <w:color w:val="auto"/>
          <w:sz w:val="21"/>
          <w:szCs w:val="21"/>
          <w:highlight w:val="none"/>
          <w:u w:val="single"/>
        </w:rPr>
        <w:t>点</w:t>
      </w:r>
      <w:r>
        <w:rPr>
          <w:rFonts w:hint="eastAsia" w:asciiTheme="minorEastAsia" w:hAnsiTheme="minorEastAsia" w:eastAsiaTheme="minorEastAsia" w:cstheme="minorEastAsia"/>
          <w:color w:val="auto"/>
          <w:sz w:val="21"/>
          <w:szCs w:val="21"/>
          <w:highlight w:val="none"/>
          <w:u w:val="single"/>
          <w:lang w:val="en-US" w:eastAsia="zh-CN"/>
        </w:rPr>
        <w:t>30</w:t>
      </w:r>
      <w:r>
        <w:rPr>
          <w:rFonts w:hint="eastAsia" w:asciiTheme="minorEastAsia" w:hAnsiTheme="minorEastAsia" w:eastAsiaTheme="minorEastAsia" w:cstheme="minorEastAsia"/>
          <w:color w:val="auto"/>
          <w:sz w:val="21"/>
          <w:szCs w:val="21"/>
          <w:highlight w:val="none"/>
          <w:u w:val="single"/>
        </w:rPr>
        <w:t>分</w:t>
      </w:r>
      <w:r>
        <w:rPr>
          <w:rFonts w:hint="eastAsia" w:asciiTheme="minorEastAsia" w:hAnsiTheme="minorEastAsia" w:eastAsiaTheme="minorEastAsia" w:cstheme="minorEastAsia"/>
          <w:bCs/>
          <w:color w:val="auto"/>
          <w:sz w:val="21"/>
          <w:szCs w:val="21"/>
          <w:highlight w:val="none"/>
          <w:u w:val="single"/>
        </w:rPr>
        <w:t xml:space="preserve"> </w:t>
      </w:r>
    </w:p>
    <w:p w14:paraId="16425C6F">
      <w:pPr>
        <w:spacing w:line="360" w:lineRule="auto"/>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地点（网址）：</w:t>
      </w:r>
      <w:r>
        <w:rPr>
          <w:rFonts w:hint="eastAsia" w:asciiTheme="minorEastAsia" w:hAnsiTheme="minorEastAsia" w:eastAsiaTheme="minorEastAsia" w:cstheme="minorEastAsia"/>
          <w:color w:val="auto"/>
          <w:sz w:val="21"/>
          <w:szCs w:val="21"/>
          <w:highlight w:val="none"/>
          <w:lang w:eastAsia="zh-CN"/>
        </w:rPr>
        <w:t>乐采云平台</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https://www.lecaiyun.com/</w:t>
      </w:r>
      <w:r>
        <w:rPr>
          <w:rFonts w:hint="eastAsia" w:asciiTheme="minorEastAsia" w:hAnsiTheme="minorEastAsia" w:eastAsiaTheme="minorEastAsia" w:cstheme="minorEastAsia"/>
          <w:color w:val="auto"/>
          <w:sz w:val="21"/>
          <w:szCs w:val="21"/>
          <w:highlight w:val="none"/>
        </w:rPr>
        <w:t>）</w:t>
      </w:r>
    </w:p>
    <w:p w14:paraId="61C43DE8">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六、公告期限 </w:t>
      </w:r>
    </w:p>
    <w:p w14:paraId="043F1ED2">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自本公告发布之日起3个工作日。</w:t>
      </w:r>
    </w:p>
    <w:p w14:paraId="613DBC80">
      <w:pPr>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七、其他补充事宜</w:t>
      </w:r>
    </w:p>
    <w:p w14:paraId="465107DB">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Theme="minorEastAsia" w:hAnsiTheme="minorEastAsia" w:eastAsiaTheme="minorEastAsia" w:cstheme="minorEastAsia"/>
          <w:color w:val="auto"/>
          <w:sz w:val="21"/>
          <w:szCs w:val="21"/>
          <w:highlight w:val="none"/>
          <w:shd w:val="clear" w:color="auto" w:fill="FFFFFF"/>
        </w:rPr>
        <w:t>浙江省财政厅关于进一步加大政府采购 支持中小企业力度 助力扎实稳住经济 的通知》（浙财采监〔2022〕8号）</w:t>
      </w:r>
      <w:r>
        <w:rPr>
          <w:rFonts w:hint="eastAsia" w:asciiTheme="minorEastAsia" w:hAnsiTheme="minorEastAsia" w:eastAsiaTheme="minorEastAsia" w:cstheme="minorEastAsia"/>
          <w:color w:val="auto"/>
          <w:sz w:val="21"/>
          <w:szCs w:val="21"/>
          <w:highlight w:val="none"/>
        </w:rPr>
        <w:t>已分别于2022年1月29日、2022年2月1日和2022年7月1日开始实施，此前有关规定与上述文件内容不一致的，按上述文件要求执行。</w:t>
      </w:r>
    </w:p>
    <w:p w14:paraId="52A828C1">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2.根据《浙江省财政厅关于进一步促进政府采购公平竞争打造最优营商环境的通知》（浙财采监（2021）22号）文件关于“健全行政裁决机制”要求，鼓励供应商在线提起询问，路径为：</w:t>
      </w:r>
      <w:r>
        <w:rPr>
          <w:rFonts w:hint="eastAsia" w:asciiTheme="minorEastAsia" w:hAnsiTheme="minorEastAsia" w:eastAsiaTheme="minorEastAsia" w:cstheme="minorEastAsia"/>
          <w:color w:val="auto"/>
          <w:sz w:val="21"/>
          <w:szCs w:val="21"/>
          <w:highlight w:val="none"/>
          <w:lang w:eastAsia="zh-CN"/>
        </w:rPr>
        <w:t>乐采云</w:t>
      </w:r>
      <w:r>
        <w:rPr>
          <w:rFonts w:hint="eastAsia" w:asciiTheme="minorEastAsia" w:hAnsiTheme="minorEastAsia" w:eastAsiaTheme="minorEastAsia" w:cstheme="minorEastAsia"/>
          <w:color w:val="auto"/>
          <w:sz w:val="21"/>
          <w:szCs w:val="21"/>
          <w:highlight w:val="none"/>
        </w:rPr>
        <w:t>-项目采购-询问质疑投诉-询问列表:鼓励供应商在线提起质疑，路径为：</w:t>
      </w:r>
      <w:r>
        <w:rPr>
          <w:rFonts w:hint="eastAsia" w:asciiTheme="minorEastAsia" w:hAnsiTheme="minorEastAsia" w:eastAsiaTheme="minorEastAsia" w:cstheme="minorEastAsia"/>
          <w:color w:val="auto"/>
          <w:sz w:val="21"/>
          <w:szCs w:val="21"/>
          <w:highlight w:val="none"/>
          <w:lang w:eastAsia="zh-CN"/>
        </w:rPr>
        <w:t>乐采云</w:t>
      </w:r>
      <w:r>
        <w:rPr>
          <w:rFonts w:hint="eastAsia" w:asciiTheme="minorEastAsia" w:hAnsiTheme="minorEastAsia" w:eastAsiaTheme="minorEastAsia" w:cstheme="minorEastAsia"/>
          <w:color w:val="auto"/>
          <w:sz w:val="21"/>
          <w:szCs w:val="21"/>
          <w:highlight w:val="none"/>
        </w:rPr>
        <w:t>-项目采购-询问质疑投诉-质疑列表。质疑供应商对在线质疑答复不满意的，可在线提起投诉，路径为：浙江政府服务网-政府采购投诉处理-在线办理。</w:t>
      </w:r>
    </w:p>
    <w:p w14:paraId="79C90EAA">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3368256">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4.其他事项：（1）需要落实的政府采购政策：包括节约资源、保护环境、支持创新、促进中小企业发展等，详见磋商文件第三部分。（2）电子交易的说明: 1）电子交易：本项目以数据电文形式，依托“乐采云平台（https://hzjyg.lecaiyun.com）”进行采购活动，不接受纸质响应文件。2）响应准备：注册账号--点击“商家入驻”，进行政府采购供应商资料填写；申领CA数字证书---申领流程详见“浙江政府采购网-下载专区-电子交易客户端-CA驱动和申领流程”；安装“乐采云电子交易客户端”----前往“浙江政府采购网-下载专区-电子交易客户端”进行下载并安装。3）磋商文件的获取：使用账号登录或者使用CA登录乐采云平台；进入“项目采购”应用，在获取采购文件菜单中选择项目，获取磋商文件。4）响应文件的制作：在“乐采云电子交易客户端”中完成“填写基本信息”、“导入投标文件”、“标书关联”、“标书检查”、“电子签名”、“生成电子标书”等操作。5）采购人、采购代理机构将依托乐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8）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乐采云平台“服务中心-帮助文档-项目采购-操作流程-电子招投标-政府采购项目电子交易管理操作指南-供应商”。（3）磋商文件公告期限与磋商公告的公告期限一致。</w:t>
      </w:r>
    </w:p>
    <w:p w14:paraId="0D625DBB">
      <w:pPr>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八、对本次采购提出询问、质疑、投诉，请按以下方式联系</w:t>
      </w:r>
    </w:p>
    <w:p w14:paraId="4683BDE7">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1.采购人信息</w:t>
      </w:r>
    </w:p>
    <w:p w14:paraId="6908E25F">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名    称：</w:t>
      </w:r>
      <w:r>
        <w:rPr>
          <w:rFonts w:hint="eastAsia" w:asciiTheme="minorEastAsia" w:hAnsiTheme="minorEastAsia" w:eastAsiaTheme="minorEastAsia" w:cstheme="minorEastAsia"/>
          <w:color w:val="auto"/>
          <w:sz w:val="21"/>
          <w:szCs w:val="21"/>
          <w:highlight w:val="none"/>
          <w:lang w:eastAsia="zh-CN"/>
        </w:rPr>
        <w:t>浙江省杭州第二中学</w:t>
      </w:r>
    </w:p>
    <w:p w14:paraId="4F6FBBC4">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    址：杭州市上城区建国中路36号</w:t>
      </w:r>
    </w:p>
    <w:p w14:paraId="323B1BB1">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    真： /</w:t>
      </w:r>
    </w:p>
    <w:p w14:paraId="717A7E3E">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项目联系人（询问）：</w:t>
      </w:r>
      <w:r>
        <w:rPr>
          <w:rFonts w:hint="eastAsia" w:asciiTheme="minorEastAsia" w:hAnsiTheme="minorEastAsia" w:eastAsiaTheme="minorEastAsia" w:cstheme="minorEastAsia"/>
          <w:color w:val="auto"/>
          <w:sz w:val="21"/>
          <w:szCs w:val="21"/>
          <w:highlight w:val="none"/>
          <w:lang w:val="en-US" w:eastAsia="zh-CN"/>
        </w:rPr>
        <w:t>郑</w:t>
      </w:r>
      <w:r>
        <w:rPr>
          <w:rFonts w:hint="eastAsia" w:asciiTheme="minorEastAsia" w:hAnsiTheme="minorEastAsia" w:eastAsiaTheme="minorEastAsia" w:cstheme="minorEastAsia"/>
          <w:color w:val="auto"/>
          <w:sz w:val="21"/>
          <w:szCs w:val="21"/>
          <w:highlight w:val="none"/>
        </w:rPr>
        <w:t>老师</w:t>
      </w:r>
    </w:p>
    <w:p w14:paraId="2A118A1D">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项目联系方式（询问）：18905811117</w:t>
      </w:r>
    </w:p>
    <w:p w14:paraId="7F1BCF64">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质疑联系人：</w:t>
      </w:r>
      <w:r>
        <w:rPr>
          <w:rFonts w:hint="eastAsia" w:asciiTheme="minorEastAsia" w:hAnsiTheme="minorEastAsia" w:eastAsiaTheme="minorEastAsia" w:cstheme="minorEastAsia"/>
          <w:color w:val="auto"/>
          <w:sz w:val="21"/>
          <w:szCs w:val="21"/>
          <w:highlight w:val="none"/>
          <w:lang w:val="en-US" w:eastAsia="zh-CN"/>
        </w:rPr>
        <w:t>赵老师</w:t>
      </w:r>
    </w:p>
    <w:p w14:paraId="67A138ED">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质疑联系方式：0571-87677210</w:t>
      </w:r>
    </w:p>
    <w:p w14:paraId="2A5BEC40">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2.采购代理机构信息</w:t>
      </w:r>
    </w:p>
    <w:p w14:paraId="6FC1DF2A">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    称：浙江豪圣建设项目管理有限公司</w:t>
      </w:r>
    </w:p>
    <w:p w14:paraId="4E754C30">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    址：杭州市拱墅区大关路179号远洋国际中心A座17楼1706室</w:t>
      </w:r>
    </w:p>
    <w:p w14:paraId="6D253055">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    真：/</w:t>
      </w:r>
    </w:p>
    <w:p w14:paraId="3722AB99">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项目联系人（询问）：</w:t>
      </w:r>
      <w:r>
        <w:rPr>
          <w:rFonts w:hint="eastAsia" w:asciiTheme="minorEastAsia" w:hAnsiTheme="minorEastAsia" w:eastAsiaTheme="minorEastAsia" w:cstheme="minorEastAsia"/>
          <w:color w:val="auto"/>
          <w:sz w:val="21"/>
          <w:szCs w:val="21"/>
          <w:highlight w:val="none"/>
          <w:lang w:eastAsia="zh-CN"/>
        </w:rPr>
        <w:t>白晶晶</w:t>
      </w:r>
      <w:r>
        <w:rPr>
          <w:rFonts w:hint="eastAsia" w:asciiTheme="minorEastAsia" w:hAnsiTheme="minorEastAsia" w:eastAsiaTheme="minorEastAsia" w:cstheme="minorEastAsia"/>
          <w:color w:val="auto"/>
          <w:sz w:val="21"/>
          <w:szCs w:val="21"/>
          <w:highlight w:val="none"/>
        </w:rPr>
        <w:t>、陈敏娇、陶传林</w:t>
      </w:r>
    </w:p>
    <w:p w14:paraId="2FF971DE">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项目联系方式（询问）：</w:t>
      </w:r>
      <w:r>
        <w:rPr>
          <w:rFonts w:hint="eastAsia" w:asciiTheme="minorEastAsia" w:hAnsiTheme="minorEastAsia" w:eastAsiaTheme="minorEastAsia" w:cstheme="minorEastAsia"/>
          <w:color w:val="auto"/>
          <w:sz w:val="21"/>
          <w:szCs w:val="21"/>
          <w:highlight w:val="none"/>
          <w:lang w:eastAsia="zh-CN"/>
        </w:rPr>
        <w:t>0571-56329673</w:t>
      </w:r>
    </w:p>
    <w:p w14:paraId="0B9E9974">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质疑联系人：桑国坚</w:t>
      </w:r>
    </w:p>
    <w:p w14:paraId="20FA1E02">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质疑联系方式：</w:t>
      </w:r>
      <w:r>
        <w:rPr>
          <w:rFonts w:hint="eastAsia" w:asciiTheme="minorEastAsia" w:hAnsiTheme="minorEastAsia" w:eastAsiaTheme="minorEastAsia" w:cstheme="minorEastAsia"/>
          <w:color w:val="auto"/>
          <w:spacing w:val="-4"/>
          <w:kern w:val="0"/>
          <w:sz w:val="21"/>
          <w:szCs w:val="21"/>
          <w:highlight w:val="none"/>
        </w:rPr>
        <w:t>0571-56386096</w:t>
      </w:r>
    </w:p>
    <w:p w14:paraId="3C2E7BE8">
      <w:pPr>
        <w:outlineLvl w:val="9"/>
        <w:rPr>
          <w:rFonts w:hint="eastAsia" w:ascii="宋体" w:hAnsi="宋体" w:cs="宋体"/>
          <w:color w:val="auto"/>
          <w:sz w:val="24"/>
          <w:highlight w:val="none"/>
        </w:rPr>
      </w:pPr>
      <w:bookmarkStart w:id="647" w:name="_GoBack"/>
      <w:bookmarkEnd w:id="647"/>
    </w:p>
    <w:p w14:paraId="1A8F8093">
      <w:pPr>
        <w:outlineLvl w:val="9"/>
        <w:rPr>
          <w:color w:val="auto"/>
          <w:highlight w:val="none"/>
        </w:rPr>
        <w:sectPr>
          <w:headerReference r:id="rId4" w:type="first"/>
          <w:footerReference r:id="rId7" w:type="first"/>
          <w:headerReference r:id="rId3" w:type="default"/>
          <w:footerReference r:id="rId5" w:type="default"/>
          <w:footerReference r:id="rId6" w:type="even"/>
          <w:pgSz w:w="11905" w:h="16838"/>
          <w:pgMar w:top="1417" w:right="1417" w:bottom="1417" w:left="1417" w:header="850" w:footer="992" w:gutter="0"/>
          <w:cols w:space="0" w:num="1"/>
          <w:titlePg/>
          <w:rtlGutter w:val="0"/>
          <w:docGrid w:linePitch="312" w:charSpace="0"/>
        </w:sectPr>
      </w:pPr>
    </w:p>
    <w:p w14:paraId="2E36CBEC">
      <w:pPr>
        <w:adjustRightInd/>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第二部分</w:t>
      </w:r>
      <w:bookmarkEnd w:id="8"/>
      <w:r>
        <w:rPr>
          <w:rFonts w:hint="eastAsia" w:ascii="宋体" w:hAnsi="宋体" w:eastAsia="宋体" w:cs="宋体"/>
          <w:b/>
          <w:color w:val="auto"/>
          <w:sz w:val="32"/>
          <w:szCs w:val="32"/>
          <w:highlight w:val="none"/>
        </w:rPr>
        <w:t xml:space="preserve"> 供应商须知</w:t>
      </w:r>
      <w:bookmarkEnd w:id="9"/>
    </w:p>
    <w:p w14:paraId="1614501A">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68"/>
        <w:gridCol w:w="1962"/>
        <w:gridCol w:w="6493"/>
      </w:tblGrid>
      <w:tr w14:paraId="40CB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6" w:type="pct"/>
            <w:vAlign w:val="center"/>
          </w:tcPr>
          <w:p w14:paraId="28DBA70C">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075" w:type="pct"/>
            <w:vAlign w:val="center"/>
          </w:tcPr>
          <w:p w14:paraId="1DFE6450">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事项</w:t>
            </w:r>
          </w:p>
        </w:tc>
        <w:tc>
          <w:tcPr>
            <w:tcW w:w="3558" w:type="pct"/>
            <w:vAlign w:val="center"/>
          </w:tcPr>
          <w:p w14:paraId="6300C8FA">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本项目的特别规定</w:t>
            </w:r>
          </w:p>
        </w:tc>
      </w:tr>
      <w:tr w14:paraId="1B70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6" w:type="pct"/>
            <w:vAlign w:val="center"/>
          </w:tcPr>
          <w:p w14:paraId="31B2BDD7">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075" w:type="pct"/>
            <w:vAlign w:val="center"/>
          </w:tcPr>
          <w:p w14:paraId="056724E4">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项目属性</w:t>
            </w:r>
          </w:p>
        </w:tc>
        <w:tc>
          <w:tcPr>
            <w:tcW w:w="3558" w:type="pct"/>
            <w:vAlign w:val="center"/>
          </w:tcPr>
          <w:p w14:paraId="75C217A3">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工程</w:t>
            </w:r>
            <w:r>
              <w:rPr>
                <w:rFonts w:hint="eastAsia" w:asciiTheme="minorEastAsia" w:hAnsiTheme="minorEastAsia" w:eastAsiaTheme="minorEastAsia" w:cstheme="minorEastAsia"/>
                <w:color w:val="auto"/>
                <w:sz w:val="21"/>
                <w:szCs w:val="21"/>
                <w:highlight w:val="none"/>
              </w:rPr>
              <w:t>类</w:t>
            </w:r>
          </w:p>
        </w:tc>
      </w:tr>
      <w:tr w14:paraId="6F0B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6" w:type="pct"/>
            <w:vAlign w:val="center"/>
          </w:tcPr>
          <w:p w14:paraId="307D6E05">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075" w:type="pct"/>
            <w:vAlign w:val="center"/>
          </w:tcPr>
          <w:p w14:paraId="6D2C1831">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采购标的及其对应的中小企业划分标准所属行业</w:t>
            </w:r>
          </w:p>
        </w:tc>
        <w:tc>
          <w:tcPr>
            <w:tcW w:w="3558" w:type="pct"/>
            <w:vAlign w:val="center"/>
          </w:tcPr>
          <w:p w14:paraId="1880C61E">
            <w:pPr>
              <w:pStyle w:val="3"/>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（1）标的：</w:t>
            </w:r>
            <w:r>
              <w:rPr>
                <w:rFonts w:hint="eastAsia" w:asciiTheme="minorEastAsia" w:hAnsiTheme="minorEastAsia" w:eastAsiaTheme="minorEastAsia" w:cstheme="minorEastAsia"/>
                <w:color w:val="auto"/>
                <w:kern w:val="0"/>
                <w:sz w:val="21"/>
                <w:szCs w:val="21"/>
                <w:highlight w:val="none"/>
                <w:u w:val="single"/>
                <w:lang w:eastAsia="zh-CN"/>
              </w:rPr>
              <w:t>杭州二中东河校区校舍维修与环境提升项目</w:t>
            </w:r>
            <w:r>
              <w:rPr>
                <w:rFonts w:hint="eastAsia" w:asciiTheme="minorEastAsia" w:hAnsiTheme="minorEastAsia" w:eastAsiaTheme="minorEastAsia" w:cstheme="minorEastAsia"/>
                <w:color w:val="auto"/>
                <w:kern w:val="0"/>
                <w:sz w:val="21"/>
                <w:szCs w:val="21"/>
                <w:highlight w:val="none"/>
              </w:rPr>
              <w:t>，属于</w:t>
            </w:r>
            <w:r>
              <w:rPr>
                <w:rFonts w:hint="eastAsia" w:asciiTheme="minorEastAsia" w:hAnsiTheme="minorEastAsia" w:eastAsiaTheme="minorEastAsia" w:cstheme="minorEastAsia"/>
                <w:color w:val="auto"/>
                <w:kern w:val="0"/>
                <w:sz w:val="21"/>
                <w:szCs w:val="21"/>
                <w:highlight w:val="none"/>
                <w:u w:val="single"/>
              </w:rPr>
              <w:t xml:space="preserve"> 建筑业 </w:t>
            </w:r>
            <w:r>
              <w:rPr>
                <w:rFonts w:hint="eastAsia" w:asciiTheme="minorEastAsia" w:hAnsiTheme="minorEastAsia" w:eastAsiaTheme="minorEastAsia" w:cstheme="minorEastAsia"/>
                <w:color w:val="auto"/>
                <w:kern w:val="0"/>
                <w:sz w:val="21"/>
                <w:szCs w:val="21"/>
                <w:highlight w:val="none"/>
              </w:rPr>
              <w:t>行业；</w:t>
            </w:r>
          </w:p>
          <w:p w14:paraId="667F9E49">
            <w:pPr>
              <w:pStyle w:val="3"/>
              <w:ind w:left="0" w:firstLine="0"/>
              <w:jc w:val="both"/>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val="0"/>
                <w:bCs w:val="0"/>
                <w:color w:val="auto"/>
                <w:kern w:val="0"/>
                <w:sz w:val="21"/>
                <w:szCs w:val="21"/>
                <w:highlight w:val="none"/>
                <w:lang w:val="en-US"/>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0575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6" w:type="pct"/>
            <w:vAlign w:val="center"/>
          </w:tcPr>
          <w:p w14:paraId="3ABC8698">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075" w:type="pct"/>
            <w:vAlign w:val="center"/>
          </w:tcPr>
          <w:p w14:paraId="54B0A5F3">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是否允许采购进口产品</w:t>
            </w:r>
          </w:p>
        </w:tc>
        <w:tc>
          <w:tcPr>
            <w:tcW w:w="3558" w:type="pct"/>
            <w:vAlign w:val="center"/>
          </w:tcPr>
          <w:p w14:paraId="448C1147">
            <w:pPr>
              <w:spacing w:line="360" w:lineRule="auto"/>
              <w:rPr>
                <w:rFonts w:hint="eastAsia" w:asciiTheme="minorEastAsia" w:hAnsiTheme="minorEastAsia" w:eastAsiaTheme="minorEastAsia" w:cstheme="minorEastAsia"/>
                <w:color w:val="auto"/>
                <w:kern w:val="0"/>
                <w:sz w:val="21"/>
                <w:szCs w:val="21"/>
                <w:highlight w:val="none"/>
              </w:rPr>
            </w:pPr>
            <w:sdt>
              <w:sdtPr>
                <w:rPr>
                  <w:rFonts w:hint="eastAsia" w:asciiTheme="minorEastAsia" w:hAnsiTheme="minorEastAsia" w:eastAsiaTheme="minorEastAsia" w:cstheme="minorEastAsia"/>
                  <w:color w:val="auto"/>
                  <w:kern w:val="0"/>
                  <w:sz w:val="21"/>
                  <w:szCs w:val="21"/>
                  <w:highlight w:val="none"/>
                </w:rPr>
                <w:id w:val="3934812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highlight w:val="none"/>
                </w:rPr>
              </w:sdtEndPr>
              <w:sdtContent>
                <w:r>
                  <w:rPr>
                    <w:rFonts w:hint="eastAsia" w:asciiTheme="minorEastAsia" w:hAnsiTheme="minorEastAsia" w:eastAsiaTheme="minorEastAsia" w:cstheme="minorEastAsia"/>
                    <w:color w:val="auto"/>
                    <w:kern w:val="0"/>
                    <w:sz w:val="21"/>
                    <w:szCs w:val="21"/>
                    <w:highlight w:val="none"/>
                  </w:rPr>
                  <w:sym w:font="Wingdings" w:char="F0FE"/>
                </w:r>
              </w:sdtContent>
            </w:sdt>
            <w:r>
              <w:rPr>
                <w:rFonts w:hint="eastAsia" w:asciiTheme="minorEastAsia" w:hAnsiTheme="minorEastAsia" w:eastAsiaTheme="minorEastAsia" w:cstheme="minorEastAsia"/>
                <w:color w:val="auto"/>
                <w:kern w:val="0"/>
                <w:sz w:val="21"/>
                <w:szCs w:val="21"/>
                <w:highlight w:val="none"/>
              </w:rPr>
              <w:t>本项目不允许采购进口产品。</w:t>
            </w:r>
          </w:p>
          <w:p w14:paraId="20EEA2B1">
            <w:pPr>
              <w:spacing w:line="360" w:lineRule="auto"/>
              <w:rPr>
                <w:rFonts w:hint="eastAsia" w:asciiTheme="minorEastAsia" w:hAnsiTheme="minorEastAsia" w:eastAsiaTheme="minorEastAsia" w:cstheme="minorEastAsia"/>
                <w:color w:val="auto"/>
                <w:sz w:val="21"/>
                <w:szCs w:val="21"/>
                <w:highlight w:val="none"/>
              </w:rPr>
            </w:pPr>
            <w:sdt>
              <w:sdtPr>
                <w:rPr>
                  <w:rFonts w:hint="eastAsia" w:asciiTheme="minorEastAsia" w:hAnsiTheme="minorEastAsia" w:eastAsiaTheme="minorEastAsia" w:cstheme="minorEastAsia"/>
                  <w:color w:val="auto"/>
                  <w:kern w:val="0"/>
                  <w:sz w:val="21"/>
                  <w:szCs w:val="21"/>
                  <w:highlight w:val="none"/>
                </w:rPr>
                <w:id w:val="934249032"/>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highlight w:val="none"/>
                </w:rPr>
              </w:sdtEndPr>
              <w:sdtContent>
                <w:r>
                  <w:rPr>
                    <w:rFonts w:hint="eastAsia" w:asciiTheme="minorEastAsia" w:hAnsiTheme="minorEastAsia" w:eastAsiaTheme="minorEastAsia" w:cstheme="minorEastAsia"/>
                    <w:color w:val="auto"/>
                    <w:kern w:val="0"/>
                    <w:sz w:val="21"/>
                    <w:szCs w:val="21"/>
                    <w:highlight w:val="none"/>
                  </w:rPr>
                  <w:t>☐</w:t>
                </w:r>
              </w:sdtContent>
            </w:sdt>
            <w:r>
              <w:rPr>
                <w:rFonts w:hint="eastAsia" w:asciiTheme="minorEastAsia" w:hAnsiTheme="minorEastAsia" w:eastAsiaTheme="minorEastAsia" w:cstheme="minorEastAsia"/>
                <w:color w:val="auto"/>
                <w:kern w:val="0"/>
                <w:sz w:val="21"/>
                <w:szCs w:val="21"/>
                <w:highlight w:val="none"/>
              </w:rPr>
              <w:t>可以就</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采购进口产品。</w:t>
            </w:r>
          </w:p>
        </w:tc>
      </w:tr>
      <w:tr w14:paraId="21D5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6" w:type="pct"/>
            <w:vAlign w:val="center"/>
          </w:tcPr>
          <w:p w14:paraId="256F0D0F">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075" w:type="pct"/>
            <w:vAlign w:val="center"/>
          </w:tcPr>
          <w:p w14:paraId="3EDC4B97">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分包</w:t>
            </w:r>
          </w:p>
        </w:tc>
        <w:tc>
          <w:tcPr>
            <w:tcW w:w="3558" w:type="pct"/>
            <w:vAlign w:val="center"/>
          </w:tcPr>
          <w:p w14:paraId="299F7AF8">
            <w:pPr>
              <w:spacing w:line="360" w:lineRule="auto"/>
              <w:rPr>
                <w:rFonts w:hint="eastAsia" w:asciiTheme="minorEastAsia" w:hAnsiTheme="minorEastAsia" w:eastAsiaTheme="minorEastAsia" w:cstheme="minorEastAsia"/>
                <w:color w:val="auto"/>
                <w:sz w:val="21"/>
                <w:szCs w:val="21"/>
                <w:highlight w:val="none"/>
              </w:rPr>
            </w:pPr>
            <w:sdt>
              <w:sdtPr>
                <w:rPr>
                  <w:rFonts w:hint="eastAsia" w:asciiTheme="minorEastAsia" w:hAnsiTheme="minorEastAsia" w:eastAsiaTheme="minorEastAsia" w:cstheme="minorEastAsia"/>
                  <w:color w:val="auto"/>
                  <w:kern w:val="0"/>
                  <w:sz w:val="21"/>
                  <w:szCs w:val="21"/>
                  <w:highlight w:val="none"/>
                </w:rPr>
                <w:id w:val="83050787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highlight w:val="none"/>
                </w:rPr>
              </w:sdtEndPr>
              <w:sdtContent>
                <w:r>
                  <w:rPr>
                    <w:rFonts w:hint="eastAsia" w:ascii="Wingdings" w:hAnsi="Wingdings" w:eastAsiaTheme="minorEastAsia" w:cstheme="minorEastAsia"/>
                    <w:color w:val="auto"/>
                    <w:kern w:val="0"/>
                    <w:sz w:val="21"/>
                    <w:szCs w:val="21"/>
                    <w:highlight w:val="none"/>
                    <w:lang w:val="en-US" w:eastAsia="zh-CN" w:bidi="ar-SA"/>
                  </w:rPr>
                  <w:t>þ</w:t>
                </w:r>
              </w:sdtContent>
            </w:sdt>
            <w:r>
              <w:rPr>
                <w:rFonts w:hint="eastAsia" w:asciiTheme="minorEastAsia" w:hAnsiTheme="minorEastAsia" w:eastAsiaTheme="minorEastAsia" w:cstheme="minorEastAsia"/>
                <w:color w:val="auto"/>
                <w:kern w:val="0"/>
                <w:sz w:val="21"/>
                <w:szCs w:val="21"/>
                <w:highlight w:val="none"/>
              </w:rPr>
              <w:t xml:space="preserve"> A</w:t>
            </w:r>
            <w:r>
              <w:rPr>
                <w:rFonts w:hint="eastAsia" w:asciiTheme="minorEastAsia" w:hAnsiTheme="minorEastAsia" w:eastAsiaTheme="minorEastAsia" w:cstheme="minorEastAsia"/>
                <w:color w:val="auto"/>
                <w:sz w:val="21"/>
                <w:szCs w:val="21"/>
                <w:highlight w:val="none"/>
              </w:rPr>
              <w:t>同意将非主体、非关键性的</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运输</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工作分包。</w:t>
            </w:r>
          </w:p>
          <w:p w14:paraId="3FC338AF">
            <w:pPr>
              <w:spacing w:line="360" w:lineRule="auto"/>
              <w:rPr>
                <w:rFonts w:hint="eastAsia" w:asciiTheme="minorEastAsia" w:hAnsiTheme="minorEastAsia" w:eastAsiaTheme="minorEastAsia" w:cstheme="minorEastAsia"/>
                <w:color w:val="auto"/>
                <w:sz w:val="21"/>
                <w:szCs w:val="21"/>
                <w:highlight w:val="none"/>
              </w:rPr>
            </w:pPr>
            <w:sdt>
              <w:sdtPr>
                <w:rPr>
                  <w:rFonts w:hint="eastAsia" w:asciiTheme="minorEastAsia" w:hAnsiTheme="minorEastAsia" w:eastAsiaTheme="minorEastAsia" w:cstheme="minorEastAsia"/>
                  <w:color w:val="auto"/>
                  <w:kern w:val="0"/>
                  <w:sz w:val="21"/>
                  <w:szCs w:val="21"/>
                  <w:highlight w:val="none"/>
                </w:rPr>
                <w:id w:val="89579325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highlight w:val="none"/>
                </w:rPr>
              </w:sdtEndPr>
              <w:sdtContent>
                <w:r>
                  <w:rPr>
                    <w:rFonts w:hint="eastAsia" w:asciiTheme="minorEastAsia" w:hAnsiTheme="minorEastAsia" w:eastAsiaTheme="minorEastAsia" w:cstheme="minorEastAsia"/>
                    <w:color w:val="auto"/>
                    <w:kern w:val="0"/>
                    <w:sz w:val="21"/>
                    <w:szCs w:val="21"/>
                    <w:highlight w:val="none"/>
                  </w:rPr>
                  <w:t>☐</w:t>
                </w:r>
              </w:sdtContent>
            </w:sdt>
            <w:r>
              <w:rPr>
                <w:rFonts w:hint="eastAsia" w:asciiTheme="minorEastAsia" w:hAnsiTheme="minorEastAsia" w:eastAsiaTheme="minorEastAsia" w:cstheme="minorEastAsia"/>
                <w:color w:val="auto"/>
                <w:kern w:val="0"/>
                <w:sz w:val="21"/>
                <w:szCs w:val="21"/>
                <w:highlight w:val="none"/>
              </w:rPr>
              <w:t xml:space="preserve"> B</w:t>
            </w:r>
            <w:r>
              <w:rPr>
                <w:rFonts w:hint="eastAsia" w:asciiTheme="minorEastAsia" w:hAnsiTheme="minorEastAsia" w:eastAsiaTheme="minorEastAsia" w:cstheme="minorEastAsia"/>
                <w:color w:val="auto"/>
                <w:sz w:val="21"/>
                <w:szCs w:val="21"/>
                <w:highlight w:val="none"/>
              </w:rPr>
              <w:t>不同意分包，具体理由：</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tc>
      </w:tr>
      <w:tr w14:paraId="102A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6" w:type="pct"/>
            <w:vAlign w:val="center"/>
          </w:tcPr>
          <w:p w14:paraId="0FA6CB0E">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075" w:type="pct"/>
            <w:vAlign w:val="center"/>
          </w:tcPr>
          <w:p w14:paraId="7D671E26">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磋商前答疑会或现场考察</w:t>
            </w:r>
          </w:p>
        </w:tc>
        <w:tc>
          <w:tcPr>
            <w:tcW w:w="3558" w:type="pct"/>
            <w:vAlign w:val="center"/>
          </w:tcPr>
          <w:p w14:paraId="4162D964">
            <w:pPr>
              <w:snapToGrid w:val="0"/>
              <w:rPr>
                <w:rFonts w:hint="eastAsia" w:asciiTheme="minorEastAsia" w:hAnsiTheme="minorEastAsia" w:eastAsiaTheme="minorEastAsia" w:cstheme="minorEastAsia"/>
                <w:color w:val="auto"/>
                <w:sz w:val="21"/>
                <w:szCs w:val="21"/>
                <w:highlight w:val="none"/>
              </w:rPr>
            </w:pPr>
            <w:sdt>
              <w:sdtPr>
                <w:rPr>
                  <w:rFonts w:hint="eastAsia" w:asciiTheme="minorEastAsia" w:hAnsiTheme="minorEastAsia" w:eastAsiaTheme="minorEastAsia" w:cstheme="minorEastAsia"/>
                  <w:color w:val="auto"/>
                  <w:sz w:val="21"/>
                  <w:szCs w:val="21"/>
                  <w:highlight w:val="none"/>
                </w:rPr>
                <w:id w:val="68869213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sz w:val="21"/>
                  <w:szCs w:val="21"/>
                  <w:highlight w:val="none"/>
                </w:rPr>
              </w:sdtEndPr>
              <w:sdtContent>
                <w:r>
                  <w:rPr>
                    <w:rFonts w:hint="eastAsia" w:asciiTheme="minorEastAsia" w:hAnsiTheme="minorEastAsia" w:eastAsiaTheme="minorEastAsia" w:cstheme="minorEastAsia"/>
                    <w:color w:val="auto"/>
                    <w:sz w:val="21"/>
                    <w:szCs w:val="21"/>
                    <w:highlight w:val="none"/>
                    <w:lang w:val="en-US" w:eastAsia="zh-CN" w:bidi="ar-SA"/>
                  </w:rPr>
                  <w:t>☐</w:t>
                </w:r>
              </w:sdtContent>
            </w:sdt>
            <w:r>
              <w:rPr>
                <w:rFonts w:hint="eastAsia" w:asciiTheme="minorEastAsia" w:hAnsiTheme="minorEastAsia" w:eastAsiaTheme="minorEastAsia" w:cstheme="minorEastAsia"/>
                <w:color w:val="auto"/>
                <w:sz w:val="21"/>
                <w:szCs w:val="21"/>
                <w:highlight w:val="none"/>
              </w:rPr>
              <w:t>A不组织。</w:t>
            </w:r>
          </w:p>
          <w:p w14:paraId="247DA8B9">
            <w:pPr>
              <w:snapToGrid w:val="0"/>
              <w:rPr>
                <w:rFonts w:hint="eastAsia" w:asciiTheme="minorEastAsia" w:hAnsiTheme="minorEastAsia" w:eastAsiaTheme="minorEastAsia" w:cstheme="minorEastAsia"/>
                <w:color w:val="auto"/>
                <w:sz w:val="21"/>
                <w:szCs w:val="21"/>
                <w:highlight w:val="none"/>
              </w:rPr>
            </w:pPr>
            <w:sdt>
              <w:sdtPr>
                <w:rPr>
                  <w:rFonts w:hint="eastAsia" w:asciiTheme="minorEastAsia" w:hAnsiTheme="minorEastAsia" w:eastAsiaTheme="minorEastAsia" w:cstheme="minorEastAsia"/>
                  <w:color w:val="auto"/>
                  <w:sz w:val="21"/>
                  <w:szCs w:val="21"/>
                  <w:highlight w:val="none"/>
                </w:rPr>
                <w:id w:val="374731186"/>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sz w:val="21"/>
                  <w:szCs w:val="21"/>
                  <w:highlight w:val="none"/>
                </w:rPr>
              </w:sdtEndPr>
              <w:sdtContent>
                <w:r>
                  <w:rPr>
                    <w:rFonts w:hint="eastAsia" w:asciiTheme="minorEastAsia" w:hAnsiTheme="minorEastAsia" w:eastAsiaTheme="minorEastAsia" w:cstheme="minorEastAsia"/>
                    <w:color w:val="auto"/>
                    <w:sz w:val="21"/>
                    <w:szCs w:val="21"/>
                    <w:highlight w:val="none"/>
                  </w:rPr>
                  <w:t>☐</w:t>
                </w:r>
              </w:sdtContent>
            </w:sdt>
            <w:r>
              <w:rPr>
                <w:rFonts w:hint="eastAsia" w:asciiTheme="minorEastAsia" w:hAnsiTheme="minorEastAsia" w:eastAsiaTheme="minorEastAsia" w:cstheme="minorEastAsia"/>
                <w:color w:val="auto"/>
                <w:sz w:val="21"/>
                <w:szCs w:val="21"/>
                <w:highlight w:val="none"/>
              </w:rPr>
              <w:t>B组织，时间：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,地点：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，联系方式：</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516FBD03">
            <w:pPr>
              <w:snapToGrid w:val="0"/>
              <w:spacing w:line="360" w:lineRule="auto"/>
              <w:rPr>
                <w:rFonts w:hint="eastAsia" w:asciiTheme="minorEastAsia" w:hAnsiTheme="minorEastAsia" w:eastAsiaTheme="minorEastAsia" w:cstheme="minorEastAsia"/>
                <w:color w:val="auto"/>
                <w:sz w:val="21"/>
                <w:szCs w:val="21"/>
                <w:highlight w:val="none"/>
              </w:rPr>
            </w:pPr>
            <w:sdt>
              <w:sdtPr>
                <w:rPr>
                  <w:rFonts w:hint="eastAsia" w:asciiTheme="minorEastAsia" w:hAnsiTheme="minorEastAsia" w:eastAsiaTheme="minorEastAsia" w:cstheme="minorEastAsia"/>
                  <w:color w:val="auto"/>
                  <w:sz w:val="21"/>
                  <w:szCs w:val="21"/>
                  <w:highlight w:val="none"/>
                </w:rPr>
                <w:id w:val="14747440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sz w:val="21"/>
                  <w:szCs w:val="21"/>
                  <w:highlight w:val="none"/>
                </w:rPr>
              </w:sdtEndPr>
              <w:sdtContent>
                <w:r>
                  <w:rPr>
                    <w:rFonts w:hint="eastAsia" w:asciiTheme="minorEastAsia" w:hAnsiTheme="minorEastAsia" w:eastAsiaTheme="minorEastAsia" w:cstheme="minorEastAsia"/>
                    <w:color w:val="auto"/>
                    <w:sz w:val="21"/>
                    <w:szCs w:val="21"/>
                    <w:highlight w:val="none"/>
                  </w:rPr>
                  <w:sym w:font="Wingdings" w:char="F0FE"/>
                </w:r>
              </w:sdtContent>
            </w:sdt>
            <w:r>
              <w:rPr>
                <w:rFonts w:hint="eastAsia" w:asciiTheme="minorEastAsia" w:hAnsiTheme="minorEastAsia" w:eastAsiaTheme="minorEastAsia" w:cstheme="minorEastAsia"/>
                <w:color w:val="auto"/>
                <w:sz w:val="21"/>
                <w:szCs w:val="21"/>
                <w:highlight w:val="none"/>
              </w:rPr>
              <w:t>C不统一组织，供应商在获取采购文件后，自行至项目现场考察。地点：</w:t>
            </w:r>
            <w:r>
              <w:rPr>
                <w:rFonts w:hint="eastAsia" w:asciiTheme="minorEastAsia" w:hAnsiTheme="minorEastAsia" w:eastAsiaTheme="minorEastAsia" w:cstheme="minorEastAsia"/>
                <w:color w:val="auto"/>
                <w:sz w:val="21"/>
                <w:szCs w:val="21"/>
                <w:highlight w:val="none"/>
                <w:lang w:val="en-US" w:eastAsia="zh-CN"/>
              </w:rPr>
              <w:t>浙江省杭州第二中学</w:t>
            </w:r>
            <w:r>
              <w:rPr>
                <w:rFonts w:hint="eastAsia" w:asciiTheme="minorEastAsia" w:hAnsiTheme="minorEastAsia" w:eastAsiaTheme="minorEastAsia" w:cstheme="minorEastAsia"/>
                <w:color w:val="auto"/>
                <w:sz w:val="21"/>
                <w:szCs w:val="21"/>
                <w:highlight w:val="none"/>
              </w:rPr>
              <w:t xml:space="preserve"> ，联系人：郑老师 ，联系方式：18905811117。</w:t>
            </w:r>
          </w:p>
          <w:p w14:paraId="048C2756">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请潜在供应商自行前往踏勘现场，</w:t>
            </w:r>
            <w:r>
              <w:rPr>
                <w:rFonts w:hint="eastAsia" w:asciiTheme="minorEastAsia" w:hAnsiTheme="minorEastAsia" w:eastAsiaTheme="minorEastAsia" w:cstheme="minorEastAsia"/>
                <w:color w:val="auto"/>
                <w:sz w:val="21"/>
                <w:szCs w:val="21"/>
                <w:highlight w:val="none"/>
              </w:rPr>
              <w:t>以充分了解工地位置、情况、道路、储存空间、装卸限制及任何其他足以影响承包价的情况，任何因忽视或误解工地情况而导致的索赔或工期延长申请将不被批准。</w:t>
            </w:r>
          </w:p>
        </w:tc>
      </w:tr>
      <w:tr w14:paraId="1CF0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6" w:type="pct"/>
            <w:vAlign w:val="center"/>
          </w:tcPr>
          <w:p w14:paraId="7C75B554">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075" w:type="pct"/>
            <w:vAlign w:val="center"/>
          </w:tcPr>
          <w:p w14:paraId="7D22D07F">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样品提供</w:t>
            </w:r>
          </w:p>
        </w:tc>
        <w:tc>
          <w:tcPr>
            <w:tcW w:w="3558" w:type="pct"/>
            <w:vAlign w:val="center"/>
          </w:tcPr>
          <w:p w14:paraId="49899B1A">
            <w:pPr>
              <w:spacing w:line="360" w:lineRule="auto"/>
              <w:rPr>
                <w:rFonts w:hint="eastAsia" w:asciiTheme="minorEastAsia" w:hAnsiTheme="minorEastAsia" w:eastAsiaTheme="minorEastAsia" w:cstheme="minorEastAsia"/>
                <w:color w:val="auto"/>
                <w:sz w:val="21"/>
                <w:szCs w:val="21"/>
                <w:highlight w:val="none"/>
              </w:rPr>
            </w:pPr>
            <w:sdt>
              <w:sdtPr>
                <w:rPr>
                  <w:rFonts w:hint="eastAsia" w:asciiTheme="minorEastAsia" w:hAnsiTheme="minorEastAsia" w:eastAsiaTheme="minorEastAsia" w:cstheme="minorEastAsia"/>
                  <w:color w:val="auto"/>
                  <w:kern w:val="0"/>
                  <w:sz w:val="21"/>
                  <w:szCs w:val="21"/>
                  <w:highlight w:val="none"/>
                </w:rPr>
                <w:id w:val="58621118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highlight w:val="none"/>
                </w:rPr>
              </w:sdtEndPr>
              <w:sdtContent>
                <w:r>
                  <w:rPr>
                    <w:rFonts w:hint="eastAsia" w:ascii="Wingdings" w:hAnsi="Wingdings" w:eastAsiaTheme="minorEastAsia" w:cstheme="minorEastAsia"/>
                    <w:color w:val="auto"/>
                    <w:kern w:val="0"/>
                    <w:sz w:val="21"/>
                    <w:szCs w:val="21"/>
                    <w:highlight w:val="none"/>
                    <w:lang w:val="en-US" w:eastAsia="zh-CN" w:bidi="ar-SA"/>
                  </w:rPr>
                  <w:t>þ</w:t>
                </w:r>
              </w:sdtContent>
            </w:sdt>
            <w:r>
              <w:rPr>
                <w:rFonts w:hint="eastAsia" w:asciiTheme="minorEastAsia" w:hAnsiTheme="minorEastAsia" w:eastAsiaTheme="minorEastAsia" w:cstheme="minorEastAsia"/>
                <w:color w:val="auto"/>
                <w:kern w:val="0"/>
                <w:sz w:val="21"/>
                <w:szCs w:val="21"/>
                <w:highlight w:val="none"/>
              </w:rPr>
              <w:t>A</w:t>
            </w:r>
            <w:r>
              <w:rPr>
                <w:rFonts w:hint="eastAsia" w:asciiTheme="minorEastAsia" w:hAnsiTheme="minorEastAsia" w:eastAsiaTheme="minorEastAsia" w:cstheme="minorEastAsia"/>
                <w:color w:val="auto"/>
                <w:sz w:val="21"/>
                <w:szCs w:val="21"/>
                <w:highlight w:val="none"/>
              </w:rPr>
              <w:t>不要求提供。</w:t>
            </w:r>
          </w:p>
          <w:p w14:paraId="52639850">
            <w:pPr>
              <w:spacing w:line="360" w:lineRule="auto"/>
              <w:rPr>
                <w:rFonts w:hint="eastAsia" w:asciiTheme="minorEastAsia" w:hAnsiTheme="minorEastAsia" w:eastAsiaTheme="minorEastAsia" w:cstheme="minorEastAsia"/>
                <w:color w:val="auto"/>
                <w:kern w:val="0"/>
                <w:sz w:val="21"/>
                <w:szCs w:val="21"/>
                <w:highlight w:val="none"/>
              </w:rPr>
            </w:pPr>
            <w:sdt>
              <w:sdtPr>
                <w:rPr>
                  <w:rFonts w:hint="eastAsia" w:asciiTheme="minorEastAsia" w:hAnsiTheme="minorEastAsia" w:eastAsiaTheme="minorEastAsia" w:cstheme="minorEastAsia"/>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highlight w:val="none"/>
                </w:rPr>
              </w:sdtEndPr>
              <w:sdtContent>
                <w:r>
                  <w:rPr>
                    <w:rFonts w:hint="eastAsia" w:asciiTheme="minorEastAsia" w:hAnsiTheme="minorEastAsia" w:eastAsiaTheme="minorEastAsia" w:cstheme="minorEastAsia"/>
                    <w:color w:val="auto"/>
                    <w:kern w:val="0"/>
                    <w:sz w:val="21"/>
                    <w:szCs w:val="21"/>
                    <w:highlight w:val="none"/>
                  </w:rPr>
                  <w:t>☐</w:t>
                </w:r>
              </w:sdtContent>
            </w:sdt>
            <w:r>
              <w:rPr>
                <w:rFonts w:hint="eastAsia" w:asciiTheme="minorEastAsia" w:hAnsiTheme="minorEastAsia" w:eastAsiaTheme="minorEastAsia" w:cstheme="minorEastAsia"/>
                <w:color w:val="auto"/>
                <w:kern w:val="0"/>
                <w:sz w:val="21"/>
                <w:szCs w:val="21"/>
                <w:highlight w:val="none"/>
              </w:rPr>
              <w:t>B要求提供，</w:t>
            </w:r>
          </w:p>
          <w:p w14:paraId="1B1AAD02">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snapToGrid w:val="0"/>
                <w:color w:val="auto"/>
                <w:kern w:val="28"/>
                <w:sz w:val="21"/>
                <w:szCs w:val="21"/>
                <w:highlight w:val="none"/>
              </w:rPr>
              <w:t>样品：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41C65B68">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snapToGrid w:val="0"/>
                <w:color w:val="auto"/>
                <w:kern w:val="28"/>
                <w:sz w:val="21"/>
                <w:szCs w:val="21"/>
                <w:highlight w:val="none"/>
              </w:rPr>
              <w:t>样品制作的标准和要求：</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24267787">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（3）样品的评审方法以及评审标准</w:t>
            </w:r>
            <w:r>
              <w:rPr>
                <w:rFonts w:hint="eastAsia" w:asciiTheme="minorEastAsia" w:hAnsiTheme="minorEastAsia" w:eastAsiaTheme="minorEastAsia" w:cstheme="minorEastAsia"/>
                <w:snapToGrid w:val="0"/>
                <w:color w:val="auto"/>
                <w:kern w:val="28"/>
                <w:sz w:val="21"/>
                <w:szCs w:val="21"/>
                <w:highlight w:val="none"/>
              </w:rPr>
              <w:t>：详见</w:t>
            </w:r>
            <w:r>
              <w:rPr>
                <w:rFonts w:hint="eastAsia" w:asciiTheme="minorEastAsia" w:hAnsiTheme="minorEastAsia" w:eastAsiaTheme="minorEastAsia" w:cstheme="minorEastAsia"/>
                <w:color w:val="auto"/>
                <w:sz w:val="21"/>
                <w:szCs w:val="21"/>
                <w:highlight w:val="none"/>
                <w:u w:val="single"/>
              </w:rPr>
              <w:t>评审办法</w:t>
            </w:r>
            <w:r>
              <w:rPr>
                <w:rFonts w:hint="eastAsia" w:asciiTheme="minorEastAsia" w:hAnsiTheme="minorEastAsia" w:eastAsiaTheme="minorEastAsia" w:cstheme="minorEastAsia"/>
                <w:color w:val="auto"/>
                <w:kern w:val="0"/>
                <w:sz w:val="21"/>
                <w:szCs w:val="21"/>
                <w:highlight w:val="none"/>
              </w:rPr>
              <w:t>；</w:t>
            </w:r>
          </w:p>
          <w:p w14:paraId="642101AF">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（4）是否需要随样品提交检测报告：</w:t>
            </w:r>
            <w:sdt>
              <w:sdtPr>
                <w:rPr>
                  <w:rFonts w:hint="eastAsia" w:asciiTheme="minorEastAsia" w:hAnsiTheme="minorEastAsia" w:eastAsiaTheme="minorEastAsia" w:cstheme="minorEastAsia"/>
                  <w:color w:val="auto"/>
                  <w:kern w:val="0"/>
                  <w:sz w:val="21"/>
                  <w:szCs w:val="21"/>
                  <w:highlight w:val="none"/>
                </w:rPr>
                <w:id w:val="130342145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highlight w:val="none"/>
                </w:rPr>
              </w:sdtEndPr>
              <w:sdtContent>
                <w:r>
                  <w:rPr>
                    <w:rFonts w:hint="eastAsia" w:asciiTheme="minorEastAsia" w:hAnsiTheme="minorEastAsia" w:eastAsiaTheme="minorEastAsia" w:cstheme="minorEastAsia"/>
                    <w:color w:val="auto"/>
                    <w:kern w:val="0"/>
                    <w:sz w:val="21"/>
                    <w:szCs w:val="21"/>
                    <w:highlight w:val="none"/>
                  </w:rPr>
                  <w:t>☐</w:t>
                </w:r>
              </w:sdtContent>
            </w:sdt>
            <w:r>
              <w:rPr>
                <w:rFonts w:hint="eastAsia" w:asciiTheme="minorEastAsia" w:hAnsiTheme="minorEastAsia" w:eastAsiaTheme="minorEastAsia" w:cstheme="minorEastAsia"/>
                <w:color w:val="auto"/>
                <w:kern w:val="0"/>
                <w:sz w:val="21"/>
                <w:szCs w:val="21"/>
                <w:highlight w:val="none"/>
              </w:rPr>
              <w:t>否；</w:t>
            </w:r>
            <w:sdt>
              <w:sdtPr>
                <w:rPr>
                  <w:rFonts w:hint="eastAsia" w:asciiTheme="minorEastAsia" w:hAnsiTheme="minorEastAsia" w:eastAsiaTheme="minorEastAsia" w:cstheme="minorEastAsia"/>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highlight w:val="none"/>
                </w:rPr>
              </w:sdtEndPr>
              <w:sdtContent>
                <w:r>
                  <w:rPr>
                    <w:rFonts w:hint="eastAsia" w:asciiTheme="minorEastAsia" w:hAnsiTheme="minorEastAsia" w:eastAsiaTheme="minorEastAsia" w:cstheme="minorEastAsia"/>
                    <w:color w:val="auto"/>
                    <w:kern w:val="0"/>
                    <w:sz w:val="21"/>
                    <w:szCs w:val="21"/>
                    <w:highlight w:val="none"/>
                  </w:rPr>
                  <w:t>☐</w:t>
                </w:r>
              </w:sdtContent>
            </w:sdt>
            <w:r>
              <w:rPr>
                <w:rFonts w:hint="eastAsia" w:asciiTheme="minorEastAsia" w:hAnsiTheme="minorEastAsia" w:eastAsiaTheme="minorEastAsia" w:cstheme="minorEastAsia"/>
                <w:color w:val="auto"/>
                <w:kern w:val="0"/>
                <w:sz w:val="21"/>
                <w:szCs w:val="21"/>
                <w:highlight w:val="none"/>
              </w:rPr>
              <w:t>是，检测机构的要求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；检测内容</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5EA47F3E">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（5）提供样品的时间：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；地点：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；联系人</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28"/>
                <w:sz w:val="21"/>
                <w:szCs w:val="21"/>
                <w:highlight w:val="none"/>
              </w:rPr>
              <w:t>联系电话：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。请供应商在上述时间内提供样品并按规定位置安装完毕。超过截止时间的，采购人或采购代理机构将不予接收，并将清场并封闭样品现场。</w:t>
            </w:r>
          </w:p>
          <w:p w14:paraId="3C2567AD">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1D433A61">
            <w:pPr>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（7）制作、运输、安装和保管样品所发生的一切费用由供应商自理。</w:t>
            </w:r>
          </w:p>
        </w:tc>
      </w:tr>
      <w:tr w14:paraId="50BA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6" w:type="pct"/>
            <w:vAlign w:val="center"/>
          </w:tcPr>
          <w:p w14:paraId="7D92F261">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1075" w:type="pct"/>
            <w:vAlign w:val="center"/>
          </w:tcPr>
          <w:p w14:paraId="4737D9AA">
            <w:pPr>
              <w:snapToGrid w:val="0"/>
              <w:spacing w:line="36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sz w:val="21"/>
                <w:szCs w:val="21"/>
                <w:highlight w:val="none"/>
              </w:rPr>
              <w:t>方案讲解演示</w:t>
            </w:r>
          </w:p>
        </w:tc>
        <w:tc>
          <w:tcPr>
            <w:tcW w:w="3558" w:type="pct"/>
            <w:vAlign w:val="center"/>
          </w:tcPr>
          <w:p w14:paraId="6CEEAC2B">
            <w:pPr>
              <w:spacing w:line="360" w:lineRule="auto"/>
              <w:rPr>
                <w:rFonts w:hint="eastAsia" w:asciiTheme="minorEastAsia" w:hAnsiTheme="minorEastAsia" w:eastAsiaTheme="minorEastAsia" w:cstheme="minorEastAsia"/>
                <w:color w:val="auto"/>
                <w:sz w:val="21"/>
                <w:szCs w:val="21"/>
                <w:highlight w:val="none"/>
              </w:rPr>
            </w:pPr>
            <w:sdt>
              <w:sdtPr>
                <w:rPr>
                  <w:rFonts w:hint="eastAsia" w:asciiTheme="minorEastAsia" w:hAnsiTheme="minorEastAsia" w:eastAsiaTheme="minorEastAsia" w:cstheme="minorEastAsia"/>
                  <w:color w:val="auto"/>
                  <w:kern w:val="0"/>
                  <w:sz w:val="21"/>
                  <w:szCs w:val="21"/>
                  <w:highlight w:val="none"/>
                </w:rPr>
                <w:id w:val="50545689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highlight w:val="none"/>
                </w:rPr>
              </w:sdtEndPr>
              <w:sdtContent>
                <w:r>
                  <w:rPr>
                    <w:rFonts w:hint="eastAsia" w:ascii="Wingdings" w:hAnsi="Wingdings" w:eastAsiaTheme="minorEastAsia" w:cstheme="minorEastAsia"/>
                    <w:color w:val="auto"/>
                    <w:kern w:val="0"/>
                    <w:sz w:val="21"/>
                    <w:szCs w:val="21"/>
                    <w:highlight w:val="none"/>
                    <w:lang w:val="en-US" w:eastAsia="zh-CN" w:bidi="ar-SA"/>
                  </w:rPr>
                  <w:t>þ</w:t>
                </w:r>
              </w:sdtContent>
            </w:sdt>
            <w:r>
              <w:rPr>
                <w:rFonts w:hint="eastAsia" w:asciiTheme="minorEastAsia" w:hAnsiTheme="minorEastAsia" w:eastAsiaTheme="minorEastAsia" w:cstheme="minorEastAsia"/>
                <w:color w:val="auto"/>
                <w:kern w:val="0"/>
                <w:sz w:val="21"/>
                <w:szCs w:val="21"/>
                <w:highlight w:val="none"/>
              </w:rPr>
              <w:t>A</w:t>
            </w:r>
            <w:r>
              <w:rPr>
                <w:rFonts w:hint="eastAsia" w:asciiTheme="minorEastAsia" w:hAnsiTheme="minorEastAsia" w:eastAsiaTheme="minorEastAsia" w:cstheme="minorEastAsia"/>
                <w:color w:val="auto"/>
                <w:sz w:val="21"/>
                <w:szCs w:val="21"/>
                <w:highlight w:val="none"/>
              </w:rPr>
              <w:t>不组织。</w:t>
            </w:r>
          </w:p>
          <w:p w14:paraId="1BCC35A4">
            <w:pPr>
              <w:spacing w:line="360" w:lineRule="auto"/>
              <w:rPr>
                <w:rFonts w:hint="eastAsia" w:asciiTheme="minorEastAsia" w:hAnsiTheme="minorEastAsia" w:eastAsiaTheme="minorEastAsia" w:cstheme="minorEastAsia"/>
                <w:color w:val="auto"/>
                <w:kern w:val="0"/>
                <w:sz w:val="21"/>
                <w:szCs w:val="21"/>
                <w:highlight w:val="none"/>
              </w:rPr>
            </w:pPr>
            <w:sdt>
              <w:sdtPr>
                <w:rPr>
                  <w:rFonts w:hint="eastAsia" w:asciiTheme="minorEastAsia" w:hAnsiTheme="minorEastAsia" w:eastAsiaTheme="minorEastAsia" w:cstheme="minorEastAsia"/>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highlight w:val="none"/>
                </w:rPr>
              </w:sdtEndPr>
              <w:sdtContent>
                <w:r>
                  <w:rPr>
                    <w:rFonts w:hint="eastAsia" w:asciiTheme="minorEastAsia" w:hAnsiTheme="minorEastAsia" w:eastAsiaTheme="minorEastAsia" w:cstheme="minorEastAsia"/>
                    <w:color w:val="auto"/>
                    <w:kern w:val="0"/>
                    <w:sz w:val="21"/>
                    <w:szCs w:val="21"/>
                    <w:highlight w:val="none"/>
                  </w:rPr>
                  <w:t>☐</w:t>
                </w:r>
              </w:sdtContent>
            </w:sdt>
            <w:r>
              <w:rPr>
                <w:rFonts w:hint="eastAsia" w:asciiTheme="minorEastAsia" w:hAnsiTheme="minorEastAsia" w:eastAsiaTheme="minorEastAsia" w:cstheme="minorEastAsia"/>
                <w:color w:val="auto"/>
                <w:kern w:val="0"/>
                <w:sz w:val="21"/>
                <w:szCs w:val="21"/>
                <w:highlight w:val="none"/>
              </w:rPr>
              <w:t>B组织。</w:t>
            </w:r>
          </w:p>
          <w:p w14:paraId="6EBCB5A7">
            <w:pPr>
              <w:snapToGrid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（1）在评审时安排每个供应商进行方案讲解演示。每个供应商时间不超过</w:t>
            </w:r>
            <w:r>
              <w:rPr>
                <w:rFonts w:hint="eastAsia" w:asciiTheme="minorEastAsia" w:hAnsiTheme="minorEastAsia" w:eastAsiaTheme="minorEastAsia" w:cstheme="minorEastAsia"/>
                <w:color w:val="auto"/>
                <w:kern w:val="0"/>
                <w:sz w:val="21"/>
                <w:szCs w:val="21"/>
                <w:highlight w:val="none"/>
                <w:u w:val="single"/>
              </w:rPr>
              <w:t>20（编制时可根据项目情况进行调整）</w:t>
            </w:r>
            <w:r>
              <w:rPr>
                <w:rFonts w:hint="eastAsia" w:asciiTheme="minorEastAsia" w:hAnsiTheme="minorEastAsia" w:eastAsiaTheme="minorEastAsia" w:cstheme="minorEastAsia"/>
                <w:color w:val="auto"/>
                <w:kern w:val="0"/>
                <w:sz w:val="21"/>
                <w:szCs w:val="21"/>
                <w:highlight w:val="none"/>
              </w:rPr>
              <w:t>分钟，讲解次序以响应文件解密时间先后次序为准，讲解演示人员不超过</w:t>
            </w:r>
            <w:r>
              <w:rPr>
                <w:rFonts w:hint="eastAsia" w:asciiTheme="minorEastAsia" w:hAnsiTheme="minorEastAsia" w:eastAsiaTheme="minorEastAsia" w:cstheme="minorEastAsia"/>
                <w:color w:val="auto"/>
                <w:kern w:val="0"/>
                <w:sz w:val="21"/>
                <w:szCs w:val="21"/>
                <w:highlight w:val="none"/>
                <w:u w:val="single"/>
              </w:rPr>
              <w:t>3（编制时可根据项目情况进行调整）</w:t>
            </w:r>
            <w:r>
              <w:rPr>
                <w:rFonts w:hint="eastAsia" w:asciiTheme="minorEastAsia" w:hAnsiTheme="minorEastAsia" w:eastAsiaTheme="minorEastAsia" w:cstheme="minorEastAsia"/>
                <w:color w:val="auto"/>
                <w:kern w:val="0"/>
                <w:sz w:val="21"/>
                <w:szCs w:val="21"/>
                <w:highlight w:val="none"/>
              </w:rPr>
              <w:t>人。讲解演示结束后按要求解答磋商小组提问。</w:t>
            </w:r>
          </w:p>
          <w:p w14:paraId="7AEE5217">
            <w:pPr>
              <w:snapToGrid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（2）方案讲解演示可选择以下其中一种方式：</w:t>
            </w:r>
          </w:p>
          <w:p w14:paraId="13F9A516">
            <w:pPr>
              <w:snapToGrid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方式一：</w:t>
            </w:r>
            <w:r>
              <w:rPr>
                <w:rFonts w:hint="eastAsia" w:asciiTheme="minorEastAsia" w:hAnsiTheme="minorEastAsia" w:eastAsiaTheme="minorEastAsia" w:cstheme="minorEastAsia"/>
                <w:color w:val="auto"/>
                <w:kern w:val="0"/>
                <w:sz w:val="21"/>
                <w:szCs w:val="21"/>
                <w:highlight w:val="none"/>
                <w:lang w:eastAsia="zh-CN"/>
              </w:rPr>
              <w:t>乐采云平台</w:t>
            </w:r>
            <w:r>
              <w:rPr>
                <w:rFonts w:hint="eastAsia" w:asciiTheme="minorEastAsia" w:hAnsiTheme="minorEastAsia" w:eastAsiaTheme="minorEastAsia" w:cstheme="minorEastAsia"/>
                <w:color w:val="auto"/>
                <w:kern w:val="0"/>
                <w:sz w:val="21"/>
                <w:szCs w:val="21"/>
                <w:highlight w:val="none"/>
              </w:rPr>
              <w:t>在线讲解演示。</w:t>
            </w:r>
            <w:r>
              <w:rPr>
                <w:rFonts w:hint="eastAsia" w:asciiTheme="minorEastAsia" w:hAnsiTheme="minorEastAsia" w:eastAsiaTheme="minorEastAsia" w:cstheme="minorEastAsia"/>
                <w:color w:val="auto"/>
                <w:kern w:val="0"/>
                <w:sz w:val="21"/>
                <w:szCs w:val="21"/>
                <w:highlight w:val="none"/>
                <w:lang w:eastAsia="zh-CN"/>
              </w:rPr>
              <w:t>乐采云平台</w:t>
            </w:r>
            <w:r>
              <w:rPr>
                <w:rFonts w:hint="eastAsia" w:asciiTheme="minorEastAsia" w:hAnsiTheme="minorEastAsia" w:eastAsiaTheme="minorEastAsia" w:cstheme="minorEastAsia"/>
                <w:color w:val="auto"/>
                <w:kern w:val="0"/>
                <w:sz w:val="21"/>
                <w:szCs w:val="21"/>
                <w:highlight w:val="none"/>
              </w:rPr>
              <w:t>在线讲解需供应商根据</w:t>
            </w:r>
            <w:r>
              <w:rPr>
                <w:rFonts w:hint="eastAsia" w:asciiTheme="minorEastAsia" w:hAnsiTheme="minorEastAsia" w:eastAsiaTheme="minorEastAsia" w:cstheme="minorEastAsia"/>
                <w:color w:val="auto"/>
                <w:kern w:val="0"/>
                <w:sz w:val="21"/>
                <w:szCs w:val="21"/>
                <w:highlight w:val="none"/>
                <w:lang w:eastAsia="zh-CN"/>
              </w:rPr>
              <w:t>乐采云平台</w:t>
            </w:r>
            <w:r>
              <w:rPr>
                <w:rFonts w:hint="eastAsia" w:asciiTheme="minorEastAsia" w:hAnsiTheme="minorEastAsia" w:eastAsiaTheme="minorEastAsia" w:cstheme="minorEastAsia"/>
                <w:color w:val="auto"/>
                <w:kern w:val="0"/>
                <w:sz w:val="21"/>
                <w:szCs w:val="21"/>
                <w:highlight w:val="none"/>
              </w:rPr>
              <w:t>操作要求做好准备工作，提前完善软硬件配置环境。</w:t>
            </w:r>
          </w:p>
          <w:p w14:paraId="47465A55">
            <w:pPr>
              <w:snapToGrid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方式二：现场讲解演示。现场讲解地点为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，讲解演示所用电脑等设备由供应商自备。现场讲解演示人员进场时提供讲解人员名单（加盖公章或授权代表签名）及身份证明，否则不得讲解演示。</w:t>
            </w:r>
          </w:p>
          <w:p w14:paraId="74D48DBE">
            <w:pPr>
              <w:snapToGrid w:val="0"/>
              <w:spacing w:line="360" w:lineRule="auto"/>
              <w:rPr>
                <w:rFonts w:hint="eastAsia" w:asciiTheme="minorEastAsia" w:hAnsiTheme="minorEastAsia" w:eastAsiaTheme="minorEastAsia" w:cstheme="minorEastAsia"/>
                <w:b/>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2C93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6" w:type="pct"/>
            <w:vMerge w:val="restart"/>
            <w:vAlign w:val="center"/>
          </w:tcPr>
          <w:p w14:paraId="7A2F87BE">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1075" w:type="pct"/>
            <w:vMerge w:val="restart"/>
            <w:vAlign w:val="center"/>
          </w:tcPr>
          <w:p w14:paraId="66CA9BE2">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供应商应当提供的资格、资信证明文件</w:t>
            </w:r>
          </w:p>
        </w:tc>
        <w:tc>
          <w:tcPr>
            <w:tcW w:w="3558" w:type="pct"/>
            <w:vAlign w:val="center"/>
          </w:tcPr>
          <w:p w14:paraId="7A29052F">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（1）资格证明文件：见采购文件第二部分11.1。</w:t>
            </w:r>
          </w:p>
          <w:p w14:paraId="36464D5B">
            <w:pPr>
              <w:spacing w:line="360" w:lineRule="auto"/>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zh-CN"/>
              </w:rPr>
              <w:t>供应商未提供有效的资格证明文件的，视为供应商不具备采购文件中规定的资格要求，响应文件无效。</w:t>
            </w:r>
          </w:p>
        </w:tc>
      </w:tr>
      <w:tr w14:paraId="66323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6" w:type="pct"/>
            <w:vMerge w:val="continue"/>
            <w:vAlign w:val="center"/>
          </w:tcPr>
          <w:p w14:paraId="1A60A8F5">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075" w:type="pct"/>
            <w:vMerge w:val="continue"/>
            <w:vAlign w:val="center"/>
          </w:tcPr>
          <w:p w14:paraId="4A331A59">
            <w:pPr>
              <w:snapToGrid w:val="0"/>
              <w:spacing w:line="360" w:lineRule="auto"/>
              <w:jc w:val="center"/>
              <w:rPr>
                <w:rFonts w:hint="eastAsia" w:asciiTheme="minorEastAsia" w:hAnsiTheme="minorEastAsia" w:eastAsiaTheme="minorEastAsia" w:cstheme="minorEastAsia"/>
                <w:b/>
                <w:color w:val="auto"/>
                <w:sz w:val="21"/>
                <w:szCs w:val="21"/>
                <w:highlight w:val="none"/>
              </w:rPr>
            </w:pPr>
          </w:p>
        </w:tc>
        <w:tc>
          <w:tcPr>
            <w:tcW w:w="3558" w:type="pct"/>
            <w:vAlign w:val="center"/>
          </w:tcPr>
          <w:p w14:paraId="5C821D31">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（2）资信证明文件：根据采购文件第四部分评审标准提供。</w:t>
            </w:r>
          </w:p>
        </w:tc>
      </w:tr>
      <w:tr w14:paraId="067F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6" w:type="pct"/>
            <w:vAlign w:val="center"/>
          </w:tcPr>
          <w:p w14:paraId="1AB54257">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1075" w:type="pct"/>
            <w:vAlign w:val="center"/>
          </w:tcPr>
          <w:p w14:paraId="6BE97F24">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节能产品、环境标志产品</w:t>
            </w:r>
          </w:p>
        </w:tc>
        <w:tc>
          <w:tcPr>
            <w:tcW w:w="3558" w:type="pct"/>
            <w:vAlign w:val="center"/>
          </w:tcPr>
          <w:p w14:paraId="60E1CBA3">
            <w:pPr>
              <w:pStyle w:val="79"/>
              <w:snapToGrid w:val="0"/>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F58222B">
            <w:pPr>
              <w:pStyle w:val="79"/>
              <w:ind w:firstLine="480"/>
              <w:jc w:val="both"/>
              <w:rPr>
                <w:rFonts w:hint="eastAsia" w:asciiTheme="minorEastAsia" w:hAnsiTheme="minorEastAsia" w:eastAsiaTheme="minorEastAsia" w:cstheme="minorEastAsia"/>
                <w:color w:val="auto"/>
                <w:sz w:val="21"/>
                <w:szCs w:val="21"/>
                <w:highlight w:val="none"/>
              </w:rPr>
            </w:pPr>
            <w:sdt>
              <w:sdtPr>
                <w:rPr>
                  <w:rFonts w:hint="eastAsia" w:asciiTheme="minorEastAsia" w:hAnsiTheme="minorEastAsia" w:eastAsiaTheme="minorEastAsia" w:cstheme="minorEastAsia"/>
                  <w:color w:val="auto"/>
                  <w:sz w:val="21"/>
                  <w:szCs w:val="21"/>
                  <w:highlight w:val="none"/>
                </w:rPr>
                <w:id w:val="147461840"/>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sz w:val="21"/>
                  <w:szCs w:val="21"/>
                  <w:highlight w:val="none"/>
                </w:rPr>
              </w:sdtEndPr>
              <w:sdtContent>
                <w:r>
                  <w:rPr>
                    <w:rFonts w:hint="eastAsia" w:ascii="Wingdings" w:hAnsi="Wingdings" w:eastAsiaTheme="minorEastAsia" w:cstheme="minorEastAsia"/>
                    <w:color w:val="auto"/>
                    <w:sz w:val="21"/>
                    <w:szCs w:val="21"/>
                    <w:highlight w:val="none"/>
                    <w:lang w:val="en-US" w:eastAsia="zh-CN" w:bidi="ar-SA"/>
                  </w:rPr>
                  <w:t>þ</w:t>
                </w:r>
              </w:sdtContent>
            </w:sdt>
            <w:r>
              <w:rPr>
                <w:rFonts w:hint="eastAsia" w:asciiTheme="minorEastAsia" w:hAnsiTheme="minorEastAsia" w:eastAsiaTheme="minorEastAsia" w:cstheme="minorEastAsia"/>
                <w:color w:val="auto"/>
                <w:sz w:val="21"/>
                <w:szCs w:val="21"/>
                <w:highlight w:val="none"/>
              </w:rPr>
              <w:t>强制采购节能产品。产品：无</w:t>
            </w:r>
          </w:p>
        </w:tc>
      </w:tr>
      <w:tr w14:paraId="3AF5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6" w:type="pct"/>
            <w:vAlign w:val="center"/>
          </w:tcPr>
          <w:p w14:paraId="78260E94">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1075" w:type="pct"/>
            <w:vAlign w:val="center"/>
          </w:tcPr>
          <w:p w14:paraId="2CE9B537">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报价要求</w:t>
            </w:r>
          </w:p>
        </w:tc>
        <w:tc>
          <w:tcPr>
            <w:tcW w:w="3558" w:type="pct"/>
            <w:vAlign w:val="center"/>
          </w:tcPr>
          <w:p w14:paraId="3603570C">
            <w:pPr>
              <w:snapToGrid w:val="0"/>
              <w:spacing w:line="360" w:lineRule="auto"/>
              <w:rPr>
                <w:rFonts w:hint="eastAsia" w:asciiTheme="minorEastAsia" w:hAnsiTheme="minorEastAsia" w:eastAsiaTheme="minorEastAsia" w:cstheme="minorEastAsia"/>
                <w:b/>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有关本项目实施所需的所有费用（含税费）均计入报价。</w:t>
            </w:r>
            <w:r>
              <w:rPr>
                <w:rFonts w:hint="eastAsia" w:asciiTheme="minorEastAsia" w:hAnsiTheme="minorEastAsia" w:eastAsiaTheme="minorEastAsia" w:cstheme="minorEastAsia"/>
                <w:color w:val="auto"/>
                <w:sz w:val="21"/>
                <w:szCs w:val="21"/>
                <w:highlight w:val="none"/>
              </w:rPr>
              <w:t>报价单是报价的唯一载体</w:t>
            </w:r>
            <w:r>
              <w:rPr>
                <w:rFonts w:hint="eastAsia" w:asciiTheme="minorEastAsia" w:hAnsiTheme="minorEastAsia" w:eastAsiaTheme="minorEastAsia" w:cstheme="minorEastAsia"/>
                <w:color w:val="auto"/>
                <w:kern w:val="0"/>
                <w:sz w:val="21"/>
                <w:szCs w:val="21"/>
                <w:highlight w:val="none"/>
                <w:lang w:val="zh-CN"/>
              </w:rPr>
              <w:t>。响应文件中价格全部采用人民币报价。采购文件未列明，而供应商认为必需的费用也需列入报价。</w:t>
            </w:r>
            <w:r>
              <w:rPr>
                <w:rFonts w:hint="eastAsia" w:asciiTheme="minorEastAsia" w:hAnsiTheme="minorEastAsia" w:eastAsiaTheme="minorEastAsia" w:cstheme="minorEastAsia"/>
                <w:b/>
                <w:color w:val="auto"/>
                <w:kern w:val="0"/>
                <w:sz w:val="21"/>
                <w:szCs w:val="21"/>
                <w:highlight w:val="none"/>
                <w:lang w:val="zh-CN"/>
              </w:rPr>
              <w:t>提醒：验收时检测费用由采购人承担，不包含在总价中。</w:t>
            </w:r>
          </w:p>
          <w:p w14:paraId="35A7DA50">
            <w:pPr>
              <w:snapToGrid w:val="0"/>
              <w:spacing w:line="360" w:lineRule="auto"/>
              <w:rPr>
                <w:rFonts w:hint="eastAsia" w:asciiTheme="minorEastAsia" w:hAnsiTheme="minorEastAsia" w:eastAsiaTheme="minorEastAsia" w:cstheme="minorEastAsia"/>
                <w:b/>
                <w:color w:val="auto"/>
                <w:kern w:val="0"/>
                <w:sz w:val="21"/>
                <w:szCs w:val="21"/>
                <w:highlight w:val="none"/>
                <w:lang w:val="zh-CN"/>
              </w:rPr>
            </w:pPr>
            <w:r>
              <w:rPr>
                <w:rFonts w:hint="eastAsia" w:asciiTheme="minorEastAsia" w:hAnsiTheme="minorEastAsia" w:eastAsiaTheme="minorEastAsia" w:cstheme="minorEastAsia"/>
                <w:b/>
                <w:color w:val="auto"/>
                <w:kern w:val="0"/>
                <w:sz w:val="21"/>
                <w:szCs w:val="21"/>
                <w:highlight w:val="none"/>
                <w:lang w:val="zh-CN"/>
              </w:rPr>
              <w:t>最后报价出现下列情形的，响应文件无效：</w:t>
            </w:r>
          </w:p>
          <w:p w14:paraId="7EB0E1E1">
            <w:pPr>
              <w:snapToGrid w:val="0"/>
              <w:spacing w:line="360" w:lineRule="auto"/>
              <w:ind w:firstLine="211" w:firstLineChars="100"/>
              <w:rPr>
                <w:rFonts w:hint="eastAsia" w:asciiTheme="minorEastAsia" w:hAnsiTheme="minorEastAsia" w:eastAsiaTheme="minorEastAsia" w:cstheme="minorEastAsia"/>
                <w:b/>
                <w:color w:val="auto"/>
                <w:kern w:val="0"/>
                <w:sz w:val="21"/>
                <w:szCs w:val="21"/>
                <w:highlight w:val="none"/>
                <w:lang w:val="zh-CN"/>
              </w:rPr>
            </w:pPr>
            <w:r>
              <w:rPr>
                <w:rFonts w:hint="eastAsia" w:asciiTheme="minorEastAsia" w:hAnsiTheme="minorEastAsia" w:eastAsiaTheme="minorEastAsia" w:cstheme="minorEastAsia"/>
                <w:b/>
                <w:color w:val="auto"/>
                <w:kern w:val="0"/>
                <w:sz w:val="21"/>
                <w:szCs w:val="21"/>
                <w:highlight w:val="none"/>
                <w:lang w:val="zh-CN"/>
              </w:rPr>
              <w:t>响应文件出现不是唯一的、有选择性最后报价的；</w:t>
            </w:r>
          </w:p>
          <w:p w14:paraId="5683595A">
            <w:pPr>
              <w:snapToGrid w:val="0"/>
              <w:spacing w:line="360" w:lineRule="auto"/>
              <w:ind w:firstLine="211" w:firstLineChars="100"/>
              <w:rPr>
                <w:rFonts w:hint="eastAsia" w:asciiTheme="minorEastAsia" w:hAnsiTheme="minorEastAsia" w:eastAsiaTheme="minorEastAsia" w:cstheme="minorEastAsia"/>
                <w:b/>
                <w:color w:val="auto"/>
                <w:kern w:val="0"/>
                <w:sz w:val="21"/>
                <w:szCs w:val="21"/>
                <w:highlight w:val="none"/>
                <w:lang w:val="zh-CN"/>
              </w:rPr>
            </w:pPr>
            <w:r>
              <w:rPr>
                <w:rFonts w:hint="eastAsia" w:asciiTheme="minorEastAsia" w:hAnsiTheme="minorEastAsia" w:eastAsiaTheme="minorEastAsia" w:cstheme="minorEastAsia"/>
                <w:b/>
                <w:color w:val="auto"/>
                <w:kern w:val="0"/>
                <w:sz w:val="21"/>
                <w:szCs w:val="21"/>
                <w:highlight w:val="none"/>
                <w:lang w:val="zh-CN"/>
              </w:rPr>
              <w:t>最后报价超过采购文件中规定的预算金额或者最高限价的;</w:t>
            </w:r>
          </w:p>
          <w:p w14:paraId="4ECD3664">
            <w:pPr>
              <w:spacing w:line="360" w:lineRule="auto"/>
              <w:ind w:firstLine="211" w:firstLineChars="1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报价明显低于其他通过符合性审查供应商的报价，有可能影响产品质量或者不能诚信履约的，未能按要求提供书面说明或者提交相关证明材料证明其报价合理性的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color w:val="auto"/>
                <w:sz w:val="21"/>
                <w:szCs w:val="21"/>
                <w:highlight w:val="none"/>
              </w:rPr>
              <w:t>;</w:t>
            </w:r>
          </w:p>
          <w:p w14:paraId="01C2E563">
            <w:pPr>
              <w:spacing w:line="360" w:lineRule="auto"/>
              <w:ind w:firstLine="211"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供应商对根据修正原则修正后的报价不确认的</w:t>
            </w:r>
            <w:r>
              <w:rPr>
                <w:rFonts w:hint="eastAsia" w:asciiTheme="minorEastAsia" w:hAnsiTheme="minorEastAsia" w:eastAsiaTheme="minorEastAsia" w:cstheme="minorEastAsia"/>
                <w:b/>
                <w:color w:val="auto"/>
                <w:sz w:val="21"/>
                <w:szCs w:val="21"/>
                <w:highlight w:val="none"/>
              </w:rPr>
              <w:t>。</w:t>
            </w:r>
          </w:p>
        </w:tc>
      </w:tr>
      <w:tr w14:paraId="0D80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11" w:hRule="atLeast"/>
        </w:trPr>
        <w:tc>
          <w:tcPr>
            <w:tcW w:w="366" w:type="pct"/>
            <w:vAlign w:val="center"/>
          </w:tcPr>
          <w:p w14:paraId="62250990">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1075" w:type="pct"/>
            <w:vAlign w:val="center"/>
          </w:tcPr>
          <w:p w14:paraId="7D93F284">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中小企业信用融资</w:t>
            </w:r>
          </w:p>
        </w:tc>
        <w:tc>
          <w:tcPr>
            <w:tcW w:w="3558" w:type="pct"/>
            <w:vAlign w:val="center"/>
          </w:tcPr>
          <w:p w14:paraId="4B122D5D">
            <w:pPr>
              <w:spacing w:line="360"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供应商成交后也可在“乐采云”平台申请政采贷：操作路径：登录乐采云平台 - 金融服务中心 -【融资服务】，可在热门申请中选择产品直接申请，也可点击云智贷匹配适合产品进行申请，或者在可申请项目中根据该项目进行申请。</w:t>
            </w:r>
          </w:p>
        </w:tc>
      </w:tr>
      <w:tr w14:paraId="195D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6" w:type="pct"/>
            <w:vAlign w:val="center"/>
          </w:tcPr>
          <w:p w14:paraId="2BBCE8D9">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1075" w:type="pct"/>
            <w:vAlign w:val="center"/>
          </w:tcPr>
          <w:p w14:paraId="051FC1DB">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备份响应文件送达地点和签收人员</w:t>
            </w:r>
          </w:p>
        </w:tc>
        <w:tc>
          <w:tcPr>
            <w:tcW w:w="3558" w:type="pct"/>
            <w:vAlign w:val="center"/>
          </w:tcPr>
          <w:p w14:paraId="620ADBED">
            <w:pPr>
              <w:pStyle w:val="5"/>
              <w:spacing w:line="360" w:lineRule="auto"/>
              <w:rPr>
                <w:rFonts w:hint="eastAsia" w:asciiTheme="minorEastAsia" w:hAnsiTheme="minorEastAsia" w:eastAsiaTheme="minorEastAsia" w:cstheme="minorEastAsia"/>
                <w:color w:val="auto"/>
                <w:kern w:val="28"/>
                <w:sz w:val="21"/>
                <w:szCs w:val="21"/>
                <w:highlight w:val="none"/>
              </w:rPr>
            </w:pPr>
            <w:r>
              <w:rPr>
                <w:rFonts w:hint="eastAsia" w:asciiTheme="minorEastAsia" w:hAnsiTheme="minorEastAsia" w:eastAsiaTheme="minorEastAsia" w:cstheme="minorEastAsia"/>
                <w:color w:val="auto"/>
                <w:kern w:val="28"/>
                <w:sz w:val="21"/>
                <w:szCs w:val="21"/>
                <w:highlight w:val="none"/>
              </w:rPr>
              <w:t>备份响应文件送达地点：</w:t>
            </w:r>
            <w:r>
              <w:rPr>
                <w:rFonts w:hint="eastAsia" w:asciiTheme="minorEastAsia" w:hAnsiTheme="minorEastAsia" w:eastAsiaTheme="minorEastAsia" w:cstheme="minorEastAsia"/>
                <w:color w:val="auto"/>
                <w:sz w:val="21"/>
                <w:szCs w:val="21"/>
                <w:highlight w:val="none"/>
                <w:u w:val="single"/>
              </w:rPr>
              <w:t xml:space="preserve"> 杭州市拱墅区大关路179号远洋国际中心A座17楼1706室 </w:t>
            </w:r>
            <w:r>
              <w:rPr>
                <w:rFonts w:hint="eastAsia" w:asciiTheme="minorEastAsia" w:hAnsiTheme="minorEastAsia" w:eastAsiaTheme="minorEastAsia" w:cstheme="minorEastAsia"/>
                <w:color w:val="auto"/>
                <w:kern w:val="28"/>
                <w:sz w:val="21"/>
                <w:szCs w:val="21"/>
                <w:highlight w:val="none"/>
              </w:rPr>
              <w:t>；</w:t>
            </w:r>
          </w:p>
          <w:p w14:paraId="251ED2E5">
            <w:pPr>
              <w:pStyle w:val="5"/>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8"/>
                <w:sz w:val="21"/>
                <w:szCs w:val="21"/>
                <w:highlight w:val="none"/>
              </w:rPr>
              <w:t>备份响应文件签收人员联系电话：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eastAsia="zh-CN"/>
              </w:rPr>
              <w:t>白晶晶</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u w:val="single"/>
                <w:lang w:eastAsia="zh-CN"/>
              </w:rPr>
              <w:t>0571-56329673</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55FDB1CE">
            <w:pPr>
              <w:pStyle w:val="5"/>
              <w:spacing w:line="360" w:lineRule="auto"/>
              <w:rPr>
                <w:rFonts w:hint="eastAsia" w:asciiTheme="minorEastAsia" w:hAnsiTheme="minorEastAsia" w:eastAsiaTheme="minorEastAsia" w:cstheme="minorEastAsia"/>
                <w:color w:val="auto"/>
                <w:kern w:val="28"/>
                <w:sz w:val="21"/>
                <w:szCs w:val="21"/>
                <w:highlight w:val="none"/>
              </w:rPr>
            </w:pPr>
            <w:r>
              <w:rPr>
                <w:rFonts w:hint="eastAsia" w:asciiTheme="minorEastAsia" w:hAnsiTheme="minorEastAsia" w:eastAsiaTheme="minorEastAsia" w:cstheme="minorEastAsia"/>
                <w:b/>
                <w:color w:val="auto"/>
                <w:sz w:val="21"/>
                <w:szCs w:val="21"/>
                <w:highlight w:val="none"/>
              </w:rPr>
              <w:t>采购人、采购代理机构不强制或变相强制供应商提交备份响应文件。</w:t>
            </w:r>
          </w:p>
        </w:tc>
      </w:tr>
      <w:tr w14:paraId="5A09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6" w:type="pct"/>
            <w:vMerge w:val="restart"/>
            <w:vAlign w:val="center"/>
          </w:tcPr>
          <w:p w14:paraId="51B44495">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1075" w:type="pct"/>
            <w:vMerge w:val="restart"/>
            <w:vAlign w:val="center"/>
          </w:tcPr>
          <w:p w14:paraId="665678E6">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其它说明</w:t>
            </w:r>
          </w:p>
        </w:tc>
        <w:tc>
          <w:tcPr>
            <w:tcW w:w="3558" w:type="pct"/>
            <w:vAlign w:val="center"/>
          </w:tcPr>
          <w:p w14:paraId="44FFE777">
            <w:pPr>
              <w:spacing w:line="360" w:lineRule="auto"/>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Theme="minorEastAsia" w:hAnsiTheme="minorEastAsia" w:eastAsiaTheme="minorEastAsia" w:cstheme="minorEastAsia"/>
                <w:b/>
                <w:color w:val="auto"/>
                <w:kern w:val="0"/>
                <w:sz w:val="21"/>
                <w:szCs w:val="21"/>
                <w:highlight w:val="none"/>
              </w:rPr>
              <w:t>。</w:t>
            </w:r>
          </w:p>
        </w:tc>
      </w:tr>
      <w:tr w14:paraId="2E1C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6" w:type="pct"/>
            <w:vMerge w:val="continue"/>
            <w:vAlign w:val="center"/>
          </w:tcPr>
          <w:p w14:paraId="2BBD7F6E">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075" w:type="pct"/>
            <w:vMerge w:val="continue"/>
            <w:vAlign w:val="center"/>
          </w:tcPr>
          <w:p w14:paraId="2BB7DBFB">
            <w:pPr>
              <w:snapToGrid w:val="0"/>
              <w:spacing w:line="360" w:lineRule="auto"/>
              <w:jc w:val="center"/>
              <w:rPr>
                <w:rFonts w:hint="eastAsia" w:asciiTheme="minorEastAsia" w:hAnsiTheme="minorEastAsia" w:eastAsiaTheme="minorEastAsia" w:cstheme="minorEastAsia"/>
                <w:b/>
                <w:color w:val="auto"/>
                <w:sz w:val="21"/>
                <w:szCs w:val="21"/>
                <w:highlight w:val="none"/>
              </w:rPr>
            </w:pPr>
          </w:p>
        </w:tc>
        <w:tc>
          <w:tcPr>
            <w:tcW w:w="3558" w:type="pct"/>
            <w:vAlign w:val="center"/>
          </w:tcPr>
          <w:p w14:paraId="4E07C791">
            <w:pPr>
              <w:spacing w:line="360" w:lineRule="auto"/>
              <w:rPr>
                <w:rFonts w:hint="eastAsia" w:asciiTheme="minorEastAsia" w:hAnsiTheme="minorEastAsia" w:eastAsiaTheme="minorEastAsia" w:cstheme="minorEastAsia"/>
                <w:snapToGrid w:val="0"/>
                <w:color w:val="auto"/>
                <w:kern w:val="28"/>
                <w:sz w:val="21"/>
                <w:szCs w:val="21"/>
                <w:highlight w:val="none"/>
              </w:rPr>
            </w:pPr>
            <w:sdt>
              <w:sdtPr>
                <w:rPr>
                  <w:rFonts w:hint="eastAsia" w:asciiTheme="minorEastAsia" w:hAnsiTheme="minorEastAsia" w:eastAsiaTheme="minorEastAsia" w:cstheme="minorEastAsia"/>
                  <w:snapToGrid w:val="0"/>
                  <w:color w:val="auto"/>
                  <w:kern w:val="28"/>
                  <w:sz w:val="21"/>
                  <w:szCs w:val="21"/>
                  <w:highlight w:val="none"/>
                </w:rPr>
                <w:id w:val="14745547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snapToGrid w:val="0"/>
                  <w:color w:val="auto"/>
                  <w:kern w:val="28"/>
                  <w:sz w:val="21"/>
                  <w:szCs w:val="21"/>
                  <w:highlight w:val="none"/>
                </w:rPr>
              </w:sdtEndPr>
              <w:sdtContent>
                <w:r>
                  <w:rPr>
                    <w:rFonts w:hint="eastAsia" w:asciiTheme="minorEastAsia" w:hAnsiTheme="minorEastAsia" w:eastAsiaTheme="minorEastAsia" w:cstheme="minorEastAsia"/>
                    <w:snapToGrid w:val="0"/>
                    <w:color w:val="auto"/>
                    <w:kern w:val="28"/>
                    <w:sz w:val="21"/>
                    <w:szCs w:val="21"/>
                    <w:highlight w:val="none"/>
                  </w:rPr>
                  <w:t>☐</w:t>
                </w:r>
              </w:sdtContent>
            </w:sdt>
            <w:r>
              <w:rPr>
                <w:rFonts w:hint="eastAsia" w:asciiTheme="minorEastAsia" w:hAnsiTheme="minorEastAsia" w:eastAsiaTheme="minorEastAsia" w:cstheme="minorEastAsia"/>
                <w:snapToGrid w:val="0"/>
                <w:color w:val="auto"/>
                <w:kern w:val="28"/>
                <w:sz w:val="21"/>
                <w:szCs w:val="21"/>
                <w:highlight w:val="none"/>
              </w:rPr>
              <w:t>联合体投标的，联合体各方均需按招标文件第四部分评标标准要求提供资信证明文件，否则视为不符合相关要求。</w:t>
            </w:r>
          </w:p>
          <w:p w14:paraId="241D2B97">
            <w:pPr>
              <w:spacing w:line="360" w:lineRule="auto"/>
              <w:rPr>
                <w:rFonts w:hint="eastAsia" w:asciiTheme="minorEastAsia" w:hAnsiTheme="minorEastAsia" w:eastAsiaTheme="minorEastAsia" w:cstheme="minorEastAsia"/>
                <w:snapToGrid w:val="0"/>
                <w:color w:val="auto"/>
                <w:kern w:val="28"/>
                <w:sz w:val="21"/>
                <w:szCs w:val="21"/>
                <w:highlight w:val="none"/>
              </w:rPr>
            </w:pPr>
            <w:sdt>
              <w:sdtPr>
                <w:rPr>
                  <w:rFonts w:hint="eastAsia" w:asciiTheme="minorEastAsia" w:hAnsiTheme="minorEastAsia" w:eastAsiaTheme="minorEastAsia" w:cstheme="minorEastAsia"/>
                  <w:snapToGrid w:val="0"/>
                  <w:color w:val="auto"/>
                  <w:kern w:val="28"/>
                  <w:sz w:val="21"/>
                  <w:szCs w:val="21"/>
                  <w:highlight w:val="none"/>
                </w:rPr>
                <w:id w:val="147481660"/>
                <w14:checkbox>
                  <w14:checked w14:val="1"/>
                  <w14:checkedState w14:val="00FE" w14:font="Wingdings"/>
                  <w14:uncheckedState w14:val="2610" w14:font="MS Gothic"/>
                </w14:checkbox>
              </w:sdtPr>
              <w:sdtEndPr>
                <w:rPr>
                  <w:rFonts w:hint="eastAsia" w:asciiTheme="minorEastAsia" w:hAnsiTheme="minorEastAsia" w:eastAsiaTheme="minorEastAsia" w:cstheme="minorEastAsia"/>
                  <w:snapToGrid w:val="0"/>
                  <w:color w:val="auto"/>
                  <w:kern w:val="28"/>
                  <w:sz w:val="21"/>
                  <w:szCs w:val="21"/>
                  <w:highlight w:val="none"/>
                </w:rPr>
              </w:sdtEndPr>
              <w:sdtContent>
                <w:r>
                  <w:rPr>
                    <w:rFonts w:hint="eastAsia" w:asciiTheme="minorEastAsia" w:hAnsiTheme="minorEastAsia" w:eastAsiaTheme="minorEastAsia" w:cstheme="minorEastAsia"/>
                    <w:snapToGrid w:val="0"/>
                    <w:color w:val="auto"/>
                    <w:kern w:val="28"/>
                    <w:sz w:val="21"/>
                    <w:szCs w:val="21"/>
                    <w:highlight w:val="none"/>
                  </w:rPr>
                  <w:sym w:font="Wingdings" w:char="F0FE"/>
                </w:r>
              </w:sdtContent>
            </w:sdt>
            <w:r>
              <w:rPr>
                <w:rFonts w:hint="eastAsia" w:asciiTheme="minorEastAsia" w:hAnsiTheme="minorEastAsia" w:eastAsiaTheme="minorEastAsia" w:cstheme="minorEastAsia"/>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4E82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trPr>
        <w:tc>
          <w:tcPr>
            <w:tcW w:w="366" w:type="pct"/>
            <w:vAlign w:val="center"/>
          </w:tcPr>
          <w:p w14:paraId="3477B569">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1075" w:type="pct"/>
            <w:vAlign w:val="center"/>
          </w:tcPr>
          <w:p w14:paraId="05ED10CD">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
              </w:rPr>
              <w:t>成交候选人数量</w:t>
            </w:r>
          </w:p>
        </w:tc>
        <w:tc>
          <w:tcPr>
            <w:tcW w:w="3558" w:type="pct"/>
            <w:vAlign w:val="center"/>
          </w:tcPr>
          <w:p w14:paraId="6C83D550">
            <w:pPr>
              <w:spacing w:line="360" w:lineRule="auto"/>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color w:val="auto"/>
                <w:kern w:val="0"/>
                <w:sz w:val="21"/>
                <w:szCs w:val="21"/>
                <w:highlight w:val="none"/>
                <w:lang w:val="en"/>
              </w:rPr>
              <w:t>本项目推荐的成交候选人数量：</w:t>
            </w:r>
            <w:r>
              <w:rPr>
                <w:rFonts w:hint="eastAsia" w:asciiTheme="minorEastAsia" w:hAnsiTheme="minorEastAsia" w:eastAsiaTheme="minorEastAsia" w:cstheme="minorEastAsia"/>
                <w:color w:val="auto"/>
                <w:kern w:val="0"/>
                <w:sz w:val="21"/>
                <w:szCs w:val="21"/>
                <w:highlight w:val="none"/>
                <w:u w:val="single"/>
              </w:rPr>
              <w:t xml:space="preserve"> 3 </w:t>
            </w:r>
            <w:r>
              <w:rPr>
                <w:rFonts w:hint="eastAsia" w:asciiTheme="minorEastAsia" w:hAnsiTheme="minorEastAsia" w:eastAsiaTheme="minorEastAsia" w:cstheme="minorEastAsia"/>
                <w:color w:val="auto"/>
                <w:kern w:val="0"/>
                <w:sz w:val="21"/>
                <w:szCs w:val="21"/>
                <w:highlight w:val="none"/>
                <w:lang w:val="en"/>
              </w:rPr>
              <w:t>。</w:t>
            </w:r>
          </w:p>
        </w:tc>
      </w:tr>
      <w:tr w14:paraId="1F2D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7" w:hRule="atLeast"/>
        </w:trPr>
        <w:tc>
          <w:tcPr>
            <w:tcW w:w="366" w:type="pct"/>
            <w:vAlign w:val="center"/>
          </w:tcPr>
          <w:p w14:paraId="2B3C4786">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1075" w:type="pct"/>
            <w:vAlign w:val="center"/>
          </w:tcPr>
          <w:p w14:paraId="1D5DC235">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
              </w:rPr>
              <w:t>代理费用收取方式及标准</w:t>
            </w:r>
          </w:p>
        </w:tc>
        <w:tc>
          <w:tcPr>
            <w:tcW w:w="3558" w:type="pct"/>
            <w:vAlign w:val="center"/>
          </w:tcPr>
          <w:p w14:paraId="470690DC">
            <w:pPr>
              <w:spacing w:line="360" w:lineRule="auto"/>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采购人支付</w:t>
            </w:r>
          </w:p>
        </w:tc>
      </w:tr>
      <w:tr w14:paraId="1A1F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7" w:hRule="atLeast"/>
        </w:trPr>
        <w:tc>
          <w:tcPr>
            <w:tcW w:w="366" w:type="pct"/>
            <w:vAlign w:val="center"/>
          </w:tcPr>
          <w:p w14:paraId="0CE8F6EC">
            <w:pPr>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w:t>
            </w:r>
          </w:p>
        </w:tc>
        <w:tc>
          <w:tcPr>
            <w:tcW w:w="1075" w:type="pct"/>
            <w:vAlign w:val="center"/>
          </w:tcPr>
          <w:p w14:paraId="44E3FB9D">
            <w:pPr>
              <w:snapToGrid w:val="0"/>
              <w:spacing w:line="360" w:lineRule="auto"/>
              <w:jc w:val="center"/>
              <w:rPr>
                <w:rFonts w:hint="eastAsia" w:asciiTheme="minorEastAsia" w:hAnsiTheme="minorEastAsia" w:eastAsiaTheme="minorEastAsia" w:cstheme="minorEastAsia"/>
                <w:b/>
                <w:color w:val="auto"/>
                <w:sz w:val="21"/>
                <w:szCs w:val="21"/>
                <w:highlight w:val="none"/>
                <w:lang w:val="en"/>
              </w:rPr>
            </w:pPr>
            <w:r>
              <w:rPr>
                <w:rFonts w:hint="eastAsia" w:asciiTheme="minorEastAsia" w:hAnsiTheme="minorEastAsia" w:eastAsiaTheme="minorEastAsia" w:cstheme="minorEastAsia"/>
                <w:b/>
                <w:color w:val="auto"/>
                <w:sz w:val="21"/>
                <w:szCs w:val="21"/>
                <w:highlight w:val="none"/>
                <w:lang w:val="en-US" w:eastAsia="zh-CN"/>
              </w:rPr>
              <w:t>重</w:t>
            </w:r>
            <w:r>
              <w:rPr>
                <w:rFonts w:hint="eastAsia" w:asciiTheme="minorEastAsia" w:hAnsiTheme="minorEastAsia" w:eastAsiaTheme="minorEastAsia" w:cstheme="minorEastAsia"/>
                <w:b/>
                <w:color w:val="auto"/>
                <w:sz w:val="21"/>
                <w:szCs w:val="21"/>
                <w:highlight w:val="none"/>
              </w:rPr>
              <w:t>要提醒</w:t>
            </w:r>
          </w:p>
        </w:tc>
        <w:tc>
          <w:tcPr>
            <w:tcW w:w="3558" w:type="pct"/>
            <w:vAlign w:val="center"/>
          </w:tcPr>
          <w:p w14:paraId="43E89945">
            <w:pPr>
              <w:spacing w:line="360" w:lineRule="auto"/>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b/>
                <w:bCs/>
                <w:color w:val="auto"/>
                <w:sz w:val="21"/>
                <w:szCs w:val="21"/>
                <w:highlight w:val="none"/>
                <w:u w:val="single"/>
                <w:lang w:val="en-US" w:eastAsia="zh-CN"/>
              </w:rPr>
              <w:t>供应商</w:t>
            </w:r>
            <w:r>
              <w:rPr>
                <w:rFonts w:hint="eastAsia" w:asciiTheme="minorEastAsia" w:hAnsiTheme="minorEastAsia" w:eastAsiaTheme="minorEastAsia" w:cstheme="minorEastAsia"/>
                <w:b/>
                <w:bCs/>
                <w:color w:val="auto"/>
                <w:sz w:val="21"/>
                <w:szCs w:val="21"/>
                <w:highlight w:val="none"/>
                <w:u w:val="single"/>
              </w:rPr>
              <w:t>对</w:t>
            </w:r>
            <w:r>
              <w:rPr>
                <w:rFonts w:hint="eastAsia" w:asciiTheme="minorEastAsia" w:hAnsiTheme="minorEastAsia" w:eastAsiaTheme="minorEastAsia" w:cstheme="minorEastAsia"/>
                <w:b/>
                <w:bCs/>
                <w:color w:val="auto"/>
                <w:sz w:val="21"/>
                <w:szCs w:val="21"/>
                <w:highlight w:val="none"/>
                <w:u w:val="single"/>
                <w:lang w:val="en-US" w:eastAsia="zh-CN"/>
              </w:rPr>
              <w:t>响应</w:t>
            </w:r>
            <w:r>
              <w:rPr>
                <w:rFonts w:hint="eastAsia" w:asciiTheme="minorEastAsia" w:hAnsiTheme="minorEastAsia" w:eastAsiaTheme="minorEastAsia" w:cstheme="minorEastAsia"/>
                <w:b/>
                <w:bCs/>
                <w:color w:val="auto"/>
                <w:sz w:val="21"/>
                <w:szCs w:val="21"/>
                <w:highlight w:val="none"/>
                <w:u w:val="single"/>
              </w:rPr>
              <w:t>文件中材料的真实性、合法性负责</w:t>
            </w:r>
            <w:r>
              <w:rPr>
                <w:rFonts w:hint="eastAsia" w:asciiTheme="minorEastAsia" w:hAnsiTheme="minorEastAsia" w:eastAsiaTheme="minorEastAsia" w:cstheme="minorEastAsia"/>
                <w:b/>
                <w:bCs/>
                <w:color w:val="auto"/>
                <w:sz w:val="21"/>
                <w:szCs w:val="21"/>
                <w:highlight w:val="none"/>
                <w:u w:val="single"/>
                <w:lang w:eastAsia="zh-CN"/>
              </w:rPr>
              <w:t>，</w:t>
            </w:r>
            <w:r>
              <w:rPr>
                <w:rFonts w:hint="eastAsia" w:asciiTheme="minorEastAsia" w:hAnsiTheme="minorEastAsia" w:eastAsiaTheme="minorEastAsia" w:cstheme="minorEastAsia"/>
                <w:b/>
                <w:bCs/>
                <w:color w:val="auto"/>
                <w:sz w:val="21"/>
                <w:szCs w:val="21"/>
                <w:highlight w:val="none"/>
                <w:u w:val="single"/>
                <w:lang w:val="en-US" w:eastAsia="zh-CN"/>
              </w:rPr>
              <w:t>须</w:t>
            </w:r>
            <w:r>
              <w:rPr>
                <w:rFonts w:hint="eastAsia" w:asciiTheme="minorEastAsia" w:hAnsiTheme="minorEastAsia" w:eastAsiaTheme="minorEastAsia" w:cstheme="minorEastAsia"/>
                <w:b/>
                <w:bCs/>
                <w:color w:val="auto"/>
                <w:sz w:val="21"/>
                <w:szCs w:val="21"/>
                <w:highlight w:val="none"/>
                <w:u w:val="single"/>
                <w:lang w:eastAsia="zh-CN"/>
              </w:rPr>
              <w:t>积极配合采购人、采购代理机构复核响应文件中的资料。</w:t>
            </w:r>
          </w:p>
        </w:tc>
      </w:tr>
    </w:tbl>
    <w:p w14:paraId="4A11799A">
      <w:pPr>
        <w:snapToGrid w:val="0"/>
        <w:spacing w:line="360" w:lineRule="auto"/>
        <w:jc w:val="center"/>
        <w:rPr>
          <w:rFonts w:ascii="宋体" w:hAnsi="宋体" w:cs="宋体"/>
          <w:b/>
          <w:color w:val="auto"/>
          <w:sz w:val="32"/>
          <w:szCs w:val="20"/>
          <w:highlight w:val="none"/>
        </w:rPr>
      </w:pPr>
    </w:p>
    <w:bookmarkEnd w:id="10"/>
    <w:p w14:paraId="27D4B414">
      <w:pPr>
        <w:widowControl/>
        <w:adjustRightInd/>
        <w:jc w:val="left"/>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br w:type="page"/>
      </w:r>
    </w:p>
    <w:p w14:paraId="342151EE">
      <w:pPr>
        <w:snapToGrid w:val="0"/>
        <w:spacing w:line="360" w:lineRule="auto"/>
        <w:jc w:val="center"/>
        <w:outlineLvl w:val="1"/>
        <w:rPr>
          <w:rFonts w:ascii="宋体" w:hAnsi="宋体" w:cs="宋体"/>
          <w:b/>
          <w:color w:val="auto"/>
          <w:sz w:val="24"/>
          <w:szCs w:val="24"/>
          <w:highlight w:val="none"/>
        </w:rPr>
      </w:pPr>
      <w:r>
        <w:rPr>
          <w:rFonts w:hint="eastAsia" w:ascii="宋体" w:hAnsi="宋体" w:cs="宋体"/>
          <w:b/>
          <w:color w:val="auto"/>
          <w:sz w:val="24"/>
          <w:szCs w:val="24"/>
          <w:highlight w:val="none"/>
        </w:rPr>
        <w:t>一、总则</w:t>
      </w:r>
    </w:p>
    <w:p w14:paraId="2202C0A9">
      <w:pPr>
        <w:snapToGrid w:val="0"/>
        <w:spacing w:line="360" w:lineRule="auto"/>
        <w:jc w:val="left"/>
        <w:outlineLvl w:val="9"/>
        <w:rPr>
          <w:rFonts w:ascii="宋体" w:hAnsi="宋体" w:cs="宋体"/>
          <w:b/>
          <w:color w:val="auto"/>
          <w:sz w:val="21"/>
          <w:szCs w:val="21"/>
          <w:highlight w:val="none"/>
        </w:rPr>
      </w:pPr>
      <w:r>
        <w:rPr>
          <w:rFonts w:hint="eastAsia" w:ascii="宋体" w:hAnsi="宋体" w:cs="宋体"/>
          <w:b/>
          <w:color w:val="auto"/>
          <w:sz w:val="21"/>
          <w:szCs w:val="21"/>
          <w:highlight w:val="none"/>
        </w:rPr>
        <w:t>1. 适用范围</w:t>
      </w:r>
    </w:p>
    <w:p w14:paraId="2343D6B6">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本采购文件适用于该项目的采购邀请、响应文件提交、响应文件开启、资格审查及信用信息查询、磋商、评审、成交供应商确定、合同、验收等行为（法律、法规另有规定的，从其规定）。</w:t>
      </w:r>
    </w:p>
    <w:p w14:paraId="13E804AC">
      <w:pPr>
        <w:snapToGrid w:val="0"/>
        <w:spacing w:line="360" w:lineRule="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2.定义</w:t>
      </w:r>
    </w:p>
    <w:p w14:paraId="45144C8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 “采购人”系指竞争性磋商公告中载明的本项目的采购人。</w:t>
      </w:r>
    </w:p>
    <w:p w14:paraId="2C36437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 “采购代理机构”系指竞争性磋商公告中载明的本项目的采购代理机构。</w:t>
      </w:r>
    </w:p>
    <w:p w14:paraId="70B59DC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 “供应商”系指是指提交响应文件和报价、参与竞争性磋商采购活动的法人、其他组织或者自然人。</w:t>
      </w:r>
    </w:p>
    <w:p w14:paraId="7F5EB19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 “负责人”系指法人企业的法定负责人，或其他组织为法律、行政法规规定代表单位行使职权的主要负责人，或自然人本人。</w:t>
      </w:r>
    </w:p>
    <w:p w14:paraId="3126903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38D68B0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2.6“电子交易平台”系指本项目政府采购活动所依托的</w:t>
      </w:r>
      <w:r>
        <w:rPr>
          <w:rFonts w:hint="eastAsia" w:ascii="宋体" w:hAnsi="宋体" w:cs="宋体"/>
          <w:color w:val="auto"/>
          <w:sz w:val="21"/>
          <w:szCs w:val="21"/>
          <w:highlight w:val="none"/>
          <w:lang w:val="en-US" w:eastAsia="zh-CN"/>
        </w:rPr>
        <w:t>乐采</w:t>
      </w:r>
      <w:r>
        <w:rPr>
          <w:rFonts w:hint="eastAsia" w:ascii="宋体" w:hAnsi="宋体" w:cs="宋体"/>
          <w:color w:val="auto"/>
          <w:sz w:val="21"/>
          <w:szCs w:val="21"/>
          <w:highlight w:val="none"/>
        </w:rPr>
        <w:t>云平台（</w:t>
      </w:r>
      <w:r>
        <w:rPr>
          <w:rFonts w:hint="eastAsia" w:ascii="宋体" w:hAnsi="宋体" w:cs="宋体"/>
          <w:color w:val="auto"/>
          <w:sz w:val="21"/>
          <w:szCs w:val="21"/>
          <w:highlight w:val="none"/>
          <w:lang w:eastAsia="zh-CN"/>
        </w:rPr>
        <w:t>https://www.lecaiyun.com/</w:t>
      </w:r>
      <w:r>
        <w:rPr>
          <w:rFonts w:hint="eastAsia" w:ascii="宋体" w:hAnsi="宋体" w:cs="宋体"/>
          <w:color w:val="auto"/>
          <w:sz w:val="21"/>
          <w:szCs w:val="21"/>
          <w:highlight w:val="none"/>
        </w:rPr>
        <w:t>）。</w:t>
      </w:r>
    </w:p>
    <w:p w14:paraId="7F246EF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2.7 “▲” 系指实质性要求条款，“</w:t>
      </w:r>
      <w:sdt>
        <w:sdtPr>
          <w:rPr>
            <w:rFonts w:hint="eastAsia" w:ascii="宋体" w:hAnsi="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sz w:val="21"/>
          <w:szCs w:val="21"/>
          <w:highlight w:val="none"/>
        </w:rPr>
        <w:t>” 系指适用本项目的要求，“</w:t>
      </w:r>
      <w:sdt>
        <w:sdtPr>
          <w:rPr>
            <w:rFonts w:hint="eastAsia" w:ascii="宋体" w:hAnsi="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 系指不适用本项目的要求，“※”系指磋商过程中可能实质性变动的内容。</w:t>
      </w:r>
    </w:p>
    <w:p w14:paraId="4DB6287E">
      <w:p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3.</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采购项目需要落实的政府采购政策</w:t>
      </w:r>
    </w:p>
    <w:p w14:paraId="2FB1DC17">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1"/>
          <w:szCs w:val="21"/>
          <w:highlight w:val="none"/>
        </w:rPr>
        <w:t>优先采购向我国企业转让技术、与我国企业签订消化吸收再创新方案的供应商的进口产品</w:t>
      </w:r>
      <w:r>
        <w:rPr>
          <w:rFonts w:hint="eastAsia" w:ascii="宋体" w:hAnsi="宋体" w:cs="宋体"/>
          <w:color w:val="auto"/>
          <w:sz w:val="21"/>
          <w:szCs w:val="21"/>
          <w:highlight w:val="none"/>
        </w:rPr>
        <w:t>。</w:t>
      </w:r>
    </w:p>
    <w:p w14:paraId="2BDA674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 支持绿色发展</w:t>
      </w:r>
    </w:p>
    <w:p w14:paraId="67C90C83">
      <w:pPr>
        <w:snapToGrid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1"/>
          <w:szCs w:val="21"/>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4E06C0C8">
      <w:pPr>
        <w:snapToGrid w:val="0"/>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《节能产品政府采购品目清单》详见《关于印发节能产品政府采购品目清单的通知(财库[2019]19号)》(如遇调整，按最新清单执行)。</w:t>
      </w:r>
    </w:p>
    <w:p w14:paraId="052F6378">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br w:type="page"/>
      </w:r>
    </w:p>
    <w:tbl>
      <w:tblPr>
        <w:tblStyle w:val="62"/>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2B9DE4B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26010834">
            <w:pPr>
              <w:jc w:val="center"/>
              <w:rPr>
                <w:rFonts w:ascii="宋体" w:hAnsi="宋体" w:cs="宋体"/>
                <w:b/>
                <w:color w:val="auto"/>
                <w:w w:val="90"/>
                <w:sz w:val="21"/>
                <w:szCs w:val="21"/>
                <w:highlight w:val="none"/>
              </w:rPr>
            </w:pPr>
            <w:r>
              <w:rPr>
                <w:rFonts w:hint="eastAsia" w:ascii="宋体" w:hAnsi="宋体" w:cs="宋体"/>
                <w:b/>
                <w:color w:val="auto"/>
                <w:w w:val="90"/>
                <w:sz w:val="21"/>
                <w:szCs w:val="21"/>
                <w:highlight w:val="none"/>
              </w:rPr>
              <w:t>品目序号</w:t>
            </w:r>
          </w:p>
        </w:tc>
        <w:tc>
          <w:tcPr>
            <w:tcW w:w="5949" w:type="dxa"/>
            <w:gridSpan w:val="3"/>
            <w:shd w:val="clear" w:color="auto" w:fill="DAEEF3"/>
            <w:vAlign w:val="center"/>
          </w:tcPr>
          <w:p w14:paraId="31BAD75A">
            <w:pPr>
              <w:jc w:val="center"/>
              <w:rPr>
                <w:rFonts w:ascii="宋体" w:hAnsi="宋体" w:cs="宋体"/>
                <w:b/>
                <w:color w:val="auto"/>
                <w:w w:val="90"/>
                <w:sz w:val="21"/>
                <w:szCs w:val="21"/>
                <w:highlight w:val="none"/>
              </w:rPr>
            </w:pPr>
            <w:r>
              <w:rPr>
                <w:rFonts w:hint="eastAsia" w:ascii="宋体" w:hAnsi="宋体" w:cs="宋体"/>
                <w:b/>
                <w:color w:val="auto"/>
                <w:w w:val="90"/>
                <w:sz w:val="21"/>
                <w:szCs w:val="21"/>
                <w:highlight w:val="none"/>
              </w:rPr>
              <w:t>名称（以“★”标注的为政府强制采购产品）</w:t>
            </w:r>
          </w:p>
        </w:tc>
        <w:tc>
          <w:tcPr>
            <w:tcW w:w="3301" w:type="dxa"/>
            <w:shd w:val="clear" w:color="auto" w:fill="DAEEF3"/>
            <w:vAlign w:val="center"/>
          </w:tcPr>
          <w:p w14:paraId="3FF3A39F">
            <w:pPr>
              <w:jc w:val="center"/>
              <w:rPr>
                <w:rFonts w:ascii="宋体" w:hAnsi="宋体" w:cs="宋体"/>
                <w:b/>
                <w:color w:val="auto"/>
                <w:w w:val="90"/>
                <w:sz w:val="21"/>
                <w:szCs w:val="21"/>
                <w:highlight w:val="none"/>
              </w:rPr>
            </w:pPr>
            <w:r>
              <w:rPr>
                <w:rFonts w:hint="eastAsia" w:ascii="宋体" w:hAnsi="宋体" w:cs="宋体"/>
                <w:b/>
                <w:color w:val="auto"/>
                <w:w w:val="90"/>
                <w:sz w:val="21"/>
                <w:szCs w:val="21"/>
                <w:highlight w:val="none"/>
              </w:rPr>
              <w:t>依据的标准</w:t>
            </w:r>
          </w:p>
        </w:tc>
      </w:tr>
      <w:tr w14:paraId="031806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DEC45C0">
            <w:pPr>
              <w:jc w:val="center"/>
              <w:rPr>
                <w:rFonts w:ascii="宋体" w:hAnsi="宋体" w:cs="宋体"/>
                <w:color w:val="auto"/>
                <w:w w:val="90"/>
                <w:sz w:val="21"/>
                <w:szCs w:val="21"/>
                <w:highlight w:val="none"/>
              </w:rPr>
            </w:pPr>
            <w:r>
              <w:rPr>
                <w:rFonts w:hint="eastAsia" w:ascii="宋体" w:hAnsi="宋体" w:cs="宋体"/>
                <w:color w:val="auto"/>
                <w:w w:val="90"/>
                <w:sz w:val="21"/>
                <w:szCs w:val="21"/>
                <w:highlight w:val="none"/>
              </w:rPr>
              <w:t>1</w:t>
            </w:r>
          </w:p>
        </w:tc>
        <w:tc>
          <w:tcPr>
            <w:tcW w:w="1933" w:type="dxa"/>
            <w:vMerge w:val="restart"/>
            <w:vAlign w:val="center"/>
          </w:tcPr>
          <w:p w14:paraId="53C9FCF9">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A020101计算机设备</w:t>
            </w:r>
          </w:p>
        </w:tc>
        <w:tc>
          <w:tcPr>
            <w:tcW w:w="2334" w:type="dxa"/>
            <w:vAlign w:val="center"/>
          </w:tcPr>
          <w:p w14:paraId="26205210">
            <w:pPr>
              <w:jc w:val="left"/>
              <w:rPr>
                <w:rFonts w:ascii="宋体" w:hAnsi="宋体" w:cs="宋体"/>
                <w:b/>
                <w:color w:val="auto"/>
                <w:w w:val="90"/>
                <w:sz w:val="21"/>
                <w:szCs w:val="21"/>
                <w:highlight w:val="none"/>
              </w:rPr>
            </w:pPr>
            <w:r>
              <w:rPr>
                <w:rFonts w:hint="eastAsia" w:ascii="宋体" w:hAnsi="宋体" w:cs="宋体"/>
                <w:color w:val="auto"/>
                <w:w w:val="90"/>
                <w:sz w:val="21"/>
                <w:szCs w:val="21"/>
                <w:highlight w:val="none"/>
              </w:rPr>
              <w:t>★</w:t>
            </w:r>
            <w:r>
              <w:rPr>
                <w:rFonts w:hint="eastAsia" w:ascii="宋体" w:hAnsi="宋体" w:cs="宋体"/>
                <w:b/>
                <w:color w:val="auto"/>
                <w:w w:val="90"/>
                <w:sz w:val="21"/>
                <w:szCs w:val="21"/>
                <w:highlight w:val="none"/>
              </w:rPr>
              <w:t>A02010104台式计算机</w:t>
            </w:r>
          </w:p>
        </w:tc>
        <w:tc>
          <w:tcPr>
            <w:tcW w:w="1682" w:type="dxa"/>
            <w:vAlign w:val="center"/>
          </w:tcPr>
          <w:p w14:paraId="25630E97">
            <w:pPr>
              <w:jc w:val="center"/>
              <w:rPr>
                <w:rFonts w:ascii="宋体" w:hAnsi="宋体" w:cs="宋体"/>
                <w:color w:val="auto"/>
                <w:w w:val="90"/>
                <w:sz w:val="21"/>
                <w:szCs w:val="21"/>
                <w:highlight w:val="none"/>
              </w:rPr>
            </w:pPr>
          </w:p>
        </w:tc>
        <w:tc>
          <w:tcPr>
            <w:tcW w:w="3301" w:type="dxa"/>
            <w:vAlign w:val="center"/>
          </w:tcPr>
          <w:p w14:paraId="6625FEE7">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《微型计算机能效限定值及能效等级》（GB 28380）</w:t>
            </w:r>
          </w:p>
        </w:tc>
      </w:tr>
      <w:tr w14:paraId="0FE41C7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3C1DA81">
            <w:pPr>
              <w:jc w:val="center"/>
              <w:rPr>
                <w:rFonts w:ascii="宋体" w:hAnsi="宋体" w:cs="宋体"/>
                <w:color w:val="auto"/>
                <w:w w:val="90"/>
                <w:sz w:val="21"/>
                <w:szCs w:val="21"/>
                <w:highlight w:val="none"/>
              </w:rPr>
            </w:pPr>
          </w:p>
        </w:tc>
        <w:tc>
          <w:tcPr>
            <w:tcW w:w="1933" w:type="dxa"/>
            <w:vMerge w:val="continue"/>
            <w:vAlign w:val="center"/>
          </w:tcPr>
          <w:p w14:paraId="488BF84B">
            <w:pPr>
              <w:jc w:val="left"/>
              <w:rPr>
                <w:rFonts w:ascii="宋体" w:hAnsi="宋体" w:cs="宋体"/>
                <w:color w:val="auto"/>
                <w:w w:val="90"/>
                <w:sz w:val="21"/>
                <w:szCs w:val="21"/>
                <w:highlight w:val="none"/>
              </w:rPr>
            </w:pPr>
          </w:p>
        </w:tc>
        <w:tc>
          <w:tcPr>
            <w:tcW w:w="2334" w:type="dxa"/>
            <w:vAlign w:val="center"/>
          </w:tcPr>
          <w:p w14:paraId="5159C018">
            <w:pPr>
              <w:jc w:val="left"/>
              <w:rPr>
                <w:rFonts w:ascii="宋体" w:hAnsi="宋体" w:cs="宋体"/>
                <w:b/>
                <w:color w:val="auto"/>
                <w:w w:val="90"/>
                <w:sz w:val="21"/>
                <w:szCs w:val="21"/>
                <w:highlight w:val="none"/>
              </w:rPr>
            </w:pPr>
            <w:r>
              <w:rPr>
                <w:rFonts w:hint="eastAsia" w:ascii="宋体" w:hAnsi="宋体" w:cs="宋体"/>
                <w:color w:val="auto"/>
                <w:w w:val="90"/>
                <w:sz w:val="21"/>
                <w:szCs w:val="21"/>
                <w:highlight w:val="none"/>
              </w:rPr>
              <w:t>★</w:t>
            </w:r>
            <w:r>
              <w:rPr>
                <w:rFonts w:hint="eastAsia" w:ascii="宋体" w:hAnsi="宋体" w:cs="宋体"/>
                <w:b/>
                <w:color w:val="auto"/>
                <w:w w:val="90"/>
                <w:sz w:val="21"/>
                <w:szCs w:val="21"/>
                <w:highlight w:val="none"/>
              </w:rPr>
              <w:t>A02010105便携式计算</w:t>
            </w:r>
          </w:p>
        </w:tc>
        <w:tc>
          <w:tcPr>
            <w:tcW w:w="1682" w:type="dxa"/>
            <w:vAlign w:val="center"/>
          </w:tcPr>
          <w:p w14:paraId="35D8817F">
            <w:pPr>
              <w:jc w:val="center"/>
              <w:rPr>
                <w:rFonts w:ascii="宋体" w:hAnsi="宋体" w:cs="宋体"/>
                <w:color w:val="auto"/>
                <w:w w:val="90"/>
                <w:sz w:val="21"/>
                <w:szCs w:val="21"/>
                <w:highlight w:val="none"/>
              </w:rPr>
            </w:pPr>
          </w:p>
        </w:tc>
        <w:tc>
          <w:tcPr>
            <w:tcW w:w="3301" w:type="dxa"/>
            <w:vAlign w:val="center"/>
          </w:tcPr>
          <w:p w14:paraId="5067EF20">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《微型计算机能效限定值及能效等级》（GB 28380）</w:t>
            </w:r>
          </w:p>
        </w:tc>
      </w:tr>
      <w:tr w14:paraId="2BC6A03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350D02B">
            <w:pPr>
              <w:jc w:val="center"/>
              <w:rPr>
                <w:rFonts w:ascii="宋体" w:hAnsi="宋体" w:cs="宋体"/>
                <w:color w:val="auto"/>
                <w:w w:val="90"/>
                <w:sz w:val="21"/>
                <w:szCs w:val="21"/>
                <w:highlight w:val="none"/>
              </w:rPr>
            </w:pPr>
          </w:p>
        </w:tc>
        <w:tc>
          <w:tcPr>
            <w:tcW w:w="1933" w:type="dxa"/>
            <w:vMerge w:val="continue"/>
            <w:vAlign w:val="center"/>
          </w:tcPr>
          <w:p w14:paraId="26B3308E">
            <w:pPr>
              <w:jc w:val="left"/>
              <w:rPr>
                <w:rFonts w:ascii="宋体" w:hAnsi="宋体" w:cs="宋体"/>
                <w:color w:val="auto"/>
                <w:w w:val="90"/>
                <w:sz w:val="21"/>
                <w:szCs w:val="21"/>
                <w:highlight w:val="none"/>
              </w:rPr>
            </w:pPr>
          </w:p>
        </w:tc>
        <w:tc>
          <w:tcPr>
            <w:tcW w:w="2334" w:type="dxa"/>
            <w:vAlign w:val="center"/>
          </w:tcPr>
          <w:p w14:paraId="31C8C52F">
            <w:pPr>
              <w:jc w:val="left"/>
              <w:rPr>
                <w:rFonts w:ascii="宋体" w:hAnsi="宋体" w:cs="宋体"/>
                <w:b/>
                <w:color w:val="auto"/>
                <w:w w:val="90"/>
                <w:sz w:val="21"/>
                <w:szCs w:val="21"/>
                <w:highlight w:val="none"/>
              </w:rPr>
            </w:pPr>
            <w:r>
              <w:rPr>
                <w:rFonts w:hint="eastAsia" w:ascii="宋体" w:hAnsi="宋体" w:cs="宋体"/>
                <w:color w:val="auto"/>
                <w:w w:val="90"/>
                <w:sz w:val="21"/>
                <w:szCs w:val="21"/>
                <w:highlight w:val="none"/>
              </w:rPr>
              <w:t>★</w:t>
            </w:r>
            <w:r>
              <w:rPr>
                <w:rFonts w:hint="eastAsia" w:ascii="宋体" w:hAnsi="宋体" w:cs="宋体"/>
                <w:b/>
                <w:color w:val="auto"/>
                <w:w w:val="90"/>
                <w:sz w:val="21"/>
                <w:szCs w:val="21"/>
                <w:highlight w:val="none"/>
              </w:rPr>
              <w:t>A02010107平板式微型计算机</w:t>
            </w:r>
          </w:p>
        </w:tc>
        <w:tc>
          <w:tcPr>
            <w:tcW w:w="1682" w:type="dxa"/>
            <w:vAlign w:val="center"/>
          </w:tcPr>
          <w:p w14:paraId="495C8FCC">
            <w:pPr>
              <w:jc w:val="center"/>
              <w:rPr>
                <w:rFonts w:ascii="宋体" w:hAnsi="宋体" w:cs="宋体"/>
                <w:color w:val="auto"/>
                <w:w w:val="90"/>
                <w:sz w:val="21"/>
                <w:szCs w:val="21"/>
                <w:highlight w:val="none"/>
              </w:rPr>
            </w:pPr>
          </w:p>
        </w:tc>
        <w:tc>
          <w:tcPr>
            <w:tcW w:w="3301" w:type="dxa"/>
            <w:vAlign w:val="center"/>
          </w:tcPr>
          <w:p w14:paraId="758A8FC7">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《微型计算机能效限定值及能效等级》（GB 28380）</w:t>
            </w:r>
          </w:p>
        </w:tc>
      </w:tr>
      <w:tr w14:paraId="627FEEE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01446EA">
            <w:pPr>
              <w:jc w:val="center"/>
              <w:rPr>
                <w:rFonts w:ascii="宋体" w:hAnsi="宋体" w:cs="宋体"/>
                <w:color w:val="auto"/>
                <w:w w:val="90"/>
                <w:sz w:val="21"/>
                <w:szCs w:val="21"/>
                <w:highlight w:val="none"/>
              </w:rPr>
            </w:pPr>
            <w:r>
              <w:rPr>
                <w:rFonts w:hint="eastAsia" w:ascii="宋体" w:hAnsi="宋体" w:cs="宋体"/>
                <w:color w:val="auto"/>
                <w:w w:val="90"/>
                <w:sz w:val="21"/>
                <w:szCs w:val="21"/>
                <w:highlight w:val="none"/>
              </w:rPr>
              <w:t>2</w:t>
            </w:r>
          </w:p>
        </w:tc>
        <w:tc>
          <w:tcPr>
            <w:tcW w:w="1933" w:type="dxa"/>
            <w:vMerge w:val="restart"/>
            <w:vAlign w:val="center"/>
          </w:tcPr>
          <w:p w14:paraId="157768F7">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A020106输入输出设备</w:t>
            </w:r>
          </w:p>
        </w:tc>
        <w:tc>
          <w:tcPr>
            <w:tcW w:w="2334" w:type="dxa"/>
            <w:vMerge w:val="restart"/>
            <w:vAlign w:val="center"/>
          </w:tcPr>
          <w:p w14:paraId="0BF58FE0">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A02010601打印设备</w:t>
            </w:r>
          </w:p>
        </w:tc>
        <w:tc>
          <w:tcPr>
            <w:tcW w:w="1682" w:type="dxa"/>
            <w:vAlign w:val="center"/>
          </w:tcPr>
          <w:p w14:paraId="489AEDC6">
            <w:pPr>
              <w:jc w:val="left"/>
              <w:rPr>
                <w:rFonts w:ascii="宋体" w:hAnsi="宋体" w:cs="宋体"/>
                <w:color w:val="auto"/>
                <w:w w:val="90"/>
                <w:sz w:val="21"/>
                <w:szCs w:val="21"/>
                <w:highlight w:val="none"/>
              </w:rPr>
            </w:pPr>
            <w:r>
              <w:rPr>
                <w:rFonts w:hint="eastAsia" w:ascii="宋体" w:hAnsi="宋体" w:cs="宋体"/>
                <w:b/>
                <w:bCs/>
                <w:color w:val="auto"/>
                <w:w w:val="90"/>
                <w:sz w:val="21"/>
                <w:szCs w:val="21"/>
                <w:highlight w:val="none"/>
              </w:rPr>
              <w:t>A0201060101喷墨打印机</w:t>
            </w:r>
          </w:p>
        </w:tc>
        <w:tc>
          <w:tcPr>
            <w:tcW w:w="3301" w:type="dxa"/>
            <w:vAlign w:val="center"/>
          </w:tcPr>
          <w:p w14:paraId="6946D1D4">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《复印机、打印机和传真机能效限定值及能效等级》（GB 21521）</w:t>
            </w:r>
          </w:p>
        </w:tc>
      </w:tr>
      <w:tr w14:paraId="290E6C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038798D">
            <w:pPr>
              <w:jc w:val="center"/>
              <w:rPr>
                <w:rFonts w:ascii="宋体" w:hAnsi="宋体" w:cs="宋体"/>
                <w:color w:val="auto"/>
                <w:w w:val="90"/>
                <w:sz w:val="21"/>
                <w:szCs w:val="21"/>
                <w:highlight w:val="none"/>
              </w:rPr>
            </w:pPr>
          </w:p>
        </w:tc>
        <w:tc>
          <w:tcPr>
            <w:tcW w:w="1933" w:type="dxa"/>
            <w:vMerge w:val="continue"/>
            <w:vAlign w:val="center"/>
          </w:tcPr>
          <w:p w14:paraId="48FB4875">
            <w:pPr>
              <w:jc w:val="left"/>
              <w:rPr>
                <w:rFonts w:ascii="宋体" w:hAnsi="宋体" w:cs="宋体"/>
                <w:color w:val="auto"/>
                <w:w w:val="90"/>
                <w:sz w:val="21"/>
                <w:szCs w:val="21"/>
                <w:highlight w:val="none"/>
              </w:rPr>
            </w:pPr>
          </w:p>
        </w:tc>
        <w:tc>
          <w:tcPr>
            <w:tcW w:w="2334" w:type="dxa"/>
            <w:vMerge w:val="continue"/>
            <w:vAlign w:val="center"/>
          </w:tcPr>
          <w:p w14:paraId="1CCE47F2">
            <w:pPr>
              <w:jc w:val="left"/>
              <w:rPr>
                <w:rFonts w:ascii="宋体" w:hAnsi="宋体" w:cs="宋体"/>
                <w:color w:val="auto"/>
                <w:w w:val="90"/>
                <w:sz w:val="21"/>
                <w:szCs w:val="21"/>
                <w:highlight w:val="none"/>
              </w:rPr>
            </w:pPr>
          </w:p>
        </w:tc>
        <w:tc>
          <w:tcPr>
            <w:tcW w:w="1682" w:type="dxa"/>
            <w:vAlign w:val="center"/>
          </w:tcPr>
          <w:p w14:paraId="316BB126">
            <w:pPr>
              <w:jc w:val="left"/>
              <w:rPr>
                <w:rFonts w:ascii="宋体" w:hAnsi="宋体" w:cs="宋体"/>
                <w:b/>
                <w:color w:val="auto"/>
                <w:w w:val="90"/>
                <w:sz w:val="21"/>
                <w:szCs w:val="21"/>
                <w:highlight w:val="none"/>
              </w:rPr>
            </w:pPr>
            <w:r>
              <w:rPr>
                <w:rFonts w:hint="eastAsia" w:ascii="宋体" w:hAnsi="宋体" w:cs="宋体"/>
                <w:color w:val="auto"/>
                <w:w w:val="90"/>
                <w:sz w:val="21"/>
                <w:szCs w:val="21"/>
                <w:highlight w:val="none"/>
              </w:rPr>
              <w:t>★</w:t>
            </w:r>
            <w:r>
              <w:rPr>
                <w:rFonts w:hint="eastAsia" w:ascii="宋体" w:hAnsi="宋体" w:cs="宋体"/>
                <w:b/>
                <w:color w:val="auto"/>
                <w:w w:val="90"/>
                <w:sz w:val="21"/>
                <w:szCs w:val="21"/>
                <w:highlight w:val="none"/>
              </w:rPr>
              <w:t>A0201060102激光打印机</w:t>
            </w:r>
          </w:p>
        </w:tc>
        <w:tc>
          <w:tcPr>
            <w:tcW w:w="3301" w:type="dxa"/>
            <w:vAlign w:val="center"/>
          </w:tcPr>
          <w:p w14:paraId="0DF7F9CC">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《复印机、打印机和传真机能效限定值及能效等级》（GB 21521）</w:t>
            </w:r>
          </w:p>
        </w:tc>
      </w:tr>
      <w:tr w14:paraId="38E55D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97100F2">
            <w:pPr>
              <w:jc w:val="center"/>
              <w:rPr>
                <w:rFonts w:ascii="宋体" w:hAnsi="宋体" w:cs="宋体"/>
                <w:color w:val="auto"/>
                <w:w w:val="90"/>
                <w:sz w:val="21"/>
                <w:szCs w:val="21"/>
                <w:highlight w:val="none"/>
              </w:rPr>
            </w:pPr>
          </w:p>
        </w:tc>
        <w:tc>
          <w:tcPr>
            <w:tcW w:w="1933" w:type="dxa"/>
            <w:vMerge w:val="continue"/>
            <w:vAlign w:val="center"/>
          </w:tcPr>
          <w:p w14:paraId="17F35413">
            <w:pPr>
              <w:jc w:val="left"/>
              <w:rPr>
                <w:rFonts w:ascii="宋体" w:hAnsi="宋体" w:cs="宋体"/>
                <w:color w:val="auto"/>
                <w:w w:val="90"/>
                <w:sz w:val="21"/>
                <w:szCs w:val="21"/>
                <w:highlight w:val="none"/>
              </w:rPr>
            </w:pPr>
          </w:p>
        </w:tc>
        <w:tc>
          <w:tcPr>
            <w:tcW w:w="2334" w:type="dxa"/>
            <w:vMerge w:val="continue"/>
            <w:vAlign w:val="center"/>
          </w:tcPr>
          <w:p w14:paraId="57C6E467">
            <w:pPr>
              <w:jc w:val="left"/>
              <w:rPr>
                <w:rFonts w:ascii="宋体" w:hAnsi="宋体" w:cs="宋体"/>
                <w:color w:val="auto"/>
                <w:w w:val="90"/>
                <w:sz w:val="21"/>
                <w:szCs w:val="21"/>
                <w:highlight w:val="none"/>
              </w:rPr>
            </w:pPr>
          </w:p>
        </w:tc>
        <w:tc>
          <w:tcPr>
            <w:tcW w:w="1682" w:type="dxa"/>
            <w:vAlign w:val="center"/>
          </w:tcPr>
          <w:p w14:paraId="05CA2E21">
            <w:pPr>
              <w:jc w:val="left"/>
              <w:rPr>
                <w:rFonts w:ascii="宋体" w:hAnsi="宋体" w:cs="宋体"/>
                <w:b/>
                <w:color w:val="auto"/>
                <w:w w:val="90"/>
                <w:sz w:val="21"/>
                <w:szCs w:val="21"/>
                <w:highlight w:val="none"/>
              </w:rPr>
            </w:pPr>
            <w:r>
              <w:rPr>
                <w:rFonts w:hint="eastAsia" w:ascii="宋体" w:hAnsi="宋体" w:cs="宋体"/>
                <w:color w:val="auto"/>
                <w:w w:val="90"/>
                <w:sz w:val="21"/>
                <w:szCs w:val="21"/>
                <w:highlight w:val="none"/>
              </w:rPr>
              <w:t>★</w:t>
            </w:r>
            <w:r>
              <w:rPr>
                <w:rFonts w:hint="eastAsia" w:ascii="宋体" w:hAnsi="宋体" w:cs="宋体"/>
                <w:b/>
                <w:color w:val="auto"/>
                <w:w w:val="90"/>
                <w:sz w:val="21"/>
                <w:szCs w:val="21"/>
                <w:highlight w:val="none"/>
              </w:rPr>
              <w:t>A0201060104针式打印机</w:t>
            </w:r>
          </w:p>
        </w:tc>
        <w:tc>
          <w:tcPr>
            <w:tcW w:w="3301" w:type="dxa"/>
            <w:vAlign w:val="center"/>
          </w:tcPr>
          <w:p w14:paraId="193F9159">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《复印机、打印机和传真机能效限定值及能效等级》（GB 21521）</w:t>
            </w:r>
          </w:p>
        </w:tc>
      </w:tr>
      <w:tr w14:paraId="251D8EF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4DA87E">
            <w:pPr>
              <w:jc w:val="center"/>
              <w:rPr>
                <w:rFonts w:ascii="宋体" w:hAnsi="宋体" w:cs="宋体"/>
                <w:color w:val="auto"/>
                <w:w w:val="90"/>
                <w:sz w:val="21"/>
                <w:szCs w:val="21"/>
                <w:highlight w:val="none"/>
              </w:rPr>
            </w:pPr>
          </w:p>
        </w:tc>
        <w:tc>
          <w:tcPr>
            <w:tcW w:w="1933" w:type="dxa"/>
            <w:vMerge w:val="continue"/>
            <w:vAlign w:val="center"/>
          </w:tcPr>
          <w:p w14:paraId="1B0FD984">
            <w:pPr>
              <w:jc w:val="left"/>
              <w:rPr>
                <w:rFonts w:ascii="宋体" w:hAnsi="宋体" w:cs="宋体"/>
                <w:color w:val="auto"/>
                <w:w w:val="90"/>
                <w:sz w:val="21"/>
                <w:szCs w:val="21"/>
                <w:highlight w:val="none"/>
              </w:rPr>
            </w:pPr>
          </w:p>
        </w:tc>
        <w:tc>
          <w:tcPr>
            <w:tcW w:w="2334" w:type="dxa"/>
            <w:vAlign w:val="center"/>
          </w:tcPr>
          <w:p w14:paraId="384AACE1">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A02010604显示设备</w:t>
            </w:r>
          </w:p>
        </w:tc>
        <w:tc>
          <w:tcPr>
            <w:tcW w:w="1682" w:type="dxa"/>
            <w:vAlign w:val="center"/>
          </w:tcPr>
          <w:p w14:paraId="694FABB4">
            <w:pPr>
              <w:jc w:val="left"/>
              <w:rPr>
                <w:rFonts w:ascii="宋体" w:hAnsi="宋体" w:cs="宋体"/>
                <w:b/>
                <w:color w:val="auto"/>
                <w:w w:val="90"/>
                <w:sz w:val="21"/>
                <w:szCs w:val="21"/>
                <w:highlight w:val="none"/>
              </w:rPr>
            </w:pPr>
            <w:r>
              <w:rPr>
                <w:rFonts w:hint="eastAsia" w:ascii="宋体" w:hAnsi="宋体" w:cs="宋体"/>
                <w:color w:val="auto"/>
                <w:w w:val="90"/>
                <w:sz w:val="21"/>
                <w:szCs w:val="21"/>
                <w:highlight w:val="none"/>
              </w:rPr>
              <w:t>★</w:t>
            </w:r>
            <w:r>
              <w:rPr>
                <w:rFonts w:hint="eastAsia" w:ascii="宋体" w:hAnsi="宋体" w:cs="宋体"/>
                <w:b/>
                <w:color w:val="auto"/>
                <w:w w:val="90"/>
                <w:sz w:val="21"/>
                <w:szCs w:val="21"/>
                <w:highlight w:val="none"/>
              </w:rPr>
              <w:t>A0201060401液晶显示器</w:t>
            </w:r>
          </w:p>
        </w:tc>
        <w:tc>
          <w:tcPr>
            <w:tcW w:w="3301" w:type="dxa"/>
            <w:vAlign w:val="center"/>
          </w:tcPr>
          <w:p w14:paraId="7D194655">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《计算机显示器能效限定值及能效等级》（GB 21520）</w:t>
            </w:r>
          </w:p>
        </w:tc>
      </w:tr>
      <w:tr w14:paraId="33D0C3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B9D22B9">
            <w:pPr>
              <w:jc w:val="center"/>
              <w:rPr>
                <w:rFonts w:ascii="宋体" w:hAnsi="宋体" w:cs="宋体"/>
                <w:color w:val="auto"/>
                <w:w w:val="90"/>
                <w:sz w:val="21"/>
                <w:szCs w:val="21"/>
                <w:highlight w:val="none"/>
              </w:rPr>
            </w:pPr>
          </w:p>
        </w:tc>
        <w:tc>
          <w:tcPr>
            <w:tcW w:w="1933" w:type="dxa"/>
            <w:vMerge w:val="continue"/>
            <w:vAlign w:val="center"/>
          </w:tcPr>
          <w:p w14:paraId="624719EB">
            <w:pPr>
              <w:jc w:val="left"/>
              <w:rPr>
                <w:rFonts w:ascii="宋体" w:hAnsi="宋体" w:cs="宋体"/>
                <w:color w:val="auto"/>
                <w:w w:val="90"/>
                <w:sz w:val="21"/>
                <w:szCs w:val="21"/>
                <w:highlight w:val="none"/>
              </w:rPr>
            </w:pPr>
          </w:p>
        </w:tc>
        <w:tc>
          <w:tcPr>
            <w:tcW w:w="2334" w:type="dxa"/>
            <w:vAlign w:val="center"/>
          </w:tcPr>
          <w:p w14:paraId="0C63D477">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A02010609图形图像输入设备</w:t>
            </w:r>
          </w:p>
        </w:tc>
        <w:tc>
          <w:tcPr>
            <w:tcW w:w="1682" w:type="dxa"/>
            <w:vAlign w:val="center"/>
          </w:tcPr>
          <w:p w14:paraId="273F7CE4">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A0201060901扫描仪</w:t>
            </w:r>
          </w:p>
        </w:tc>
        <w:tc>
          <w:tcPr>
            <w:tcW w:w="3301" w:type="dxa"/>
            <w:vAlign w:val="center"/>
          </w:tcPr>
          <w:p w14:paraId="2C7262C2">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参照《复印机、打印机和传真机能效限定值及能效等级》（GB 21521中打印速度为 15 页/分的针式打印机相关要求</w:t>
            </w:r>
          </w:p>
        </w:tc>
      </w:tr>
      <w:tr w14:paraId="04A362F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08D97B9">
            <w:pPr>
              <w:jc w:val="center"/>
              <w:rPr>
                <w:rFonts w:ascii="宋体" w:hAnsi="宋体" w:cs="宋体"/>
                <w:color w:val="auto"/>
                <w:w w:val="90"/>
                <w:sz w:val="21"/>
                <w:szCs w:val="21"/>
                <w:highlight w:val="none"/>
              </w:rPr>
            </w:pPr>
            <w:r>
              <w:rPr>
                <w:rFonts w:hint="eastAsia" w:ascii="宋体" w:hAnsi="宋体" w:cs="宋体"/>
                <w:color w:val="auto"/>
                <w:w w:val="90"/>
                <w:sz w:val="21"/>
                <w:szCs w:val="21"/>
                <w:highlight w:val="none"/>
              </w:rPr>
              <w:t>3</w:t>
            </w:r>
          </w:p>
        </w:tc>
        <w:tc>
          <w:tcPr>
            <w:tcW w:w="1933" w:type="dxa"/>
            <w:vAlign w:val="center"/>
          </w:tcPr>
          <w:p w14:paraId="0C511132">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A020202投影仪</w:t>
            </w:r>
          </w:p>
        </w:tc>
        <w:tc>
          <w:tcPr>
            <w:tcW w:w="2334" w:type="dxa"/>
            <w:vAlign w:val="center"/>
          </w:tcPr>
          <w:p w14:paraId="3C3085AE">
            <w:pPr>
              <w:jc w:val="left"/>
              <w:rPr>
                <w:rFonts w:ascii="宋体" w:hAnsi="宋体" w:cs="宋体"/>
                <w:color w:val="auto"/>
                <w:w w:val="90"/>
                <w:sz w:val="21"/>
                <w:szCs w:val="21"/>
                <w:highlight w:val="none"/>
              </w:rPr>
            </w:pPr>
          </w:p>
        </w:tc>
        <w:tc>
          <w:tcPr>
            <w:tcW w:w="1682" w:type="dxa"/>
            <w:vAlign w:val="center"/>
          </w:tcPr>
          <w:p w14:paraId="7E174B96">
            <w:pPr>
              <w:jc w:val="center"/>
              <w:rPr>
                <w:rFonts w:ascii="宋体" w:hAnsi="宋体" w:cs="宋体"/>
                <w:color w:val="auto"/>
                <w:w w:val="90"/>
                <w:sz w:val="21"/>
                <w:szCs w:val="21"/>
                <w:highlight w:val="none"/>
              </w:rPr>
            </w:pPr>
          </w:p>
        </w:tc>
        <w:tc>
          <w:tcPr>
            <w:tcW w:w="3301" w:type="dxa"/>
            <w:vAlign w:val="center"/>
          </w:tcPr>
          <w:p w14:paraId="300533B3">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《投影机能效限定值及能效等级（GB 32028）</w:t>
            </w:r>
          </w:p>
        </w:tc>
      </w:tr>
      <w:tr w14:paraId="093ABF9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CA5DEBA">
            <w:pPr>
              <w:jc w:val="center"/>
              <w:rPr>
                <w:rFonts w:ascii="宋体" w:hAnsi="宋体" w:cs="宋体"/>
                <w:color w:val="auto"/>
                <w:w w:val="90"/>
                <w:sz w:val="21"/>
                <w:szCs w:val="21"/>
                <w:highlight w:val="none"/>
              </w:rPr>
            </w:pPr>
            <w:r>
              <w:rPr>
                <w:rFonts w:hint="eastAsia" w:ascii="宋体" w:hAnsi="宋体" w:cs="宋体"/>
                <w:color w:val="auto"/>
                <w:w w:val="90"/>
                <w:sz w:val="21"/>
                <w:szCs w:val="21"/>
                <w:highlight w:val="none"/>
              </w:rPr>
              <w:t>4</w:t>
            </w:r>
          </w:p>
        </w:tc>
        <w:tc>
          <w:tcPr>
            <w:tcW w:w="1933" w:type="dxa"/>
            <w:vAlign w:val="center"/>
          </w:tcPr>
          <w:p w14:paraId="18AEC6B5">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A020204352多功能一体机</w:t>
            </w:r>
          </w:p>
        </w:tc>
        <w:tc>
          <w:tcPr>
            <w:tcW w:w="2334" w:type="dxa"/>
            <w:vAlign w:val="center"/>
          </w:tcPr>
          <w:p w14:paraId="3ABC9C85">
            <w:pPr>
              <w:jc w:val="left"/>
              <w:rPr>
                <w:rFonts w:ascii="宋体" w:hAnsi="宋体" w:cs="宋体"/>
                <w:color w:val="auto"/>
                <w:w w:val="90"/>
                <w:sz w:val="21"/>
                <w:szCs w:val="21"/>
                <w:highlight w:val="none"/>
              </w:rPr>
            </w:pPr>
          </w:p>
        </w:tc>
        <w:tc>
          <w:tcPr>
            <w:tcW w:w="1682" w:type="dxa"/>
            <w:vAlign w:val="center"/>
          </w:tcPr>
          <w:p w14:paraId="68E4CCCA">
            <w:pPr>
              <w:jc w:val="center"/>
              <w:rPr>
                <w:rFonts w:ascii="宋体" w:hAnsi="宋体" w:cs="宋体"/>
                <w:color w:val="auto"/>
                <w:w w:val="90"/>
                <w:sz w:val="21"/>
                <w:szCs w:val="21"/>
                <w:highlight w:val="none"/>
              </w:rPr>
            </w:pPr>
          </w:p>
        </w:tc>
        <w:tc>
          <w:tcPr>
            <w:tcW w:w="3301" w:type="dxa"/>
            <w:vAlign w:val="center"/>
          </w:tcPr>
          <w:p w14:paraId="4C0FCFD3">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《复印机、打印机和传真机能效限定值及能效等级》（GB 21521）</w:t>
            </w:r>
          </w:p>
        </w:tc>
      </w:tr>
      <w:tr w14:paraId="58CB01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2C6AF26">
            <w:pPr>
              <w:jc w:val="center"/>
              <w:rPr>
                <w:rFonts w:ascii="宋体" w:hAnsi="宋体" w:cs="宋体"/>
                <w:color w:val="auto"/>
                <w:w w:val="90"/>
                <w:sz w:val="21"/>
                <w:szCs w:val="21"/>
                <w:highlight w:val="none"/>
              </w:rPr>
            </w:pPr>
            <w:r>
              <w:rPr>
                <w:rFonts w:hint="eastAsia" w:ascii="宋体" w:hAnsi="宋体" w:cs="宋体"/>
                <w:color w:val="auto"/>
                <w:w w:val="90"/>
                <w:sz w:val="21"/>
                <w:szCs w:val="21"/>
                <w:highlight w:val="none"/>
              </w:rPr>
              <w:t>5</w:t>
            </w:r>
          </w:p>
        </w:tc>
        <w:tc>
          <w:tcPr>
            <w:tcW w:w="1933" w:type="dxa"/>
            <w:vAlign w:val="center"/>
          </w:tcPr>
          <w:p w14:paraId="4C7FA2FE">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A020519泵</w:t>
            </w:r>
          </w:p>
        </w:tc>
        <w:tc>
          <w:tcPr>
            <w:tcW w:w="2334" w:type="dxa"/>
            <w:vAlign w:val="center"/>
          </w:tcPr>
          <w:p w14:paraId="716ADAAA">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A02051901离心泵</w:t>
            </w:r>
          </w:p>
        </w:tc>
        <w:tc>
          <w:tcPr>
            <w:tcW w:w="1682" w:type="dxa"/>
            <w:vAlign w:val="center"/>
          </w:tcPr>
          <w:p w14:paraId="25AC33EE">
            <w:pPr>
              <w:jc w:val="center"/>
              <w:rPr>
                <w:rFonts w:ascii="宋体" w:hAnsi="宋体" w:cs="宋体"/>
                <w:color w:val="auto"/>
                <w:w w:val="90"/>
                <w:sz w:val="21"/>
                <w:szCs w:val="21"/>
                <w:highlight w:val="none"/>
              </w:rPr>
            </w:pPr>
          </w:p>
        </w:tc>
        <w:tc>
          <w:tcPr>
            <w:tcW w:w="3301" w:type="dxa"/>
            <w:vAlign w:val="center"/>
          </w:tcPr>
          <w:p w14:paraId="0229E253">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《清水离心泵能效限定值及节能评价值》（GB 19762）</w:t>
            </w:r>
          </w:p>
        </w:tc>
      </w:tr>
      <w:tr w14:paraId="4B4BA8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40A06CE5">
            <w:pPr>
              <w:jc w:val="center"/>
              <w:rPr>
                <w:rFonts w:ascii="宋体" w:hAnsi="宋体" w:cs="宋体"/>
                <w:color w:val="auto"/>
                <w:w w:val="90"/>
                <w:sz w:val="21"/>
                <w:szCs w:val="21"/>
                <w:highlight w:val="none"/>
              </w:rPr>
            </w:pPr>
            <w:r>
              <w:rPr>
                <w:rFonts w:hint="eastAsia" w:ascii="宋体" w:hAnsi="宋体" w:cs="宋体"/>
                <w:color w:val="auto"/>
                <w:w w:val="90"/>
                <w:sz w:val="21"/>
                <w:szCs w:val="21"/>
                <w:highlight w:val="none"/>
              </w:rPr>
              <w:t>6</w:t>
            </w:r>
          </w:p>
        </w:tc>
        <w:tc>
          <w:tcPr>
            <w:tcW w:w="1933" w:type="dxa"/>
            <w:vMerge w:val="restart"/>
            <w:vAlign w:val="center"/>
          </w:tcPr>
          <w:p w14:paraId="27F8AA4E">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A020523制冷空调设备</w:t>
            </w:r>
          </w:p>
        </w:tc>
        <w:tc>
          <w:tcPr>
            <w:tcW w:w="2334" w:type="dxa"/>
            <w:vMerge w:val="restart"/>
            <w:vAlign w:val="center"/>
          </w:tcPr>
          <w:p w14:paraId="1FC10EA1">
            <w:pPr>
              <w:jc w:val="left"/>
              <w:rPr>
                <w:rFonts w:ascii="宋体" w:hAnsi="宋体" w:cs="宋体"/>
                <w:b/>
                <w:color w:val="auto"/>
                <w:w w:val="90"/>
                <w:sz w:val="21"/>
                <w:szCs w:val="21"/>
                <w:highlight w:val="none"/>
              </w:rPr>
            </w:pPr>
            <w:r>
              <w:rPr>
                <w:rFonts w:hint="eastAsia" w:ascii="宋体" w:hAnsi="宋体" w:cs="宋体"/>
                <w:color w:val="auto"/>
                <w:w w:val="90"/>
                <w:sz w:val="21"/>
                <w:szCs w:val="21"/>
                <w:highlight w:val="none"/>
              </w:rPr>
              <w:t>★</w:t>
            </w:r>
            <w:r>
              <w:rPr>
                <w:rFonts w:hint="eastAsia" w:ascii="宋体" w:hAnsi="宋体" w:cs="宋体"/>
                <w:b/>
                <w:color w:val="auto"/>
                <w:w w:val="90"/>
                <w:sz w:val="21"/>
                <w:szCs w:val="21"/>
                <w:highlight w:val="none"/>
              </w:rPr>
              <w:t>A02052301制冷压缩机</w:t>
            </w:r>
          </w:p>
        </w:tc>
        <w:tc>
          <w:tcPr>
            <w:tcW w:w="1682" w:type="dxa"/>
            <w:vAlign w:val="center"/>
          </w:tcPr>
          <w:p w14:paraId="0963103E">
            <w:pPr>
              <w:jc w:val="left"/>
              <w:rPr>
                <w:rFonts w:ascii="宋体" w:hAnsi="宋体" w:cs="宋体"/>
                <w:b/>
                <w:color w:val="auto"/>
                <w:w w:val="90"/>
                <w:sz w:val="21"/>
                <w:szCs w:val="21"/>
                <w:highlight w:val="none"/>
              </w:rPr>
            </w:pPr>
            <w:r>
              <w:rPr>
                <w:rFonts w:hint="eastAsia" w:ascii="宋体" w:hAnsi="宋体" w:cs="宋体"/>
                <w:b/>
                <w:color w:val="auto"/>
                <w:w w:val="90"/>
                <w:sz w:val="21"/>
                <w:szCs w:val="21"/>
                <w:highlight w:val="none"/>
              </w:rPr>
              <w:t>冷水机组</w:t>
            </w:r>
          </w:p>
        </w:tc>
        <w:tc>
          <w:tcPr>
            <w:tcW w:w="3301" w:type="dxa"/>
            <w:vAlign w:val="center"/>
          </w:tcPr>
          <w:p w14:paraId="4DA6B4A1">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《冷水机组能效限定值及能效等级》（GB 19577），《低环境温度空气源热泵（冷水）机组能效限定值及能效等级》（GB 37480）</w:t>
            </w:r>
          </w:p>
        </w:tc>
      </w:tr>
      <w:tr w14:paraId="2ECD5D1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3FC913F">
            <w:pPr>
              <w:jc w:val="center"/>
              <w:rPr>
                <w:rFonts w:ascii="宋体" w:hAnsi="宋体" w:cs="宋体"/>
                <w:color w:val="auto"/>
                <w:w w:val="90"/>
                <w:sz w:val="21"/>
                <w:szCs w:val="21"/>
                <w:highlight w:val="none"/>
              </w:rPr>
            </w:pPr>
          </w:p>
        </w:tc>
        <w:tc>
          <w:tcPr>
            <w:tcW w:w="1933" w:type="dxa"/>
            <w:vMerge w:val="continue"/>
            <w:vAlign w:val="center"/>
          </w:tcPr>
          <w:p w14:paraId="3F5DDA62">
            <w:pPr>
              <w:jc w:val="left"/>
              <w:rPr>
                <w:rFonts w:ascii="宋体" w:hAnsi="宋体" w:cs="宋体"/>
                <w:color w:val="auto"/>
                <w:w w:val="90"/>
                <w:sz w:val="21"/>
                <w:szCs w:val="21"/>
                <w:highlight w:val="none"/>
              </w:rPr>
            </w:pPr>
          </w:p>
        </w:tc>
        <w:tc>
          <w:tcPr>
            <w:tcW w:w="2334" w:type="dxa"/>
            <w:vMerge w:val="continue"/>
            <w:vAlign w:val="center"/>
          </w:tcPr>
          <w:p w14:paraId="078F10F3">
            <w:pPr>
              <w:jc w:val="left"/>
              <w:rPr>
                <w:rFonts w:ascii="宋体" w:hAnsi="宋体" w:cs="宋体"/>
                <w:b/>
                <w:color w:val="auto"/>
                <w:w w:val="90"/>
                <w:sz w:val="21"/>
                <w:szCs w:val="21"/>
                <w:highlight w:val="none"/>
              </w:rPr>
            </w:pPr>
          </w:p>
        </w:tc>
        <w:tc>
          <w:tcPr>
            <w:tcW w:w="1682" w:type="dxa"/>
            <w:vAlign w:val="center"/>
          </w:tcPr>
          <w:p w14:paraId="6E65E0A9">
            <w:pPr>
              <w:jc w:val="left"/>
              <w:rPr>
                <w:rFonts w:ascii="宋体" w:hAnsi="宋体" w:cs="宋体"/>
                <w:b/>
                <w:color w:val="auto"/>
                <w:w w:val="90"/>
                <w:sz w:val="21"/>
                <w:szCs w:val="21"/>
                <w:highlight w:val="none"/>
              </w:rPr>
            </w:pPr>
            <w:r>
              <w:rPr>
                <w:rFonts w:hint="eastAsia" w:ascii="宋体" w:hAnsi="宋体" w:cs="宋体"/>
                <w:b/>
                <w:color w:val="auto"/>
                <w:w w:val="90"/>
                <w:sz w:val="21"/>
                <w:szCs w:val="21"/>
                <w:highlight w:val="none"/>
              </w:rPr>
              <w:t>水源热泵机组</w:t>
            </w:r>
          </w:p>
        </w:tc>
        <w:tc>
          <w:tcPr>
            <w:tcW w:w="3301" w:type="dxa"/>
            <w:vAlign w:val="center"/>
          </w:tcPr>
          <w:p w14:paraId="4ED5B158">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《水（地）源热泵机组能效限定值及能效等级》（GB 30721）</w:t>
            </w:r>
          </w:p>
        </w:tc>
      </w:tr>
      <w:tr w14:paraId="4B37126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713FD22">
            <w:pPr>
              <w:jc w:val="center"/>
              <w:rPr>
                <w:rFonts w:ascii="宋体" w:hAnsi="宋体" w:cs="宋体"/>
                <w:color w:val="auto"/>
                <w:w w:val="90"/>
                <w:sz w:val="21"/>
                <w:szCs w:val="21"/>
                <w:highlight w:val="none"/>
              </w:rPr>
            </w:pPr>
          </w:p>
        </w:tc>
        <w:tc>
          <w:tcPr>
            <w:tcW w:w="1933" w:type="dxa"/>
            <w:vMerge w:val="continue"/>
            <w:vAlign w:val="center"/>
          </w:tcPr>
          <w:p w14:paraId="1247A805">
            <w:pPr>
              <w:jc w:val="left"/>
              <w:rPr>
                <w:rFonts w:ascii="宋体" w:hAnsi="宋体" w:cs="宋体"/>
                <w:color w:val="auto"/>
                <w:w w:val="90"/>
                <w:sz w:val="21"/>
                <w:szCs w:val="21"/>
                <w:highlight w:val="none"/>
              </w:rPr>
            </w:pPr>
          </w:p>
        </w:tc>
        <w:tc>
          <w:tcPr>
            <w:tcW w:w="2334" w:type="dxa"/>
            <w:vMerge w:val="continue"/>
            <w:vAlign w:val="center"/>
          </w:tcPr>
          <w:p w14:paraId="2E9BDD33">
            <w:pPr>
              <w:jc w:val="left"/>
              <w:rPr>
                <w:rFonts w:ascii="宋体" w:hAnsi="宋体" w:cs="宋体"/>
                <w:b/>
                <w:color w:val="auto"/>
                <w:w w:val="90"/>
                <w:sz w:val="21"/>
                <w:szCs w:val="21"/>
                <w:highlight w:val="none"/>
              </w:rPr>
            </w:pPr>
          </w:p>
        </w:tc>
        <w:tc>
          <w:tcPr>
            <w:tcW w:w="1682" w:type="dxa"/>
            <w:vAlign w:val="center"/>
          </w:tcPr>
          <w:p w14:paraId="00F6ED1D">
            <w:pPr>
              <w:jc w:val="left"/>
              <w:rPr>
                <w:rFonts w:ascii="宋体" w:hAnsi="宋体" w:cs="宋体"/>
                <w:b/>
                <w:color w:val="auto"/>
                <w:w w:val="90"/>
                <w:sz w:val="21"/>
                <w:szCs w:val="21"/>
                <w:highlight w:val="none"/>
              </w:rPr>
            </w:pPr>
            <w:r>
              <w:rPr>
                <w:rFonts w:hint="eastAsia" w:ascii="宋体" w:hAnsi="宋体" w:cs="宋体"/>
                <w:b/>
                <w:color w:val="auto"/>
                <w:w w:val="90"/>
                <w:sz w:val="21"/>
                <w:szCs w:val="21"/>
                <w:highlight w:val="none"/>
              </w:rPr>
              <w:t>溴化锂吸收式冷水机组</w:t>
            </w:r>
          </w:p>
        </w:tc>
        <w:tc>
          <w:tcPr>
            <w:tcW w:w="3301" w:type="dxa"/>
            <w:vAlign w:val="center"/>
          </w:tcPr>
          <w:p w14:paraId="36D2E66F">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《溴化锂吸收式冷水机组能效限定值及能效等级》（GB 29540）</w:t>
            </w:r>
          </w:p>
        </w:tc>
      </w:tr>
      <w:tr w14:paraId="4092E43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EB830F1">
            <w:pPr>
              <w:jc w:val="center"/>
              <w:rPr>
                <w:rFonts w:ascii="宋体" w:hAnsi="宋体" w:cs="宋体"/>
                <w:color w:val="auto"/>
                <w:w w:val="90"/>
                <w:sz w:val="21"/>
                <w:szCs w:val="21"/>
                <w:highlight w:val="none"/>
              </w:rPr>
            </w:pPr>
          </w:p>
        </w:tc>
        <w:tc>
          <w:tcPr>
            <w:tcW w:w="1933" w:type="dxa"/>
            <w:vMerge w:val="continue"/>
            <w:vAlign w:val="center"/>
          </w:tcPr>
          <w:p w14:paraId="2ECA62F0">
            <w:pPr>
              <w:jc w:val="left"/>
              <w:rPr>
                <w:rFonts w:ascii="宋体" w:hAnsi="宋体" w:cs="宋体"/>
                <w:color w:val="auto"/>
                <w:w w:val="90"/>
                <w:sz w:val="21"/>
                <w:szCs w:val="21"/>
                <w:highlight w:val="none"/>
              </w:rPr>
            </w:pPr>
          </w:p>
        </w:tc>
        <w:tc>
          <w:tcPr>
            <w:tcW w:w="2334" w:type="dxa"/>
            <w:vMerge w:val="restart"/>
            <w:vAlign w:val="center"/>
          </w:tcPr>
          <w:p w14:paraId="743E5A17">
            <w:pPr>
              <w:jc w:val="left"/>
              <w:rPr>
                <w:rFonts w:ascii="宋体" w:hAnsi="宋体" w:cs="宋体"/>
                <w:b/>
                <w:color w:val="auto"/>
                <w:w w:val="90"/>
                <w:sz w:val="21"/>
                <w:szCs w:val="21"/>
                <w:highlight w:val="none"/>
              </w:rPr>
            </w:pPr>
            <w:r>
              <w:rPr>
                <w:rFonts w:hint="eastAsia" w:ascii="宋体" w:hAnsi="宋体" w:cs="宋体"/>
                <w:color w:val="auto"/>
                <w:w w:val="90"/>
                <w:sz w:val="21"/>
                <w:szCs w:val="21"/>
                <w:highlight w:val="none"/>
              </w:rPr>
              <w:t>★</w:t>
            </w:r>
            <w:r>
              <w:rPr>
                <w:rFonts w:hint="eastAsia" w:ascii="宋体" w:hAnsi="宋体" w:cs="宋体"/>
                <w:b/>
                <w:color w:val="auto"/>
                <w:w w:val="90"/>
                <w:sz w:val="21"/>
                <w:szCs w:val="21"/>
                <w:highlight w:val="none"/>
              </w:rPr>
              <w:t>A02052305空调机组</w:t>
            </w:r>
          </w:p>
        </w:tc>
        <w:tc>
          <w:tcPr>
            <w:tcW w:w="1682" w:type="dxa"/>
            <w:vAlign w:val="center"/>
          </w:tcPr>
          <w:p w14:paraId="5B22C1DA">
            <w:pPr>
              <w:jc w:val="left"/>
              <w:rPr>
                <w:rFonts w:ascii="宋体" w:hAnsi="宋体" w:cs="宋体"/>
                <w:b/>
                <w:color w:val="auto"/>
                <w:w w:val="90"/>
                <w:sz w:val="21"/>
                <w:szCs w:val="21"/>
                <w:highlight w:val="none"/>
              </w:rPr>
            </w:pPr>
            <w:r>
              <w:rPr>
                <w:rFonts w:hint="eastAsia" w:ascii="宋体" w:hAnsi="宋体" w:cs="宋体"/>
                <w:b/>
                <w:color w:val="auto"/>
                <w:w w:val="90"/>
                <w:sz w:val="21"/>
                <w:szCs w:val="21"/>
                <w:highlight w:val="none"/>
              </w:rPr>
              <w:t>多联式空调（热泵）机组(制冷量&gt;14000W)</w:t>
            </w:r>
          </w:p>
        </w:tc>
        <w:tc>
          <w:tcPr>
            <w:tcW w:w="3301" w:type="dxa"/>
            <w:vAlign w:val="center"/>
          </w:tcPr>
          <w:p w14:paraId="0A39D43D">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《多联式空调（热泵）机组能效限定值及能源效率等级》（GB 21454）</w:t>
            </w:r>
          </w:p>
        </w:tc>
      </w:tr>
      <w:tr w14:paraId="217C4A4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0462D12">
            <w:pPr>
              <w:jc w:val="center"/>
              <w:rPr>
                <w:rFonts w:ascii="宋体" w:hAnsi="宋体" w:cs="宋体"/>
                <w:color w:val="auto"/>
                <w:w w:val="90"/>
                <w:sz w:val="21"/>
                <w:szCs w:val="21"/>
                <w:highlight w:val="none"/>
              </w:rPr>
            </w:pPr>
          </w:p>
        </w:tc>
        <w:tc>
          <w:tcPr>
            <w:tcW w:w="1933" w:type="dxa"/>
            <w:vMerge w:val="continue"/>
            <w:vAlign w:val="center"/>
          </w:tcPr>
          <w:p w14:paraId="3AB8F3AD">
            <w:pPr>
              <w:jc w:val="left"/>
              <w:rPr>
                <w:rFonts w:ascii="宋体" w:hAnsi="宋体" w:cs="宋体"/>
                <w:color w:val="auto"/>
                <w:w w:val="90"/>
                <w:sz w:val="21"/>
                <w:szCs w:val="21"/>
                <w:highlight w:val="none"/>
              </w:rPr>
            </w:pPr>
          </w:p>
        </w:tc>
        <w:tc>
          <w:tcPr>
            <w:tcW w:w="2334" w:type="dxa"/>
            <w:vMerge w:val="continue"/>
            <w:vAlign w:val="center"/>
          </w:tcPr>
          <w:p w14:paraId="55FB24D3">
            <w:pPr>
              <w:jc w:val="left"/>
              <w:rPr>
                <w:rFonts w:ascii="宋体" w:hAnsi="宋体" w:cs="宋体"/>
                <w:b/>
                <w:color w:val="auto"/>
                <w:w w:val="90"/>
                <w:sz w:val="21"/>
                <w:szCs w:val="21"/>
                <w:highlight w:val="none"/>
              </w:rPr>
            </w:pPr>
          </w:p>
        </w:tc>
        <w:tc>
          <w:tcPr>
            <w:tcW w:w="1682" w:type="dxa"/>
            <w:vAlign w:val="center"/>
          </w:tcPr>
          <w:p w14:paraId="403843E0">
            <w:pPr>
              <w:jc w:val="left"/>
              <w:rPr>
                <w:rFonts w:ascii="宋体" w:hAnsi="宋体" w:cs="宋体"/>
                <w:b/>
                <w:color w:val="auto"/>
                <w:w w:val="90"/>
                <w:sz w:val="21"/>
                <w:szCs w:val="21"/>
                <w:highlight w:val="none"/>
              </w:rPr>
            </w:pPr>
            <w:r>
              <w:rPr>
                <w:rFonts w:hint="eastAsia" w:ascii="宋体" w:hAnsi="宋体" w:cs="宋体"/>
                <w:b/>
                <w:color w:val="auto"/>
                <w:w w:val="90"/>
                <w:sz w:val="21"/>
                <w:szCs w:val="21"/>
                <w:highlight w:val="none"/>
              </w:rPr>
              <w:t>单元式空气调节机(制冷量&gt;14000W)</w:t>
            </w:r>
          </w:p>
        </w:tc>
        <w:tc>
          <w:tcPr>
            <w:tcW w:w="3301" w:type="dxa"/>
            <w:vAlign w:val="center"/>
          </w:tcPr>
          <w:p w14:paraId="6DC012C1">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《单元式空气调节机能效限定值及能效等级》（GB 19576）《风管送风式空调机组能效限定值及能效等级》（GB 37479）</w:t>
            </w:r>
          </w:p>
        </w:tc>
      </w:tr>
      <w:tr w14:paraId="1E69B9D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EAB2420">
            <w:pPr>
              <w:jc w:val="center"/>
              <w:rPr>
                <w:rFonts w:ascii="宋体" w:hAnsi="宋体" w:cs="宋体"/>
                <w:color w:val="auto"/>
                <w:w w:val="90"/>
                <w:sz w:val="21"/>
                <w:szCs w:val="21"/>
                <w:highlight w:val="none"/>
              </w:rPr>
            </w:pPr>
          </w:p>
        </w:tc>
        <w:tc>
          <w:tcPr>
            <w:tcW w:w="1933" w:type="dxa"/>
            <w:vMerge w:val="continue"/>
            <w:vAlign w:val="center"/>
          </w:tcPr>
          <w:p w14:paraId="101D8780">
            <w:pPr>
              <w:jc w:val="left"/>
              <w:rPr>
                <w:rFonts w:ascii="宋体" w:hAnsi="宋体" w:cs="宋体"/>
                <w:color w:val="auto"/>
                <w:w w:val="90"/>
                <w:sz w:val="21"/>
                <w:szCs w:val="21"/>
                <w:highlight w:val="none"/>
              </w:rPr>
            </w:pPr>
          </w:p>
        </w:tc>
        <w:tc>
          <w:tcPr>
            <w:tcW w:w="2334" w:type="dxa"/>
            <w:vAlign w:val="center"/>
          </w:tcPr>
          <w:p w14:paraId="0EBF989A">
            <w:pPr>
              <w:jc w:val="left"/>
              <w:rPr>
                <w:rFonts w:ascii="宋体" w:hAnsi="宋体" w:cs="宋体"/>
                <w:b/>
                <w:color w:val="auto"/>
                <w:w w:val="90"/>
                <w:sz w:val="21"/>
                <w:szCs w:val="21"/>
                <w:highlight w:val="none"/>
              </w:rPr>
            </w:pPr>
            <w:r>
              <w:rPr>
                <w:rFonts w:hint="eastAsia" w:ascii="宋体" w:hAnsi="宋体" w:cs="宋体"/>
                <w:color w:val="auto"/>
                <w:w w:val="90"/>
                <w:sz w:val="21"/>
                <w:szCs w:val="21"/>
                <w:highlight w:val="none"/>
              </w:rPr>
              <w:t>★</w:t>
            </w:r>
            <w:r>
              <w:rPr>
                <w:rFonts w:hint="eastAsia" w:ascii="宋体" w:hAnsi="宋体" w:cs="宋体"/>
                <w:b/>
                <w:color w:val="auto"/>
                <w:w w:val="90"/>
                <w:sz w:val="21"/>
                <w:szCs w:val="21"/>
                <w:highlight w:val="none"/>
              </w:rPr>
              <w:t>A02052309专用制冷、空调设备</w:t>
            </w:r>
          </w:p>
        </w:tc>
        <w:tc>
          <w:tcPr>
            <w:tcW w:w="1682" w:type="dxa"/>
            <w:vAlign w:val="center"/>
          </w:tcPr>
          <w:p w14:paraId="42852595">
            <w:pPr>
              <w:jc w:val="left"/>
              <w:rPr>
                <w:rFonts w:ascii="宋体" w:hAnsi="宋体" w:cs="宋体"/>
                <w:b/>
                <w:color w:val="auto"/>
                <w:w w:val="90"/>
                <w:sz w:val="21"/>
                <w:szCs w:val="21"/>
                <w:highlight w:val="none"/>
              </w:rPr>
            </w:pPr>
            <w:r>
              <w:rPr>
                <w:rFonts w:hint="eastAsia" w:ascii="宋体" w:hAnsi="宋体" w:cs="宋体"/>
                <w:b/>
                <w:color w:val="auto"/>
                <w:w w:val="90"/>
                <w:sz w:val="21"/>
                <w:szCs w:val="21"/>
                <w:highlight w:val="none"/>
              </w:rPr>
              <w:t>机房空调</w:t>
            </w:r>
          </w:p>
        </w:tc>
        <w:tc>
          <w:tcPr>
            <w:tcW w:w="3301" w:type="dxa"/>
            <w:vAlign w:val="center"/>
          </w:tcPr>
          <w:p w14:paraId="5E56D913">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《单元式空气调节机能效限定值及能效等级》（GB 19576）</w:t>
            </w:r>
          </w:p>
        </w:tc>
      </w:tr>
      <w:tr w14:paraId="3F0793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E2C853E">
            <w:pPr>
              <w:jc w:val="center"/>
              <w:rPr>
                <w:rFonts w:ascii="宋体" w:hAnsi="宋体" w:cs="宋体"/>
                <w:color w:val="auto"/>
                <w:w w:val="90"/>
                <w:sz w:val="21"/>
                <w:szCs w:val="21"/>
                <w:highlight w:val="none"/>
              </w:rPr>
            </w:pPr>
          </w:p>
        </w:tc>
        <w:tc>
          <w:tcPr>
            <w:tcW w:w="1933" w:type="dxa"/>
            <w:vMerge w:val="continue"/>
            <w:vAlign w:val="center"/>
          </w:tcPr>
          <w:p w14:paraId="4545C5AE">
            <w:pPr>
              <w:jc w:val="left"/>
              <w:rPr>
                <w:rFonts w:ascii="宋体" w:hAnsi="宋体" w:cs="宋体"/>
                <w:color w:val="auto"/>
                <w:w w:val="90"/>
                <w:sz w:val="21"/>
                <w:szCs w:val="21"/>
                <w:highlight w:val="none"/>
              </w:rPr>
            </w:pPr>
          </w:p>
        </w:tc>
        <w:tc>
          <w:tcPr>
            <w:tcW w:w="2334" w:type="dxa"/>
            <w:vAlign w:val="center"/>
          </w:tcPr>
          <w:p w14:paraId="060A34E6">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A02052399其他制冷空调设备</w:t>
            </w:r>
          </w:p>
        </w:tc>
        <w:tc>
          <w:tcPr>
            <w:tcW w:w="1682" w:type="dxa"/>
            <w:vAlign w:val="center"/>
          </w:tcPr>
          <w:p w14:paraId="69DCDF0A">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冷却塔</w:t>
            </w:r>
          </w:p>
        </w:tc>
        <w:tc>
          <w:tcPr>
            <w:tcW w:w="3301" w:type="dxa"/>
            <w:vAlign w:val="center"/>
          </w:tcPr>
          <w:p w14:paraId="77A2C424">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《机械通风冷却塔 第 1 部分：中小型开式冷却塔》（GB/T 7190.1）</w:t>
            </w:r>
          </w:p>
          <w:p w14:paraId="044BE3C7">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《机械通风冷却塔 第 2 部分：大型开式冷却塔》（GB/T 7190.2）</w:t>
            </w:r>
          </w:p>
        </w:tc>
      </w:tr>
      <w:tr w14:paraId="73FB76C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EB5CFF8">
            <w:pPr>
              <w:jc w:val="center"/>
              <w:rPr>
                <w:rFonts w:ascii="宋体" w:hAnsi="宋体" w:cs="宋体"/>
                <w:color w:val="auto"/>
                <w:w w:val="90"/>
                <w:sz w:val="21"/>
                <w:szCs w:val="21"/>
                <w:highlight w:val="none"/>
              </w:rPr>
            </w:pPr>
            <w:r>
              <w:rPr>
                <w:rFonts w:hint="eastAsia" w:ascii="宋体" w:hAnsi="宋体" w:cs="宋体"/>
                <w:color w:val="auto"/>
                <w:w w:val="90"/>
                <w:sz w:val="21"/>
                <w:szCs w:val="21"/>
                <w:highlight w:val="none"/>
              </w:rPr>
              <w:t>7</w:t>
            </w:r>
          </w:p>
        </w:tc>
        <w:tc>
          <w:tcPr>
            <w:tcW w:w="1933" w:type="dxa"/>
            <w:vAlign w:val="center"/>
          </w:tcPr>
          <w:p w14:paraId="1E52A55F">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A020601电机</w:t>
            </w:r>
          </w:p>
        </w:tc>
        <w:tc>
          <w:tcPr>
            <w:tcW w:w="2334" w:type="dxa"/>
            <w:vAlign w:val="center"/>
          </w:tcPr>
          <w:p w14:paraId="3F12B998">
            <w:pPr>
              <w:jc w:val="left"/>
              <w:rPr>
                <w:rFonts w:ascii="宋体" w:hAnsi="宋体" w:cs="宋体"/>
                <w:color w:val="auto"/>
                <w:w w:val="90"/>
                <w:sz w:val="21"/>
                <w:szCs w:val="21"/>
                <w:highlight w:val="none"/>
              </w:rPr>
            </w:pPr>
          </w:p>
        </w:tc>
        <w:tc>
          <w:tcPr>
            <w:tcW w:w="1682" w:type="dxa"/>
            <w:vAlign w:val="center"/>
          </w:tcPr>
          <w:p w14:paraId="2698630A">
            <w:pPr>
              <w:jc w:val="center"/>
              <w:rPr>
                <w:rFonts w:ascii="宋体" w:hAnsi="宋体" w:cs="宋体"/>
                <w:color w:val="auto"/>
                <w:w w:val="90"/>
                <w:sz w:val="21"/>
                <w:szCs w:val="21"/>
                <w:highlight w:val="none"/>
              </w:rPr>
            </w:pPr>
          </w:p>
        </w:tc>
        <w:tc>
          <w:tcPr>
            <w:tcW w:w="3301" w:type="dxa"/>
            <w:vAlign w:val="center"/>
          </w:tcPr>
          <w:p w14:paraId="189849B4">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《中小型三相异步电动机能效限定值及能效等级》（GB 18613）</w:t>
            </w:r>
          </w:p>
        </w:tc>
      </w:tr>
      <w:tr w14:paraId="151916E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26B0C1F">
            <w:pPr>
              <w:jc w:val="center"/>
              <w:rPr>
                <w:rFonts w:ascii="宋体" w:hAnsi="宋体" w:cs="宋体"/>
                <w:color w:val="auto"/>
                <w:w w:val="90"/>
                <w:sz w:val="21"/>
                <w:szCs w:val="21"/>
                <w:highlight w:val="none"/>
              </w:rPr>
            </w:pPr>
            <w:r>
              <w:rPr>
                <w:rFonts w:hint="eastAsia" w:ascii="宋体" w:hAnsi="宋体" w:cs="宋体"/>
                <w:color w:val="auto"/>
                <w:w w:val="90"/>
                <w:sz w:val="21"/>
                <w:szCs w:val="21"/>
                <w:highlight w:val="none"/>
              </w:rPr>
              <w:t>8</w:t>
            </w:r>
          </w:p>
        </w:tc>
        <w:tc>
          <w:tcPr>
            <w:tcW w:w="1933" w:type="dxa"/>
            <w:vAlign w:val="center"/>
          </w:tcPr>
          <w:p w14:paraId="6FBCD5C2">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A020602变压器</w:t>
            </w:r>
          </w:p>
        </w:tc>
        <w:tc>
          <w:tcPr>
            <w:tcW w:w="2334" w:type="dxa"/>
            <w:vAlign w:val="center"/>
          </w:tcPr>
          <w:p w14:paraId="68E79196">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配电变压器</w:t>
            </w:r>
          </w:p>
        </w:tc>
        <w:tc>
          <w:tcPr>
            <w:tcW w:w="1682" w:type="dxa"/>
            <w:vAlign w:val="center"/>
          </w:tcPr>
          <w:p w14:paraId="3BE30EEC">
            <w:pPr>
              <w:jc w:val="center"/>
              <w:rPr>
                <w:rFonts w:ascii="宋体" w:hAnsi="宋体" w:cs="宋体"/>
                <w:color w:val="auto"/>
                <w:w w:val="90"/>
                <w:sz w:val="21"/>
                <w:szCs w:val="21"/>
                <w:highlight w:val="none"/>
              </w:rPr>
            </w:pPr>
          </w:p>
        </w:tc>
        <w:tc>
          <w:tcPr>
            <w:tcW w:w="3301" w:type="dxa"/>
            <w:vAlign w:val="center"/>
          </w:tcPr>
          <w:p w14:paraId="5CD189C3">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《三相配电变压器能效限定值及能效等级》（GB 20052）</w:t>
            </w:r>
          </w:p>
        </w:tc>
      </w:tr>
      <w:tr w14:paraId="239C9B7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03F0A7B">
            <w:pPr>
              <w:jc w:val="center"/>
              <w:rPr>
                <w:rFonts w:ascii="宋体" w:hAnsi="宋体" w:cs="宋体"/>
                <w:color w:val="auto"/>
                <w:w w:val="90"/>
                <w:sz w:val="21"/>
                <w:szCs w:val="21"/>
                <w:highlight w:val="none"/>
              </w:rPr>
            </w:pPr>
            <w:r>
              <w:rPr>
                <w:rFonts w:hint="eastAsia" w:ascii="宋体" w:hAnsi="宋体" w:cs="宋体"/>
                <w:color w:val="auto"/>
                <w:w w:val="90"/>
                <w:sz w:val="21"/>
                <w:szCs w:val="21"/>
                <w:highlight w:val="none"/>
              </w:rPr>
              <w:t>9</w:t>
            </w:r>
          </w:p>
        </w:tc>
        <w:tc>
          <w:tcPr>
            <w:tcW w:w="1933" w:type="dxa"/>
            <w:vAlign w:val="center"/>
          </w:tcPr>
          <w:p w14:paraId="4770C2D2">
            <w:pPr>
              <w:jc w:val="left"/>
              <w:rPr>
                <w:rFonts w:ascii="宋体" w:hAnsi="宋体" w:cs="宋体"/>
                <w:b/>
                <w:color w:val="auto"/>
                <w:w w:val="90"/>
                <w:sz w:val="21"/>
                <w:szCs w:val="21"/>
                <w:highlight w:val="none"/>
              </w:rPr>
            </w:pPr>
            <w:r>
              <w:rPr>
                <w:rFonts w:hint="eastAsia" w:ascii="宋体" w:hAnsi="宋体" w:cs="宋体"/>
                <w:color w:val="auto"/>
                <w:w w:val="90"/>
                <w:sz w:val="21"/>
                <w:szCs w:val="21"/>
                <w:highlight w:val="none"/>
              </w:rPr>
              <w:t>★</w:t>
            </w:r>
            <w:r>
              <w:rPr>
                <w:rFonts w:hint="eastAsia" w:ascii="宋体" w:hAnsi="宋体" w:cs="宋体"/>
                <w:b/>
                <w:color w:val="auto"/>
                <w:w w:val="90"/>
                <w:sz w:val="21"/>
                <w:szCs w:val="21"/>
                <w:highlight w:val="none"/>
              </w:rPr>
              <w:t>A020609镇流器</w:t>
            </w:r>
          </w:p>
        </w:tc>
        <w:tc>
          <w:tcPr>
            <w:tcW w:w="2334" w:type="dxa"/>
            <w:vAlign w:val="center"/>
          </w:tcPr>
          <w:p w14:paraId="488EC70B">
            <w:pPr>
              <w:jc w:val="left"/>
              <w:rPr>
                <w:rFonts w:ascii="宋体" w:hAnsi="宋体" w:cs="宋体"/>
                <w:b/>
                <w:color w:val="auto"/>
                <w:w w:val="90"/>
                <w:sz w:val="21"/>
                <w:szCs w:val="21"/>
                <w:highlight w:val="none"/>
              </w:rPr>
            </w:pPr>
            <w:r>
              <w:rPr>
                <w:rFonts w:hint="eastAsia" w:ascii="宋体" w:hAnsi="宋体" w:cs="宋体"/>
                <w:b/>
                <w:color w:val="auto"/>
                <w:w w:val="90"/>
                <w:sz w:val="21"/>
                <w:szCs w:val="21"/>
                <w:highlight w:val="none"/>
              </w:rPr>
              <w:t>管型荧光灯镇流器</w:t>
            </w:r>
          </w:p>
        </w:tc>
        <w:tc>
          <w:tcPr>
            <w:tcW w:w="1682" w:type="dxa"/>
            <w:vAlign w:val="center"/>
          </w:tcPr>
          <w:p w14:paraId="7792AC4C">
            <w:pPr>
              <w:jc w:val="center"/>
              <w:rPr>
                <w:rFonts w:ascii="宋体" w:hAnsi="宋体" w:cs="宋体"/>
                <w:color w:val="auto"/>
                <w:w w:val="90"/>
                <w:sz w:val="21"/>
                <w:szCs w:val="21"/>
                <w:highlight w:val="none"/>
              </w:rPr>
            </w:pPr>
          </w:p>
        </w:tc>
        <w:tc>
          <w:tcPr>
            <w:tcW w:w="3301" w:type="dxa"/>
            <w:vAlign w:val="center"/>
          </w:tcPr>
          <w:p w14:paraId="7C053C97">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《管形荧光灯镇流器能效限定值及能效等级》（GB 17896）</w:t>
            </w:r>
          </w:p>
        </w:tc>
      </w:tr>
      <w:tr w14:paraId="7B12BC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3B341F53">
            <w:pPr>
              <w:jc w:val="center"/>
              <w:rPr>
                <w:rFonts w:ascii="宋体" w:hAnsi="宋体" w:cs="宋体"/>
                <w:color w:val="auto"/>
                <w:w w:val="90"/>
                <w:sz w:val="21"/>
                <w:szCs w:val="21"/>
                <w:highlight w:val="none"/>
              </w:rPr>
            </w:pPr>
            <w:r>
              <w:rPr>
                <w:rFonts w:hint="eastAsia" w:ascii="宋体" w:hAnsi="宋体" w:cs="宋体"/>
                <w:color w:val="auto"/>
                <w:w w:val="90"/>
                <w:sz w:val="21"/>
                <w:szCs w:val="21"/>
                <w:highlight w:val="none"/>
              </w:rPr>
              <w:t>10</w:t>
            </w:r>
          </w:p>
        </w:tc>
        <w:tc>
          <w:tcPr>
            <w:tcW w:w="1933" w:type="dxa"/>
            <w:vMerge w:val="restart"/>
            <w:vAlign w:val="center"/>
          </w:tcPr>
          <w:p w14:paraId="2AE0EC99">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A020618 生活用电器</w:t>
            </w:r>
          </w:p>
        </w:tc>
        <w:tc>
          <w:tcPr>
            <w:tcW w:w="2334" w:type="dxa"/>
            <w:vAlign w:val="center"/>
          </w:tcPr>
          <w:p w14:paraId="14512131">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A0206180101电冰箱</w:t>
            </w:r>
          </w:p>
        </w:tc>
        <w:tc>
          <w:tcPr>
            <w:tcW w:w="1682" w:type="dxa"/>
            <w:vAlign w:val="center"/>
          </w:tcPr>
          <w:p w14:paraId="29475371">
            <w:pPr>
              <w:jc w:val="center"/>
              <w:rPr>
                <w:rFonts w:ascii="宋体" w:hAnsi="宋体" w:cs="宋体"/>
                <w:color w:val="auto"/>
                <w:w w:val="90"/>
                <w:sz w:val="21"/>
                <w:szCs w:val="21"/>
                <w:highlight w:val="none"/>
              </w:rPr>
            </w:pPr>
          </w:p>
        </w:tc>
        <w:tc>
          <w:tcPr>
            <w:tcW w:w="3301" w:type="dxa"/>
            <w:vAlign w:val="center"/>
          </w:tcPr>
          <w:p w14:paraId="2ED41CF2">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《家用电冰箱耗电量限定值及能效等级》（GB</w:t>
            </w:r>
            <w:r>
              <w:rPr>
                <w:rFonts w:hint="eastAsia" w:ascii="宋体" w:hAnsi="宋体" w:cs="宋体"/>
                <w:color w:val="auto"/>
                <w:w w:val="90"/>
                <w:sz w:val="21"/>
                <w:szCs w:val="21"/>
                <w:highlight w:val="none"/>
              </w:rPr>
              <w:tab/>
            </w:r>
            <w:r>
              <w:rPr>
                <w:rFonts w:hint="eastAsia" w:ascii="宋体" w:hAnsi="宋体" w:cs="宋体"/>
                <w:color w:val="auto"/>
                <w:w w:val="90"/>
                <w:sz w:val="21"/>
                <w:szCs w:val="21"/>
                <w:highlight w:val="none"/>
              </w:rPr>
              <w:t>12021.2）</w:t>
            </w:r>
          </w:p>
        </w:tc>
      </w:tr>
      <w:tr w14:paraId="4A1DA05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66CE4B3">
            <w:pPr>
              <w:jc w:val="center"/>
              <w:rPr>
                <w:rFonts w:ascii="宋体" w:hAnsi="宋体" w:cs="宋体"/>
                <w:color w:val="auto"/>
                <w:w w:val="90"/>
                <w:sz w:val="21"/>
                <w:szCs w:val="21"/>
                <w:highlight w:val="none"/>
              </w:rPr>
            </w:pPr>
          </w:p>
        </w:tc>
        <w:tc>
          <w:tcPr>
            <w:tcW w:w="1933" w:type="dxa"/>
            <w:vMerge w:val="continue"/>
            <w:vAlign w:val="center"/>
          </w:tcPr>
          <w:p w14:paraId="563FDA68">
            <w:pPr>
              <w:jc w:val="left"/>
              <w:rPr>
                <w:rFonts w:ascii="宋体" w:hAnsi="宋体" w:cs="宋体"/>
                <w:color w:val="auto"/>
                <w:w w:val="90"/>
                <w:sz w:val="21"/>
                <w:szCs w:val="21"/>
                <w:highlight w:val="none"/>
              </w:rPr>
            </w:pPr>
          </w:p>
        </w:tc>
        <w:tc>
          <w:tcPr>
            <w:tcW w:w="2334" w:type="dxa"/>
            <w:vMerge w:val="restart"/>
            <w:vAlign w:val="center"/>
          </w:tcPr>
          <w:p w14:paraId="51D3B5BD">
            <w:pPr>
              <w:jc w:val="left"/>
              <w:rPr>
                <w:rFonts w:ascii="宋体" w:hAnsi="宋体" w:cs="宋体"/>
                <w:b/>
                <w:color w:val="auto"/>
                <w:w w:val="90"/>
                <w:sz w:val="21"/>
                <w:szCs w:val="21"/>
                <w:highlight w:val="none"/>
              </w:rPr>
            </w:pPr>
            <w:r>
              <w:rPr>
                <w:rFonts w:hint="eastAsia" w:ascii="宋体" w:hAnsi="宋体" w:cs="宋体"/>
                <w:color w:val="auto"/>
                <w:w w:val="90"/>
                <w:sz w:val="21"/>
                <w:szCs w:val="21"/>
                <w:highlight w:val="none"/>
              </w:rPr>
              <w:t>★</w:t>
            </w:r>
            <w:r>
              <w:rPr>
                <w:rFonts w:hint="eastAsia" w:ascii="宋体" w:hAnsi="宋体" w:cs="宋体"/>
                <w:b/>
                <w:color w:val="auto"/>
                <w:w w:val="90"/>
                <w:sz w:val="21"/>
                <w:szCs w:val="21"/>
                <w:highlight w:val="none"/>
              </w:rPr>
              <w:t>A0206180203空调机</w:t>
            </w:r>
          </w:p>
        </w:tc>
        <w:tc>
          <w:tcPr>
            <w:tcW w:w="1682" w:type="dxa"/>
            <w:vAlign w:val="center"/>
          </w:tcPr>
          <w:p w14:paraId="420ED370">
            <w:pPr>
              <w:jc w:val="left"/>
              <w:rPr>
                <w:rFonts w:ascii="宋体" w:hAnsi="宋体" w:cs="宋体"/>
                <w:b/>
                <w:color w:val="auto"/>
                <w:w w:val="90"/>
                <w:sz w:val="21"/>
                <w:szCs w:val="21"/>
                <w:highlight w:val="none"/>
              </w:rPr>
            </w:pPr>
            <w:r>
              <w:rPr>
                <w:rFonts w:hint="eastAsia" w:ascii="宋体" w:hAnsi="宋体" w:cs="宋体"/>
                <w:b/>
                <w:color w:val="auto"/>
                <w:w w:val="90"/>
                <w:sz w:val="21"/>
                <w:szCs w:val="21"/>
                <w:highlight w:val="none"/>
              </w:rPr>
              <w:t>房间空气调节器</w:t>
            </w:r>
          </w:p>
        </w:tc>
        <w:tc>
          <w:tcPr>
            <w:tcW w:w="3301" w:type="dxa"/>
            <w:vAlign w:val="center"/>
          </w:tcPr>
          <w:p w14:paraId="4CEB76F8">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《转速可控型房间空气调节器能效限定值及能效等级》（GB 21455-2013），待2019年修订发布后，按《房间空气调节器能效限定值及能效等级》（GB21455-2019）实施。</w:t>
            </w:r>
          </w:p>
        </w:tc>
      </w:tr>
      <w:tr w14:paraId="61B5276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C832D43">
            <w:pPr>
              <w:jc w:val="center"/>
              <w:rPr>
                <w:rFonts w:ascii="宋体" w:hAnsi="宋体" w:cs="宋体"/>
                <w:color w:val="auto"/>
                <w:w w:val="90"/>
                <w:sz w:val="21"/>
                <w:szCs w:val="21"/>
                <w:highlight w:val="none"/>
              </w:rPr>
            </w:pPr>
          </w:p>
        </w:tc>
        <w:tc>
          <w:tcPr>
            <w:tcW w:w="1933" w:type="dxa"/>
            <w:vMerge w:val="continue"/>
            <w:vAlign w:val="center"/>
          </w:tcPr>
          <w:p w14:paraId="6F6F2602">
            <w:pPr>
              <w:jc w:val="left"/>
              <w:rPr>
                <w:rFonts w:ascii="宋体" w:hAnsi="宋体" w:cs="宋体"/>
                <w:color w:val="auto"/>
                <w:w w:val="90"/>
                <w:sz w:val="21"/>
                <w:szCs w:val="21"/>
                <w:highlight w:val="none"/>
              </w:rPr>
            </w:pPr>
          </w:p>
        </w:tc>
        <w:tc>
          <w:tcPr>
            <w:tcW w:w="2334" w:type="dxa"/>
            <w:vMerge w:val="continue"/>
            <w:vAlign w:val="center"/>
          </w:tcPr>
          <w:p w14:paraId="6E395CF7">
            <w:pPr>
              <w:jc w:val="left"/>
              <w:rPr>
                <w:rFonts w:ascii="宋体" w:hAnsi="宋体" w:cs="宋体"/>
                <w:b/>
                <w:color w:val="auto"/>
                <w:w w:val="90"/>
                <w:sz w:val="21"/>
                <w:szCs w:val="21"/>
                <w:highlight w:val="none"/>
              </w:rPr>
            </w:pPr>
          </w:p>
        </w:tc>
        <w:tc>
          <w:tcPr>
            <w:tcW w:w="1682" w:type="dxa"/>
            <w:vAlign w:val="center"/>
          </w:tcPr>
          <w:p w14:paraId="3B9BCFCC">
            <w:pPr>
              <w:jc w:val="left"/>
              <w:rPr>
                <w:rFonts w:ascii="宋体" w:hAnsi="宋体" w:cs="宋体"/>
                <w:b/>
                <w:color w:val="auto"/>
                <w:w w:val="90"/>
                <w:sz w:val="21"/>
                <w:szCs w:val="21"/>
                <w:highlight w:val="none"/>
              </w:rPr>
            </w:pPr>
            <w:r>
              <w:rPr>
                <w:rFonts w:hint="eastAsia" w:ascii="宋体" w:hAnsi="宋体" w:cs="宋体"/>
                <w:b/>
                <w:color w:val="auto"/>
                <w:w w:val="90"/>
                <w:sz w:val="21"/>
                <w:szCs w:val="21"/>
                <w:highlight w:val="none"/>
              </w:rPr>
              <w:t>多联式空调（热泵）机组（制冷量≤ 14000W）</w:t>
            </w:r>
          </w:p>
        </w:tc>
        <w:tc>
          <w:tcPr>
            <w:tcW w:w="3301" w:type="dxa"/>
            <w:vAlign w:val="center"/>
          </w:tcPr>
          <w:p w14:paraId="75F40E6D">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《多联式空调（热泵）机组能效限定值及能源效率等级》（GB 21454）</w:t>
            </w:r>
          </w:p>
        </w:tc>
      </w:tr>
      <w:tr w14:paraId="16BD1B4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197A367">
            <w:pPr>
              <w:jc w:val="center"/>
              <w:rPr>
                <w:rFonts w:ascii="宋体" w:hAnsi="宋体" w:cs="宋体"/>
                <w:color w:val="auto"/>
                <w:w w:val="90"/>
                <w:sz w:val="21"/>
                <w:szCs w:val="21"/>
                <w:highlight w:val="none"/>
              </w:rPr>
            </w:pPr>
          </w:p>
        </w:tc>
        <w:tc>
          <w:tcPr>
            <w:tcW w:w="1933" w:type="dxa"/>
            <w:vMerge w:val="continue"/>
            <w:vAlign w:val="center"/>
          </w:tcPr>
          <w:p w14:paraId="0FBA2F60">
            <w:pPr>
              <w:jc w:val="left"/>
              <w:rPr>
                <w:rFonts w:ascii="宋体" w:hAnsi="宋体" w:cs="宋体"/>
                <w:color w:val="auto"/>
                <w:w w:val="90"/>
                <w:sz w:val="21"/>
                <w:szCs w:val="21"/>
                <w:highlight w:val="none"/>
              </w:rPr>
            </w:pPr>
          </w:p>
        </w:tc>
        <w:tc>
          <w:tcPr>
            <w:tcW w:w="2334" w:type="dxa"/>
            <w:vMerge w:val="continue"/>
            <w:vAlign w:val="center"/>
          </w:tcPr>
          <w:p w14:paraId="527FD2E0">
            <w:pPr>
              <w:jc w:val="left"/>
              <w:rPr>
                <w:rFonts w:ascii="宋体" w:hAnsi="宋体" w:cs="宋体"/>
                <w:b/>
                <w:color w:val="auto"/>
                <w:w w:val="90"/>
                <w:sz w:val="21"/>
                <w:szCs w:val="21"/>
                <w:highlight w:val="none"/>
              </w:rPr>
            </w:pPr>
          </w:p>
        </w:tc>
        <w:tc>
          <w:tcPr>
            <w:tcW w:w="1682" w:type="dxa"/>
            <w:vAlign w:val="center"/>
          </w:tcPr>
          <w:p w14:paraId="66A15AEB">
            <w:pPr>
              <w:jc w:val="left"/>
              <w:rPr>
                <w:rFonts w:ascii="宋体" w:hAnsi="宋体" w:cs="宋体"/>
                <w:b/>
                <w:color w:val="auto"/>
                <w:w w:val="90"/>
                <w:sz w:val="21"/>
                <w:szCs w:val="21"/>
                <w:highlight w:val="none"/>
              </w:rPr>
            </w:pPr>
            <w:r>
              <w:rPr>
                <w:rFonts w:hint="eastAsia" w:ascii="宋体" w:hAnsi="宋体" w:cs="宋体"/>
                <w:b/>
                <w:color w:val="auto"/>
                <w:w w:val="90"/>
                <w:sz w:val="21"/>
                <w:szCs w:val="21"/>
                <w:highlight w:val="none"/>
              </w:rPr>
              <w:t>单元式空气调节机(制冷量≤14000W)</w:t>
            </w:r>
          </w:p>
        </w:tc>
        <w:tc>
          <w:tcPr>
            <w:tcW w:w="3301" w:type="dxa"/>
            <w:vAlign w:val="center"/>
          </w:tcPr>
          <w:p w14:paraId="341B81F8">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《单元式空气调节机能效限定值及能源效率等级》（GB 19576）《风管送风式空调机组能效限定值及能效等级》（GB 37479）</w:t>
            </w:r>
          </w:p>
        </w:tc>
      </w:tr>
      <w:tr w14:paraId="5D68C8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D1866C3">
            <w:pPr>
              <w:jc w:val="center"/>
              <w:rPr>
                <w:rFonts w:ascii="宋体" w:hAnsi="宋体" w:cs="宋体"/>
                <w:color w:val="auto"/>
                <w:w w:val="90"/>
                <w:sz w:val="21"/>
                <w:szCs w:val="21"/>
                <w:highlight w:val="none"/>
              </w:rPr>
            </w:pPr>
          </w:p>
        </w:tc>
        <w:tc>
          <w:tcPr>
            <w:tcW w:w="1933" w:type="dxa"/>
            <w:vMerge w:val="continue"/>
            <w:vAlign w:val="center"/>
          </w:tcPr>
          <w:p w14:paraId="13CF3995">
            <w:pPr>
              <w:jc w:val="left"/>
              <w:rPr>
                <w:rFonts w:ascii="宋体" w:hAnsi="宋体" w:cs="宋体"/>
                <w:color w:val="auto"/>
                <w:w w:val="90"/>
                <w:sz w:val="21"/>
                <w:szCs w:val="21"/>
                <w:highlight w:val="none"/>
              </w:rPr>
            </w:pPr>
          </w:p>
        </w:tc>
        <w:tc>
          <w:tcPr>
            <w:tcW w:w="2334" w:type="dxa"/>
            <w:vAlign w:val="center"/>
          </w:tcPr>
          <w:p w14:paraId="402E18A8">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A0206180301洗衣机</w:t>
            </w:r>
          </w:p>
        </w:tc>
        <w:tc>
          <w:tcPr>
            <w:tcW w:w="1682" w:type="dxa"/>
            <w:vAlign w:val="center"/>
          </w:tcPr>
          <w:p w14:paraId="3E279A36">
            <w:pPr>
              <w:jc w:val="left"/>
              <w:rPr>
                <w:rFonts w:ascii="宋体" w:hAnsi="宋体" w:cs="宋体"/>
                <w:color w:val="auto"/>
                <w:w w:val="90"/>
                <w:sz w:val="21"/>
                <w:szCs w:val="21"/>
                <w:highlight w:val="none"/>
              </w:rPr>
            </w:pPr>
          </w:p>
        </w:tc>
        <w:tc>
          <w:tcPr>
            <w:tcW w:w="3301" w:type="dxa"/>
            <w:vAlign w:val="center"/>
          </w:tcPr>
          <w:p w14:paraId="63294EEA">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《电动洗衣机能效水效限定值及等级》（GB 12021.4）</w:t>
            </w:r>
          </w:p>
        </w:tc>
      </w:tr>
      <w:tr w14:paraId="0D48856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0735835">
            <w:pPr>
              <w:jc w:val="center"/>
              <w:rPr>
                <w:rFonts w:ascii="宋体" w:hAnsi="宋体" w:cs="宋体"/>
                <w:color w:val="auto"/>
                <w:w w:val="90"/>
                <w:sz w:val="21"/>
                <w:szCs w:val="21"/>
                <w:highlight w:val="none"/>
              </w:rPr>
            </w:pPr>
          </w:p>
        </w:tc>
        <w:tc>
          <w:tcPr>
            <w:tcW w:w="1933" w:type="dxa"/>
            <w:vMerge w:val="continue"/>
            <w:vAlign w:val="center"/>
          </w:tcPr>
          <w:p w14:paraId="2CA112EF">
            <w:pPr>
              <w:jc w:val="left"/>
              <w:rPr>
                <w:rFonts w:ascii="宋体" w:hAnsi="宋体" w:cs="宋体"/>
                <w:color w:val="auto"/>
                <w:w w:val="90"/>
                <w:sz w:val="21"/>
                <w:szCs w:val="21"/>
                <w:highlight w:val="none"/>
              </w:rPr>
            </w:pPr>
          </w:p>
        </w:tc>
        <w:tc>
          <w:tcPr>
            <w:tcW w:w="2334" w:type="dxa"/>
            <w:vMerge w:val="restart"/>
            <w:vAlign w:val="center"/>
          </w:tcPr>
          <w:p w14:paraId="21C43CC7">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A02061808热水器</w:t>
            </w:r>
          </w:p>
        </w:tc>
        <w:tc>
          <w:tcPr>
            <w:tcW w:w="1682" w:type="dxa"/>
            <w:vAlign w:val="center"/>
          </w:tcPr>
          <w:p w14:paraId="66093B76">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w:t>
            </w:r>
            <w:r>
              <w:rPr>
                <w:rFonts w:hint="eastAsia" w:ascii="宋体" w:hAnsi="宋体" w:cs="宋体"/>
                <w:b/>
                <w:color w:val="auto"/>
                <w:w w:val="90"/>
                <w:sz w:val="21"/>
                <w:szCs w:val="21"/>
                <w:highlight w:val="none"/>
              </w:rPr>
              <w:t>电热水器</w:t>
            </w:r>
          </w:p>
        </w:tc>
        <w:tc>
          <w:tcPr>
            <w:tcW w:w="3301" w:type="dxa"/>
            <w:vAlign w:val="center"/>
          </w:tcPr>
          <w:p w14:paraId="25C063A9">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《储水式电热水器能效限定值及能效等级》（GB 21519）</w:t>
            </w:r>
          </w:p>
        </w:tc>
      </w:tr>
      <w:tr w14:paraId="4B7CC86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8E3C169">
            <w:pPr>
              <w:jc w:val="center"/>
              <w:rPr>
                <w:rFonts w:ascii="宋体" w:hAnsi="宋体" w:cs="宋体"/>
                <w:color w:val="auto"/>
                <w:w w:val="90"/>
                <w:sz w:val="21"/>
                <w:szCs w:val="21"/>
                <w:highlight w:val="none"/>
              </w:rPr>
            </w:pPr>
          </w:p>
        </w:tc>
        <w:tc>
          <w:tcPr>
            <w:tcW w:w="1933" w:type="dxa"/>
            <w:vMerge w:val="continue"/>
            <w:vAlign w:val="center"/>
          </w:tcPr>
          <w:p w14:paraId="4468A785">
            <w:pPr>
              <w:jc w:val="left"/>
              <w:rPr>
                <w:rFonts w:ascii="宋体" w:hAnsi="宋体" w:cs="宋体"/>
                <w:color w:val="auto"/>
                <w:w w:val="90"/>
                <w:sz w:val="21"/>
                <w:szCs w:val="21"/>
                <w:highlight w:val="none"/>
              </w:rPr>
            </w:pPr>
          </w:p>
        </w:tc>
        <w:tc>
          <w:tcPr>
            <w:tcW w:w="2334" w:type="dxa"/>
            <w:vMerge w:val="continue"/>
            <w:vAlign w:val="center"/>
          </w:tcPr>
          <w:p w14:paraId="53C02392">
            <w:pPr>
              <w:jc w:val="left"/>
              <w:rPr>
                <w:rFonts w:ascii="宋体" w:hAnsi="宋体" w:cs="宋体"/>
                <w:color w:val="auto"/>
                <w:w w:val="90"/>
                <w:sz w:val="21"/>
                <w:szCs w:val="21"/>
                <w:highlight w:val="none"/>
              </w:rPr>
            </w:pPr>
          </w:p>
        </w:tc>
        <w:tc>
          <w:tcPr>
            <w:tcW w:w="1682" w:type="dxa"/>
            <w:vAlign w:val="center"/>
          </w:tcPr>
          <w:p w14:paraId="4773A080">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燃气热水器</w:t>
            </w:r>
          </w:p>
        </w:tc>
        <w:tc>
          <w:tcPr>
            <w:tcW w:w="3301" w:type="dxa"/>
            <w:vAlign w:val="center"/>
          </w:tcPr>
          <w:p w14:paraId="610C9817">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《家用燃气快速热水器和燃气采暖热水炉能效限定值及能效等级（GB 20665）</w:t>
            </w:r>
          </w:p>
        </w:tc>
      </w:tr>
      <w:tr w14:paraId="617A784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62AB4AA">
            <w:pPr>
              <w:jc w:val="center"/>
              <w:rPr>
                <w:rFonts w:ascii="宋体" w:hAnsi="宋体" w:cs="宋体"/>
                <w:color w:val="auto"/>
                <w:w w:val="90"/>
                <w:sz w:val="21"/>
                <w:szCs w:val="21"/>
                <w:highlight w:val="none"/>
              </w:rPr>
            </w:pPr>
          </w:p>
        </w:tc>
        <w:tc>
          <w:tcPr>
            <w:tcW w:w="1933" w:type="dxa"/>
            <w:vMerge w:val="continue"/>
            <w:vAlign w:val="center"/>
          </w:tcPr>
          <w:p w14:paraId="39A0E6B8">
            <w:pPr>
              <w:jc w:val="left"/>
              <w:rPr>
                <w:rFonts w:ascii="宋体" w:hAnsi="宋体" w:cs="宋体"/>
                <w:color w:val="auto"/>
                <w:w w:val="90"/>
                <w:sz w:val="21"/>
                <w:szCs w:val="21"/>
                <w:highlight w:val="none"/>
              </w:rPr>
            </w:pPr>
          </w:p>
        </w:tc>
        <w:tc>
          <w:tcPr>
            <w:tcW w:w="2334" w:type="dxa"/>
            <w:vMerge w:val="continue"/>
            <w:vAlign w:val="center"/>
          </w:tcPr>
          <w:p w14:paraId="5B7D5919">
            <w:pPr>
              <w:jc w:val="left"/>
              <w:rPr>
                <w:rFonts w:ascii="宋体" w:hAnsi="宋体" w:cs="宋体"/>
                <w:color w:val="auto"/>
                <w:w w:val="90"/>
                <w:sz w:val="21"/>
                <w:szCs w:val="21"/>
                <w:highlight w:val="none"/>
              </w:rPr>
            </w:pPr>
          </w:p>
        </w:tc>
        <w:tc>
          <w:tcPr>
            <w:tcW w:w="1682" w:type="dxa"/>
            <w:vAlign w:val="center"/>
          </w:tcPr>
          <w:p w14:paraId="3D2D2FFE">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热泵热水器</w:t>
            </w:r>
          </w:p>
        </w:tc>
        <w:tc>
          <w:tcPr>
            <w:tcW w:w="3301" w:type="dxa"/>
            <w:vAlign w:val="center"/>
          </w:tcPr>
          <w:p w14:paraId="2BD7DD65">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《热泵热水机（器）能效限定值及能效等级》（GB 29541）</w:t>
            </w:r>
          </w:p>
        </w:tc>
      </w:tr>
      <w:tr w14:paraId="0698EC7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1BCD3DA">
            <w:pPr>
              <w:jc w:val="center"/>
              <w:rPr>
                <w:rFonts w:ascii="宋体" w:hAnsi="宋体" w:cs="宋体"/>
                <w:color w:val="auto"/>
                <w:w w:val="90"/>
                <w:sz w:val="21"/>
                <w:szCs w:val="21"/>
                <w:highlight w:val="none"/>
              </w:rPr>
            </w:pPr>
          </w:p>
        </w:tc>
        <w:tc>
          <w:tcPr>
            <w:tcW w:w="1933" w:type="dxa"/>
            <w:vMerge w:val="continue"/>
            <w:vAlign w:val="center"/>
          </w:tcPr>
          <w:p w14:paraId="7655DC1D">
            <w:pPr>
              <w:jc w:val="left"/>
              <w:rPr>
                <w:rFonts w:ascii="宋体" w:hAnsi="宋体" w:cs="宋体"/>
                <w:color w:val="auto"/>
                <w:w w:val="90"/>
                <w:sz w:val="21"/>
                <w:szCs w:val="21"/>
                <w:highlight w:val="none"/>
              </w:rPr>
            </w:pPr>
          </w:p>
        </w:tc>
        <w:tc>
          <w:tcPr>
            <w:tcW w:w="2334" w:type="dxa"/>
            <w:vMerge w:val="continue"/>
            <w:vAlign w:val="center"/>
          </w:tcPr>
          <w:p w14:paraId="38F7EEFE">
            <w:pPr>
              <w:jc w:val="left"/>
              <w:rPr>
                <w:rFonts w:ascii="宋体" w:hAnsi="宋体" w:cs="宋体"/>
                <w:color w:val="auto"/>
                <w:w w:val="90"/>
                <w:sz w:val="21"/>
                <w:szCs w:val="21"/>
                <w:highlight w:val="none"/>
              </w:rPr>
            </w:pPr>
          </w:p>
        </w:tc>
        <w:tc>
          <w:tcPr>
            <w:tcW w:w="1682" w:type="dxa"/>
            <w:vAlign w:val="center"/>
          </w:tcPr>
          <w:p w14:paraId="6B3AD6A8">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太阳能热水系统</w:t>
            </w:r>
          </w:p>
        </w:tc>
        <w:tc>
          <w:tcPr>
            <w:tcW w:w="3301" w:type="dxa"/>
            <w:vAlign w:val="center"/>
          </w:tcPr>
          <w:p w14:paraId="1F7C6856">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《家用太阳能热水系统能效限定值及能效等级》（GB 26969）</w:t>
            </w:r>
          </w:p>
        </w:tc>
      </w:tr>
      <w:tr w14:paraId="51B1743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3BC8DE3A">
            <w:pPr>
              <w:jc w:val="center"/>
              <w:rPr>
                <w:rFonts w:ascii="宋体" w:hAnsi="宋体" w:cs="宋体"/>
                <w:color w:val="auto"/>
                <w:w w:val="90"/>
                <w:sz w:val="21"/>
                <w:szCs w:val="21"/>
                <w:highlight w:val="none"/>
              </w:rPr>
            </w:pPr>
            <w:r>
              <w:rPr>
                <w:rFonts w:hint="eastAsia" w:ascii="宋体" w:hAnsi="宋体" w:cs="宋体"/>
                <w:color w:val="auto"/>
                <w:w w:val="90"/>
                <w:sz w:val="21"/>
                <w:szCs w:val="21"/>
                <w:highlight w:val="none"/>
              </w:rPr>
              <w:t>11</w:t>
            </w:r>
          </w:p>
        </w:tc>
        <w:tc>
          <w:tcPr>
            <w:tcW w:w="1933" w:type="dxa"/>
            <w:vMerge w:val="restart"/>
            <w:vAlign w:val="center"/>
          </w:tcPr>
          <w:p w14:paraId="396D4939">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A020619 照明设备</w:t>
            </w:r>
          </w:p>
        </w:tc>
        <w:tc>
          <w:tcPr>
            <w:tcW w:w="2334" w:type="dxa"/>
            <w:vAlign w:val="center"/>
          </w:tcPr>
          <w:p w14:paraId="1774639A">
            <w:pPr>
              <w:jc w:val="left"/>
              <w:rPr>
                <w:rFonts w:ascii="宋体" w:hAnsi="宋体" w:cs="宋体"/>
                <w:b/>
                <w:color w:val="auto"/>
                <w:w w:val="90"/>
                <w:sz w:val="21"/>
                <w:szCs w:val="21"/>
                <w:highlight w:val="none"/>
              </w:rPr>
            </w:pPr>
            <w:r>
              <w:rPr>
                <w:rFonts w:hint="eastAsia" w:ascii="宋体" w:hAnsi="宋体" w:cs="宋体"/>
                <w:color w:val="auto"/>
                <w:w w:val="90"/>
                <w:sz w:val="21"/>
                <w:szCs w:val="21"/>
                <w:highlight w:val="none"/>
              </w:rPr>
              <w:t>★</w:t>
            </w:r>
            <w:r>
              <w:rPr>
                <w:rFonts w:hint="eastAsia" w:ascii="宋体" w:hAnsi="宋体" w:cs="宋体"/>
                <w:b/>
                <w:color w:val="auto"/>
                <w:w w:val="90"/>
                <w:sz w:val="21"/>
                <w:szCs w:val="21"/>
                <w:highlight w:val="none"/>
              </w:rPr>
              <w:t>普通照明用双端荧光灯</w:t>
            </w:r>
          </w:p>
        </w:tc>
        <w:tc>
          <w:tcPr>
            <w:tcW w:w="1682" w:type="dxa"/>
            <w:vAlign w:val="center"/>
          </w:tcPr>
          <w:p w14:paraId="6C4B1CD0">
            <w:pPr>
              <w:jc w:val="center"/>
              <w:rPr>
                <w:rFonts w:ascii="宋体" w:hAnsi="宋体" w:cs="宋体"/>
                <w:color w:val="auto"/>
                <w:w w:val="90"/>
                <w:sz w:val="21"/>
                <w:szCs w:val="21"/>
                <w:highlight w:val="none"/>
              </w:rPr>
            </w:pPr>
          </w:p>
        </w:tc>
        <w:tc>
          <w:tcPr>
            <w:tcW w:w="3301" w:type="dxa"/>
            <w:vAlign w:val="center"/>
          </w:tcPr>
          <w:p w14:paraId="62911429">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《普通照明用双端荧光灯能效限定值及能效等级》（GB 19043）</w:t>
            </w:r>
          </w:p>
        </w:tc>
      </w:tr>
      <w:tr w14:paraId="233C79C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8CE049E">
            <w:pPr>
              <w:jc w:val="center"/>
              <w:rPr>
                <w:rFonts w:ascii="宋体" w:hAnsi="宋体" w:cs="宋体"/>
                <w:color w:val="auto"/>
                <w:w w:val="90"/>
                <w:sz w:val="21"/>
                <w:szCs w:val="21"/>
                <w:highlight w:val="none"/>
              </w:rPr>
            </w:pPr>
          </w:p>
        </w:tc>
        <w:tc>
          <w:tcPr>
            <w:tcW w:w="1933" w:type="dxa"/>
            <w:vMerge w:val="continue"/>
            <w:vAlign w:val="center"/>
          </w:tcPr>
          <w:p w14:paraId="51944B77">
            <w:pPr>
              <w:jc w:val="left"/>
              <w:rPr>
                <w:rFonts w:ascii="宋体" w:hAnsi="宋体" w:cs="宋体"/>
                <w:color w:val="auto"/>
                <w:w w:val="90"/>
                <w:sz w:val="21"/>
                <w:szCs w:val="21"/>
                <w:highlight w:val="none"/>
              </w:rPr>
            </w:pPr>
          </w:p>
        </w:tc>
        <w:tc>
          <w:tcPr>
            <w:tcW w:w="2334" w:type="dxa"/>
            <w:vAlign w:val="center"/>
          </w:tcPr>
          <w:p w14:paraId="4BB5B218">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LED道路/隧道照明产品</w:t>
            </w:r>
          </w:p>
        </w:tc>
        <w:tc>
          <w:tcPr>
            <w:tcW w:w="1682" w:type="dxa"/>
            <w:vAlign w:val="center"/>
          </w:tcPr>
          <w:p w14:paraId="49C99C5D">
            <w:pPr>
              <w:jc w:val="center"/>
              <w:rPr>
                <w:rFonts w:ascii="宋体" w:hAnsi="宋体" w:cs="宋体"/>
                <w:color w:val="auto"/>
                <w:w w:val="90"/>
                <w:sz w:val="21"/>
                <w:szCs w:val="21"/>
                <w:highlight w:val="none"/>
              </w:rPr>
            </w:pPr>
          </w:p>
        </w:tc>
        <w:tc>
          <w:tcPr>
            <w:tcW w:w="3301" w:type="dxa"/>
            <w:vAlign w:val="center"/>
          </w:tcPr>
          <w:p w14:paraId="23725FA5">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《道路和隧道照明用LED灯具能效限定值及能效等级》（GB 37478）</w:t>
            </w:r>
          </w:p>
        </w:tc>
      </w:tr>
      <w:tr w14:paraId="663D15C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439C1E1">
            <w:pPr>
              <w:jc w:val="center"/>
              <w:rPr>
                <w:rFonts w:ascii="宋体" w:hAnsi="宋体" w:cs="宋体"/>
                <w:color w:val="auto"/>
                <w:w w:val="90"/>
                <w:sz w:val="21"/>
                <w:szCs w:val="21"/>
                <w:highlight w:val="none"/>
              </w:rPr>
            </w:pPr>
          </w:p>
        </w:tc>
        <w:tc>
          <w:tcPr>
            <w:tcW w:w="1933" w:type="dxa"/>
            <w:vMerge w:val="continue"/>
            <w:vAlign w:val="center"/>
          </w:tcPr>
          <w:p w14:paraId="267FAD6C">
            <w:pPr>
              <w:jc w:val="left"/>
              <w:rPr>
                <w:rFonts w:ascii="宋体" w:hAnsi="宋体" w:cs="宋体"/>
                <w:color w:val="auto"/>
                <w:w w:val="90"/>
                <w:sz w:val="21"/>
                <w:szCs w:val="21"/>
                <w:highlight w:val="none"/>
              </w:rPr>
            </w:pPr>
          </w:p>
        </w:tc>
        <w:tc>
          <w:tcPr>
            <w:tcW w:w="2334" w:type="dxa"/>
            <w:vAlign w:val="center"/>
          </w:tcPr>
          <w:p w14:paraId="5D2CC5AD">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LED筒灯</w:t>
            </w:r>
          </w:p>
        </w:tc>
        <w:tc>
          <w:tcPr>
            <w:tcW w:w="1682" w:type="dxa"/>
            <w:vAlign w:val="center"/>
          </w:tcPr>
          <w:p w14:paraId="2D07C01F">
            <w:pPr>
              <w:jc w:val="center"/>
              <w:rPr>
                <w:rFonts w:ascii="宋体" w:hAnsi="宋体" w:cs="宋体"/>
                <w:color w:val="auto"/>
                <w:w w:val="90"/>
                <w:sz w:val="21"/>
                <w:szCs w:val="21"/>
                <w:highlight w:val="none"/>
              </w:rPr>
            </w:pPr>
          </w:p>
        </w:tc>
        <w:tc>
          <w:tcPr>
            <w:tcW w:w="3301" w:type="dxa"/>
            <w:vAlign w:val="center"/>
          </w:tcPr>
          <w:p w14:paraId="71A618C4">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《室内照明用LED产品能效限定值及能效等级》（GB 30255）</w:t>
            </w:r>
          </w:p>
        </w:tc>
      </w:tr>
      <w:tr w14:paraId="04DCEA3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75264CE">
            <w:pPr>
              <w:jc w:val="center"/>
              <w:rPr>
                <w:rFonts w:ascii="宋体" w:hAnsi="宋体" w:cs="宋体"/>
                <w:color w:val="auto"/>
                <w:w w:val="90"/>
                <w:sz w:val="21"/>
                <w:szCs w:val="21"/>
                <w:highlight w:val="none"/>
              </w:rPr>
            </w:pPr>
          </w:p>
        </w:tc>
        <w:tc>
          <w:tcPr>
            <w:tcW w:w="1933" w:type="dxa"/>
            <w:vMerge w:val="continue"/>
            <w:vAlign w:val="center"/>
          </w:tcPr>
          <w:p w14:paraId="03118990">
            <w:pPr>
              <w:jc w:val="left"/>
              <w:rPr>
                <w:rFonts w:ascii="宋体" w:hAnsi="宋体" w:cs="宋体"/>
                <w:color w:val="auto"/>
                <w:w w:val="90"/>
                <w:sz w:val="21"/>
                <w:szCs w:val="21"/>
                <w:highlight w:val="none"/>
              </w:rPr>
            </w:pPr>
          </w:p>
        </w:tc>
        <w:tc>
          <w:tcPr>
            <w:tcW w:w="2334" w:type="dxa"/>
            <w:vAlign w:val="center"/>
          </w:tcPr>
          <w:p w14:paraId="218E5E19">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普通照明用非定向自镇流LED灯</w:t>
            </w:r>
          </w:p>
        </w:tc>
        <w:tc>
          <w:tcPr>
            <w:tcW w:w="1682" w:type="dxa"/>
            <w:vAlign w:val="center"/>
          </w:tcPr>
          <w:p w14:paraId="7919E232">
            <w:pPr>
              <w:jc w:val="center"/>
              <w:rPr>
                <w:rFonts w:ascii="宋体" w:hAnsi="宋体" w:cs="宋体"/>
                <w:color w:val="auto"/>
                <w:w w:val="90"/>
                <w:sz w:val="21"/>
                <w:szCs w:val="21"/>
                <w:highlight w:val="none"/>
              </w:rPr>
            </w:pPr>
          </w:p>
        </w:tc>
        <w:tc>
          <w:tcPr>
            <w:tcW w:w="3301" w:type="dxa"/>
            <w:vAlign w:val="center"/>
          </w:tcPr>
          <w:p w14:paraId="68A289EC">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《室内照明用LED产品能效限定值及能效等级》（GB 30255）</w:t>
            </w:r>
          </w:p>
        </w:tc>
      </w:tr>
      <w:tr w14:paraId="421C668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732AB69">
            <w:pPr>
              <w:jc w:val="center"/>
              <w:rPr>
                <w:rFonts w:ascii="宋体" w:hAnsi="宋体" w:cs="宋体"/>
                <w:color w:val="auto"/>
                <w:w w:val="90"/>
                <w:sz w:val="21"/>
                <w:szCs w:val="21"/>
                <w:highlight w:val="none"/>
              </w:rPr>
            </w:pPr>
            <w:r>
              <w:rPr>
                <w:rFonts w:hint="eastAsia" w:ascii="宋体" w:hAnsi="宋体" w:cs="宋体"/>
                <w:color w:val="auto"/>
                <w:w w:val="90"/>
                <w:sz w:val="21"/>
                <w:szCs w:val="21"/>
                <w:highlight w:val="none"/>
              </w:rPr>
              <w:t>12</w:t>
            </w:r>
          </w:p>
        </w:tc>
        <w:tc>
          <w:tcPr>
            <w:tcW w:w="1933" w:type="dxa"/>
            <w:vAlign w:val="center"/>
          </w:tcPr>
          <w:p w14:paraId="4A7ECBAA">
            <w:pPr>
              <w:jc w:val="left"/>
              <w:rPr>
                <w:rFonts w:ascii="宋体" w:hAnsi="宋体" w:cs="宋体"/>
                <w:b/>
                <w:color w:val="auto"/>
                <w:w w:val="90"/>
                <w:sz w:val="21"/>
                <w:szCs w:val="21"/>
                <w:highlight w:val="none"/>
              </w:rPr>
            </w:pPr>
            <w:r>
              <w:rPr>
                <w:rFonts w:hint="eastAsia" w:ascii="宋体" w:hAnsi="宋体" w:cs="宋体"/>
                <w:color w:val="auto"/>
                <w:w w:val="90"/>
                <w:sz w:val="21"/>
                <w:szCs w:val="21"/>
                <w:highlight w:val="none"/>
              </w:rPr>
              <w:t>★</w:t>
            </w:r>
            <w:r>
              <w:rPr>
                <w:rFonts w:hint="eastAsia" w:ascii="宋体" w:hAnsi="宋体" w:cs="宋体"/>
                <w:b/>
                <w:color w:val="auto"/>
                <w:w w:val="90"/>
                <w:sz w:val="21"/>
                <w:szCs w:val="21"/>
                <w:highlight w:val="none"/>
              </w:rPr>
              <w:t>A020910电视设备</w:t>
            </w:r>
          </w:p>
        </w:tc>
        <w:tc>
          <w:tcPr>
            <w:tcW w:w="2334" w:type="dxa"/>
            <w:vAlign w:val="center"/>
          </w:tcPr>
          <w:p w14:paraId="6D9F5F97">
            <w:pPr>
              <w:jc w:val="left"/>
              <w:rPr>
                <w:rFonts w:ascii="宋体" w:hAnsi="宋体" w:cs="宋体"/>
                <w:b/>
                <w:color w:val="auto"/>
                <w:w w:val="90"/>
                <w:sz w:val="21"/>
                <w:szCs w:val="21"/>
                <w:highlight w:val="none"/>
              </w:rPr>
            </w:pPr>
            <w:r>
              <w:rPr>
                <w:rFonts w:hint="eastAsia" w:ascii="宋体" w:hAnsi="宋体" w:cs="宋体"/>
                <w:b/>
                <w:color w:val="auto"/>
                <w:w w:val="90"/>
                <w:sz w:val="21"/>
                <w:szCs w:val="21"/>
                <w:highlight w:val="none"/>
              </w:rPr>
              <w:t>A02091001普通电视设备（电视机）</w:t>
            </w:r>
          </w:p>
        </w:tc>
        <w:tc>
          <w:tcPr>
            <w:tcW w:w="1682" w:type="dxa"/>
            <w:vAlign w:val="center"/>
          </w:tcPr>
          <w:p w14:paraId="16F969ED">
            <w:pPr>
              <w:jc w:val="center"/>
              <w:rPr>
                <w:rFonts w:ascii="宋体" w:hAnsi="宋体" w:cs="宋体"/>
                <w:color w:val="auto"/>
                <w:w w:val="90"/>
                <w:sz w:val="21"/>
                <w:szCs w:val="21"/>
                <w:highlight w:val="none"/>
              </w:rPr>
            </w:pPr>
          </w:p>
        </w:tc>
        <w:tc>
          <w:tcPr>
            <w:tcW w:w="3301" w:type="dxa"/>
            <w:vAlign w:val="center"/>
          </w:tcPr>
          <w:p w14:paraId="2853ED2A">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《平板电视能效限定值及能效等级》（GB 24850）</w:t>
            </w:r>
          </w:p>
        </w:tc>
      </w:tr>
      <w:tr w14:paraId="7ADD70F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5C07E2A">
            <w:pPr>
              <w:jc w:val="center"/>
              <w:rPr>
                <w:rFonts w:ascii="宋体" w:hAnsi="宋体" w:cs="宋体"/>
                <w:color w:val="auto"/>
                <w:w w:val="90"/>
                <w:sz w:val="21"/>
                <w:szCs w:val="21"/>
                <w:highlight w:val="none"/>
              </w:rPr>
            </w:pPr>
            <w:r>
              <w:rPr>
                <w:rFonts w:hint="eastAsia" w:ascii="宋体" w:hAnsi="宋体" w:cs="宋体"/>
                <w:color w:val="auto"/>
                <w:w w:val="90"/>
                <w:sz w:val="21"/>
                <w:szCs w:val="21"/>
                <w:highlight w:val="none"/>
              </w:rPr>
              <w:t>13</w:t>
            </w:r>
          </w:p>
        </w:tc>
        <w:tc>
          <w:tcPr>
            <w:tcW w:w="1933" w:type="dxa"/>
            <w:vAlign w:val="center"/>
          </w:tcPr>
          <w:p w14:paraId="41100DD8">
            <w:pPr>
              <w:jc w:val="left"/>
              <w:rPr>
                <w:rFonts w:ascii="宋体" w:hAnsi="宋体" w:cs="宋体"/>
                <w:b/>
                <w:color w:val="auto"/>
                <w:w w:val="90"/>
                <w:sz w:val="21"/>
                <w:szCs w:val="21"/>
                <w:highlight w:val="none"/>
              </w:rPr>
            </w:pPr>
            <w:r>
              <w:rPr>
                <w:rFonts w:hint="eastAsia" w:ascii="宋体" w:hAnsi="宋体" w:cs="宋体"/>
                <w:color w:val="auto"/>
                <w:w w:val="90"/>
                <w:sz w:val="21"/>
                <w:szCs w:val="21"/>
                <w:highlight w:val="none"/>
              </w:rPr>
              <w:t>★</w:t>
            </w:r>
            <w:r>
              <w:rPr>
                <w:rFonts w:hint="eastAsia" w:ascii="宋体" w:hAnsi="宋体" w:cs="宋体"/>
                <w:b/>
                <w:color w:val="auto"/>
                <w:w w:val="90"/>
                <w:sz w:val="21"/>
                <w:szCs w:val="21"/>
                <w:highlight w:val="none"/>
              </w:rPr>
              <w:t>A020911视频设备</w:t>
            </w:r>
          </w:p>
        </w:tc>
        <w:tc>
          <w:tcPr>
            <w:tcW w:w="2334" w:type="dxa"/>
            <w:vAlign w:val="center"/>
          </w:tcPr>
          <w:p w14:paraId="001F6B46">
            <w:pPr>
              <w:jc w:val="left"/>
              <w:rPr>
                <w:rFonts w:ascii="宋体" w:hAnsi="宋体" w:cs="宋体"/>
                <w:b/>
                <w:color w:val="auto"/>
                <w:w w:val="90"/>
                <w:sz w:val="21"/>
                <w:szCs w:val="21"/>
                <w:highlight w:val="none"/>
              </w:rPr>
            </w:pPr>
            <w:r>
              <w:rPr>
                <w:rFonts w:hint="eastAsia" w:ascii="宋体" w:hAnsi="宋体" w:cs="宋体"/>
                <w:b/>
                <w:color w:val="auto"/>
                <w:w w:val="90"/>
                <w:sz w:val="21"/>
                <w:szCs w:val="21"/>
                <w:highlight w:val="none"/>
              </w:rPr>
              <w:t>A02091107视频监控设备</w:t>
            </w:r>
          </w:p>
        </w:tc>
        <w:tc>
          <w:tcPr>
            <w:tcW w:w="1682" w:type="dxa"/>
            <w:vAlign w:val="center"/>
          </w:tcPr>
          <w:p w14:paraId="23043929">
            <w:pPr>
              <w:jc w:val="center"/>
              <w:rPr>
                <w:rFonts w:ascii="宋体" w:hAnsi="宋体" w:cs="宋体"/>
                <w:b/>
                <w:color w:val="auto"/>
                <w:w w:val="90"/>
                <w:sz w:val="21"/>
                <w:szCs w:val="21"/>
                <w:highlight w:val="none"/>
              </w:rPr>
            </w:pPr>
            <w:r>
              <w:rPr>
                <w:rFonts w:hint="eastAsia" w:ascii="宋体" w:hAnsi="宋体" w:cs="宋体"/>
                <w:b/>
                <w:color w:val="auto"/>
                <w:w w:val="90"/>
                <w:sz w:val="21"/>
                <w:szCs w:val="21"/>
                <w:highlight w:val="none"/>
              </w:rPr>
              <w:t>监视器</w:t>
            </w:r>
          </w:p>
        </w:tc>
        <w:tc>
          <w:tcPr>
            <w:tcW w:w="3301" w:type="dxa"/>
            <w:vAlign w:val="center"/>
          </w:tcPr>
          <w:p w14:paraId="4197254A">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32A46EC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4AFADC7">
            <w:pPr>
              <w:jc w:val="center"/>
              <w:rPr>
                <w:rFonts w:ascii="宋体" w:hAnsi="宋体" w:cs="宋体"/>
                <w:color w:val="auto"/>
                <w:w w:val="90"/>
                <w:sz w:val="21"/>
                <w:szCs w:val="21"/>
                <w:highlight w:val="none"/>
              </w:rPr>
            </w:pPr>
            <w:r>
              <w:rPr>
                <w:rFonts w:hint="eastAsia" w:ascii="宋体" w:hAnsi="宋体" w:cs="宋体"/>
                <w:color w:val="auto"/>
                <w:w w:val="90"/>
                <w:sz w:val="21"/>
                <w:szCs w:val="21"/>
                <w:highlight w:val="none"/>
              </w:rPr>
              <w:t>14</w:t>
            </w:r>
          </w:p>
        </w:tc>
        <w:tc>
          <w:tcPr>
            <w:tcW w:w="1933" w:type="dxa"/>
            <w:vAlign w:val="center"/>
          </w:tcPr>
          <w:p w14:paraId="59158107">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A031210饮食炊事机械</w:t>
            </w:r>
          </w:p>
        </w:tc>
        <w:tc>
          <w:tcPr>
            <w:tcW w:w="2334" w:type="dxa"/>
            <w:vAlign w:val="center"/>
          </w:tcPr>
          <w:p w14:paraId="3071E119">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商用燃气灶具</w:t>
            </w:r>
          </w:p>
        </w:tc>
        <w:tc>
          <w:tcPr>
            <w:tcW w:w="1682" w:type="dxa"/>
            <w:vAlign w:val="center"/>
          </w:tcPr>
          <w:p w14:paraId="20257A00">
            <w:pPr>
              <w:jc w:val="center"/>
              <w:rPr>
                <w:rFonts w:ascii="宋体" w:hAnsi="宋体" w:cs="宋体"/>
                <w:color w:val="auto"/>
                <w:w w:val="90"/>
                <w:sz w:val="21"/>
                <w:szCs w:val="21"/>
                <w:highlight w:val="none"/>
              </w:rPr>
            </w:pPr>
          </w:p>
        </w:tc>
        <w:tc>
          <w:tcPr>
            <w:tcW w:w="3301" w:type="dxa"/>
            <w:vAlign w:val="center"/>
          </w:tcPr>
          <w:p w14:paraId="53E62001">
            <w:pPr>
              <w:jc w:val="left"/>
              <w:rPr>
                <w:rFonts w:ascii="宋体" w:hAnsi="宋体" w:cs="宋体"/>
                <w:color w:val="auto"/>
                <w:w w:val="90"/>
                <w:sz w:val="21"/>
                <w:szCs w:val="21"/>
                <w:highlight w:val="none"/>
              </w:rPr>
            </w:pPr>
          </w:p>
        </w:tc>
      </w:tr>
      <w:tr w14:paraId="62DBFCD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D54D807">
            <w:pPr>
              <w:jc w:val="center"/>
              <w:rPr>
                <w:rFonts w:ascii="宋体" w:hAnsi="宋体" w:cs="宋体"/>
                <w:color w:val="auto"/>
                <w:w w:val="90"/>
                <w:sz w:val="21"/>
                <w:szCs w:val="21"/>
                <w:highlight w:val="none"/>
              </w:rPr>
            </w:pPr>
            <w:r>
              <w:rPr>
                <w:rFonts w:hint="eastAsia" w:ascii="宋体" w:hAnsi="宋体" w:cs="宋体"/>
                <w:color w:val="auto"/>
                <w:w w:val="90"/>
                <w:sz w:val="21"/>
                <w:szCs w:val="21"/>
                <w:highlight w:val="none"/>
              </w:rPr>
              <w:t>15</w:t>
            </w:r>
          </w:p>
        </w:tc>
        <w:tc>
          <w:tcPr>
            <w:tcW w:w="1933" w:type="dxa"/>
            <w:vMerge w:val="restart"/>
            <w:vAlign w:val="center"/>
          </w:tcPr>
          <w:p w14:paraId="27DE43FA">
            <w:pPr>
              <w:jc w:val="left"/>
              <w:rPr>
                <w:rFonts w:ascii="宋体" w:hAnsi="宋体" w:cs="宋体"/>
                <w:b/>
                <w:color w:val="auto"/>
                <w:w w:val="90"/>
                <w:sz w:val="21"/>
                <w:szCs w:val="21"/>
                <w:highlight w:val="none"/>
              </w:rPr>
            </w:pPr>
            <w:r>
              <w:rPr>
                <w:rFonts w:hint="eastAsia" w:ascii="宋体" w:hAnsi="宋体" w:cs="宋体"/>
                <w:color w:val="auto"/>
                <w:w w:val="90"/>
                <w:sz w:val="21"/>
                <w:szCs w:val="21"/>
                <w:highlight w:val="none"/>
              </w:rPr>
              <w:t>★</w:t>
            </w:r>
            <w:r>
              <w:rPr>
                <w:rFonts w:hint="eastAsia" w:ascii="宋体" w:hAnsi="宋体" w:cs="宋体"/>
                <w:b/>
                <w:color w:val="auto"/>
                <w:w w:val="90"/>
                <w:sz w:val="21"/>
                <w:szCs w:val="21"/>
                <w:highlight w:val="none"/>
              </w:rPr>
              <w:t>A060805便器</w:t>
            </w:r>
          </w:p>
        </w:tc>
        <w:tc>
          <w:tcPr>
            <w:tcW w:w="2334" w:type="dxa"/>
            <w:vAlign w:val="center"/>
          </w:tcPr>
          <w:p w14:paraId="647FA1B5">
            <w:pPr>
              <w:jc w:val="left"/>
              <w:rPr>
                <w:rFonts w:ascii="宋体" w:hAnsi="宋体" w:cs="宋体"/>
                <w:b/>
                <w:color w:val="auto"/>
                <w:w w:val="90"/>
                <w:sz w:val="21"/>
                <w:szCs w:val="21"/>
                <w:highlight w:val="none"/>
              </w:rPr>
            </w:pPr>
            <w:r>
              <w:rPr>
                <w:rFonts w:hint="eastAsia" w:ascii="宋体" w:hAnsi="宋体" w:cs="宋体"/>
                <w:b/>
                <w:color w:val="auto"/>
                <w:w w:val="90"/>
                <w:sz w:val="21"/>
                <w:szCs w:val="21"/>
                <w:highlight w:val="none"/>
              </w:rPr>
              <w:t>坐便器</w:t>
            </w:r>
          </w:p>
        </w:tc>
        <w:tc>
          <w:tcPr>
            <w:tcW w:w="1682" w:type="dxa"/>
            <w:vAlign w:val="center"/>
          </w:tcPr>
          <w:p w14:paraId="1013CBB1">
            <w:pPr>
              <w:jc w:val="center"/>
              <w:rPr>
                <w:rFonts w:ascii="宋体" w:hAnsi="宋体" w:cs="宋体"/>
                <w:color w:val="auto"/>
                <w:w w:val="90"/>
                <w:sz w:val="21"/>
                <w:szCs w:val="21"/>
                <w:highlight w:val="none"/>
              </w:rPr>
            </w:pPr>
          </w:p>
        </w:tc>
        <w:tc>
          <w:tcPr>
            <w:tcW w:w="3301" w:type="dxa"/>
            <w:vAlign w:val="center"/>
          </w:tcPr>
          <w:p w14:paraId="786903A2">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《坐便器水效限定值及水效等级</w:t>
            </w:r>
          </w:p>
          <w:p w14:paraId="26FFA5A5">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（GB 25502）</w:t>
            </w:r>
          </w:p>
        </w:tc>
      </w:tr>
      <w:tr w14:paraId="31D67EA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14E62D9">
            <w:pPr>
              <w:jc w:val="center"/>
              <w:rPr>
                <w:rFonts w:ascii="宋体" w:hAnsi="宋体" w:cs="宋体"/>
                <w:color w:val="auto"/>
                <w:w w:val="90"/>
                <w:sz w:val="21"/>
                <w:szCs w:val="21"/>
                <w:highlight w:val="none"/>
              </w:rPr>
            </w:pPr>
          </w:p>
        </w:tc>
        <w:tc>
          <w:tcPr>
            <w:tcW w:w="1933" w:type="dxa"/>
            <w:vMerge w:val="continue"/>
            <w:vAlign w:val="center"/>
          </w:tcPr>
          <w:p w14:paraId="236CC1A9">
            <w:pPr>
              <w:jc w:val="left"/>
              <w:rPr>
                <w:rFonts w:ascii="宋体" w:hAnsi="宋体" w:cs="宋体"/>
                <w:b/>
                <w:color w:val="auto"/>
                <w:w w:val="90"/>
                <w:sz w:val="21"/>
                <w:szCs w:val="21"/>
                <w:highlight w:val="none"/>
              </w:rPr>
            </w:pPr>
          </w:p>
        </w:tc>
        <w:tc>
          <w:tcPr>
            <w:tcW w:w="2334" w:type="dxa"/>
            <w:vAlign w:val="center"/>
          </w:tcPr>
          <w:p w14:paraId="0CBA1838">
            <w:pPr>
              <w:jc w:val="left"/>
              <w:rPr>
                <w:rFonts w:ascii="宋体" w:hAnsi="宋体" w:cs="宋体"/>
                <w:b/>
                <w:color w:val="auto"/>
                <w:w w:val="90"/>
                <w:sz w:val="21"/>
                <w:szCs w:val="21"/>
                <w:highlight w:val="none"/>
              </w:rPr>
            </w:pPr>
            <w:r>
              <w:rPr>
                <w:rFonts w:hint="eastAsia" w:ascii="宋体" w:hAnsi="宋体" w:cs="宋体"/>
                <w:b/>
                <w:color w:val="auto"/>
                <w:w w:val="90"/>
                <w:sz w:val="21"/>
                <w:szCs w:val="21"/>
                <w:highlight w:val="none"/>
              </w:rPr>
              <w:t>蹲便器</w:t>
            </w:r>
          </w:p>
        </w:tc>
        <w:tc>
          <w:tcPr>
            <w:tcW w:w="1682" w:type="dxa"/>
            <w:vAlign w:val="center"/>
          </w:tcPr>
          <w:p w14:paraId="43A58EA0">
            <w:pPr>
              <w:jc w:val="center"/>
              <w:rPr>
                <w:rFonts w:ascii="宋体" w:hAnsi="宋体" w:cs="宋体"/>
                <w:color w:val="auto"/>
                <w:w w:val="90"/>
                <w:sz w:val="21"/>
                <w:szCs w:val="21"/>
                <w:highlight w:val="none"/>
              </w:rPr>
            </w:pPr>
          </w:p>
        </w:tc>
        <w:tc>
          <w:tcPr>
            <w:tcW w:w="3301" w:type="dxa"/>
            <w:vAlign w:val="center"/>
          </w:tcPr>
          <w:p w14:paraId="73C61DE1">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《蹲便器用水效率限定值及用水效率等级》（GB 30717）</w:t>
            </w:r>
          </w:p>
        </w:tc>
      </w:tr>
      <w:tr w14:paraId="6B09EF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93EF1E6">
            <w:pPr>
              <w:jc w:val="center"/>
              <w:rPr>
                <w:rFonts w:ascii="宋体" w:hAnsi="宋体" w:cs="宋体"/>
                <w:color w:val="auto"/>
                <w:w w:val="90"/>
                <w:sz w:val="21"/>
                <w:szCs w:val="21"/>
                <w:highlight w:val="none"/>
              </w:rPr>
            </w:pPr>
          </w:p>
        </w:tc>
        <w:tc>
          <w:tcPr>
            <w:tcW w:w="1933" w:type="dxa"/>
            <w:vMerge w:val="continue"/>
            <w:vAlign w:val="center"/>
          </w:tcPr>
          <w:p w14:paraId="5C49A291">
            <w:pPr>
              <w:jc w:val="left"/>
              <w:rPr>
                <w:rFonts w:ascii="宋体" w:hAnsi="宋体" w:cs="宋体"/>
                <w:b/>
                <w:color w:val="auto"/>
                <w:w w:val="90"/>
                <w:sz w:val="21"/>
                <w:szCs w:val="21"/>
                <w:highlight w:val="none"/>
              </w:rPr>
            </w:pPr>
          </w:p>
        </w:tc>
        <w:tc>
          <w:tcPr>
            <w:tcW w:w="2334" w:type="dxa"/>
            <w:vAlign w:val="center"/>
          </w:tcPr>
          <w:p w14:paraId="153534D5">
            <w:pPr>
              <w:jc w:val="left"/>
              <w:rPr>
                <w:rFonts w:ascii="宋体" w:hAnsi="宋体" w:cs="宋体"/>
                <w:b/>
                <w:color w:val="auto"/>
                <w:w w:val="90"/>
                <w:sz w:val="21"/>
                <w:szCs w:val="21"/>
                <w:highlight w:val="none"/>
              </w:rPr>
            </w:pPr>
            <w:r>
              <w:rPr>
                <w:rFonts w:hint="eastAsia" w:ascii="宋体" w:hAnsi="宋体" w:cs="宋体"/>
                <w:b/>
                <w:color w:val="auto"/>
                <w:w w:val="90"/>
                <w:sz w:val="21"/>
                <w:szCs w:val="21"/>
                <w:highlight w:val="none"/>
              </w:rPr>
              <w:t>小便器</w:t>
            </w:r>
          </w:p>
        </w:tc>
        <w:tc>
          <w:tcPr>
            <w:tcW w:w="1682" w:type="dxa"/>
            <w:vAlign w:val="center"/>
          </w:tcPr>
          <w:p w14:paraId="5FFCECB0">
            <w:pPr>
              <w:jc w:val="center"/>
              <w:rPr>
                <w:rFonts w:ascii="宋体" w:hAnsi="宋体" w:cs="宋体"/>
                <w:color w:val="auto"/>
                <w:w w:val="90"/>
                <w:sz w:val="21"/>
                <w:szCs w:val="21"/>
                <w:highlight w:val="none"/>
              </w:rPr>
            </w:pPr>
          </w:p>
        </w:tc>
        <w:tc>
          <w:tcPr>
            <w:tcW w:w="3301" w:type="dxa"/>
            <w:vAlign w:val="center"/>
          </w:tcPr>
          <w:p w14:paraId="0ACBD5D7">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《小便器用水效率限定值及用水效率等级》（GB 28377）</w:t>
            </w:r>
          </w:p>
        </w:tc>
      </w:tr>
      <w:tr w14:paraId="2B480D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7ECD3D5">
            <w:pPr>
              <w:jc w:val="center"/>
              <w:rPr>
                <w:rFonts w:ascii="宋体" w:hAnsi="宋体" w:cs="宋体"/>
                <w:color w:val="auto"/>
                <w:w w:val="90"/>
                <w:sz w:val="21"/>
                <w:szCs w:val="21"/>
                <w:highlight w:val="none"/>
              </w:rPr>
            </w:pPr>
            <w:r>
              <w:rPr>
                <w:rFonts w:hint="eastAsia" w:ascii="宋体" w:hAnsi="宋体" w:cs="宋体"/>
                <w:color w:val="auto"/>
                <w:w w:val="90"/>
                <w:sz w:val="21"/>
                <w:szCs w:val="21"/>
                <w:highlight w:val="none"/>
              </w:rPr>
              <w:t>16</w:t>
            </w:r>
          </w:p>
        </w:tc>
        <w:tc>
          <w:tcPr>
            <w:tcW w:w="1933" w:type="dxa"/>
            <w:vAlign w:val="center"/>
          </w:tcPr>
          <w:p w14:paraId="61EED89A">
            <w:pPr>
              <w:jc w:val="left"/>
              <w:rPr>
                <w:rFonts w:ascii="宋体" w:hAnsi="宋体" w:cs="宋体"/>
                <w:b/>
                <w:color w:val="auto"/>
                <w:w w:val="90"/>
                <w:sz w:val="21"/>
                <w:szCs w:val="21"/>
                <w:highlight w:val="none"/>
              </w:rPr>
            </w:pPr>
            <w:r>
              <w:rPr>
                <w:rFonts w:hint="eastAsia" w:ascii="宋体" w:hAnsi="宋体" w:cs="宋体"/>
                <w:color w:val="auto"/>
                <w:w w:val="90"/>
                <w:sz w:val="21"/>
                <w:szCs w:val="21"/>
                <w:highlight w:val="none"/>
              </w:rPr>
              <w:t>★</w:t>
            </w:r>
            <w:r>
              <w:rPr>
                <w:rFonts w:hint="eastAsia" w:ascii="宋体" w:hAnsi="宋体" w:cs="宋体"/>
                <w:b/>
                <w:color w:val="auto"/>
                <w:w w:val="90"/>
                <w:sz w:val="21"/>
                <w:szCs w:val="21"/>
                <w:highlight w:val="none"/>
              </w:rPr>
              <w:t>A060806水嘴</w:t>
            </w:r>
          </w:p>
        </w:tc>
        <w:tc>
          <w:tcPr>
            <w:tcW w:w="2334" w:type="dxa"/>
            <w:vAlign w:val="center"/>
          </w:tcPr>
          <w:p w14:paraId="0EA32D39">
            <w:pPr>
              <w:jc w:val="left"/>
              <w:rPr>
                <w:rFonts w:ascii="宋体" w:hAnsi="宋体" w:cs="宋体"/>
                <w:color w:val="auto"/>
                <w:w w:val="90"/>
                <w:sz w:val="21"/>
                <w:szCs w:val="21"/>
                <w:highlight w:val="none"/>
              </w:rPr>
            </w:pPr>
          </w:p>
        </w:tc>
        <w:tc>
          <w:tcPr>
            <w:tcW w:w="1682" w:type="dxa"/>
            <w:vAlign w:val="center"/>
          </w:tcPr>
          <w:p w14:paraId="3EF6B156">
            <w:pPr>
              <w:jc w:val="center"/>
              <w:rPr>
                <w:rFonts w:ascii="宋体" w:hAnsi="宋体" w:cs="宋体"/>
                <w:color w:val="auto"/>
                <w:w w:val="90"/>
                <w:sz w:val="21"/>
                <w:szCs w:val="21"/>
                <w:highlight w:val="none"/>
              </w:rPr>
            </w:pPr>
          </w:p>
        </w:tc>
        <w:tc>
          <w:tcPr>
            <w:tcW w:w="3301" w:type="dxa"/>
            <w:vAlign w:val="center"/>
          </w:tcPr>
          <w:p w14:paraId="2C703713">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《水嘴用水效率限定值及用水效率等级》（GB 25501）</w:t>
            </w:r>
          </w:p>
        </w:tc>
      </w:tr>
      <w:tr w14:paraId="420ED33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189217A">
            <w:pPr>
              <w:jc w:val="center"/>
              <w:rPr>
                <w:rFonts w:ascii="宋体" w:hAnsi="宋体" w:cs="宋体"/>
                <w:color w:val="auto"/>
                <w:w w:val="90"/>
                <w:sz w:val="21"/>
                <w:szCs w:val="21"/>
                <w:highlight w:val="none"/>
              </w:rPr>
            </w:pPr>
            <w:r>
              <w:rPr>
                <w:rFonts w:hint="eastAsia" w:ascii="宋体" w:hAnsi="宋体" w:cs="宋体"/>
                <w:color w:val="auto"/>
                <w:w w:val="90"/>
                <w:sz w:val="21"/>
                <w:szCs w:val="21"/>
                <w:highlight w:val="none"/>
              </w:rPr>
              <w:t>17</w:t>
            </w:r>
          </w:p>
        </w:tc>
        <w:tc>
          <w:tcPr>
            <w:tcW w:w="1933" w:type="dxa"/>
            <w:vAlign w:val="center"/>
          </w:tcPr>
          <w:p w14:paraId="4E406E88">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A060807便器冲洗阀</w:t>
            </w:r>
          </w:p>
        </w:tc>
        <w:tc>
          <w:tcPr>
            <w:tcW w:w="2334" w:type="dxa"/>
            <w:vAlign w:val="center"/>
          </w:tcPr>
          <w:p w14:paraId="138FF4E7">
            <w:pPr>
              <w:jc w:val="left"/>
              <w:rPr>
                <w:rFonts w:ascii="宋体" w:hAnsi="宋体" w:cs="宋体"/>
                <w:color w:val="auto"/>
                <w:w w:val="90"/>
                <w:sz w:val="21"/>
                <w:szCs w:val="21"/>
                <w:highlight w:val="none"/>
              </w:rPr>
            </w:pPr>
          </w:p>
        </w:tc>
        <w:tc>
          <w:tcPr>
            <w:tcW w:w="1682" w:type="dxa"/>
            <w:vAlign w:val="center"/>
          </w:tcPr>
          <w:p w14:paraId="4257D065">
            <w:pPr>
              <w:jc w:val="center"/>
              <w:rPr>
                <w:rFonts w:ascii="宋体" w:hAnsi="宋体" w:cs="宋体"/>
                <w:color w:val="auto"/>
                <w:w w:val="90"/>
                <w:sz w:val="21"/>
                <w:szCs w:val="21"/>
                <w:highlight w:val="none"/>
              </w:rPr>
            </w:pPr>
          </w:p>
        </w:tc>
        <w:tc>
          <w:tcPr>
            <w:tcW w:w="3301" w:type="dxa"/>
            <w:vAlign w:val="center"/>
          </w:tcPr>
          <w:p w14:paraId="04DAF6CE">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《便器冲洗阀用水效率限定值及用水效率等级》（GB 28379）</w:t>
            </w:r>
          </w:p>
        </w:tc>
      </w:tr>
      <w:tr w14:paraId="4018508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38F0229">
            <w:pPr>
              <w:jc w:val="center"/>
              <w:rPr>
                <w:rFonts w:ascii="宋体" w:hAnsi="宋体" w:cs="宋体"/>
                <w:color w:val="auto"/>
                <w:w w:val="90"/>
                <w:sz w:val="21"/>
                <w:szCs w:val="21"/>
                <w:highlight w:val="none"/>
              </w:rPr>
            </w:pPr>
            <w:r>
              <w:rPr>
                <w:rFonts w:hint="eastAsia" w:ascii="宋体" w:hAnsi="宋体" w:cs="宋体"/>
                <w:color w:val="auto"/>
                <w:w w:val="90"/>
                <w:sz w:val="21"/>
                <w:szCs w:val="21"/>
                <w:highlight w:val="none"/>
              </w:rPr>
              <w:t>18</w:t>
            </w:r>
          </w:p>
        </w:tc>
        <w:tc>
          <w:tcPr>
            <w:tcW w:w="1933" w:type="dxa"/>
            <w:vAlign w:val="center"/>
          </w:tcPr>
          <w:p w14:paraId="59D27AEB">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A060810淋浴器</w:t>
            </w:r>
          </w:p>
        </w:tc>
        <w:tc>
          <w:tcPr>
            <w:tcW w:w="2334" w:type="dxa"/>
            <w:vAlign w:val="center"/>
          </w:tcPr>
          <w:p w14:paraId="1A61714A">
            <w:pPr>
              <w:jc w:val="left"/>
              <w:rPr>
                <w:rFonts w:ascii="宋体" w:hAnsi="宋体" w:cs="宋体"/>
                <w:color w:val="auto"/>
                <w:w w:val="90"/>
                <w:sz w:val="21"/>
                <w:szCs w:val="21"/>
                <w:highlight w:val="none"/>
              </w:rPr>
            </w:pPr>
          </w:p>
        </w:tc>
        <w:tc>
          <w:tcPr>
            <w:tcW w:w="1682" w:type="dxa"/>
            <w:vAlign w:val="center"/>
          </w:tcPr>
          <w:p w14:paraId="2B3FAFFC">
            <w:pPr>
              <w:jc w:val="center"/>
              <w:rPr>
                <w:rFonts w:ascii="宋体" w:hAnsi="宋体" w:cs="宋体"/>
                <w:color w:val="auto"/>
                <w:w w:val="90"/>
                <w:sz w:val="21"/>
                <w:szCs w:val="21"/>
                <w:highlight w:val="none"/>
              </w:rPr>
            </w:pPr>
          </w:p>
        </w:tc>
        <w:tc>
          <w:tcPr>
            <w:tcW w:w="3301" w:type="dxa"/>
            <w:vAlign w:val="center"/>
          </w:tcPr>
          <w:p w14:paraId="61B6B32B">
            <w:pPr>
              <w:jc w:val="left"/>
              <w:rPr>
                <w:rFonts w:ascii="宋体" w:hAnsi="宋体" w:cs="宋体"/>
                <w:color w:val="auto"/>
                <w:w w:val="90"/>
                <w:sz w:val="21"/>
                <w:szCs w:val="21"/>
                <w:highlight w:val="none"/>
              </w:rPr>
            </w:pPr>
            <w:r>
              <w:rPr>
                <w:rFonts w:hint="eastAsia" w:ascii="宋体" w:hAnsi="宋体" w:cs="宋体"/>
                <w:color w:val="auto"/>
                <w:w w:val="90"/>
                <w:sz w:val="21"/>
                <w:szCs w:val="21"/>
                <w:highlight w:val="none"/>
              </w:rPr>
              <w:t>《淋浴器用水效率限定值及用水效率等级》（GB 28378）</w:t>
            </w:r>
          </w:p>
        </w:tc>
      </w:tr>
    </w:tbl>
    <w:p w14:paraId="4EAA78DA">
      <w:pPr>
        <w:snapToGrid w:val="0"/>
        <w:spacing w:line="360" w:lineRule="auto"/>
        <w:ind w:firstLine="482" w:firstLineChars="200"/>
        <w:rPr>
          <w:rFonts w:ascii="宋体" w:hAnsi="宋体" w:cs="宋体"/>
          <w:b/>
          <w:color w:val="auto"/>
          <w:sz w:val="24"/>
          <w:highlight w:val="none"/>
        </w:rPr>
      </w:pPr>
    </w:p>
    <w:p w14:paraId="16AEC327">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0C6B3006">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021A876">
      <w:pPr>
        <w:spacing w:line="360" w:lineRule="auto"/>
        <w:ind w:firstLine="420" w:firstLineChars="200"/>
        <w:rPr>
          <w:color w:val="auto"/>
          <w:sz w:val="21"/>
          <w:szCs w:val="21"/>
          <w:highlight w:val="none"/>
        </w:rPr>
      </w:pPr>
      <w:r>
        <w:rPr>
          <w:rFonts w:ascii="宋体" w:hAnsi="宋体" w:cs="宋体"/>
          <w:color w:val="auto"/>
          <w:sz w:val="21"/>
          <w:szCs w:val="21"/>
          <w:highlight w:val="none"/>
        </w:rPr>
        <w:t xml:space="preserve">3.2.4 </w:t>
      </w:r>
      <w:r>
        <w:rPr>
          <w:rFonts w:hint="eastAsia" w:ascii="宋体" w:hAnsi="宋体" w:cs="宋体"/>
          <w:color w:val="auto"/>
          <w:sz w:val="21"/>
          <w:szCs w:val="21"/>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CDB1B3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3.3支持中小企业发展</w:t>
      </w:r>
    </w:p>
    <w:p w14:paraId="2ABF1862">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8CA7BB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符合中小企业划分标准的个体工商户，在政府采购活动中视同中小企业。</w:t>
      </w:r>
    </w:p>
    <w:p w14:paraId="5DC1C06A">
      <w:pPr>
        <w:widowControl/>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bCs/>
          <w:color w:val="auto"/>
          <w:sz w:val="21"/>
          <w:szCs w:val="21"/>
          <w:highlight w:val="none"/>
        </w:rPr>
        <w:t>3.3.2</w:t>
      </w:r>
      <w:r>
        <w:rPr>
          <w:rFonts w:hint="eastAsia" w:ascii="宋体" w:hAnsi="宋体" w:cs="宋体"/>
          <w:color w:val="auto"/>
          <w:kern w:val="0"/>
          <w:sz w:val="21"/>
          <w:szCs w:val="21"/>
          <w:highlight w:val="none"/>
        </w:rPr>
        <w:t>在政府采购活动中，供应商提供的工程符合下列情形的，享受中小企业扶持政策：</w:t>
      </w:r>
      <w:r>
        <w:rPr>
          <w:rFonts w:ascii="宋体" w:hAnsi="宋体" w:cs="宋体"/>
          <w:color w:val="auto"/>
          <w:sz w:val="21"/>
          <w:szCs w:val="21"/>
          <w:highlight w:val="none"/>
        </w:rPr>
        <w:t>在工程采购项目中，工程由中小企业承建，即工程施工单位为中小企业</w:t>
      </w:r>
      <w:r>
        <w:rPr>
          <w:rFonts w:hint="eastAsia" w:ascii="宋体" w:hAnsi="宋体" w:cs="宋体"/>
          <w:color w:val="auto"/>
          <w:kern w:val="0"/>
          <w:sz w:val="21"/>
          <w:szCs w:val="21"/>
          <w:highlight w:val="none"/>
        </w:rPr>
        <w:t>。</w:t>
      </w:r>
    </w:p>
    <w:p w14:paraId="55DD78F8">
      <w:pPr>
        <w:widowControl/>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1593658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1"/>
          <w:szCs w:val="21"/>
          <w:highlight w:val="none"/>
        </w:rPr>
        <w:t>联合协议或者分包意向协议约定小微企业的合同份额占到合同总金额30%以上的</w:t>
      </w:r>
      <w:bookmarkEnd w:id="15"/>
      <w:r>
        <w:rPr>
          <w:rFonts w:hint="eastAsia" w:ascii="宋体" w:hAnsi="宋体" w:cs="宋体"/>
          <w:color w:val="auto"/>
          <w:sz w:val="21"/>
          <w:szCs w:val="21"/>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7142B8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3E653287">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95827E1">
      <w:pPr>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lang w:val="en-US" w:eastAsia="zh-CN"/>
        </w:rPr>
        <w:t>3.</w:t>
      </w:r>
      <w:r>
        <w:rPr>
          <w:rFonts w:hint="eastAsia" w:cs="宋体" w:asciiTheme="minorEastAsia" w:hAnsiTheme="minorEastAsia" w:eastAsiaTheme="minorEastAsia"/>
          <w:color w:val="auto"/>
          <w:sz w:val="21"/>
          <w:szCs w:val="21"/>
          <w:highlight w:val="none"/>
        </w:rPr>
        <w:t>6可享受中小企业扶持政策的供应商应按照磋商文件格式要求提供《中小企业声明函》，</w:t>
      </w:r>
      <w:r>
        <w:rPr>
          <w:rFonts w:hint="eastAsia" w:cs="宋体" w:asciiTheme="minorEastAsia" w:hAnsiTheme="minorEastAsia" w:eastAsiaTheme="minorEastAsia"/>
          <w:color w:val="auto"/>
          <w:sz w:val="21"/>
          <w:szCs w:val="21"/>
          <w:highlight w:val="none"/>
          <w:lang w:val="e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1"/>
          <w:szCs w:val="21"/>
          <w:highlight w:val="none"/>
        </w:rPr>
        <w:t>。</w:t>
      </w:r>
    </w:p>
    <w:p w14:paraId="3395567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3.3.7中小企业享受扶持政策获得政府采购合同的，小微企业不得将合同分包给大中型企业，中型企业不得将合同分包给大型企业。</w:t>
      </w:r>
    </w:p>
    <w:p w14:paraId="4266D5C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w:t>
      </w:r>
      <w:r>
        <w:rPr>
          <w:rFonts w:hint="eastAsia" w:ascii="宋体" w:hAnsi="宋体" w:cs="宋体"/>
          <w:bCs/>
          <w:color w:val="auto"/>
          <w:sz w:val="21"/>
          <w:szCs w:val="21"/>
          <w:highlight w:val="none"/>
        </w:rPr>
        <w:t>支持创新发展</w:t>
      </w:r>
    </w:p>
    <w:p w14:paraId="091107D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3.4.1 首台套、“制造精品”、“专精特新”等创新产品按规定享受政府采购支持政策。</w:t>
      </w:r>
    </w:p>
    <w:p w14:paraId="148CB7F5">
      <w:pPr>
        <w:spacing w:line="360" w:lineRule="auto"/>
        <w:ind w:firstLine="420" w:firstLineChars="200"/>
        <w:rPr>
          <w:color w:val="auto"/>
          <w:sz w:val="21"/>
          <w:szCs w:val="21"/>
          <w:highlight w:val="none"/>
        </w:rPr>
      </w:pPr>
      <w:r>
        <w:rPr>
          <w:rFonts w:hint="eastAsia" w:ascii="宋体" w:hAnsi="宋体" w:cs="仿宋"/>
          <w:color w:val="auto"/>
          <w:sz w:val="21"/>
          <w:szCs w:val="21"/>
          <w:highlight w:val="none"/>
        </w:rPr>
        <w:t>3.4.2 采购人应当贯彻落实知识产权保护相关法律法规，应当采购使用正版软件。</w:t>
      </w:r>
    </w:p>
    <w:p w14:paraId="20CC91A6">
      <w:pPr>
        <w:snapToGrid w:val="0"/>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3.5平等对待内外资企业和符合条件的破产重整企业：</w:t>
      </w:r>
    </w:p>
    <w:p w14:paraId="7D057610">
      <w:pPr>
        <w:snapToGrid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平等对待内外资企业和符合条件的破产重整企业，切实保障企业公平竞争，平等维护企业的合法利益。</w:t>
      </w:r>
      <w:r>
        <w:rPr>
          <w:rFonts w:hint="eastAsia" w:ascii="宋体" w:hAnsi="宋体" w:cs="宋体"/>
          <w:color w:val="auto"/>
          <w:sz w:val="21"/>
          <w:szCs w:val="21"/>
          <w:highlight w:val="none"/>
        </w:rPr>
        <w:cr/>
      </w:r>
      <w:r>
        <w:rPr>
          <w:rFonts w:hint="eastAsia" w:ascii="宋体" w:hAnsi="宋体" w:cs="宋体"/>
          <w:b/>
          <w:color w:val="auto"/>
          <w:sz w:val="21"/>
          <w:szCs w:val="21"/>
          <w:highlight w:val="none"/>
        </w:rPr>
        <w:t>4. 询问、质疑、投诉</w:t>
      </w:r>
      <w:r>
        <w:rPr>
          <w:rFonts w:hint="eastAsia" w:ascii="宋体" w:hAnsi="宋体" w:cs="仿宋"/>
          <w:b/>
          <w:color w:val="auto"/>
          <w:sz w:val="21"/>
          <w:szCs w:val="21"/>
          <w:highlight w:val="none"/>
        </w:rPr>
        <w:t>、补偿救济</w:t>
      </w:r>
    </w:p>
    <w:p w14:paraId="5E6DFB2D">
      <w:pPr>
        <w:pStyle w:val="889"/>
        <w:shd w:val="clear" w:color="auto"/>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4.1在线询问、质疑、投诉</w:t>
      </w:r>
    </w:p>
    <w:p w14:paraId="5D18D225">
      <w:pPr>
        <w:pStyle w:val="889"/>
        <w:shd w:val="clear" w:color="auto"/>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浙江政府服务网-政府采购投诉处理-在线办理。</w:t>
      </w:r>
    </w:p>
    <w:p w14:paraId="175708B3">
      <w:pPr>
        <w:autoSpaceDE w:val="0"/>
        <w:autoSpaceDN w:val="0"/>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4.2供应商询问</w:t>
      </w:r>
    </w:p>
    <w:p w14:paraId="117ECE23">
      <w:pPr>
        <w:autoSpaceDE w:val="0"/>
        <w:autoSpaceDN w:val="0"/>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2E5210A">
      <w:pPr>
        <w:autoSpaceDE w:val="0"/>
        <w:autoSpaceDN w:val="0"/>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4.3供应商质疑</w:t>
      </w:r>
    </w:p>
    <w:p w14:paraId="2D40E5E1">
      <w:pPr>
        <w:pStyle w:val="5"/>
        <w:snapToGrid w:val="0"/>
        <w:spacing w:line="360" w:lineRule="auto"/>
        <w:ind w:firstLine="420" w:firstLineChars="200"/>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.1提出质疑的供应商应当是参与所质疑项目采购活动的供应商。潜在供应商已依法获取其可质疑的采购文件的，可以对该文件提出质疑。</w:t>
      </w:r>
    </w:p>
    <w:p w14:paraId="7151C3A0">
      <w:pPr>
        <w:pStyle w:val="5"/>
        <w:snapToGrid w:val="0"/>
        <w:spacing w:line="360" w:lineRule="auto"/>
        <w:ind w:firstLine="420" w:firstLineChars="200"/>
        <w:rPr>
          <w:rFonts w:hint="eastAsia" w:hAnsi="宋体" w:eastAsia="宋体" w:cs="宋体"/>
          <w:color w:val="auto"/>
          <w:sz w:val="21"/>
          <w:szCs w:val="21"/>
          <w:highlight w:val="none"/>
          <w:lang w:eastAsia="zh-CN"/>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r>
        <w:rPr>
          <w:rFonts w:hint="eastAsia" w:hAnsi="宋体" w:cs="宋体"/>
          <w:color w:val="auto"/>
          <w:sz w:val="21"/>
          <w:szCs w:val="21"/>
          <w:highlight w:val="none"/>
          <w:lang w:eastAsia="zh-CN"/>
        </w:rPr>
        <w:t>；</w:t>
      </w:r>
    </w:p>
    <w:p w14:paraId="57223B40">
      <w:pPr>
        <w:pStyle w:val="16"/>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4.3.2.1对采购文件提出质疑的，质疑期限为供应商获得采购文件之日或者采购文件公告期限届满之日起计算。</w:t>
      </w:r>
    </w:p>
    <w:p w14:paraId="34B336BA">
      <w:pPr>
        <w:pStyle w:val="5"/>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4.3.2.2对采购过程提出质疑的，质疑期限为各采购程序环节结束之日起计算。</w:t>
      </w:r>
    </w:p>
    <w:p w14:paraId="1BB76210">
      <w:pPr>
        <w:pStyle w:val="5"/>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4.3.2.3对采购结果提出质疑的，质疑期限自采购结果公告期限届满之日起计算。</w:t>
      </w:r>
    </w:p>
    <w:p w14:paraId="6BDFC763">
      <w:pPr>
        <w:pStyle w:val="5"/>
        <w:snapToGrid w:val="0"/>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w:t>
      </w:r>
      <w:r>
        <w:rPr>
          <w:rFonts w:hint="eastAsia" w:hAnsi="宋体" w:cs="宋体"/>
          <w:color w:val="auto"/>
          <w:sz w:val="21"/>
          <w:szCs w:val="21"/>
          <w:highlight w:val="none"/>
        </w:rPr>
        <w:t>供应商提出质疑应当提交质疑函和必要的证明材料。质疑函应当包括下列内容：</w:t>
      </w:r>
    </w:p>
    <w:p w14:paraId="3969B21C">
      <w:pPr>
        <w:pStyle w:val="5"/>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4.3.3.1供应商的姓名或者名称、地址、邮编、联系人及联系电话；</w:t>
      </w:r>
    </w:p>
    <w:p w14:paraId="2E2C28BA">
      <w:pPr>
        <w:pStyle w:val="5"/>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4.3.3.2质疑项目的名称、编号；</w:t>
      </w:r>
    </w:p>
    <w:p w14:paraId="3C33F218">
      <w:pPr>
        <w:pStyle w:val="5"/>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4.3.3.3具体、明确的质疑事项和与质疑事项相关的请求；</w:t>
      </w:r>
    </w:p>
    <w:p w14:paraId="55EFC912">
      <w:pPr>
        <w:pStyle w:val="5"/>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4.3.3.4事实依据；</w:t>
      </w:r>
    </w:p>
    <w:p w14:paraId="3E865144">
      <w:pPr>
        <w:pStyle w:val="5"/>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4.3.3.5必要的法律依据；</w:t>
      </w:r>
    </w:p>
    <w:p w14:paraId="1585C904">
      <w:pPr>
        <w:pStyle w:val="5"/>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4.3.3.6提出质疑的日期。</w:t>
      </w:r>
    </w:p>
    <w:p w14:paraId="0E342FEE">
      <w:pPr>
        <w:pStyle w:val="889"/>
        <w:shd w:val="clear" w:color="auto"/>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1145DFFE">
      <w:pPr>
        <w:pStyle w:val="889"/>
        <w:shd w:val="clear" w:color="auto"/>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质疑函范本及制作说明详见附件2。</w:t>
      </w:r>
    </w:p>
    <w:p w14:paraId="0446F0CD">
      <w:pPr>
        <w:pStyle w:val="889"/>
        <w:shd w:val="clear" w:color="auto"/>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4.3.4对同一采购程序环节的质疑，供应商须在法定质疑期内一次性提出。</w:t>
      </w:r>
    </w:p>
    <w:p w14:paraId="2858074F">
      <w:pPr>
        <w:pStyle w:val="889"/>
        <w:shd w:val="clear" w:color="auto"/>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FF65AC2">
      <w:pPr>
        <w:pStyle w:val="889"/>
        <w:shd w:val="clear" w:color="auto"/>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.6询问或者质疑事项可能影响采购结果的，采购人应当暂停签订合同，已经签订合同的，应当中止履行合同。</w:t>
      </w:r>
    </w:p>
    <w:p w14:paraId="1ACD2B8F">
      <w:pPr>
        <w:pStyle w:val="889"/>
        <w:shd w:val="clear" w:color="auto"/>
        <w:adjustRightInd w:val="0"/>
        <w:snapToGrid w:val="0"/>
        <w:spacing w:before="0" w:beforeAutospacing="0" w:after="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4.4供应商投诉</w:t>
      </w:r>
    </w:p>
    <w:p w14:paraId="67E27ACC">
      <w:pPr>
        <w:pStyle w:val="889"/>
        <w:shd w:val="clear" w:color="auto"/>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55FF780">
      <w:pPr>
        <w:pStyle w:val="889"/>
        <w:shd w:val="clear" w:color="auto"/>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w:t>
      </w:r>
      <w:r>
        <w:rPr>
          <w:rFonts w:hint="eastAsia"/>
          <w:color w:val="auto"/>
          <w:sz w:val="21"/>
          <w:szCs w:val="21"/>
          <w:highlight w:val="none"/>
          <w:lang w:val="zh-CN"/>
        </w:rPr>
        <w:t>2</w:t>
      </w:r>
      <w:r>
        <w:rPr>
          <w:rFonts w:hint="eastAsia"/>
          <w:color w:val="auto"/>
          <w:sz w:val="21"/>
          <w:szCs w:val="21"/>
          <w:highlight w:val="none"/>
        </w:rPr>
        <w:t>供应商投诉的事项不得超出已质疑事项的范围，基于质疑答复内容提出的投诉事项除外。</w:t>
      </w:r>
    </w:p>
    <w:p w14:paraId="5E6A6A68">
      <w:pPr>
        <w:pStyle w:val="889"/>
        <w:shd w:val="clear" w:color="auto"/>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4.4.3供应商投诉应当有明确的请求和必要的证明材料。</w:t>
      </w:r>
    </w:p>
    <w:p w14:paraId="6BD19CD9">
      <w:pPr>
        <w:pStyle w:val="889"/>
        <w:shd w:val="clear" w:color="auto"/>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4.4.4以联合体形式参加政府采购活动的，其投诉应当由组成联合体的所有供应商共同提出。</w:t>
      </w:r>
    </w:p>
    <w:p w14:paraId="27B2BB4E">
      <w:pPr>
        <w:pStyle w:val="889"/>
        <w:shd w:val="clear" w:color="auto"/>
        <w:snapToGrid w:val="0"/>
        <w:spacing w:after="240" w:afterAutospacing="0" w:line="360" w:lineRule="auto"/>
        <w:ind w:firstLine="420" w:firstLineChars="200"/>
        <w:contextualSpacing/>
        <w:rPr>
          <w:color w:val="auto"/>
          <w:sz w:val="21"/>
          <w:szCs w:val="21"/>
          <w:highlight w:val="none"/>
        </w:rPr>
      </w:pPr>
      <w:r>
        <w:rPr>
          <w:rFonts w:hint="eastAsia" w:asciiTheme="minorEastAsia" w:hAnsiTheme="minorEastAsia" w:eastAsiaTheme="minorEastAsia"/>
          <w:color w:val="auto"/>
          <w:sz w:val="21"/>
          <w:szCs w:val="21"/>
          <w:highlight w:val="none"/>
        </w:rPr>
        <w:t>4.4.5本项目投诉材料可寄送浙江省杭州第二中学，地址：浙江省杭州市拱墅区长德弄212号。联系人 ：何老师，电话：13857191187。</w:t>
      </w:r>
    </w:p>
    <w:p w14:paraId="22404BEC">
      <w:pPr>
        <w:snapToGrid w:val="0"/>
        <w:spacing w:line="360" w:lineRule="auto"/>
        <w:ind w:firstLine="420" w:firstLineChars="200"/>
        <w:rPr>
          <w:rFonts w:ascii="宋体" w:hAnsi="宋体" w:cs="仿宋"/>
          <w:color w:val="auto"/>
          <w:sz w:val="21"/>
          <w:szCs w:val="21"/>
          <w:highlight w:val="none"/>
        </w:rPr>
      </w:pPr>
      <w:r>
        <w:rPr>
          <w:rFonts w:hint="eastAsia" w:ascii="宋体" w:hAnsi="宋体" w:cs="仿宋"/>
          <w:color w:val="auto"/>
          <w:sz w:val="21"/>
          <w:szCs w:val="21"/>
          <w:highlight w:val="none"/>
        </w:rPr>
        <w:t>4.5 补偿救济</w:t>
      </w:r>
    </w:p>
    <w:p w14:paraId="6B798BB4">
      <w:pPr>
        <w:snapToGrid w:val="0"/>
        <w:spacing w:line="360" w:lineRule="auto"/>
        <w:ind w:firstLine="420" w:firstLineChars="200"/>
        <w:rPr>
          <w:rFonts w:ascii="宋体" w:hAnsi="宋体" w:cs="仿宋"/>
          <w:color w:val="auto"/>
          <w:sz w:val="21"/>
          <w:szCs w:val="21"/>
          <w:highlight w:val="none"/>
        </w:rPr>
      </w:pPr>
      <w:r>
        <w:rPr>
          <w:rFonts w:hint="eastAsia" w:ascii="宋体" w:hAnsi="宋体" w:cs="仿宋"/>
          <w:color w:val="auto"/>
          <w:sz w:val="21"/>
          <w:szCs w:val="21"/>
          <w:highlight w:val="none"/>
        </w:rPr>
        <w:t>采购人因政策变化、规划调整而不履行政府采购合同的，供应商可依据《杭州市涉企补偿救济实施办法（试行）》向采购人提起补偿申请。</w:t>
      </w:r>
    </w:p>
    <w:p w14:paraId="119244F2">
      <w:pPr>
        <w:pStyle w:val="889"/>
        <w:shd w:val="clear" w:color="auto"/>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投诉书范本及制作说明详见附件3。</w:t>
      </w:r>
    </w:p>
    <w:p w14:paraId="14DB0672">
      <w:pPr>
        <w:pStyle w:val="131"/>
        <w:snapToGrid w:val="0"/>
        <w:spacing w:before="0"/>
        <w:ind w:firstLine="360"/>
        <w:rPr>
          <w:rFonts w:ascii="宋体" w:hAnsi="宋体" w:cs="宋体"/>
          <w:color w:val="auto"/>
          <w:sz w:val="18"/>
          <w:szCs w:val="18"/>
          <w:highlight w:val="none"/>
        </w:rPr>
      </w:pPr>
    </w:p>
    <w:p w14:paraId="1CCF9DC5">
      <w:pPr>
        <w:snapToGrid w:val="0"/>
        <w:spacing w:line="360" w:lineRule="auto"/>
        <w:jc w:val="center"/>
        <w:outlineLvl w:val="1"/>
        <w:rPr>
          <w:rFonts w:ascii="宋体" w:hAnsi="宋体" w:cs="宋体"/>
          <w:b/>
          <w:color w:val="auto"/>
          <w:sz w:val="24"/>
          <w:szCs w:val="24"/>
          <w:highlight w:val="none"/>
        </w:rPr>
      </w:pPr>
      <w:r>
        <w:rPr>
          <w:rFonts w:hint="eastAsia" w:ascii="宋体" w:hAnsi="宋体" w:cs="宋体"/>
          <w:b/>
          <w:color w:val="auto"/>
          <w:sz w:val="24"/>
          <w:szCs w:val="24"/>
          <w:highlight w:val="none"/>
        </w:rPr>
        <w:t>二、采购文件的构成、澄清、修改</w:t>
      </w:r>
    </w:p>
    <w:p w14:paraId="356E2B26">
      <w:pPr>
        <w:pStyle w:val="5"/>
        <w:spacing w:line="360" w:lineRule="auto"/>
        <w:rPr>
          <w:rFonts w:hAnsi="宋体" w:cs="宋体"/>
          <w:b/>
          <w:color w:val="auto"/>
          <w:sz w:val="21"/>
          <w:szCs w:val="21"/>
          <w:highlight w:val="none"/>
        </w:rPr>
      </w:pPr>
      <w:r>
        <w:rPr>
          <w:rFonts w:hint="eastAsia" w:hAnsi="宋体" w:cs="宋体"/>
          <w:b/>
          <w:color w:val="auto"/>
          <w:sz w:val="21"/>
          <w:szCs w:val="21"/>
          <w:highlight w:val="none"/>
        </w:rPr>
        <w:t>5．采购文件的构成</w:t>
      </w:r>
    </w:p>
    <w:p w14:paraId="60A10758">
      <w:pPr>
        <w:pStyle w:val="5"/>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5.1 采购文件包括下列文件及附件：</w:t>
      </w:r>
    </w:p>
    <w:p w14:paraId="2F9C2422">
      <w:pPr>
        <w:pStyle w:val="5"/>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5.1.1竞争性磋商公告；</w:t>
      </w:r>
    </w:p>
    <w:p w14:paraId="4FB04941">
      <w:pPr>
        <w:pStyle w:val="5"/>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5.1.2供应商须知；</w:t>
      </w:r>
    </w:p>
    <w:p w14:paraId="7009EA04">
      <w:pPr>
        <w:pStyle w:val="5"/>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5.1.3采购需求；</w:t>
      </w:r>
    </w:p>
    <w:p w14:paraId="0F6D259C">
      <w:pPr>
        <w:pStyle w:val="5"/>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5.1.4评审办法；</w:t>
      </w:r>
    </w:p>
    <w:p w14:paraId="2D6F4720">
      <w:pPr>
        <w:pStyle w:val="5"/>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5.1.5拟签订的合同文本；</w:t>
      </w:r>
    </w:p>
    <w:p w14:paraId="3E4384EC">
      <w:pPr>
        <w:pStyle w:val="5"/>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5.1.6应提交的有关格式范例。</w:t>
      </w:r>
    </w:p>
    <w:p w14:paraId="121895A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5.2与本项目有关的</w:t>
      </w:r>
      <w:r>
        <w:rPr>
          <w:rFonts w:hint="eastAsia" w:ascii="宋体" w:hAnsi="宋体" w:cs="宋体"/>
          <w:bCs/>
          <w:color w:val="auto"/>
          <w:sz w:val="21"/>
          <w:szCs w:val="21"/>
          <w:highlight w:val="none"/>
        </w:rPr>
        <w:t>澄清或者修改的内容为采购文件的组成部分</w:t>
      </w:r>
      <w:r>
        <w:rPr>
          <w:rFonts w:hint="eastAsia" w:ascii="宋体" w:hAnsi="宋体" w:cs="宋体"/>
          <w:color w:val="auto"/>
          <w:sz w:val="21"/>
          <w:szCs w:val="21"/>
          <w:highlight w:val="none"/>
        </w:rPr>
        <w:t>。</w:t>
      </w:r>
    </w:p>
    <w:p w14:paraId="249E037A">
      <w:pPr>
        <w:pStyle w:val="5"/>
        <w:spacing w:line="360" w:lineRule="auto"/>
        <w:rPr>
          <w:rFonts w:hAnsi="宋体" w:cs="宋体"/>
          <w:b/>
          <w:color w:val="auto"/>
          <w:sz w:val="21"/>
          <w:szCs w:val="21"/>
          <w:highlight w:val="none"/>
        </w:rPr>
      </w:pPr>
      <w:r>
        <w:rPr>
          <w:rFonts w:hint="eastAsia" w:hAnsi="宋体" w:cs="宋体"/>
          <w:b/>
          <w:color w:val="auto"/>
          <w:sz w:val="21"/>
          <w:szCs w:val="21"/>
          <w:highlight w:val="none"/>
        </w:rPr>
        <w:t>6. 采购文件的澄清、修改</w:t>
      </w:r>
    </w:p>
    <w:p w14:paraId="5C3FB256">
      <w:pPr>
        <w:pStyle w:val="131"/>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6.1已获取采购文件的潜在供应商，若有问题需要澄清，应于响应文件提交（上传）截止时间前，以书面形式向采购代理机构提出。</w:t>
      </w:r>
    </w:p>
    <w:p w14:paraId="797E7732">
      <w:pPr>
        <w:pStyle w:val="131"/>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613D3298">
      <w:pPr>
        <w:pStyle w:val="24"/>
        <w:rPr>
          <w:rFonts w:hAnsi="宋体" w:cs="宋体"/>
          <w:color w:val="auto"/>
          <w:sz w:val="18"/>
          <w:szCs w:val="18"/>
          <w:highlight w:val="none"/>
          <w:lang w:val="en-US"/>
        </w:rPr>
      </w:pPr>
    </w:p>
    <w:p w14:paraId="01DE6EE7">
      <w:pPr>
        <w:snapToGrid w:val="0"/>
        <w:spacing w:line="360" w:lineRule="auto"/>
        <w:jc w:val="center"/>
        <w:outlineLvl w:val="1"/>
        <w:rPr>
          <w:rFonts w:ascii="宋体" w:hAnsi="宋体" w:cs="宋体"/>
          <w:b/>
          <w:color w:val="auto"/>
          <w:sz w:val="24"/>
          <w:szCs w:val="24"/>
          <w:highlight w:val="none"/>
        </w:rPr>
      </w:pPr>
      <w:r>
        <w:rPr>
          <w:rFonts w:hint="eastAsia" w:ascii="宋体" w:hAnsi="宋体" w:cs="宋体"/>
          <w:b/>
          <w:color w:val="auto"/>
          <w:sz w:val="24"/>
          <w:szCs w:val="24"/>
          <w:highlight w:val="none"/>
        </w:rPr>
        <w:t>三、提交响应文件</w:t>
      </w:r>
    </w:p>
    <w:p w14:paraId="01909998">
      <w:pPr>
        <w:pStyle w:val="5"/>
        <w:spacing w:line="360" w:lineRule="auto"/>
        <w:rPr>
          <w:rFonts w:hAnsi="宋体" w:cs="宋体"/>
          <w:b/>
          <w:color w:val="auto"/>
          <w:sz w:val="21"/>
          <w:szCs w:val="21"/>
          <w:highlight w:val="none"/>
        </w:rPr>
      </w:pPr>
      <w:r>
        <w:rPr>
          <w:rFonts w:hint="eastAsia" w:hAnsi="宋体" w:cs="宋体"/>
          <w:b/>
          <w:color w:val="auto"/>
          <w:sz w:val="21"/>
          <w:szCs w:val="21"/>
          <w:highlight w:val="none"/>
        </w:rPr>
        <w:t>7. 采购文件的获取</w:t>
      </w:r>
    </w:p>
    <w:p w14:paraId="4081A27D">
      <w:pPr>
        <w:spacing w:line="360" w:lineRule="auto"/>
        <w:ind w:firstLine="420" w:firstLineChars="20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详见竞争性磋商公告中获取采购文件的时间期限、地点、方式及采购文件售价。</w:t>
      </w:r>
    </w:p>
    <w:p w14:paraId="50962D24">
      <w:pPr>
        <w:pStyle w:val="5"/>
        <w:spacing w:line="360" w:lineRule="auto"/>
        <w:rPr>
          <w:rFonts w:hAnsi="宋体" w:cs="宋体"/>
          <w:b/>
          <w:color w:val="auto"/>
          <w:sz w:val="21"/>
          <w:szCs w:val="21"/>
          <w:highlight w:val="none"/>
        </w:rPr>
      </w:pPr>
      <w:r>
        <w:rPr>
          <w:rFonts w:hint="eastAsia" w:hAnsi="宋体" w:cs="宋体"/>
          <w:b/>
          <w:color w:val="auto"/>
          <w:sz w:val="21"/>
          <w:szCs w:val="21"/>
          <w:highlight w:val="none"/>
        </w:rPr>
        <w:t>8.磋商前答疑会或现场考察</w:t>
      </w:r>
    </w:p>
    <w:p w14:paraId="475A7238">
      <w:pPr>
        <w:pStyle w:val="5"/>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采购人组织潜在供应商现场考察或者召开磋商前答疑会的，潜在供应商按第二部分供应商须知前附表的规定参加现场考察或者磋商前答疑会。</w:t>
      </w:r>
    </w:p>
    <w:p w14:paraId="2066EA57">
      <w:pPr>
        <w:pStyle w:val="5"/>
        <w:spacing w:line="360" w:lineRule="auto"/>
        <w:rPr>
          <w:rFonts w:hAnsi="宋体" w:cs="宋体"/>
          <w:b/>
          <w:color w:val="auto"/>
          <w:sz w:val="21"/>
          <w:szCs w:val="21"/>
          <w:highlight w:val="none"/>
        </w:rPr>
      </w:pPr>
      <w:r>
        <w:rPr>
          <w:rFonts w:hint="eastAsia" w:hAnsi="宋体" w:cs="宋体"/>
          <w:b/>
          <w:color w:val="auto"/>
          <w:kern w:val="28"/>
          <w:sz w:val="21"/>
          <w:szCs w:val="21"/>
          <w:highlight w:val="none"/>
        </w:rPr>
        <w:t>9.磋商保证金</w:t>
      </w:r>
    </w:p>
    <w:p w14:paraId="601E4F85">
      <w:pPr>
        <w:pStyle w:val="16"/>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本项目不需缴纳磋商保证金。</w:t>
      </w:r>
    </w:p>
    <w:p w14:paraId="5B18B24C">
      <w:pPr>
        <w:pStyle w:val="5"/>
        <w:spacing w:line="360" w:lineRule="auto"/>
        <w:rPr>
          <w:rFonts w:hAnsi="宋体" w:cs="宋体"/>
          <w:b/>
          <w:color w:val="auto"/>
          <w:sz w:val="21"/>
          <w:szCs w:val="21"/>
          <w:highlight w:val="none"/>
        </w:rPr>
      </w:pPr>
      <w:r>
        <w:rPr>
          <w:rFonts w:hint="eastAsia" w:hAnsi="宋体" w:cs="宋体"/>
          <w:b/>
          <w:color w:val="auto"/>
          <w:sz w:val="21"/>
          <w:szCs w:val="21"/>
          <w:highlight w:val="none"/>
        </w:rPr>
        <w:t>10. 响应文件的语言</w:t>
      </w:r>
    </w:p>
    <w:p w14:paraId="0EA39432">
      <w:pPr>
        <w:autoSpaceDE w:val="0"/>
        <w:autoSpaceDN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rPr>
        <w:t>响应文件及供应商与采购有关的来往通知、函件和文件均应使用中文。</w:t>
      </w:r>
    </w:p>
    <w:p w14:paraId="5CA02D6D">
      <w:pPr>
        <w:pStyle w:val="5"/>
        <w:spacing w:line="360" w:lineRule="auto"/>
        <w:rPr>
          <w:rFonts w:hAnsi="宋体" w:cs="宋体"/>
          <w:b/>
          <w:color w:val="auto"/>
          <w:sz w:val="21"/>
          <w:szCs w:val="21"/>
          <w:highlight w:val="none"/>
        </w:rPr>
      </w:pPr>
      <w:r>
        <w:rPr>
          <w:rFonts w:hint="eastAsia" w:hAnsi="宋体" w:cs="宋体"/>
          <w:b/>
          <w:color w:val="auto"/>
          <w:sz w:val="21"/>
          <w:szCs w:val="21"/>
          <w:highlight w:val="none"/>
        </w:rPr>
        <w:t>11. 响应文件的组成</w:t>
      </w:r>
    </w:p>
    <w:p w14:paraId="02CE777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hint="eastAsia" w:ascii="宋体" w:hAnsi="宋体" w:cs="宋体"/>
          <w:b/>
          <w:color w:val="auto"/>
          <w:sz w:val="21"/>
          <w:szCs w:val="21"/>
          <w:highlight w:val="none"/>
        </w:rPr>
        <w:t>资格文件</w:t>
      </w:r>
      <w:r>
        <w:rPr>
          <w:rFonts w:hint="eastAsia" w:ascii="宋体" w:hAnsi="宋体" w:cs="宋体"/>
          <w:color w:val="auto"/>
          <w:sz w:val="21"/>
          <w:szCs w:val="21"/>
          <w:highlight w:val="none"/>
        </w:rPr>
        <w:t>：</w:t>
      </w:r>
    </w:p>
    <w:p w14:paraId="6FDD426A">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11.1.1符合参加政府采购活动应当具备的一般条件的承诺函；</w:t>
      </w:r>
    </w:p>
    <w:p w14:paraId="4CFA1CB3">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1.1.2</w:t>
      </w:r>
      <w:bookmarkStart w:id="16" w:name="_Hlk101259339"/>
      <w:r>
        <w:rPr>
          <w:rFonts w:hint="eastAsia" w:ascii="宋体" w:hAnsi="宋体" w:cs="宋体"/>
          <w:snapToGrid w:val="0"/>
          <w:color w:val="auto"/>
          <w:kern w:val="28"/>
          <w:sz w:val="21"/>
          <w:szCs w:val="21"/>
          <w:highlight w:val="none"/>
        </w:rPr>
        <w:t>联合协议</w:t>
      </w:r>
      <w:bookmarkStart w:id="17" w:name="_Hlk101257010"/>
      <w:r>
        <w:rPr>
          <w:rFonts w:hint="eastAsia" w:ascii="宋体" w:hAnsi="宋体" w:cs="宋体"/>
          <w:snapToGrid w:val="0"/>
          <w:color w:val="auto"/>
          <w:kern w:val="28"/>
          <w:sz w:val="21"/>
          <w:szCs w:val="21"/>
          <w:highlight w:val="none"/>
        </w:rPr>
        <w:t>（如果有)</w:t>
      </w:r>
      <w:bookmarkEnd w:id="16"/>
      <w:bookmarkEnd w:id="17"/>
      <w:r>
        <w:rPr>
          <w:rFonts w:hint="eastAsia" w:ascii="宋体" w:hAnsi="宋体" w:cs="宋体"/>
          <w:snapToGrid w:val="0"/>
          <w:color w:val="auto"/>
          <w:kern w:val="28"/>
          <w:sz w:val="21"/>
          <w:szCs w:val="21"/>
          <w:highlight w:val="none"/>
        </w:rPr>
        <w:t>；</w:t>
      </w:r>
    </w:p>
    <w:p w14:paraId="7A24665E">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ascii="宋体" w:hAnsi="宋体" w:cs="宋体"/>
          <w:color w:val="auto"/>
          <w:sz w:val="21"/>
          <w:szCs w:val="21"/>
          <w:highlight w:val="none"/>
        </w:rPr>
        <w:t>3</w:t>
      </w:r>
      <w:r>
        <w:rPr>
          <w:rFonts w:hint="eastAsia" w:ascii="宋体" w:hAnsi="宋体" w:cs="宋体"/>
          <w:color w:val="auto"/>
          <w:sz w:val="21"/>
          <w:szCs w:val="21"/>
          <w:highlight w:val="none"/>
        </w:rPr>
        <w:t>落实政府采购政策需满足的资格要求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69767137">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64A69EDB">
      <w:pPr>
        <w:snapToGrid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71863881">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11.2.1响应函；</w:t>
      </w:r>
      <w:r>
        <w:rPr>
          <w:rFonts w:hint="eastAsia" w:ascii="宋体" w:hAnsi="宋体" w:cs="宋体"/>
          <w:color w:val="auto"/>
          <w:sz w:val="21"/>
          <w:szCs w:val="21"/>
          <w:highlight w:val="none"/>
          <w:lang w:val="zh-CN"/>
        </w:rPr>
        <w:t xml:space="preserve"> </w:t>
      </w:r>
    </w:p>
    <w:p w14:paraId="43C99EA1">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11.2.2授权委托书或法定代表人（单位负责人、自然人本人）身份证明；</w:t>
      </w:r>
    </w:p>
    <w:p w14:paraId="7C039A37">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11.2.3分包意向协议（如果有)；</w:t>
      </w:r>
    </w:p>
    <w:p w14:paraId="675DA3A8">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11.2.4符合性审查资料；</w:t>
      </w:r>
    </w:p>
    <w:p w14:paraId="69ED622F">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11.2.5评审标准相应的商务技术资料；</w:t>
      </w:r>
    </w:p>
    <w:p w14:paraId="00FFA5BA">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11.2.6商务技术偏离表；</w:t>
      </w:r>
    </w:p>
    <w:p w14:paraId="61523CC7">
      <w:pPr>
        <w:snapToGrid w:val="0"/>
        <w:spacing w:line="360" w:lineRule="auto"/>
        <w:ind w:firstLine="840" w:firstLineChars="4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p>
    <w:p w14:paraId="68A9EABC">
      <w:pPr>
        <w:snapToGrid w:val="0"/>
        <w:spacing w:line="360" w:lineRule="auto"/>
        <w:ind w:firstLine="420" w:firstLineChars="200"/>
        <w:rPr>
          <w:rFonts w:ascii="宋体" w:hAnsi="宋体" w:cs="宋体"/>
          <w:color w:val="auto"/>
          <w:sz w:val="21"/>
          <w:szCs w:val="21"/>
          <w:highlight w:val="none"/>
          <w:u w:val="single"/>
          <w:lang w:val="zh-CN"/>
        </w:rPr>
      </w:pPr>
      <w:r>
        <w:rPr>
          <w:rFonts w:hint="eastAsia" w:ascii="宋体" w:hAnsi="宋体" w:cs="宋体"/>
          <w:color w:val="auto"/>
          <w:kern w:val="0"/>
          <w:sz w:val="21"/>
          <w:szCs w:val="21"/>
          <w:highlight w:val="none"/>
          <w:lang w:val="zh-CN"/>
        </w:rPr>
        <w:t>11.</w:t>
      </w:r>
      <w:r>
        <w:rPr>
          <w:rFonts w:hint="eastAsia" w:ascii="宋体" w:hAnsi="宋体" w:cs="宋体"/>
          <w:color w:val="auto"/>
          <w:kern w:val="0"/>
          <w:sz w:val="21"/>
          <w:szCs w:val="21"/>
          <w:highlight w:val="none"/>
        </w:rPr>
        <w:t>3</w:t>
      </w:r>
      <w:r>
        <w:rPr>
          <w:rFonts w:hint="eastAsia" w:ascii="宋体" w:hAnsi="宋体" w:cs="宋体"/>
          <w:b/>
          <w:color w:val="auto"/>
          <w:sz w:val="21"/>
          <w:szCs w:val="21"/>
          <w:highlight w:val="none"/>
        </w:rPr>
        <w:t>报价文件：</w:t>
      </w:r>
      <w:r>
        <w:rPr>
          <w:rFonts w:hint="eastAsia" w:ascii="宋体" w:hAnsi="宋体" w:cs="宋体"/>
          <w:color w:val="auto"/>
          <w:sz w:val="21"/>
          <w:szCs w:val="21"/>
          <w:highlight w:val="none"/>
        </w:rPr>
        <w:t xml:space="preserve"> </w:t>
      </w:r>
    </w:p>
    <w:p w14:paraId="3A7A7AC7">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11.3.1报价单；</w:t>
      </w:r>
    </w:p>
    <w:p w14:paraId="5B0E2407">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11.3.2已标价工程量清单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格式以计价软件导出的格式为准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w:t>
      </w:r>
    </w:p>
    <w:p w14:paraId="39781783">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11.3.3中小企业声明函。</w:t>
      </w:r>
    </w:p>
    <w:p w14:paraId="7D60B5A5">
      <w:pPr>
        <w:spacing w:line="360" w:lineRule="auto"/>
        <w:ind w:firstLine="632" w:firstLineChars="300"/>
        <w:rPr>
          <w:rFonts w:ascii="宋体" w:hAnsi="宋体" w:cs="宋体"/>
          <w:b/>
          <w:color w:val="auto"/>
          <w:sz w:val="21"/>
          <w:szCs w:val="21"/>
          <w:highlight w:val="none"/>
        </w:rPr>
      </w:pPr>
      <w:r>
        <w:rPr>
          <w:rFonts w:hint="eastAsia" w:ascii="宋体" w:hAnsi="宋体" w:cs="宋体"/>
          <w:b/>
          <w:color w:val="auto"/>
          <w:sz w:val="21"/>
          <w:szCs w:val="21"/>
          <w:highlight w:val="none"/>
        </w:rPr>
        <w:t>响应文件含有采购人不能接受的附加条件的，响应文件无效；</w:t>
      </w:r>
    </w:p>
    <w:p w14:paraId="779A280E">
      <w:pPr>
        <w:spacing w:line="360" w:lineRule="auto"/>
        <w:ind w:firstLine="632" w:firstLineChars="300"/>
        <w:rPr>
          <w:rFonts w:ascii="宋体" w:hAnsi="宋体" w:cs="宋体"/>
          <w:b/>
          <w:color w:val="auto"/>
          <w:sz w:val="21"/>
          <w:szCs w:val="21"/>
          <w:highlight w:val="none"/>
        </w:rPr>
      </w:pPr>
      <w:r>
        <w:rPr>
          <w:rFonts w:hint="eastAsia" w:ascii="宋体" w:hAnsi="宋体" w:cs="宋体"/>
          <w:b/>
          <w:color w:val="auto"/>
          <w:sz w:val="21"/>
          <w:szCs w:val="21"/>
          <w:highlight w:val="none"/>
        </w:rPr>
        <w:t>供应商提供虚假材料的，响应文件无效。</w:t>
      </w:r>
    </w:p>
    <w:p w14:paraId="20958639">
      <w:pPr>
        <w:spacing w:line="360" w:lineRule="auto"/>
        <w:ind w:firstLine="630" w:firstLineChars="300"/>
        <w:rPr>
          <w:color w:val="auto"/>
          <w:sz w:val="21"/>
          <w:szCs w:val="21"/>
          <w:highlight w:val="none"/>
        </w:rPr>
      </w:pPr>
      <w:r>
        <w:rPr>
          <w:rFonts w:hint="eastAsia"/>
          <w:color w:val="auto"/>
          <w:sz w:val="21"/>
          <w:szCs w:val="21"/>
          <w:highlight w:val="none"/>
          <w:shd w:val="clear" w:color="auto" w:fill="FFFFFF"/>
        </w:rPr>
        <w:t>供应商可事先在公开官网查询、核对相关证书和报告内容，确保投标（响应）文件资料准确无误。供应商应对响应文件中材料的真实性、合法性负责。</w:t>
      </w:r>
    </w:p>
    <w:p w14:paraId="2CB690F9">
      <w:pPr>
        <w:pStyle w:val="131"/>
        <w:snapToGrid w:val="0"/>
        <w:spacing w:before="0"/>
        <w:ind w:firstLine="0" w:firstLineChars="0"/>
        <w:outlineLvl w:val="9"/>
        <w:rPr>
          <w:rFonts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 xml:space="preserve">. </w:t>
      </w:r>
      <w:r>
        <w:rPr>
          <w:rFonts w:hint="eastAsia" w:ascii="宋体" w:hAnsi="宋体" w:cs="宋体"/>
          <w:b/>
          <w:color w:val="auto"/>
          <w:sz w:val="21"/>
          <w:szCs w:val="21"/>
          <w:highlight w:val="none"/>
        </w:rPr>
        <w:t>响应文件的编制</w:t>
      </w:r>
    </w:p>
    <w:p w14:paraId="68A9751E">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kern w:val="0"/>
          <w:sz w:val="21"/>
          <w:szCs w:val="21"/>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CCDDE36">
      <w:pPr>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12.2供应商进行电子投标应安装客户端软件—“乐采云电子交易客户端”，并按照采购文件和电子交易平台的要求编制并加密响应文件。供应商未按规定加密的响应文件，电子交易平台将拒收并提示。</w:t>
      </w:r>
    </w:p>
    <w:p w14:paraId="593FCCEC">
      <w:pPr>
        <w:snapToGrid w:val="0"/>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12.3使用“</w:t>
      </w:r>
      <w:r>
        <w:rPr>
          <w:rFonts w:hint="eastAsia" w:ascii="宋体" w:hAnsi="宋体" w:cs="宋体"/>
          <w:color w:val="auto"/>
          <w:kern w:val="0"/>
          <w:sz w:val="21"/>
          <w:szCs w:val="21"/>
          <w:highlight w:val="none"/>
          <w:lang w:val="en-US" w:eastAsia="zh-CN"/>
        </w:rPr>
        <w:t>乐</w:t>
      </w:r>
      <w:r>
        <w:rPr>
          <w:rFonts w:hint="eastAsia" w:ascii="宋体" w:hAnsi="宋体" w:cs="宋体"/>
          <w:color w:val="auto"/>
          <w:kern w:val="0"/>
          <w:sz w:val="21"/>
          <w:szCs w:val="21"/>
          <w:highlight w:val="none"/>
          <w:lang w:val="zh-CN"/>
        </w:rPr>
        <w:t>采云电子交易客户端”需要提前申领CA数字证书，申领流程请自行前往“浙江政府采购网-下载专区-电子交易客户端-CA驱动和申领流程”进行查阅。</w:t>
      </w:r>
    </w:p>
    <w:p w14:paraId="20CC021F">
      <w:p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13.响应文件的签署、盖章</w:t>
      </w:r>
    </w:p>
    <w:p w14:paraId="72AD6CC7">
      <w:pPr>
        <w:pStyle w:val="131"/>
        <w:snapToGrid w:val="0"/>
        <w:spacing w:before="0"/>
        <w:ind w:firstLine="480"/>
        <w:rPr>
          <w:rFonts w:ascii="宋体" w:hAnsi="宋体" w:cs="宋体"/>
          <w:b/>
          <w:color w:val="auto"/>
          <w:sz w:val="21"/>
          <w:szCs w:val="21"/>
          <w:highlight w:val="none"/>
        </w:rPr>
      </w:pPr>
      <w:r>
        <w:rPr>
          <w:rFonts w:hint="eastAsia" w:ascii="宋体" w:hAnsi="宋体" w:cs="宋体"/>
          <w:color w:val="auto"/>
          <w:sz w:val="21"/>
          <w:szCs w:val="21"/>
          <w:highlight w:val="none"/>
        </w:rPr>
        <w:t>13.1响应文件按照采购文件第六部分格式要求进行签署、盖章。</w:t>
      </w:r>
      <w:r>
        <w:rPr>
          <w:rFonts w:hint="eastAsia" w:ascii="宋体" w:hAnsi="宋体" w:cs="宋体"/>
          <w:b/>
          <w:color w:val="auto"/>
          <w:sz w:val="21"/>
          <w:szCs w:val="21"/>
          <w:highlight w:val="none"/>
        </w:rPr>
        <w:t>▲供应商的响应文件未按照采购文件要求签署、盖章的，其响应文件无效</w:t>
      </w:r>
      <w:r>
        <w:rPr>
          <w:rFonts w:hint="eastAsia" w:ascii="宋体" w:hAnsi="宋体" w:cs="宋体"/>
          <w:color w:val="auto"/>
          <w:sz w:val="21"/>
          <w:szCs w:val="21"/>
          <w:highlight w:val="none"/>
        </w:rPr>
        <w:t>。</w:t>
      </w:r>
    </w:p>
    <w:p w14:paraId="0CC497B6">
      <w:pPr>
        <w:pStyle w:val="131"/>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1B26F8A5">
      <w:pPr>
        <w:pStyle w:val="131"/>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13.3采购文件对响应文件签署、盖章的要求适用于电子签名。</w:t>
      </w:r>
    </w:p>
    <w:p w14:paraId="1ED8BC80">
      <w:pPr>
        <w:pStyle w:val="131"/>
        <w:snapToGrid w:val="0"/>
        <w:spacing w:before="0"/>
        <w:ind w:firstLine="0" w:firstLineChars="0"/>
        <w:rPr>
          <w:rFonts w:ascii="宋体" w:hAnsi="宋体" w:cs="宋体"/>
          <w:b/>
          <w:color w:val="auto"/>
          <w:sz w:val="21"/>
          <w:szCs w:val="21"/>
          <w:highlight w:val="none"/>
        </w:rPr>
      </w:pPr>
    </w:p>
    <w:p w14:paraId="6D07AF46">
      <w:pPr>
        <w:pStyle w:val="131"/>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14. 响应文件的提交、补充、修改、撤回</w:t>
      </w:r>
    </w:p>
    <w:p w14:paraId="72747F5C">
      <w:pPr>
        <w:pStyle w:val="131"/>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FAACA99">
      <w:pPr>
        <w:pStyle w:val="131"/>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011436BF">
      <w:pPr>
        <w:pStyle w:val="131"/>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6B9707DF">
      <w:pPr>
        <w:pStyle w:val="5"/>
        <w:snapToGrid w:val="0"/>
        <w:spacing w:line="360" w:lineRule="auto"/>
        <w:rPr>
          <w:rFonts w:hAnsi="宋体" w:cs="宋体"/>
          <w:b/>
          <w:color w:val="auto"/>
          <w:sz w:val="21"/>
          <w:szCs w:val="21"/>
          <w:highlight w:val="none"/>
        </w:rPr>
      </w:pPr>
      <w:r>
        <w:rPr>
          <w:rFonts w:hint="eastAsia" w:hAnsi="宋体" w:cs="宋体"/>
          <w:b/>
          <w:color w:val="auto"/>
          <w:sz w:val="21"/>
          <w:szCs w:val="21"/>
          <w:highlight w:val="none"/>
        </w:rPr>
        <w:t>15.备份响应文件</w:t>
      </w:r>
    </w:p>
    <w:p w14:paraId="5CB56AAA">
      <w:pPr>
        <w:pStyle w:val="5"/>
        <w:snapToGrid w:val="0"/>
        <w:spacing w:line="360" w:lineRule="auto"/>
        <w:ind w:firstLine="315" w:firstLineChars="150"/>
        <w:rPr>
          <w:rFonts w:hAnsi="宋体" w:cs="宋体"/>
          <w:b/>
          <w:color w:val="auto"/>
          <w:sz w:val="21"/>
          <w:szCs w:val="21"/>
          <w:highlight w:val="none"/>
        </w:rPr>
      </w:pPr>
      <w:r>
        <w:rPr>
          <w:rFonts w:hint="eastAsia" w:hAnsi="宋体" w:cs="宋体"/>
          <w:color w:val="auto"/>
          <w:sz w:val="21"/>
          <w:szCs w:val="21"/>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1"/>
          <w:szCs w:val="21"/>
          <w:highlight w:val="none"/>
        </w:rPr>
        <w:t>但采购人、采购代理机构不强制或变相强制供应商提交备份响应文件。</w:t>
      </w:r>
    </w:p>
    <w:p w14:paraId="5D130966">
      <w:pPr>
        <w:pStyle w:val="5"/>
        <w:snapToGrid w:val="0"/>
        <w:spacing w:line="360" w:lineRule="auto"/>
        <w:ind w:firstLine="420" w:firstLineChars="200"/>
        <w:rPr>
          <w:rFonts w:hAnsi="宋体" w:cs="宋体"/>
          <w:b/>
          <w:color w:val="auto"/>
          <w:sz w:val="21"/>
          <w:szCs w:val="21"/>
          <w:highlight w:val="none"/>
        </w:rPr>
      </w:pPr>
      <w:r>
        <w:rPr>
          <w:rFonts w:hint="eastAsia" w:hAnsi="宋体" w:cs="宋体"/>
          <w:color w:val="auto"/>
          <w:sz w:val="21"/>
          <w:szCs w:val="21"/>
          <w:highlight w:val="none"/>
        </w:rPr>
        <w:t>15.2备份响应文件须在“</w:t>
      </w:r>
      <w:r>
        <w:rPr>
          <w:rFonts w:hint="eastAsia" w:hAnsi="宋体" w:cs="宋体"/>
          <w:color w:val="auto"/>
          <w:sz w:val="21"/>
          <w:szCs w:val="21"/>
          <w:highlight w:val="none"/>
          <w:lang w:val="en-US" w:eastAsia="zh-CN"/>
        </w:rPr>
        <w:t>乐</w:t>
      </w:r>
      <w:r>
        <w:rPr>
          <w:rFonts w:hint="eastAsia" w:hAnsi="宋体" w:cs="宋体"/>
          <w:color w:val="auto"/>
          <w:sz w:val="21"/>
          <w:szCs w:val="21"/>
          <w:highlight w:val="none"/>
        </w:rPr>
        <w:t>采云投标客户端”制作生成，并储存在DVD光盘等存储介质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1"/>
          <w:szCs w:val="21"/>
          <w:highlight w:val="none"/>
        </w:rPr>
        <w:t>不符合上述制作、存储、密封规定的备份响应文件将被视为无效或者被拒绝接收。</w:t>
      </w:r>
    </w:p>
    <w:p w14:paraId="5E35550D">
      <w:pPr>
        <w:pStyle w:val="5"/>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6ABF5CE3">
      <w:pPr>
        <w:pStyle w:val="5"/>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1"/>
          <w:szCs w:val="21"/>
          <w:highlight w:val="none"/>
        </w:rPr>
        <w:t>采购文件第二部分供应商须知前附表规定的备份响应文件送达地点；</w:t>
      </w:r>
      <w:r>
        <w:rPr>
          <w:rFonts w:hint="eastAsia" w:hAnsi="宋体" w:cs="宋体"/>
          <w:color w:val="auto"/>
          <w:sz w:val="21"/>
          <w:szCs w:val="21"/>
          <w:highlight w:val="none"/>
        </w:rPr>
        <w:t>送达时间以签收人签收时间为准。采购代理机构将拒绝接受逾期送达的备份响应文件。邮寄过程中，电子备份响应文件发生泄露、遗失、损坏或延期送达等情况的，由供应商自行负责。</w:t>
      </w:r>
    </w:p>
    <w:p w14:paraId="308AE30D">
      <w:pPr>
        <w:pStyle w:val="5"/>
        <w:snapToGrid w:val="0"/>
        <w:spacing w:line="360" w:lineRule="auto"/>
        <w:ind w:firstLine="420" w:firstLineChars="199"/>
        <w:rPr>
          <w:rFonts w:hAnsi="宋体" w:cs="宋体"/>
          <w:b/>
          <w:color w:val="auto"/>
          <w:sz w:val="21"/>
          <w:szCs w:val="21"/>
          <w:highlight w:val="none"/>
        </w:rPr>
      </w:pPr>
      <w:r>
        <w:rPr>
          <w:rFonts w:hint="eastAsia" w:hAnsi="宋体" w:cs="宋体"/>
          <w:b/>
          <w:color w:val="auto"/>
          <w:sz w:val="21"/>
          <w:szCs w:val="21"/>
          <w:highlight w:val="none"/>
        </w:rPr>
        <w:t>15.5供应商仅提交备份响应文件，未在电子交易平台传输递交响应文件的，响应文件无效。</w:t>
      </w:r>
    </w:p>
    <w:p w14:paraId="74CAD4F9">
      <w:pPr>
        <w:pStyle w:val="131"/>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16.响应文件的无效处理</w:t>
      </w:r>
    </w:p>
    <w:p w14:paraId="555D7724">
      <w:pPr>
        <w:pStyle w:val="27"/>
        <w:spacing w:line="360" w:lineRule="auto"/>
        <w:ind w:firstLine="315" w:firstLineChars="150"/>
        <w:rPr>
          <w:rFonts w:cs="宋体"/>
          <w:color w:val="auto"/>
          <w:sz w:val="21"/>
          <w:szCs w:val="21"/>
          <w:highlight w:val="none"/>
        </w:rPr>
      </w:pPr>
      <w:r>
        <w:rPr>
          <w:rFonts w:hint="eastAsia" w:cs="宋体"/>
          <w:color w:val="auto"/>
          <w:sz w:val="21"/>
          <w:szCs w:val="21"/>
          <w:highlight w:val="none"/>
        </w:rPr>
        <w:t>有采购文件第四部分4.2规定的情形之一的，响应文件无效：</w:t>
      </w:r>
    </w:p>
    <w:p w14:paraId="5C4A3C26">
      <w:pPr>
        <w:pStyle w:val="131"/>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17.响应文件有效期</w:t>
      </w:r>
    </w:p>
    <w:p w14:paraId="6FFAD979">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17.1响应文件有效期为从提交响应文件的截止之日起90天。▲</w:t>
      </w:r>
      <w:r>
        <w:rPr>
          <w:rFonts w:hint="eastAsia" w:ascii="宋体" w:hAnsi="宋体" w:cs="宋体"/>
          <w:b/>
          <w:color w:val="auto"/>
          <w:sz w:val="21"/>
          <w:szCs w:val="21"/>
          <w:highlight w:val="none"/>
        </w:rPr>
        <w:t>供应商的响应文件中承诺的响应文件有效期少于采购文件中载明的响应文件有效期的，响应文件无效。</w:t>
      </w:r>
    </w:p>
    <w:p w14:paraId="1726C811">
      <w:pPr>
        <w:pStyle w:val="131"/>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17.2响应文件合格投递后，自响应文件提交截止时间起，在响应文件有效期内有效。</w:t>
      </w:r>
    </w:p>
    <w:p w14:paraId="7DECE515">
      <w:pPr>
        <w:pStyle w:val="131"/>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507B9930">
      <w:pPr>
        <w:pStyle w:val="131"/>
        <w:spacing w:before="0"/>
        <w:ind w:firstLine="643"/>
        <w:rPr>
          <w:rFonts w:ascii="宋体" w:hAnsi="宋体" w:cs="宋体"/>
          <w:b/>
          <w:color w:val="auto"/>
          <w:sz w:val="32"/>
          <w:highlight w:val="none"/>
        </w:rPr>
      </w:pPr>
    </w:p>
    <w:p w14:paraId="5A6E8B53">
      <w:pPr>
        <w:snapToGrid w:val="0"/>
        <w:spacing w:line="360" w:lineRule="auto"/>
        <w:jc w:val="center"/>
        <w:outlineLvl w:val="1"/>
        <w:rPr>
          <w:rFonts w:ascii="宋体" w:hAnsi="宋体" w:cs="宋体"/>
          <w:b/>
          <w:color w:val="auto"/>
          <w:sz w:val="24"/>
          <w:szCs w:val="24"/>
          <w:highlight w:val="none"/>
        </w:rPr>
      </w:pPr>
      <w:r>
        <w:rPr>
          <w:rFonts w:hint="eastAsia" w:ascii="宋体" w:hAnsi="宋体" w:cs="宋体"/>
          <w:b/>
          <w:color w:val="auto"/>
          <w:sz w:val="24"/>
          <w:szCs w:val="24"/>
          <w:highlight w:val="none"/>
        </w:rPr>
        <w:t>四、响应文件开启、资格审查与信用信息查询</w:t>
      </w:r>
    </w:p>
    <w:p w14:paraId="49C273B3">
      <w:pPr>
        <w:pStyle w:val="557"/>
        <w:spacing w:before="0" w:line="360" w:lineRule="auto"/>
        <w:ind w:left="0" w:firstLine="0"/>
        <w:contextualSpacing/>
        <w:rPr>
          <w:rFonts w:ascii="宋体" w:hAnsi="宋体" w:cs="宋体"/>
          <w:color w:val="auto"/>
          <w:sz w:val="21"/>
          <w:szCs w:val="21"/>
          <w:highlight w:val="none"/>
        </w:rPr>
      </w:pPr>
      <w:r>
        <w:rPr>
          <w:rFonts w:hint="eastAsia" w:ascii="宋体" w:hAnsi="宋体" w:cs="宋体"/>
          <w:b/>
          <w:color w:val="auto"/>
          <w:sz w:val="21"/>
          <w:szCs w:val="21"/>
          <w:highlight w:val="none"/>
        </w:rPr>
        <w:t>18.响应文件开启</w:t>
      </w:r>
      <w:r>
        <w:rPr>
          <w:rFonts w:hint="eastAsia" w:ascii="宋体" w:hAnsi="宋体" w:cs="宋体"/>
          <w:color w:val="auto"/>
          <w:sz w:val="21"/>
          <w:szCs w:val="21"/>
          <w:highlight w:val="none"/>
        </w:rPr>
        <w:t xml:space="preserve"> </w:t>
      </w:r>
    </w:p>
    <w:p w14:paraId="3706F19D">
      <w:pPr>
        <w:pStyle w:val="557"/>
        <w:snapToGrid w:val="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18.1采购代理机构按照采购文件规定的时间通过电子交易平台组织响应文件开启，所有供应商均应当准时在线参加。供应商不足3家的，不得开启。</w:t>
      </w:r>
    </w:p>
    <w:p w14:paraId="2DC5B054">
      <w:pPr>
        <w:pStyle w:val="557"/>
        <w:snapToGrid w:val="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0F80FB22">
      <w:pPr>
        <w:pStyle w:val="557"/>
        <w:snapToGrid w:val="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18.3</w:t>
      </w:r>
      <w:r>
        <w:rPr>
          <w:rFonts w:hint="eastAsia" w:ascii="宋体" w:hAnsi="宋体" w:cs="宋体"/>
          <w:b/>
          <w:bCs/>
          <w:color w:val="auto"/>
          <w:sz w:val="21"/>
          <w:szCs w:val="21"/>
          <w:highlight w:val="none"/>
        </w:rPr>
        <w:t>响应文件未按时解密，供应商提供了备份响应文件的，以备份响应文件作为依据，否则视为响应文件撤回。响应文件已按时解密的，备份响应文件自动失效。</w:t>
      </w:r>
    </w:p>
    <w:p w14:paraId="1D0E168A">
      <w:pPr>
        <w:pStyle w:val="557"/>
        <w:spacing w:before="0" w:line="360" w:lineRule="auto"/>
        <w:ind w:left="0" w:firstLine="0"/>
        <w:contextualSpacing/>
        <w:rPr>
          <w:rFonts w:ascii="宋体" w:hAnsi="宋体" w:cs="宋体"/>
          <w:b/>
          <w:color w:val="auto"/>
          <w:sz w:val="21"/>
          <w:szCs w:val="21"/>
          <w:highlight w:val="none"/>
        </w:rPr>
      </w:pPr>
      <w:r>
        <w:rPr>
          <w:rFonts w:hint="eastAsia" w:ascii="宋体" w:hAnsi="宋体" w:cs="宋体"/>
          <w:b/>
          <w:color w:val="auto"/>
          <w:sz w:val="21"/>
          <w:szCs w:val="21"/>
          <w:highlight w:val="none"/>
        </w:rPr>
        <w:t>19、资格审查</w:t>
      </w:r>
    </w:p>
    <w:p w14:paraId="57C4AC5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rPr>
        <w:t>19.1</w:t>
      </w:r>
      <w:r>
        <w:rPr>
          <w:rFonts w:hint="eastAsia" w:ascii="宋体" w:hAnsi="宋体" w:cs="宋体"/>
          <w:color w:val="auto"/>
          <w:sz w:val="21"/>
          <w:szCs w:val="21"/>
          <w:highlight w:val="none"/>
        </w:rPr>
        <w:t>采购人、采购代理机构或磋商小组依据法律法规和采购文件的规定，对供应商的资格进行审查。</w:t>
      </w:r>
    </w:p>
    <w:p w14:paraId="07368CEB">
      <w:pPr>
        <w:pStyle w:val="131"/>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19.2供应商未按照采购文件要求提供与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供应商不具备采购文件中规定的资格要求，其响应文件无效。</w:t>
      </w:r>
    </w:p>
    <w:p w14:paraId="252AB952">
      <w:pPr>
        <w:pStyle w:val="131"/>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3对未通过资格审查的供应商，采购人或采购代理机构告知其未通过的原因。</w:t>
      </w:r>
    </w:p>
    <w:p w14:paraId="7113BAFF">
      <w:pPr>
        <w:pStyle w:val="131"/>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4合格供应商不足3家的，不再评审。</w:t>
      </w:r>
    </w:p>
    <w:p w14:paraId="7289A4C0">
      <w:pPr>
        <w:pStyle w:val="131"/>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20、信用信息查询</w:t>
      </w:r>
    </w:p>
    <w:p w14:paraId="3970CF49">
      <w:pPr>
        <w:pStyle w:val="131"/>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20.1信用信息查询渠道及截止时间：采购代理机构将在资格审查时通过“信用中国”网站(www.creditchina.gov.cn)、中国政府采购网(www.ccgp.gov.cn)渠道查询供应商接受资格审查时的信用记录。</w:t>
      </w:r>
    </w:p>
    <w:p w14:paraId="78F507FF">
      <w:pPr>
        <w:pStyle w:val="131"/>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20.2信用信息查询记录和证据留存的具体方式：现场查询的供应商的信用记录、查询结果经确认后将与采购文件一起存档。</w:t>
      </w:r>
    </w:p>
    <w:p w14:paraId="16C67515">
      <w:pPr>
        <w:pStyle w:val="131"/>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20.3信用信息的使用规则：经查询列入失信被执行人名单、重大税收违法案件当事人名单、政府采购严重违法失信行为记录名单的供应商将被拒绝参与政府采购活动。</w:t>
      </w:r>
    </w:p>
    <w:p w14:paraId="2F116D9C">
      <w:pPr>
        <w:pStyle w:val="131"/>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013ADEC2">
      <w:pPr>
        <w:pStyle w:val="131"/>
        <w:spacing w:before="0"/>
        <w:ind w:firstLine="0" w:firstLineChars="0"/>
        <w:rPr>
          <w:rFonts w:ascii="宋体" w:hAnsi="宋体" w:cs="宋体"/>
          <w:color w:val="auto"/>
          <w:kern w:val="0"/>
          <w:sz w:val="21"/>
          <w:szCs w:val="21"/>
          <w:highlight w:val="none"/>
        </w:rPr>
      </w:pPr>
    </w:p>
    <w:p w14:paraId="096F95EA">
      <w:pPr>
        <w:snapToGrid w:val="0"/>
        <w:spacing w:line="360" w:lineRule="auto"/>
        <w:jc w:val="center"/>
        <w:outlineLvl w:val="1"/>
        <w:rPr>
          <w:rFonts w:ascii="宋体" w:hAnsi="宋体" w:cs="宋体"/>
          <w:b/>
          <w:color w:val="auto"/>
          <w:sz w:val="24"/>
          <w:szCs w:val="24"/>
          <w:highlight w:val="none"/>
        </w:rPr>
      </w:pPr>
      <w:r>
        <w:rPr>
          <w:rFonts w:hint="eastAsia" w:ascii="宋体" w:hAnsi="宋体" w:cs="宋体"/>
          <w:b/>
          <w:color w:val="auto"/>
          <w:sz w:val="24"/>
          <w:szCs w:val="24"/>
          <w:highlight w:val="none"/>
        </w:rPr>
        <w:t>五、评审</w:t>
      </w:r>
    </w:p>
    <w:p w14:paraId="05FA6AE5">
      <w:pPr>
        <w:spacing w:line="360" w:lineRule="auto"/>
        <w:rPr>
          <w:rFonts w:ascii="宋体" w:hAnsi="宋体" w:cs="宋体"/>
          <w:b/>
          <w:color w:val="auto"/>
          <w:sz w:val="21"/>
          <w:szCs w:val="21"/>
          <w:highlight w:val="none"/>
        </w:rPr>
      </w:pPr>
      <w:bookmarkStart w:id="18" w:name="_Toc91899903"/>
      <w:r>
        <w:rPr>
          <w:rFonts w:hint="eastAsia" w:ascii="宋体" w:hAnsi="宋体" w:cs="宋体"/>
          <w:b/>
          <w:color w:val="auto"/>
          <w:sz w:val="21"/>
          <w:szCs w:val="21"/>
          <w:highlight w:val="none"/>
        </w:rPr>
        <w:t>21.</w:t>
      </w:r>
      <w:r>
        <w:rPr>
          <w:rFonts w:hint="eastAsia" w:ascii="宋体" w:hAnsi="宋体" w:cs="宋体"/>
          <w:color w:val="auto"/>
          <w:sz w:val="21"/>
          <w:szCs w:val="21"/>
          <w:highlight w:val="none"/>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1"/>
          <w:szCs w:val="21"/>
          <w:highlight w:val="none"/>
        </w:rPr>
        <w:t>详见采购文件第四部分评审办法。</w:t>
      </w:r>
    </w:p>
    <w:p w14:paraId="7A789046">
      <w:pPr>
        <w:spacing w:line="360" w:lineRule="auto"/>
        <w:rPr>
          <w:rFonts w:ascii="宋体" w:hAnsi="宋体" w:cs="宋体"/>
          <w:b/>
          <w:color w:val="auto"/>
          <w:sz w:val="24"/>
          <w:highlight w:val="none"/>
        </w:rPr>
      </w:pPr>
    </w:p>
    <w:p w14:paraId="41C1E1B9">
      <w:pPr>
        <w:snapToGrid w:val="0"/>
        <w:spacing w:line="360" w:lineRule="auto"/>
        <w:jc w:val="center"/>
        <w:outlineLvl w:val="1"/>
        <w:rPr>
          <w:rFonts w:ascii="宋体" w:hAnsi="宋体" w:cs="宋体"/>
          <w:b/>
          <w:color w:val="auto"/>
          <w:sz w:val="24"/>
          <w:szCs w:val="24"/>
          <w:highlight w:val="none"/>
        </w:rPr>
      </w:pPr>
      <w:r>
        <w:rPr>
          <w:rFonts w:hint="eastAsia" w:ascii="宋体" w:hAnsi="宋体" w:cs="宋体"/>
          <w:b/>
          <w:color w:val="auto"/>
          <w:sz w:val="24"/>
          <w:szCs w:val="24"/>
          <w:highlight w:val="none"/>
        </w:rPr>
        <w:t>六、成交供应商确定</w:t>
      </w:r>
    </w:p>
    <w:p w14:paraId="4CD4CA7C">
      <w:pPr>
        <w:pStyle w:val="27"/>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22. 确定成交供应商</w:t>
      </w:r>
    </w:p>
    <w:p w14:paraId="49C613F6">
      <w:pPr>
        <w:pStyle w:val="131"/>
        <w:snapToGrid w:val="0"/>
        <w:spacing w:before="0"/>
        <w:ind w:firstLine="480"/>
        <w:rPr>
          <w:rFonts w:ascii="宋体" w:hAnsi="宋体" w:cs="宋体"/>
          <w:b/>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DEE0DDC">
      <w:pPr>
        <w:pStyle w:val="131"/>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23. 成交通知与成交结果公告</w:t>
      </w:r>
    </w:p>
    <w:p w14:paraId="0832EF02">
      <w:pPr>
        <w:widowControl/>
        <w:shd w:val="clear" w:color="auto"/>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23.1自成交供应商确定之日起1个工作日内，采购代理机构通过电子交易平台向成交供应商发出成交通知书，同时编制发布采购结果公告。采购代理机构也可以以纸质形式进行成交通知。</w:t>
      </w:r>
    </w:p>
    <w:p w14:paraId="727E90D1">
      <w:pPr>
        <w:widowControl/>
        <w:shd w:val="clear" w:color="auto"/>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05BEA5FD">
      <w:pPr>
        <w:widowControl/>
        <w:shd w:val="clear" w:color="auto"/>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23.3公告期限为1个工作日。</w:t>
      </w:r>
    </w:p>
    <w:p w14:paraId="6D41E7FD">
      <w:pPr>
        <w:widowControl/>
        <w:shd w:val="clear" w:color="auto"/>
        <w:spacing w:line="360" w:lineRule="auto"/>
        <w:ind w:firstLine="480"/>
        <w:rPr>
          <w:rFonts w:ascii="宋体" w:hAnsi="宋体" w:cs="宋体"/>
          <w:color w:val="auto"/>
          <w:sz w:val="21"/>
          <w:szCs w:val="21"/>
          <w:highlight w:val="none"/>
        </w:rPr>
      </w:pPr>
      <w:r>
        <w:rPr>
          <w:rFonts w:hint="eastAsia" w:ascii="宋体" w:hAnsi="宋体" w:cs="宋体"/>
          <w:bCs/>
          <w:color w:val="auto"/>
          <w:sz w:val="21"/>
          <w:szCs w:val="21"/>
          <w:highlight w:val="none"/>
        </w:rPr>
        <w:t>23.4由于成交供应商原因导致重新采购的，应当承担支付代理费和专家评审费等费用在内的赔偿责任。</w:t>
      </w:r>
    </w:p>
    <w:p w14:paraId="73E82209">
      <w:pPr>
        <w:snapToGrid w:val="0"/>
        <w:spacing w:line="360" w:lineRule="auto"/>
        <w:ind w:left="120" w:leftChars="57" w:firstLine="482" w:firstLineChars="150"/>
        <w:jc w:val="center"/>
        <w:rPr>
          <w:rFonts w:ascii="宋体" w:hAnsi="宋体" w:cs="宋体"/>
          <w:b/>
          <w:color w:val="auto"/>
          <w:sz w:val="32"/>
          <w:highlight w:val="none"/>
        </w:rPr>
      </w:pPr>
    </w:p>
    <w:p w14:paraId="74301665">
      <w:pPr>
        <w:snapToGrid w:val="0"/>
        <w:spacing w:line="360" w:lineRule="auto"/>
        <w:jc w:val="center"/>
        <w:outlineLvl w:val="1"/>
        <w:rPr>
          <w:rFonts w:ascii="宋体" w:hAnsi="宋体" w:cs="宋体"/>
          <w:b/>
          <w:color w:val="auto"/>
          <w:sz w:val="24"/>
          <w:szCs w:val="24"/>
          <w:highlight w:val="none"/>
        </w:rPr>
      </w:pPr>
      <w:r>
        <w:rPr>
          <w:rFonts w:hint="eastAsia" w:ascii="宋体" w:hAnsi="宋体" w:cs="宋体"/>
          <w:b/>
          <w:color w:val="auto"/>
          <w:sz w:val="24"/>
          <w:szCs w:val="24"/>
          <w:highlight w:val="none"/>
        </w:rPr>
        <w:t>七、合同授予</w:t>
      </w:r>
    </w:p>
    <w:p w14:paraId="2BAE9734">
      <w:pPr>
        <w:pStyle w:val="27"/>
        <w:snapToGrid w:val="0"/>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合同主要条款详见第五部分拟签订的合同文本。</w:t>
      </w:r>
    </w:p>
    <w:p w14:paraId="2C2062FF">
      <w:pPr>
        <w:pStyle w:val="27"/>
        <w:snapToGrid w:val="0"/>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25. 合同的签订</w:t>
      </w:r>
    </w:p>
    <w:p w14:paraId="12BE98D0">
      <w:pPr>
        <w:widowControl/>
        <w:shd w:val="clear" w:color="auto"/>
        <w:snapToGrid w:val="0"/>
        <w:spacing w:line="360" w:lineRule="auto"/>
        <w:ind w:firstLine="48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25.1</w:t>
      </w:r>
      <w:r>
        <w:rPr>
          <w:rFonts w:hint="eastAsia" w:ascii="宋体" w:hAnsi="宋体" w:cs="宋体"/>
          <w:color w:val="auto"/>
          <w:kern w:val="0"/>
          <w:sz w:val="21"/>
          <w:szCs w:val="21"/>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43DA11B7">
      <w:pPr>
        <w:pStyle w:val="131"/>
        <w:snapToGrid w:val="0"/>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5135A3D9">
      <w:pPr>
        <w:pStyle w:val="131"/>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1A6076C2">
      <w:pPr>
        <w:pStyle w:val="131"/>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0DD58976">
      <w:pPr>
        <w:pStyle w:val="131"/>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25.5采购合同由采购人与成交供应商根据采购文件、响应文件等内容通过政府采购电子交易平台在线签订，自动备案。</w:t>
      </w:r>
    </w:p>
    <w:p w14:paraId="66B7CFBE">
      <w:pPr>
        <w:pStyle w:val="27"/>
        <w:snapToGrid w:val="0"/>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26. 履约保证金</w:t>
      </w:r>
    </w:p>
    <w:p w14:paraId="67BDCD0A">
      <w:pPr>
        <w:tabs>
          <w:tab w:val="left" w:pos="432"/>
        </w:tabs>
        <w:snapToGrid w:val="0"/>
        <w:spacing w:line="360" w:lineRule="auto"/>
        <w:ind w:left="0" w:firstLine="420" w:firstLineChars="200"/>
        <w:outlineLvl w:val="9"/>
        <w:rPr>
          <w:rFonts w:hint="eastAsia"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拟签订的合同文本要求成交供应商提交履约保证金的，供应商应当以支票、汇票、本票或者金融机构、担保机构出具的保函等非现金形式提交。履约保证金的数额不得超过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591DC08">
      <w:pPr>
        <w:tabs>
          <w:tab w:val="left" w:pos="432"/>
        </w:tabs>
        <w:snapToGrid w:val="0"/>
        <w:spacing w:line="360" w:lineRule="auto"/>
        <w:ind w:left="0" w:firstLine="420" w:firstLineChars="200"/>
        <w:outlineLvl w:val="9"/>
        <w:rPr>
          <w:rFonts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供应商可登录乐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乐采云金融专线400-903-9583。</w:t>
      </w:r>
    </w:p>
    <w:p w14:paraId="32930D09">
      <w:pPr>
        <w:tabs>
          <w:tab w:val="left" w:pos="432"/>
        </w:tabs>
        <w:outlineLvl w:val="9"/>
        <w:rPr>
          <w:color w:val="auto"/>
          <w:sz w:val="21"/>
          <w:szCs w:val="21"/>
          <w:highlight w:val="none"/>
        </w:rPr>
      </w:pPr>
      <w:r>
        <w:rPr>
          <w:rFonts w:ascii="宋体" w:hAnsi="宋体" w:eastAsia="宋体"/>
          <w:color w:val="auto"/>
          <w:sz w:val="21"/>
          <w:szCs w:val="21"/>
          <w:highlight w:val="none"/>
          <w:lang w:val="en-US"/>
        </w:rPr>
        <w:t>27.预付款</w:t>
      </w:r>
    </w:p>
    <w:p w14:paraId="433D9141">
      <w:pPr>
        <w:adjustRightInd/>
        <w:spacing w:line="360" w:lineRule="auto"/>
        <w:ind w:firstLine="420" w:firstLineChars="200"/>
        <w:rPr>
          <w:color w:val="auto"/>
          <w:sz w:val="21"/>
          <w:szCs w:val="21"/>
          <w:highlight w:val="none"/>
        </w:rPr>
      </w:pPr>
      <w:r>
        <w:rPr>
          <w:rFonts w:hint="eastAsia"/>
          <w:color w:val="auto"/>
          <w:sz w:val="21"/>
          <w:szCs w:val="21"/>
          <w:highlight w:val="none"/>
        </w:rPr>
        <w:t>采购单位应当在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采购预付款应在合同生效以及具备实施条件后5个工作日内支付。采购工程以及与工程建设有关的货物、服务，采用招标方式采购的，预付款从其相关规定。供应商可登录乐采云前台大厅选择金融服务 - 【保函保险服务】出具预付款保函，具体步骤：选择产品—填写供应商信息—选择中标项目—确认信息—等待保险/保函受理—确认保单—支付保费—成功出单。乐采云金融专线400-903-9583。</w:t>
      </w:r>
    </w:p>
    <w:p w14:paraId="3D91392A">
      <w:pPr>
        <w:rPr>
          <w:color w:val="auto"/>
          <w:sz w:val="21"/>
          <w:szCs w:val="21"/>
          <w:highlight w:val="none"/>
        </w:rPr>
      </w:pPr>
    </w:p>
    <w:p w14:paraId="64FF77C7">
      <w:pPr>
        <w:snapToGrid w:val="0"/>
        <w:spacing w:line="360" w:lineRule="auto"/>
        <w:ind w:firstLine="2203" w:firstLineChars="1045"/>
        <w:rPr>
          <w:rFonts w:ascii="宋体" w:hAnsi="宋体" w:cs="宋体"/>
          <w:b/>
          <w:color w:val="auto"/>
          <w:sz w:val="21"/>
          <w:szCs w:val="21"/>
          <w:highlight w:val="none"/>
        </w:rPr>
      </w:pPr>
    </w:p>
    <w:p w14:paraId="54C461F8">
      <w:pPr>
        <w:snapToGrid w:val="0"/>
        <w:spacing w:line="360" w:lineRule="auto"/>
        <w:jc w:val="center"/>
        <w:outlineLvl w:val="1"/>
        <w:rPr>
          <w:rFonts w:ascii="宋体" w:hAnsi="宋体" w:cs="宋体"/>
          <w:b/>
          <w:color w:val="auto"/>
          <w:sz w:val="24"/>
          <w:szCs w:val="24"/>
          <w:highlight w:val="none"/>
        </w:rPr>
      </w:pPr>
      <w:r>
        <w:rPr>
          <w:rFonts w:hint="eastAsia" w:ascii="宋体" w:hAnsi="宋体" w:cs="宋体"/>
          <w:b/>
          <w:color w:val="auto"/>
          <w:sz w:val="24"/>
          <w:szCs w:val="24"/>
          <w:highlight w:val="none"/>
        </w:rPr>
        <w:t>八、电子交易活动的中止</w:t>
      </w:r>
    </w:p>
    <w:p w14:paraId="6A1615FF">
      <w:pPr>
        <w:pStyle w:val="131"/>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B0466E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904BFC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453E62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D3720E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C12F09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DF45279">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5879DFE">
      <w:pPr>
        <w:tabs>
          <w:tab w:val="left" w:pos="0"/>
        </w:tabs>
        <w:spacing w:line="360" w:lineRule="auto"/>
        <w:ind w:firstLine="480"/>
        <w:rPr>
          <w:rFonts w:ascii="宋体" w:hAnsi="宋体" w:cs="宋体"/>
          <w:color w:val="auto"/>
          <w:sz w:val="24"/>
          <w:highlight w:val="none"/>
        </w:rPr>
      </w:pPr>
    </w:p>
    <w:p w14:paraId="69295C5E">
      <w:pPr>
        <w:snapToGrid w:val="0"/>
        <w:spacing w:line="360" w:lineRule="auto"/>
        <w:jc w:val="center"/>
        <w:outlineLvl w:val="1"/>
        <w:rPr>
          <w:rFonts w:ascii="宋体" w:hAnsi="宋体" w:cs="宋体"/>
          <w:b/>
          <w:color w:val="auto"/>
          <w:sz w:val="24"/>
          <w:szCs w:val="24"/>
          <w:highlight w:val="none"/>
        </w:rPr>
      </w:pPr>
      <w:r>
        <w:rPr>
          <w:rFonts w:hint="eastAsia" w:ascii="宋体" w:hAnsi="宋体" w:cs="宋体"/>
          <w:b/>
          <w:color w:val="auto"/>
          <w:sz w:val="24"/>
          <w:szCs w:val="24"/>
          <w:highlight w:val="none"/>
        </w:rPr>
        <w:t>九、验收</w:t>
      </w:r>
    </w:p>
    <w:p w14:paraId="30FCFCD5">
      <w:pPr>
        <w:pStyle w:val="27"/>
        <w:spacing w:line="360" w:lineRule="auto"/>
        <w:ind w:firstLine="0" w:firstLineChars="0"/>
        <w:rPr>
          <w:rFonts w:cs="宋体"/>
          <w:b/>
          <w:color w:val="auto"/>
          <w:sz w:val="21"/>
          <w:szCs w:val="21"/>
          <w:highlight w:val="none"/>
        </w:rPr>
      </w:pPr>
      <w:r>
        <w:rPr>
          <w:rFonts w:hint="eastAsia" w:cs="宋体"/>
          <w:b/>
          <w:color w:val="auto"/>
          <w:sz w:val="21"/>
          <w:szCs w:val="21"/>
          <w:highlight w:val="none"/>
        </w:rPr>
        <w:t>30.验收</w:t>
      </w:r>
    </w:p>
    <w:p w14:paraId="740E10C8">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5B77FD">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30.2采购人可以邀请参加本项目的其他供应商或者第三方机构参与验收。参与验收的供应商或者第三方机构的意见作为验收书的参考资料一并存档。</w:t>
      </w:r>
    </w:p>
    <w:p w14:paraId="45537833">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7545502">
      <w:pPr>
        <w:tabs>
          <w:tab w:val="left" w:pos="0"/>
        </w:tabs>
        <w:spacing w:line="360" w:lineRule="auto"/>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19B4BA3B">
      <w:pPr>
        <w:tabs>
          <w:tab w:val="left" w:pos="432"/>
        </w:tabs>
        <w:adjustRightInd w:val="0"/>
        <w:snapToGrid w:val="0"/>
        <w:spacing w:line="360" w:lineRule="auto"/>
        <w:ind w:left="0" w:firstLine="480" w:firstLineChars="200"/>
        <w:outlineLvl w:val="9"/>
        <w:rPr>
          <w:rFonts w:ascii="宋体" w:hAnsi="宋体" w:eastAsia="宋体" w:cs="宋体"/>
          <w:b w:val="0"/>
          <w:bCs w:val="0"/>
          <w:color w:val="auto"/>
          <w:kern w:val="0"/>
          <w:sz w:val="24"/>
          <w:szCs w:val="24"/>
          <w:highlight w:val="none"/>
          <w:lang w:val="en-US"/>
        </w:rPr>
      </w:pPr>
      <w:bookmarkStart w:id="19" w:name="_Hlt74714665"/>
      <w:bookmarkEnd w:id="19"/>
      <w:bookmarkStart w:id="20" w:name="_Hlt74707468"/>
      <w:bookmarkEnd w:id="20"/>
      <w:bookmarkStart w:id="21" w:name="_Hlt68072990"/>
      <w:bookmarkEnd w:id="21"/>
      <w:bookmarkStart w:id="22" w:name="_Hlt68072998"/>
      <w:bookmarkEnd w:id="22"/>
      <w:bookmarkStart w:id="23" w:name="_Hlt75236101"/>
      <w:bookmarkEnd w:id="23"/>
      <w:bookmarkStart w:id="24" w:name="_Hlt68073093"/>
      <w:bookmarkEnd w:id="24"/>
      <w:bookmarkStart w:id="25" w:name="_Hlt74730295"/>
      <w:bookmarkEnd w:id="25"/>
      <w:bookmarkStart w:id="26" w:name="_Hlt68403820"/>
      <w:bookmarkEnd w:id="26"/>
      <w:bookmarkStart w:id="27" w:name="_Hlt68057669"/>
      <w:bookmarkEnd w:id="27"/>
      <w:bookmarkStart w:id="28" w:name="_Hlt75236011"/>
      <w:bookmarkEnd w:id="28"/>
      <w:bookmarkStart w:id="29" w:name="_Hlt74729768"/>
      <w:bookmarkEnd w:id="29"/>
      <w:bookmarkStart w:id="30" w:name="_Hlt75236290"/>
      <w:bookmarkEnd w:id="30"/>
    </w:p>
    <w:p w14:paraId="60AF641E">
      <w:pPr>
        <w:pStyle w:val="80"/>
        <w:rPr>
          <w:color w:val="auto"/>
          <w:highlight w:val="none"/>
        </w:rPr>
        <w:sectPr>
          <w:pgSz w:w="11905" w:h="16838"/>
          <w:pgMar w:top="1417" w:right="1417" w:bottom="1417" w:left="1417" w:header="850" w:footer="992" w:gutter="0"/>
          <w:cols w:space="0" w:num="1"/>
          <w:titlePg/>
          <w:rtlGutter w:val="0"/>
          <w:docGrid w:linePitch="312" w:charSpace="0"/>
        </w:sectPr>
      </w:pPr>
    </w:p>
    <w:bookmarkEnd w:id="13"/>
    <w:bookmarkEnd w:id="14"/>
    <w:p w14:paraId="3692C03B">
      <w:pPr>
        <w:adjustRightInd/>
        <w:jc w:val="center"/>
        <w:outlineLvl w:val="0"/>
        <w:rPr>
          <w:rFonts w:hint="eastAsia" w:ascii="宋体" w:hAnsi="宋体" w:eastAsia="宋体" w:cs="宋体"/>
          <w:b/>
          <w:color w:val="auto"/>
          <w:sz w:val="32"/>
          <w:szCs w:val="32"/>
          <w:highlight w:val="none"/>
        </w:rPr>
      </w:pPr>
      <w:bookmarkStart w:id="31" w:name="第四部分"/>
      <w:r>
        <w:rPr>
          <w:rFonts w:hint="eastAsia" w:ascii="宋体" w:hAnsi="宋体" w:eastAsia="宋体" w:cs="宋体"/>
          <w:b/>
          <w:color w:val="auto"/>
          <w:sz w:val="32"/>
          <w:szCs w:val="32"/>
          <w:highlight w:val="none"/>
        </w:rPr>
        <w:t>第三部分 采购需求</w:t>
      </w:r>
    </w:p>
    <w:p w14:paraId="51143802">
      <w:pPr>
        <w:spacing w:line="360" w:lineRule="auto"/>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一、工程概况</w:t>
      </w:r>
    </w:p>
    <w:p w14:paraId="6C15FF11">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杭州二中东河校区校舍维修与环境提升项目</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snapToGrid/>
          <w:color w:val="auto"/>
          <w:kern w:val="2"/>
          <w:sz w:val="21"/>
          <w:szCs w:val="21"/>
          <w:highlight w:val="none"/>
          <w:lang w:val="en-US" w:eastAsia="zh-CN"/>
        </w:rPr>
        <w:t>包含</w:t>
      </w:r>
      <w:r>
        <w:rPr>
          <w:rFonts w:hint="eastAsia" w:asciiTheme="minorEastAsia" w:hAnsiTheme="minorEastAsia" w:eastAsiaTheme="minorEastAsia" w:cstheme="minorEastAsia"/>
          <w:bCs/>
          <w:snapToGrid/>
          <w:color w:val="auto"/>
          <w:kern w:val="2"/>
          <w:sz w:val="21"/>
          <w:szCs w:val="21"/>
          <w:highlight w:val="none"/>
          <w:lang w:eastAsia="zh-CN"/>
        </w:rPr>
        <w:t>食堂北侧绿化下管线整改，增加隔油池，进行地面拓宽硬化，复绿。物理实验室地面管线、地胶等需配合实验器材进行配套装修。</w:t>
      </w:r>
      <w:r>
        <w:rPr>
          <w:rFonts w:hint="eastAsia" w:asciiTheme="minorEastAsia" w:hAnsiTheme="minorEastAsia" w:eastAsiaTheme="minorEastAsia" w:cstheme="minorEastAsia"/>
          <w:bCs/>
          <w:color w:val="auto"/>
          <w:sz w:val="21"/>
          <w:szCs w:val="21"/>
          <w:highlight w:val="none"/>
        </w:rPr>
        <w:t>具体详见工程量清单及工程施工图纸，</w:t>
      </w:r>
      <w:r>
        <w:rPr>
          <w:rFonts w:hint="eastAsia" w:asciiTheme="minorEastAsia" w:hAnsiTheme="minorEastAsia" w:eastAsiaTheme="minorEastAsia" w:cstheme="minorEastAsia"/>
          <w:color w:val="auto"/>
          <w:sz w:val="21"/>
          <w:szCs w:val="21"/>
          <w:highlight w:val="none"/>
        </w:rPr>
        <w:t>并结合现场实际情况进行施工。</w:t>
      </w:r>
    </w:p>
    <w:p w14:paraId="399B57F9">
      <w:pPr>
        <w:spacing w:line="360" w:lineRule="auto"/>
        <w:jc w:val="left"/>
        <w:rPr>
          <w:rFonts w:hint="eastAsia" w:asciiTheme="minorEastAsia" w:hAnsiTheme="minorEastAsia" w:eastAsiaTheme="minorEastAsia" w:cstheme="minorEastAsia"/>
          <w:b/>
          <w:bCs/>
          <w:color w:val="auto"/>
          <w:sz w:val="21"/>
          <w:szCs w:val="21"/>
          <w:highlight w:val="none"/>
        </w:rPr>
      </w:pPr>
    </w:p>
    <w:p w14:paraId="00DFA63D">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 xml:space="preserve">二、工程内容 </w:t>
      </w:r>
    </w:p>
    <w:p w14:paraId="706E0E87">
      <w:pPr>
        <w:spacing w:line="360" w:lineRule="auto"/>
        <w:ind w:left="210" w:leftChars="100"/>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1.工程名称</w:t>
      </w:r>
    </w:p>
    <w:p w14:paraId="7858CB2A">
      <w:pPr>
        <w:spacing w:line="360" w:lineRule="auto"/>
        <w:ind w:firstLine="42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杭州二中东河校区校舍维修与环境提升项目</w:t>
      </w:r>
    </w:p>
    <w:p w14:paraId="181F3155">
      <w:pPr>
        <w:spacing w:line="360" w:lineRule="auto"/>
        <w:ind w:left="210" w:leftChars="100"/>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2.现场条件</w:t>
      </w:r>
    </w:p>
    <w:p w14:paraId="35B69DD8">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（1）已具备施工条件，但施工不能影响正常的工作。</w:t>
      </w:r>
    </w:p>
    <w:p w14:paraId="6809D533">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本项目位于杭州市上城区建国中路36号，</w:t>
      </w:r>
      <w:r>
        <w:rPr>
          <w:rFonts w:hint="eastAsia" w:asciiTheme="minorEastAsia" w:hAnsiTheme="minorEastAsia" w:eastAsiaTheme="minorEastAsia" w:cstheme="minorEastAsia"/>
          <w:bCs/>
          <w:color w:val="auto"/>
          <w:sz w:val="21"/>
          <w:szCs w:val="21"/>
          <w:highlight w:val="none"/>
        </w:rPr>
        <w:t>踏勘</w:t>
      </w:r>
      <w:r>
        <w:rPr>
          <w:rFonts w:hint="eastAsia" w:asciiTheme="minorEastAsia" w:hAnsiTheme="minorEastAsia" w:eastAsiaTheme="minorEastAsia" w:cstheme="minorEastAsia"/>
          <w:color w:val="auto"/>
          <w:sz w:val="21"/>
          <w:szCs w:val="21"/>
          <w:highlight w:val="none"/>
        </w:rPr>
        <w:t>联系人：郑老师，联系电话：18905811117</w:t>
      </w:r>
      <w:r>
        <w:rPr>
          <w:rFonts w:hint="eastAsia" w:asciiTheme="minorEastAsia" w:hAnsiTheme="minorEastAsia" w:eastAsiaTheme="minorEastAsia" w:cstheme="minorEastAsia"/>
          <w:bCs/>
          <w:color w:val="auto"/>
          <w:sz w:val="21"/>
          <w:szCs w:val="21"/>
          <w:highlight w:val="none"/>
        </w:rPr>
        <w:t>。</w:t>
      </w:r>
    </w:p>
    <w:p w14:paraId="162B7F59">
      <w:pPr>
        <w:spacing w:line="360" w:lineRule="auto"/>
        <w:ind w:left="210" w:leftChars="100"/>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3.工程承包范围</w:t>
      </w:r>
    </w:p>
    <w:p w14:paraId="5E926A3A">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（1）工程施工图中所包括的一切内容和工程量清单等已明确的工程内容。</w:t>
      </w:r>
    </w:p>
    <w:p w14:paraId="3F17C03C">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（2）可能出现的施工图修改引起的工程量增减以及根据招标人明确指令需在招标范围外增加的工程量及招标范围内减少的工程量。</w:t>
      </w:r>
    </w:p>
    <w:p w14:paraId="08CC32CD">
      <w:pPr>
        <w:spacing w:line="360" w:lineRule="auto"/>
        <w:ind w:left="210" w:leftChars="100"/>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4.工程质量标准</w:t>
      </w:r>
    </w:p>
    <w:p w14:paraId="2C294DC1">
      <w:pPr>
        <w:spacing w:line="360" w:lineRule="auto"/>
        <w:ind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工程质量符合（工程施工质量验收规范）合格标准。</w:t>
      </w:r>
    </w:p>
    <w:p w14:paraId="4DB33A40">
      <w:pPr>
        <w:spacing w:line="360" w:lineRule="auto"/>
        <w:ind w:left="210" w:leftChars="100"/>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5.工程施工要求</w:t>
      </w:r>
    </w:p>
    <w:p w14:paraId="36523991">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5.1技术规范要求：</w:t>
      </w:r>
    </w:p>
    <w:p w14:paraId="11ADBEB6">
      <w:pPr>
        <w:numPr>
          <w:ilvl w:val="0"/>
          <w:numId w:val="1"/>
        </w:num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本工程项目的材料、设备、施工必须达到现行中华人民共和国及省、市、行业的一切有关法规、规范的要求，如标准及规范要求有出入则以较严格者为准。</w:t>
      </w:r>
    </w:p>
    <w:p w14:paraId="64913618">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在合同履行期间，若上述标准或规范有修改或重新颁布，成交供应商应遵照执行。</w:t>
      </w:r>
    </w:p>
    <w:p w14:paraId="0458258B">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规范的获得由承包人自行解决。</w:t>
      </w:r>
    </w:p>
    <w:p w14:paraId="49759984">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095BD129">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5.2安全文明施工要求</w:t>
      </w:r>
    </w:p>
    <w:p w14:paraId="17CBAB0F">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（1）成交供应商应对进度施工现场的施工人员进行安全文明施工教育，配备必要的劳动保护用具，保证工程的施工安全和人身安全。</w:t>
      </w:r>
    </w:p>
    <w:p w14:paraId="61E8E31E">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（2）成交供应商应强化安全意识，抓好安全生产，杜绝事故发生，施工中若因供应商原因发生安全及人身事故由成交供应商自行负责处理，并承担全部费用。</w:t>
      </w:r>
    </w:p>
    <w:p w14:paraId="78961AEF">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（3）成交供应商须遵守地方政府和有关部门及采购人对施工场地交通、环卫、安全和施工噪音等的管理规定，并按规定办理相关审批手续。</w:t>
      </w:r>
    </w:p>
    <w:p w14:paraId="3990FA3C">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（4）成交供应商应采取有效措施尽量减小尘土和噪音污染，需要进行夜间作业时应经有关部门批准。</w:t>
      </w:r>
    </w:p>
    <w:p w14:paraId="5B5AF3B7">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5.3其它施工过程中需注意事项</w:t>
      </w:r>
    </w:p>
    <w:p w14:paraId="07366CC1">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（1）本工程在施工期间，成交供应商应注意保护好采购人周边现有成品，如有损坏，须无条件修复至采购人满意。</w:t>
      </w:r>
    </w:p>
    <w:p w14:paraId="790F2EC0">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（2）废弃材料不得丢弃或随意堆放在校园内，清理产生的拆除费、搬运费、交通运输费等各项费用均由供应商自行考虑并计入响应总价且一次性包干。</w:t>
      </w:r>
    </w:p>
    <w:p w14:paraId="291D3865">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（3）工程完工后，成交供应商需对施工现场进行全面的清洁工作。</w:t>
      </w:r>
    </w:p>
    <w:p w14:paraId="51796B5D">
      <w:pPr>
        <w:spacing w:line="360" w:lineRule="auto"/>
        <w:ind w:left="210" w:leftChars="100"/>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6.工程管理要求</w:t>
      </w:r>
    </w:p>
    <w:p w14:paraId="761D4532">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成交供应商应严格按已确认的施工图纸和施工技术方案组织施工，并无条件地接受采购人对施工质量的监督和管理。施工过程中，成交供应商必须要严格把关，按照相应规范标准要求施工，如出现不符合标准要求的情况，成交供应商必须无条件返工，直至达到规范标准要求。所发生的费用均由成交供应商承担。</w:t>
      </w:r>
    </w:p>
    <w:p w14:paraId="5DA7214A">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成交供应商在响应文件中承诺的管理人员未经采购人同意，承包人不得调换和撤离，并按工程进度及时到位。采购人有权要求承包人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74412C9F">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（3）成交供应商应有详细的工程安全措施和安全组织及配备专职安全负责人的说明和承诺，以确保安全施工。</w:t>
      </w:r>
    </w:p>
    <w:p w14:paraId="62F86417">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（4）电力不足或停电，自备发电机，其费用由成交供应商自行承担。</w:t>
      </w:r>
    </w:p>
    <w:p w14:paraId="6588643D">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）成交供应商在工程施工全过程中要认真做好产品保护。因失窃或失火造成的损失均由成交供应商负责，凡由此而损及采购方利益时，采购方将向成交供应商索赔。</w:t>
      </w:r>
    </w:p>
    <w:p w14:paraId="4DCF514B">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本工程工期较紧，响应文件中须提供详细的技术组织措施，确保按时完工。成交供应商因工程需要进行夜间施工时，应提前告知，得到采购人认可后，方可施工，且要采取措施降低噪音，并做好周围居民的告示和解释工作，以取得谅解，避免产生矛盾和冲突。</w:t>
      </w:r>
    </w:p>
    <w:p w14:paraId="02FBFCDB">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）施工期间，所有施工人员的食宿均由成交供应商自行安排。</w:t>
      </w:r>
    </w:p>
    <w:p w14:paraId="18034AF5">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）本项目须按规范进行垃圾清运，供应商应做好建筑垃圾处置方案（包括并不限于运输方式、总量、计划及时间等）。</w:t>
      </w:r>
    </w:p>
    <w:p w14:paraId="4A77089D">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）工程管理其他要求：</w:t>
      </w:r>
    </w:p>
    <w:p w14:paraId="601DF6D5">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1）本项目施工现场采购人不提供食宿，施工期间，所有施工人员的食宿均由成交供应商自行安排，材料的堆放及停车必须服从采购人的安排。</w:t>
      </w:r>
    </w:p>
    <w:p w14:paraId="0A0D3CD6">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2）成交供应商须满足学校管理的要求、遵守学校的有关管理制度，服从监理的管理和协调，确保施工项目的安全、高效、顺利进行，满足采购人的日常需求，防范消防等安全事件的发生。</w:t>
      </w:r>
    </w:p>
    <w:p w14:paraId="329FCC24">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施工期间，如遇重大的活动、节庆、参观、来访、大型会议等，成交供应商应给予配合，并无条件按采购人要求做好施工现场及其周边的卫生、特殊防护等，必要时需要中断施工等等，均需要由供应商在磋商报价中充分考虑并包含。</w:t>
      </w:r>
    </w:p>
    <w:p w14:paraId="53809776">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4）施工现场严禁吸烟。</w:t>
      </w:r>
    </w:p>
    <w:p w14:paraId="59E9F527">
      <w:pPr>
        <w:spacing w:line="360" w:lineRule="auto"/>
        <w:ind w:left="210" w:leftChars="100"/>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7.工程主要材料（设备）要求</w:t>
      </w:r>
    </w:p>
    <w:p w14:paraId="26D447AF">
      <w:pPr>
        <w:spacing w:line="360" w:lineRule="auto"/>
        <w:ind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（1）本项目涉及的所有材料设备，必须经采购人确认后方能采购、进场、加工、安装。否则一律不予承认，不予支付相应款项。</w:t>
      </w:r>
    </w:p>
    <w:p w14:paraId="66D43D15">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材料规格：本磋商文件涉及的主要设备和材料，各供应商须根据磋商文件及施工图纸要求的用材规格进行选材并报价，并符合环保要求，严禁选择不符合施工图纸要求的低档材料进行响应报价及组织施工实施，如有其它国家强制性认证要求的也必须满足。</w:t>
      </w:r>
    </w:p>
    <w:p w14:paraId="7C344C6F">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（3）本项目主要材料品牌要求（如有）详见“工程量清单编制总说明”。除磋商文件明确的品牌外，欢迎其他能满足本项目技术需求且性能与所明确品牌、型号相当的产品参加。</w:t>
      </w:r>
    </w:p>
    <w:p w14:paraId="378BCB2D">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欢迎采购人推荐品牌同档次及以上品牌（如有）参与投标。供应商应在响应文件中写明各类主要材料（设备）的选用品牌、产地、规格、型号。如供应商没有按磋商文件要求进行选择，或没有明确注明，或所选材料设备的材质、规格、档次与磋商文件要求的存在明显差别，或虽按磋商文件推荐的材料品牌选择但该材料因某种原因停产或其他原因而不能供应的，或虽注明品牌未注明型号、规格的，则实际施工过程中采购人有权在磋商文件推荐的材料品牌范围内自行确定品牌和规格，且磋商价格不予调整。</w:t>
      </w:r>
    </w:p>
    <w:p w14:paraId="584E0D9B">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（5）材料质量要求：</w:t>
      </w:r>
    </w:p>
    <w:p w14:paraId="0B898873">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在免费保修期内，成交供应商对有缺陷的部位必须无偿地给予修理与更换，并承担一切由此引起的对采购人或第三者的直接损失，除非该缺陷是由于人为破坏或合同规定的不可抗力因素造成的损坏（费用在报价中综合考虑）。</w:t>
      </w:r>
    </w:p>
    <w:p w14:paraId="7761AC2E">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14:paraId="56810337">
      <w:pPr>
        <w:spacing w:line="360" w:lineRule="auto"/>
        <w:jc w:val="left"/>
        <w:rPr>
          <w:rFonts w:hint="eastAsia" w:asciiTheme="minorEastAsia" w:hAnsiTheme="minorEastAsia" w:eastAsiaTheme="minorEastAsia" w:cstheme="minorEastAsia"/>
          <w:b/>
          <w:bCs/>
          <w:color w:val="auto"/>
          <w:sz w:val="21"/>
          <w:szCs w:val="21"/>
          <w:highlight w:val="none"/>
        </w:rPr>
      </w:pPr>
    </w:p>
    <w:p w14:paraId="201CFD33">
      <w:pPr>
        <w:spacing w:line="360" w:lineRule="auto"/>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三、商务要求</w:t>
      </w:r>
    </w:p>
    <w:p w14:paraId="444CEC2C">
      <w:pPr>
        <w:spacing w:line="360" w:lineRule="auto"/>
        <w:ind w:left="210" w:leftChars="1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1.工期要求：</w:t>
      </w:r>
      <w:r>
        <w:rPr>
          <w:rFonts w:hint="eastAsia" w:asciiTheme="minorEastAsia" w:hAnsiTheme="minorEastAsia" w:eastAsiaTheme="minorEastAsia" w:cstheme="minorEastAsia"/>
          <w:color w:val="auto"/>
          <w:sz w:val="21"/>
          <w:szCs w:val="21"/>
          <w:highlight w:val="none"/>
          <w:lang w:val="en-US" w:eastAsia="zh-CN"/>
        </w:rPr>
        <w:t>7月6日-8月20日暑期内完工。</w:t>
      </w:r>
    </w:p>
    <w:p w14:paraId="5D4E8A52">
      <w:pPr>
        <w:spacing w:line="360" w:lineRule="auto"/>
        <w:ind w:left="210" w:leftChars="1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2.工程地点：杭州市上城区建国中路36号</w:t>
      </w:r>
    </w:p>
    <w:p w14:paraId="720A21CC">
      <w:pPr>
        <w:spacing w:line="360" w:lineRule="auto"/>
        <w:ind w:left="210" w:leftChars="1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3.付款条件（进度和方式）：</w:t>
      </w:r>
      <w:r>
        <w:rPr>
          <w:rFonts w:hint="eastAsia" w:asciiTheme="minorEastAsia" w:hAnsiTheme="minorEastAsia" w:eastAsiaTheme="minorEastAsia" w:cstheme="minorEastAsia"/>
          <w:color w:val="auto"/>
          <w:sz w:val="21"/>
          <w:szCs w:val="21"/>
          <w:highlight w:val="none"/>
          <w:u w:val="single"/>
        </w:rPr>
        <w:t>详见本磋商文件合同专用条款12.4.1</w:t>
      </w:r>
    </w:p>
    <w:p w14:paraId="3499CC28">
      <w:pPr>
        <w:spacing w:line="360" w:lineRule="auto"/>
        <w:ind w:left="210" w:leftChars="1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4.工程售后服务要求</w:t>
      </w:r>
    </w:p>
    <w:p w14:paraId="7F1E795C">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（1）保修期：按工程质量保修书规定执行，质量保证期为本项目验收合格之日起24个月。</w:t>
      </w:r>
    </w:p>
    <w:p w14:paraId="6ECB11E8">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成交供应商应与采购人签订工程质量保修书，在质量保修期内，按照有关法律、法规、规章的管理规定和双方约定，承担本工程质量保修责任。</w:t>
      </w:r>
    </w:p>
    <w:p w14:paraId="5BFF5A05">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（2）在保修期内，成交供应商对有缺陷的部位必须无偿地给予修理与更换，并承担一切由此引起的对采购人或第三者的直接损失，除人为破坏或合同规定的不可抗因素造成的损坏外。</w:t>
      </w:r>
    </w:p>
    <w:p w14:paraId="0AC10747">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（3）成交供应商必须对所承包的工程的质量负全部责任，其责任不因其他材料生产商提供的保证书而减轻或更改。</w:t>
      </w:r>
    </w:p>
    <w:p w14:paraId="024259EB">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（4）供应商应当在缺陷责任期内局有完善的售后技术支持和服务体系，能够提供服务标准、服务流程、服务内容。</w:t>
      </w:r>
    </w:p>
    <w:p w14:paraId="6B5BDC67">
      <w:pPr>
        <w:spacing w:line="360" w:lineRule="auto"/>
        <w:ind w:left="210" w:leftChars="1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5.其他商务要求（包装和运输、保险等）</w:t>
      </w:r>
    </w:p>
    <w:p w14:paraId="2233787D">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（1）供应商应当将因校园内搬运不便而产生的二次搬运费用计算在磋商报价中，总价包干。</w:t>
      </w:r>
    </w:p>
    <w:p w14:paraId="21ADEAB0">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（2）供应商应当将与本项目有关的农民工工伤保险相关费用计算在磋商报价中，总价包干。</w:t>
      </w:r>
    </w:p>
    <w:p w14:paraId="08D87B84">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为助力打好污染防治攻坚战，推广使用绿色包装，政府采购货物、工程和服务项目中涉及商品包装和快递包装的，施工单位提供产品及相关快递服务的具体包装要求要参考《商品包装政府采购需求标准（试行）》、《快递包装政府采购需求标准（试行）》。</w:t>
      </w:r>
    </w:p>
    <w:p w14:paraId="41321985">
      <w:pPr>
        <w:spacing w:line="360" w:lineRule="auto"/>
        <w:jc w:val="left"/>
        <w:rPr>
          <w:rFonts w:hint="eastAsia" w:asciiTheme="minorEastAsia" w:hAnsiTheme="minorEastAsia" w:eastAsiaTheme="minorEastAsia" w:cstheme="minorEastAsia"/>
          <w:b/>
          <w:bCs/>
          <w:color w:val="auto"/>
          <w:sz w:val="21"/>
          <w:szCs w:val="21"/>
          <w:highlight w:val="none"/>
        </w:rPr>
      </w:pPr>
    </w:p>
    <w:p w14:paraId="2A799A26">
      <w:pPr>
        <w:spacing w:line="360" w:lineRule="auto"/>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五、其他要求</w:t>
      </w:r>
    </w:p>
    <w:p w14:paraId="6C78B407">
      <w:pPr>
        <w:snapToGrid w:val="0"/>
        <w:spacing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（1）各供应商应先到工地踏勘以充分了解工地位置、现状情况、及任何其它足以影响磋商报价的情况，任何因忽视或误解工地情况而导致的行政处罚、索赔或工期延长申请将不获批准。</w:t>
      </w:r>
    </w:p>
    <w:p w14:paraId="7C279480">
      <w:pPr>
        <w:spacing w:line="360" w:lineRule="auto"/>
        <w:ind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（2）因工程施工要求或工程管理要求而产生的各项潜在费用支出均由供应商自行考虑并计入响应总价且一次性包干。</w:t>
      </w:r>
    </w:p>
    <w:p w14:paraId="09D8E902">
      <w:pPr>
        <w:spacing w:line="360" w:lineRule="auto"/>
        <w:ind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本项目采用固定单价，工程量按实结算。供应商所报价格中应包含规费、税金、企业管理费、措施费等国家、省、市强制性要求的费用。若磋商供应商报价不足或未报价，则视作优惠，一旦中标，磋商供应商自行承担该费用。</w:t>
      </w:r>
    </w:p>
    <w:p w14:paraId="7C93557E">
      <w:pPr>
        <w:spacing w:line="360" w:lineRule="auto"/>
        <w:ind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）本项目拆除及垃圾清运费用已纳入工程量清单并单独列项，若磋商供应商报价不足或未报价，则视作优惠，一旦中标，供应商自行承担该费用。</w:t>
      </w:r>
    </w:p>
    <w:p w14:paraId="2C26F500">
      <w:pPr>
        <w:spacing w:line="360" w:lineRule="auto"/>
        <w:ind w:firstLine="422" w:firstLineChars="200"/>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（4）项目人员要求</w:t>
      </w:r>
    </w:p>
    <w:p w14:paraId="37A95436">
      <w:pPr>
        <w:spacing w:line="360" w:lineRule="auto"/>
        <w:ind w:firstLine="422" w:firstLineChars="200"/>
        <w:jc w:val="left"/>
        <w:rPr>
          <w:rFonts w:hint="eastAsia" w:asciiTheme="minorEastAsia" w:hAnsiTheme="minorEastAsia" w:eastAsiaTheme="minorEastAsia" w:cstheme="minorEastAsia"/>
          <w:b/>
          <w:bCs/>
          <w:color w:val="auto"/>
          <w:sz w:val="21"/>
          <w:szCs w:val="21"/>
          <w:highlight w:val="none"/>
          <w:u w:val="single"/>
        </w:rPr>
      </w:pPr>
      <w:r>
        <w:rPr>
          <w:rFonts w:hint="eastAsia" w:asciiTheme="minorEastAsia" w:hAnsiTheme="minorEastAsia" w:eastAsiaTheme="minorEastAsia" w:cstheme="minorEastAsia"/>
          <w:b/>
          <w:bCs/>
          <w:color w:val="auto"/>
          <w:sz w:val="21"/>
          <w:szCs w:val="21"/>
          <w:highlight w:val="none"/>
          <w:u w:val="single"/>
        </w:rPr>
        <w:t>▲1）拟派项目负责人具有建筑工程专业二级及以上建造师资格证书，同时具有有效的安全考核证书B证，且无在建工程；（提供项目经理无在建工程声明函，格式详见第六部分 应提交得有关格式范例）</w:t>
      </w:r>
    </w:p>
    <w:p w14:paraId="01CE4100">
      <w:pPr>
        <w:spacing w:line="360" w:lineRule="auto"/>
        <w:ind w:firstLine="422" w:firstLineChars="20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bCs/>
          <w:color w:val="auto"/>
          <w:sz w:val="21"/>
          <w:szCs w:val="21"/>
          <w:highlight w:val="none"/>
          <w:u w:val="single"/>
        </w:rPr>
        <w:t>▲2）企业主要负责人（法定代表人、企业经理、企业分管安全生产的副经理、企业技术负责人）具有安全生产考核合格证书（A证），企业分管安全生产的副经理须提供企业任命文件，其他负责人必须在响应文件中能体现职务信息。拟派专职安全生产管理人员具有安全生产考核合格证书（C证）。</w:t>
      </w:r>
    </w:p>
    <w:p w14:paraId="2F5C941E">
      <w:pPr>
        <w:spacing w:line="360" w:lineRule="auto"/>
        <w:rPr>
          <w:rFonts w:ascii="宋体" w:hAnsi="宋体" w:cs="宋体"/>
          <w:snapToGrid w:val="0"/>
          <w:color w:val="auto"/>
          <w:kern w:val="0"/>
          <w:sz w:val="24"/>
          <w:highlight w:val="none"/>
        </w:rPr>
      </w:pPr>
    </w:p>
    <w:p w14:paraId="61234D88">
      <w:pPr>
        <w:adjustRightInd/>
        <w:snapToGri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24"/>
          <w:highlight w:val="none"/>
        </w:rPr>
        <w:br w:type="page"/>
      </w:r>
      <w:r>
        <w:rPr>
          <w:rFonts w:hint="eastAsia" w:ascii="宋体" w:hAnsi="宋体" w:eastAsia="宋体" w:cs="宋体"/>
          <w:b/>
          <w:color w:val="auto"/>
          <w:sz w:val="32"/>
          <w:szCs w:val="32"/>
          <w:highlight w:val="none"/>
        </w:rPr>
        <w:t>第四部分</w:t>
      </w:r>
      <w:bookmarkStart w:id="32" w:name="_Toc184308061"/>
      <w:bookmarkEnd w:id="32"/>
      <w:bookmarkStart w:id="33" w:name="_Toc184308059"/>
      <w:bookmarkEnd w:id="33"/>
      <w:bookmarkStart w:id="34" w:name="_Toc184313271"/>
      <w:bookmarkEnd w:id="34"/>
      <w:bookmarkStart w:id="35" w:name="_Toc184312097"/>
      <w:bookmarkEnd w:id="35"/>
      <w:bookmarkStart w:id="36" w:name="_Toc184313261"/>
      <w:bookmarkEnd w:id="36"/>
      <w:bookmarkStart w:id="37" w:name="_Toc184308068"/>
      <w:bookmarkEnd w:id="37"/>
      <w:bookmarkStart w:id="38" w:name="_Toc184314421"/>
      <w:bookmarkEnd w:id="38"/>
      <w:bookmarkStart w:id="39" w:name="_Toc184310298"/>
      <w:bookmarkEnd w:id="39"/>
      <w:bookmarkStart w:id="40" w:name="_Toc184310312"/>
      <w:bookmarkEnd w:id="40"/>
      <w:bookmarkStart w:id="41" w:name="_Toc184310341"/>
      <w:bookmarkEnd w:id="41"/>
      <w:bookmarkStart w:id="42" w:name="_Toc184312099"/>
      <w:bookmarkEnd w:id="42"/>
      <w:bookmarkStart w:id="43" w:name="_Toc184310315"/>
      <w:bookmarkEnd w:id="43"/>
      <w:bookmarkStart w:id="44" w:name="_Toc184310332"/>
      <w:bookmarkEnd w:id="44"/>
      <w:bookmarkStart w:id="45" w:name="_Toc184312128"/>
      <w:bookmarkEnd w:id="45"/>
      <w:bookmarkStart w:id="46" w:name="_Toc184308041"/>
      <w:bookmarkEnd w:id="46"/>
      <w:bookmarkStart w:id="47" w:name="_Toc184313267"/>
      <w:bookmarkEnd w:id="47"/>
      <w:bookmarkStart w:id="48" w:name="_Toc184310292"/>
      <w:bookmarkEnd w:id="48"/>
      <w:bookmarkStart w:id="49" w:name="_Toc184310276"/>
      <w:bookmarkEnd w:id="49"/>
      <w:bookmarkStart w:id="50" w:name="_Toc184312139"/>
      <w:bookmarkEnd w:id="50"/>
      <w:bookmarkStart w:id="51" w:name="_Toc184313289"/>
      <w:bookmarkEnd w:id="51"/>
      <w:bookmarkStart w:id="52" w:name="_Toc184308058"/>
      <w:bookmarkEnd w:id="52"/>
      <w:bookmarkStart w:id="53" w:name="_Toc184310314"/>
      <w:bookmarkEnd w:id="53"/>
      <w:bookmarkStart w:id="54" w:name="_Toc184313309"/>
      <w:bookmarkEnd w:id="54"/>
      <w:bookmarkStart w:id="55" w:name="_Toc184314479"/>
      <w:bookmarkEnd w:id="55"/>
      <w:bookmarkStart w:id="56" w:name="_Toc184313303"/>
      <w:bookmarkEnd w:id="56"/>
      <w:bookmarkStart w:id="57" w:name="_Toc184310297"/>
      <w:bookmarkEnd w:id="57"/>
      <w:bookmarkStart w:id="58" w:name="_Toc184312117"/>
      <w:bookmarkEnd w:id="58"/>
      <w:bookmarkStart w:id="59" w:name="_Toc184314465"/>
      <w:bookmarkEnd w:id="59"/>
      <w:bookmarkStart w:id="60" w:name="_Toc184308044"/>
      <w:bookmarkEnd w:id="60"/>
      <w:bookmarkStart w:id="61" w:name="_Toc184313279"/>
      <w:bookmarkEnd w:id="61"/>
      <w:bookmarkStart w:id="62" w:name="_Toc184310320"/>
      <w:bookmarkEnd w:id="62"/>
      <w:bookmarkStart w:id="63" w:name="_Toc184312133"/>
      <w:bookmarkEnd w:id="63"/>
      <w:bookmarkStart w:id="64" w:name="_Toc184310326"/>
      <w:bookmarkEnd w:id="64"/>
      <w:bookmarkStart w:id="65" w:name="_Toc184308100"/>
      <w:bookmarkEnd w:id="65"/>
      <w:bookmarkStart w:id="66" w:name="_Toc184308043"/>
      <w:bookmarkEnd w:id="66"/>
      <w:bookmarkStart w:id="67" w:name="_Toc184314422"/>
      <w:bookmarkEnd w:id="67"/>
      <w:bookmarkStart w:id="68" w:name="_Toc184312124"/>
      <w:bookmarkEnd w:id="68"/>
      <w:bookmarkStart w:id="69" w:name="_Toc184313273"/>
      <w:bookmarkEnd w:id="69"/>
      <w:bookmarkStart w:id="70" w:name="_Toc184313248"/>
      <w:bookmarkEnd w:id="70"/>
      <w:bookmarkStart w:id="71" w:name="_Toc184308045"/>
      <w:bookmarkEnd w:id="71"/>
      <w:bookmarkStart w:id="72" w:name="_Toc184314415"/>
      <w:bookmarkEnd w:id="72"/>
      <w:bookmarkStart w:id="73" w:name="_Toc184310333"/>
      <w:bookmarkEnd w:id="73"/>
      <w:bookmarkStart w:id="74" w:name="_Toc184312075"/>
      <w:bookmarkEnd w:id="74"/>
      <w:bookmarkStart w:id="75" w:name="_Toc184312076"/>
      <w:bookmarkEnd w:id="75"/>
      <w:bookmarkStart w:id="76" w:name="_Toc184310309"/>
      <w:bookmarkEnd w:id="76"/>
      <w:bookmarkStart w:id="77" w:name="_Toc184312079"/>
      <w:bookmarkEnd w:id="77"/>
      <w:bookmarkStart w:id="78" w:name="_Toc184313250"/>
      <w:bookmarkEnd w:id="78"/>
      <w:bookmarkStart w:id="79" w:name="_Toc184313287"/>
      <w:bookmarkEnd w:id="79"/>
      <w:bookmarkStart w:id="80" w:name="_Toc184308083"/>
      <w:bookmarkEnd w:id="80"/>
      <w:bookmarkStart w:id="81" w:name="_Toc184313284"/>
      <w:bookmarkEnd w:id="81"/>
      <w:bookmarkStart w:id="82" w:name="_Toc184310275"/>
      <w:bookmarkEnd w:id="82"/>
      <w:bookmarkStart w:id="83" w:name="_Toc184308095"/>
      <w:bookmarkEnd w:id="83"/>
      <w:bookmarkStart w:id="84" w:name="_Toc184312123"/>
      <w:bookmarkEnd w:id="84"/>
      <w:bookmarkStart w:id="85" w:name="_Toc184313259"/>
      <w:bookmarkEnd w:id="85"/>
      <w:bookmarkStart w:id="86" w:name="_Toc184314414"/>
      <w:bookmarkEnd w:id="86"/>
      <w:bookmarkStart w:id="87" w:name="_Toc184312136"/>
      <w:bookmarkEnd w:id="87"/>
      <w:bookmarkStart w:id="88" w:name="_Toc184313310"/>
      <w:bookmarkEnd w:id="88"/>
      <w:bookmarkStart w:id="89" w:name="_Toc184308101"/>
      <w:bookmarkEnd w:id="89"/>
      <w:bookmarkStart w:id="90" w:name="_Toc184314468"/>
      <w:bookmarkEnd w:id="90"/>
      <w:bookmarkStart w:id="91" w:name="_Toc184310323"/>
      <w:bookmarkEnd w:id="91"/>
      <w:bookmarkStart w:id="92" w:name="_Toc184310288"/>
      <w:bookmarkEnd w:id="92"/>
      <w:bookmarkStart w:id="93" w:name="_Toc184310280"/>
      <w:bookmarkEnd w:id="93"/>
      <w:bookmarkStart w:id="94" w:name="_Toc184312073"/>
      <w:bookmarkEnd w:id="94"/>
      <w:bookmarkStart w:id="95" w:name="_Toc184314481"/>
      <w:bookmarkEnd w:id="95"/>
      <w:bookmarkStart w:id="96" w:name="_Toc184308089"/>
      <w:bookmarkEnd w:id="96"/>
      <w:bookmarkStart w:id="97" w:name="_Toc184312086"/>
      <w:bookmarkEnd w:id="97"/>
      <w:bookmarkStart w:id="98" w:name="_Toc184312098"/>
      <w:bookmarkEnd w:id="98"/>
      <w:bookmarkStart w:id="99" w:name="_Toc184308103"/>
      <w:bookmarkEnd w:id="99"/>
      <w:bookmarkStart w:id="100" w:name="_Toc184312121"/>
      <w:bookmarkEnd w:id="100"/>
      <w:bookmarkStart w:id="101" w:name="_Toc184314436"/>
      <w:bookmarkEnd w:id="101"/>
      <w:bookmarkStart w:id="102" w:name="_Toc184313296"/>
      <w:bookmarkEnd w:id="102"/>
      <w:bookmarkStart w:id="103" w:name="_Toc184312132"/>
      <w:bookmarkEnd w:id="103"/>
      <w:bookmarkStart w:id="104" w:name="_Toc184313295"/>
      <w:bookmarkEnd w:id="104"/>
      <w:bookmarkStart w:id="105" w:name="_Toc184308065"/>
      <w:bookmarkEnd w:id="105"/>
      <w:bookmarkStart w:id="106" w:name="_Toc184310278"/>
      <w:bookmarkEnd w:id="106"/>
      <w:bookmarkStart w:id="107" w:name="_Toc184313240"/>
      <w:bookmarkEnd w:id="107"/>
      <w:bookmarkStart w:id="108" w:name="_Toc184312103"/>
      <w:bookmarkEnd w:id="108"/>
      <w:bookmarkStart w:id="109" w:name="_Toc184314445"/>
      <w:bookmarkEnd w:id="109"/>
      <w:bookmarkStart w:id="110" w:name="_Toc184308056"/>
      <w:bookmarkEnd w:id="110"/>
      <w:bookmarkStart w:id="111" w:name="_Toc184314475"/>
      <w:bookmarkEnd w:id="111"/>
      <w:bookmarkStart w:id="112" w:name="_Toc184313247"/>
      <w:bookmarkEnd w:id="112"/>
      <w:bookmarkStart w:id="113" w:name="_Toc184314428"/>
      <w:bookmarkEnd w:id="113"/>
      <w:bookmarkStart w:id="114" w:name="_Toc184312102"/>
      <w:bookmarkEnd w:id="114"/>
      <w:bookmarkStart w:id="115" w:name="_Toc184314472"/>
      <w:bookmarkEnd w:id="115"/>
      <w:bookmarkStart w:id="116" w:name="_Toc184312080"/>
      <w:bookmarkEnd w:id="116"/>
      <w:bookmarkStart w:id="117" w:name="_Toc184314424"/>
      <w:bookmarkEnd w:id="117"/>
      <w:bookmarkStart w:id="118" w:name="_Toc184308050"/>
      <w:bookmarkEnd w:id="118"/>
      <w:bookmarkStart w:id="119" w:name="_Toc184313278"/>
      <w:bookmarkEnd w:id="119"/>
      <w:bookmarkStart w:id="120" w:name="_Toc184313272"/>
      <w:bookmarkEnd w:id="120"/>
      <w:bookmarkStart w:id="121" w:name="_Toc184313280"/>
      <w:bookmarkEnd w:id="121"/>
      <w:bookmarkStart w:id="122" w:name="_Toc184313251"/>
      <w:bookmarkEnd w:id="122"/>
      <w:bookmarkStart w:id="123" w:name="_Toc184308078"/>
      <w:bookmarkEnd w:id="123"/>
      <w:bookmarkStart w:id="124" w:name="_Toc184313249"/>
      <w:bookmarkEnd w:id="124"/>
      <w:bookmarkStart w:id="125" w:name="_Toc184314456"/>
      <w:bookmarkEnd w:id="125"/>
      <w:bookmarkStart w:id="126" w:name="_Toc184313298"/>
      <w:bookmarkEnd w:id="126"/>
      <w:bookmarkStart w:id="127" w:name="_Toc184314447"/>
      <w:bookmarkEnd w:id="127"/>
      <w:bookmarkStart w:id="128" w:name="_Toc184308046"/>
      <w:bookmarkEnd w:id="128"/>
      <w:bookmarkStart w:id="129" w:name="_Toc184313258"/>
      <w:bookmarkEnd w:id="129"/>
      <w:bookmarkStart w:id="130" w:name="_Toc184314442"/>
      <w:bookmarkEnd w:id="130"/>
      <w:bookmarkStart w:id="131" w:name="_Toc184312101"/>
      <w:bookmarkEnd w:id="131"/>
      <w:bookmarkStart w:id="132" w:name="_Toc184313291"/>
      <w:bookmarkEnd w:id="132"/>
      <w:bookmarkStart w:id="133" w:name="_Toc184313286"/>
      <w:bookmarkEnd w:id="133"/>
      <w:bookmarkStart w:id="134" w:name="_Toc184313285"/>
      <w:bookmarkEnd w:id="134"/>
      <w:bookmarkStart w:id="135" w:name="_Toc184308088"/>
      <w:bookmarkEnd w:id="135"/>
      <w:bookmarkStart w:id="136" w:name="_Toc184312127"/>
      <w:bookmarkEnd w:id="136"/>
      <w:bookmarkStart w:id="137" w:name="_Toc184310344"/>
      <w:bookmarkEnd w:id="137"/>
      <w:bookmarkStart w:id="138" w:name="_Toc184313269"/>
      <w:bookmarkEnd w:id="138"/>
      <w:bookmarkStart w:id="139" w:name="_Toc184310305"/>
      <w:bookmarkEnd w:id="139"/>
      <w:bookmarkStart w:id="140" w:name="_Toc184312071"/>
      <w:bookmarkEnd w:id="140"/>
      <w:bookmarkStart w:id="141" w:name="_Toc184314461"/>
      <w:bookmarkEnd w:id="141"/>
      <w:bookmarkStart w:id="142" w:name="_Toc184308060"/>
      <w:bookmarkEnd w:id="142"/>
      <w:bookmarkStart w:id="143" w:name="_Toc184314430"/>
      <w:bookmarkEnd w:id="143"/>
      <w:bookmarkStart w:id="144" w:name="_Toc184312109"/>
      <w:bookmarkEnd w:id="144"/>
      <w:bookmarkStart w:id="145" w:name="_Toc184308084"/>
      <w:bookmarkEnd w:id="145"/>
      <w:bookmarkStart w:id="146" w:name="_Toc184313268"/>
      <w:bookmarkEnd w:id="146"/>
      <w:bookmarkStart w:id="147" w:name="_Toc184310293"/>
      <w:bookmarkEnd w:id="147"/>
      <w:bookmarkStart w:id="148" w:name="_Toc184308063"/>
      <w:bookmarkEnd w:id="148"/>
      <w:bookmarkStart w:id="149" w:name="_Toc184314451"/>
      <w:bookmarkEnd w:id="149"/>
      <w:bookmarkStart w:id="150" w:name="_Toc184308077"/>
      <w:bookmarkEnd w:id="150"/>
      <w:bookmarkStart w:id="151" w:name="_Toc184308039"/>
      <w:bookmarkEnd w:id="151"/>
      <w:bookmarkStart w:id="152" w:name="_Toc184314438"/>
      <w:bookmarkEnd w:id="152"/>
      <w:bookmarkStart w:id="153" w:name="_Toc184313306"/>
      <w:bookmarkEnd w:id="153"/>
      <w:bookmarkStart w:id="154" w:name="_Toc184312104"/>
      <w:bookmarkEnd w:id="154"/>
      <w:bookmarkStart w:id="155" w:name="_Toc184313308"/>
      <w:bookmarkEnd w:id="155"/>
      <w:bookmarkStart w:id="156" w:name="_Toc184308036"/>
      <w:bookmarkEnd w:id="156"/>
      <w:bookmarkStart w:id="157" w:name="_Toc184312074"/>
      <w:bookmarkEnd w:id="157"/>
      <w:bookmarkStart w:id="158" w:name="_Toc184313297"/>
      <w:bookmarkEnd w:id="158"/>
      <w:bookmarkStart w:id="159" w:name="_Toc184313293"/>
      <w:bookmarkEnd w:id="159"/>
      <w:bookmarkStart w:id="160" w:name="_Toc184314467"/>
      <w:bookmarkEnd w:id="160"/>
      <w:bookmarkStart w:id="161" w:name="_Toc184314471"/>
      <w:bookmarkEnd w:id="161"/>
      <w:bookmarkStart w:id="162" w:name="_Toc184308064"/>
      <w:bookmarkEnd w:id="162"/>
      <w:bookmarkStart w:id="163" w:name="_Toc184308048"/>
      <w:bookmarkEnd w:id="163"/>
      <w:bookmarkStart w:id="164" w:name="_Toc184312082"/>
      <w:bookmarkEnd w:id="164"/>
      <w:bookmarkStart w:id="165" w:name="_Toc184314452"/>
      <w:bookmarkEnd w:id="165"/>
      <w:bookmarkStart w:id="166" w:name="_Toc184312092"/>
      <w:bookmarkEnd w:id="166"/>
      <w:bookmarkStart w:id="167" w:name="_Toc184308057"/>
      <w:bookmarkEnd w:id="167"/>
      <w:bookmarkStart w:id="168" w:name="_Toc184312114"/>
      <w:bookmarkEnd w:id="168"/>
      <w:bookmarkStart w:id="169" w:name="_Toc184314460"/>
      <w:bookmarkEnd w:id="169"/>
      <w:bookmarkStart w:id="170" w:name="_Toc184313274"/>
      <w:bookmarkEnd w:id="170"/>
      <w:bookmarkStart w:id="171" w:name="_Toc184313239"/>
      <w:bookmarkEnd w:id="171"/>
      <w:bookmarkStart w:id="172" w:name="_Toc184312081"/>
      <w:bookmarkEnd w:id="172"/>
      <w:bookmarkStart w:id="173" w:name="_Toc184308073"/>
      <w:bookmarkEnd w:id="173"/>
      <w:bookmarkStart w:id="174" w:name="_Toc184308105"/>
      <w:bookmarkEnd w:id="174"/>
      <w:bookmarkStart w:id="175" w:name="_Toc184312118"/>
      <w:bookmarkEnd w:id="175"/>
      <w:bookmarkStart w:id="176" w:name="_Toc184308097"/>
      <w:bookmarkEnd w:id="176"/>
      <w:bookmarkStart w:id="177" w:name="_Toc184312106"/>
      <w:bookmarkEnd w:id="177"/>
      <w:bookmarkStart w:id="178" w:name="_Toc184313254"/>
      <w:bookmarkEnd w:id="178"/>
      <w:bookmarkStart w:id="179" w:name="_Toc184310316"/>
      <w:bookmarkEnd w:id="179"/>
      <w:bookmarkStart w:id="180" w:name="_Toc184310300"/>
      <w:bookmarkEnd w:id="180"/>
      <w:bookmarkStart w:id="181" w:name="_Toc184310338"/>
      <w:bookmarkEnd w:id="181"/>
      <w:bookmarkStart w:id="182" w:name="_Toc184313304"/>
      <w:bookmarkEnd w:id="182"/>
      <w:bookmarkStart w:id="183" w:name="_Toc184312093"/>
      <w:bookmarkEnd w:id="183"/>
      <w:bookmarkStart w:id="184" w:name="_Toc184312130"/>
      <w:bookmarkEnd w:id="184"/>
      <w:bookmarkStart w:id="185" w:name="_Toc184310322"/>
      <w:bookmarkEnd w:id="185"/>
      <w:bookmarkStart w:id="186" w:name="_Toc184312078"/>
      <w:bookmarkEnd w:id="186"/>
      <w:bookmarkStart w:id="187" w:name="_Toc184312077"/>
      <w:bookmarkEnd w:id="187"/>
      <w:bookmarkStart w:id="188" w:name="_Toc184314429"/>
      <w:bookmarkEnd w:id="188"/>
      <w:bookmarkStart w:id="189" w:name="_Toc184312125"/>
      <w:bookmarkEnd w:id="189"/>
      <w:bookmarkStart w:id="190" w:name="_Toc184308067"/>
      <w:bookmarkEnd w:id="190"/>
      <w:bookmarkStart w:id="191" w:name="_Toc184313245"/>
      <w:bookmarkEnd w:id="191"/>
      <w:bookmarkStart w:id="192" w:name="_Toc184312135"/>
      <w:bookmarkEnd w:id="192"/>
      <w:bookmarkStart w:id="193" w:name="_Toc184314434"/>
      <w:bookmarkEnd w:id="193"/>
      <w:bookmarkStart w:id="194" w:name="_Toc184314432"/>
      <w:bookmarkEnd w:id="194"/>
      <w:bookmarkStart w:id="195" w:name="_Toc184310291"/>
      <w:bookmarkEnd w:id="195"/>
      <w:bookmarkStart w:id="196" w:name="_Toc184308099"/>
      <w:bookmarkEnd w:id="196"/>
      <w:bookmarkStart w:id="197" w:name="_Toc184314426"/>
      <w:bookmarkEnd w:id="197"/>
      <w:bookmarkStart w:id="198" w:name="_Toc184310327"/>
      <w:bookmarkEnd w:id="198"/>
      <w:bookmarkStart w:id="199" w:name="_Toc184308107"/>
      <w:bookmarkEnd w:id="199"/>
      <w:bookmarkStart w:id="200" w:name="_Toc184310330"/>
      <w:bookmarkEnd w:id="200"/>
      <w:bookmarkStart w:id="201" w:name="_Toc184308074"/>
      <w:bookmarkEnd w:id="201"/>
      <w:bookmarkStart w:id="202" w:name="_Toc184313242"/>
      <w:bookmarkEnd w:id="202"/>
      <w:bookmarkStart w:id="203" w:name="_Toc184308092"/>
      <w:bookmarkEnd w:id="203"/>
      <w:bookmarkStart w:id="204" w:name="_Toc184312089"/>
      <w:bookmarkEnd w:id="204"/>
      <w:bookmarkStart w:id="205" w:name="_Toc184308081"/>
      <w:bookmarkEnd w:id="205"/>
      <w:bookmarkStart w:id="206" w:name="_Toc184308086"/>
      <w:bookmarkEnd w:id="206"/>
      <w:bookmarkStart w:id="207" w:name="_Toc184314433"/>
      <w:bookmarkEnd w:id="207"/>
      <w:bookmarkStart w:id="208" w:name="_Toc184310299"/>
      <w:bookmarkEnd w:id="208"/>
      <w:bookmarkStart w:id="209" w:name="_Toc184314450"/>
      <w:bookmarkEnd w:id="209"/>
      <w:bookmarkStart w:id="210" w:name="_Toc184312107"/>
      <w:bookmarkEnd w:id="210"/>
      <w:bookmarkStart w:id="211" w:name="_Toc184312110"/>
      <w:bookmarkEnd w:id="211"/>
      <w:bookmarkStart w:id="212" w:name="_Toc184314448"/>
      <w:bookmarkEnd w:id="212"/>
      <w:bookmarkStart w:id="213" w:name="_Toc184308096"/>
      <w:bookmarkEnd w:id="213"/>
      <w:bookmarkStart w:id="214" w:name="_Toc184314458"/>
      <w:bookmarkEnd w:id="214"/>
      <w:bookmarkStart w:id="215" w:name="_Toc184313265"/>
      <w:bookmarkEnd w:id="215"/>
      <w:bookmarkStart w:id="216" w:name="_Toc184314453"/>
      <w:bookmarkEnd w:id="216"/>
      <w:bookmarkStart w:id="217" w:name="_Toc184312120"/>
      <w:bookmarkEnd w:id="217"/>
      <w:bookmarkStart w:id="218" w:name="_Toc184312095"/>
      <w:bookmarkEnd w:id="218"/>
      <w:bookmarkStart w:id="219" w:name="_Toc184312138"/>
      <w:bookmarkEnd w:id="219"/>
      <w:bookmarkStart w:id="220" w:name="_Toc184310281"/>
      <w:bookmarkEnd w:id="220"/>
      <w:bookmarkStart w:id="221" w:name="_Toc184313294"/>
      <w:bookmarkEnd w:id="221"/>
      <w:bookmarkStart w:id="222" w:name="_Toc184308049"/>
      <w:bookmarkEnd w:id="222"/>
      <w:bookmarkStart w:id="223" w:name="_Toc184312111"/>
      <w:bookmarkEnd w:id="223"/>
      <w:bookmarkStart w:id="224" w:name="_Toc184314449"/>
      <w:bookmarkEnd w:id="224"/>
      <w:bookmarkStart w:id="225" w:name="_Toc184312084"/>
      <w:bookmarkEnd w:id="225"/>
      <w:bookmarkStart w:id="226" w:name="_Toc184312070"/>
      <w:bookmarkEnd w:id="226"/>
      <w:bookmarkStart w:id="227" w:name="_Toc184313290"/>
      <w:bookmarkEnd w:id="227"/>
      <w:bookmarkStart w:id="228" w:name="_Toc184312087"/>
      <w:bookmarkEnd w:id="228"/>
      <w:bookmarkStart w:id="229" w:name="_Toc184310329"/>
      <w:bookmarkEnd w:id="229"/>
      <w:bookmarkStart w:id="230" w:name="_Toc184308087"/>
      <w:bookmarkEnd w:id="230"/>
      <w:bookmarkStart w:id="231" w:name="_Toc184314411"/>
      <w:bookmarkEnd w:id="231"/>
      <w:bookmarkStart w:id="232" w:name="_Toc184310328"/>
      <w:bookmarkEnd w:id="232"/>
      <w:bookmarkStart w:id="233" w:name="_Toc184314413"/>
      <w:bookmarkEnd w:id="233"/>
      <w:bookmarkStart w:id="234" w:name="_Toc184310313"/>
      <w:bookmarkEnd w:id="234"/>
      <w:bookmarkStart w:id="235" w:name="_Toc184312067"/>
      <w:bookmarkEnd w:id="235"/>
      <w:bookmarkStart w:id="236" w:name="_Toc184312137"/>
      <w:bookmarkEnd w:id="236"/>
      <w:bookmarkStart w:id="237" w:name="_Toc184313252"/>
      <w:bookmarkEnd w:id="237"/>
      <w:bookmarkStart w:id="238" w:name="_Toc184308102"/>
      <w:bookmarkEnd w:id="238"/>
      <w:bookmarkStart w:id="239" w:name="_Toc184313263"/>
      <w:bookmarkEnd w:id="239"/>
      <w:bookmarkStart w:id="240" w:name="_Toc184313276"/>
      <w:bookmarkEnd w:id="240"/>
      <w:bookmarkStart w:id="241" w:name="_Toc184308106"/>
      <w:bookmarkEnd w:id="241"/>
      <w:bookmarkStart w:id="242" w:name="_Toc184312091"/>
      <w:bookmarkEnd w:id="242"/>
      <w:bookmarkStart w:id="243" w:name="_Toc184308055"/>
      <w:bookmarkEnd w:id="243"/>
      <w:bookmarkStart w:id="244" w:name="_Toc184310303"/>
      <w:bookmarkEnd w:id="244"/>
      <w:bookmarkStart w:id="245" w:name="_Toc184312115"/>
      <w:bookmarkEnd w:id="245"/>
      <w:bookmarkStart w:id="246" w:name="_Toc184312085"/>
      <w:bookmarkEnd w:id="246"/>
      <w:bookmarkStart w:id="247" w:name="_Toc184308071"/>
      <w:bookmarkEnd w:id="247"/>
      <w:bookmarkStart w:id="248" w:name="_Toc184310334"/>
      <w:bookmarkEnd w:id="248"/>
      <w:bookmarkStart w:id="249" w:name="_Toc184310325"/>
      <w:bookmarkEnd w:id="249"/>
      <w:bookmarkStart w:id="250" w:name="_Toc184310301"/>
      <w:bookmarkEnd w:id="250"/>
      <w:bookmarkStart w:id="251" w:name="_Toc184314462"/>
      <w:bookmarkEnd w:id="251"/>
      <w:bookmarkStart w:id="252" w:name="_Toc184312069"/>
      <w:bookmarkEnd w:id="252"/>
      <w:bookmarkStart w:id="253" w:name="_Toc184310331"/>
      <w:bookmarkEnd w:id="253"/>
      <w:bookmarkStart w:id="254" w:name="_Toc184314480"/>
      <w:bookmarkEnd w:id="254"/>
      <w:bookmarkStart w:id="255" w:name="_Toc184314473"/>
      <w:bookmarkEnd w:id="255"/>
      <w:bookmarkStart w:id="256" w:name="_Toc184310310"/>
      <w:bookmarkEnd w:id="256"/>
      <w:bookmarkStart w:id="257" w:name="_Toc184312113"/>
      <w:bookmarkEnd w:id="257"/>
      <w:bookmarkStart w:id="258" w:name="_Toc184314464"/>
      <w:bookmarkEnd w:id="258"/>
      <w:bookmarkStart w:id="259" w:name="_Toc184313262"/>
      <w:bookmarkEnd w:id="259"/>
      <w:bookmarkStart w:id="260" w:name="_Toc184308072"/>
      <w:bookmarkEnd w:id="260"/>
      <w:bookmarkStart w:id="261" w:name="_Toc184308093"/>
      <w:bookmarkEnd w:id="261"/>
      <w:bookmarkStart w:id="262" w:name="_Toc184310285"/>
      <w:bookmarkEnd w:id="262"/>
      <w:bookmarkStart w:id="263" w:name="_Toc184314412"/>
      <w:bookmarkEnd w:id="263"/>
      <w:bookmarkStart w:id="264" w:name="_Toc184314469"/>
      <w:bookmarkEnd w:id="264"/>
      <w:bookmarkStart w:id="265" w:name="_Toc184310273"/>
      <w:bookmarkEnd w:id="265"/>
      <w:bookmarkStart w:id="266" w:name="_Toc184312131"/>
      <w:bookmarkEnd w:id="266"/>
      <w:bookmarkStart w:id="267" w:name="_Toc184308051"/>
      <w:bookmarkEnd w:id="267"/>
      <w:bookmarkStart w:id="268" w:name="_Toc184310339"/>
      <w:bookmarkEnd w:id="268"/>
      <w:bookmarkStart w:id="269" w:name="_Toc184313288"/>
      <w:bookmarkEnd w:id="269"/>
      <w:bookmarkStart w:id="270" w:name="_Toc184310311"/>
      <w:bookmarkEnd w:id="270"/>
      <w:bookmarkStart w:id="271" w:name="_Toc184314423"/>
      <w:bookmarkEnd w:id="271"/>
      <w:bookmarkStart w:id="272" w:name="_Toc184314466"/>
      <w:bookmarkEnd w:id="272"/>
      <w:bookmarkStart w:id="273" w:name="_Toc184313256"/>
      <w:bookmarkEnd w:id="273"/>
      <w:bookmarkStart w:id="274" w:name="_Toc184314416"/>
      <w:bookmarkEnd w:id="274"/>
      <w:bookmarkStart w:id="275" w:name="_Toc184308062"/>
      <w:bookmarkEnd w:id="275"/>
      <w:bookmarkStart w:id="276" w:name="_Toc184314417"/>
      <w:bookmarkEnd w:id="276"/>
      <w:bookmarkStart w:id="277" w:name="_Toc184308038"/>
      <w:bookmarkEnd w:id="277"/>
      <w:bookmarkStart w:id="278" w:name="_Toc184314439"/>
      <w:bookmarkEnd w:id="278"/>
      <w:bookmarkStart w:id="279" w:name="_Toc184314454"/>
      <w:bookmarkEnd w:id="279"/>
      <w:bookmarkStart w:id="280" w:name="_Toc184314440"/>
      <w:bookmarkEnd w:id="280"/>
      <w:bookmarkStart w:id="281" w:name="_Toc184308082"/>
      <w:bookmarkEnd w:id="281"/>
      <w:bookmarkStart w:id="282" w:name="_Toc184313244"/>
      <w:bookmarkEnd w:id="282"/>
      <w:bookmarkStart w:id="283" w:name="_Toc184308094"/>
      <w:bookmarkEnd w:id="283"/>
      <w:bookmarkStart w:id="284" w:name="_Toc184310290"/>
      <w:bookmarkEnd w:id="284"/>
      <w:bookmarkStart w:id="285" w:name="_Toc184310283"/>
      <w:bookmarkEnd w:id="285"/>
      <w:bookmarkStart w:id="286" w:name="_Toc184308054"/>
      <w:bookmarkEnd w:id="286"/>
      <w:bookmarkStart w:id="287" w:name="_Toc184312100"/>
      <w:bookmarkEnd w:id="287"/>
      <w:bookmarkStart w:id="288" w:name="_Toc184308070"/>
      <w:bookmarkEnd w:id="288"/>
      <w:bookmarkStart w:id="289" w:name="_Toc184310287"/>
      <w:bookmarkEnd w:id="289"/>
      <w:bookmarkStart w:id="290" w:name="_Toc184314410"/>
      <w:bookmarkEnd w:id="290"/>
      <w:bookmarkStart w:id="291" w:name="_Toc184310296"/>
      <w:bookmarkEnd w:id="291"/>
      <w:bookmarkStart w:id="292" w:name="_Toc184310304"/>
      <w:bookmarkEnd w:id="292"/>
      <w:bookmarkStart w:id="293" w:name="_Toc184308091"/>
      <w:bookmarkEnd w:id="293"/>
      <w:bookmarkStart w:id="294" w:name="_Toc184313300"/>
      <w:bookmarkEnd w:id="294"/>
      <w:bookmarkStart w:id="295" w:name="_Toc184312083"/>
      <w:bookmarkEnd w:id="295"/>
      <w:bookmarkStart w:id="296" w:name="_Toc184314477"/>
      <w:bookmarkEnd w:id="296"/>
      <w:bookmarkStart w:id="297" w:name="_Toc184313255"/>
      <w:bookmarkEnd w:id="297"/>
      <w:bookmarkStart w:id="298" w:name="_Toc184312072"/>
      <w:bookmarkEnd w:id="298"/>
      <w:bookmarkStart w:id="299" w:name="_Toc184312090"/>
      <w:bookmarkEnd w:id="299"/>
      <w:bookmarkStart w:id="300" w:name="_Toc184312126"/>
      <w:bookmarkEnd w:id="300"/>
      <w:bookmarkStart w:id="301" w:name="_Toc184313283"/>
      <w:bookmarkEnd w:id="301"/>
      <w:bookmarkStart w:id="302" w:name="_Toc184313299"/>
      <w:bookmarkEnd w:id="302"/>
      <w:bookmarkStart w:id="303" w:name="_Toc184314420"/>
      <w:bookmarkEnd w:id="303"/>
      <w:bookmarkStart w:id="304" w:name="_Toc184313243"/>
      <w:bookmarkEnd w:id="304"/>
      <w:bookmarkStart w:id="305" w:name="_Toc184313307"/>
      <w:bookmarkEnd w:id="305"/>
      <w:bookmarkStart w:id="306" w:name="_Toc184310277"/>
      <w:bookmarkEnd w:id="306"/>
      <w:bookmarkStart w:id="307" w:name="_Toc184310284"/>
      <w:bookmarkEnd w:id="307"/>
      <w:bookmarkStart w:id="308" w:name="_Toc184312105"/>
      <w:bookmarkEnd w:id="308"/>
      <w:bookmarkStart w:id="309" w:name="_Toc184308079"/>
      <w:bookmarkEnd w:id="309"/>
      <w:bookmarkStart w:id="310" w:name="_Toc184314427"/>
      <w:bookmarkEnd w:id="310"/>
      <w:bookmarkStart w:id="311" w:name="_Toc184313282"/>
      <w:bookmarkEnd w:id="311"/>
      <w:bookmarkStart w:id="312" w:name="_Toc184310302"/>
      <w:bookmarkEnd w:id="312"/>
      <w:bookmarkStart w:id="313" w:name="_Toc184308053"/>
      <w:bookmarkEnd w:id="313"/>
      <w:bookmarkStart w:id="314" w:name="_Toc184310308"/>
      <w:bookmarkEnd w:id="314"/>
      <w:bookmarkStart w:id="315" w:name="_Toc184314476"/>
      <w:bookmarkEnd w:id="315"/>
      <w:bookmarkStart w:id="316" w:name="_Toc184312108"/>
      <w:bookmarkEnd w:id="316"/>
      <w:bookmarkStart w:id="317" w:name="_Toc184310286"/>
      <w:bookmarkEnd w:id="317"/>
      <w:bookmarkStart w:id="318" w:name="_Toc184308090"/>
      <w:bookmarkEnd w:id="318"/>
      <w:bookmarkStart w:id="319" w:name="_Toc184310319"/>
      <w:bookmarkEnd w:id="319"/>
      <w:bookmarkStart w:id="320" w:name="_Toc184308076"/>
      <w:bookmarkEnd w:id="320"/>
      <w:bookmarkStart w:id="321" w:name="_Toc184308069"/>
      <w:bookmarkEnd w:id="321"/>
      <w:bookmarkStart w:id="322" w:name="_Toc184310306"/>
      <w:bookmarkEnd w:id="322"/>
      <w:bookmarkStart w:id="323" w:name="_Toc184310343"/>
      <w:bookmarkEnd w:id="323"/>
      <w:bookmarkStart w:id="324" w:name="_Toc184310318"/>
      <w:bookmarkEnd w:id="324"/>
      <w:bookmarkStart w:id="325" w:name="_Toc184308075"/>
      <w:bookmarkEnd w:id="325"/>
      <w:bookmarkStart w:id="326" w:name="_Toc184312119"/>
      <w:bookmarkEnd w:id="326"/>
      <w:bookmarkStart w:id="327" w:name="_Toc184312134"/>
      <w:bookmarkEnd w:id="327"/>
      <w:bookmarkStart w:id="328" w:name="_Toc184310337"/>
      <w:bookmarkEnd w:id="328"/>
      <w:bookmarkStart w:id="329" w:name="_Toc184313292"/>
      <w:bookmarkEnd w:id="329"/>
      <w:bookmarkStart w:id="330" w:name="_Toc184314431"/>
      <w:bookmarkEnd w:id="330"/>
      <w:bookmarkStart w:id="331" w:name="_Toc184310272"/>
      <w:bookmarkEnd w:id="331"/>
      <w:bookmarkStart w:id="332" w:name="_Toc184310307"/>
      <w:bookmarkEnd w:id="332"/>
      <w:bookmarkStart w:id="333" w:name="_Toc184310317"/>
      <w:bookmarkEnd w:id="333"/>
      <w:bookmarkStart w:id="334" w:name="_Toc184313264"/>
      <w:bookmarkEnd w:id="334"/>
      <w:bookmarkStart w:id="335" w:name="_Toc184313241"/>
      <w:bookmarkEnd w:id="335"/>
      <w:bookmarkStart w:id="336" w:name="_Toc184314418"/>
      <w:bookmarkEnd w:id="336"/>
      <w:bookmarkStart w:id="337" w:name="_Toc184313266"/>
      <w:bookmarkEnd w:id="337"/>
      <w:bookmarkStart w:id="338" w:name="_Toc184308047"/>
      <w:bookmarkEnd w:id="338"/>
      <w:bookmarkStart w:id="339" w:name="_Toc184310294"/>
      <w:bookmarkEnd w:id="339"/>
      <w:bookmarkStart w:id="340" w:name="_Toc184310336"/>
      <w:bookmarkEnd w:id="340"/>
      <w:bookmarkStart w:id="341" w:name="_Toc184310295"/>
      <w:bookmarkEnd w:id="341"/>
      <w:bookmarkStart w:id="342" w:name="_Toc184312122"/>
      <w:bookmarkEnd w:id="342"/>
      <w:bookmarkStart w:id="343" w:name="_Toc184314437"/>
      <w:bookmarkEnd w:id="343"/>
      <w:bookmarkStart w:id="344" w:name="_Toc184314482"/>
      <w:bookmarkEnd w:id="344"/>
      <w:bookmarkStart w:id="345" w:name="_Toc184308104"/>
      <w:bookmarkEnd w:id="345"/>
      <w:bookmarkStart w:id="346" w:name="_Toc184313238"/>
      <w:bookmarkEnd w:id="346"/>
      <w:bookmarkStart w:id="347" w:name="_Toc184314444"/>
      <w:bookmarkEnd w:id="347"/>
      <w:bookmarkStart w:id="348" w:name="_Toc184314435"/>
      <w:bookmarkEnd w:id="348"/>
      <w:bookmarkStart w:id="349" w:name="_Toc184314463"/>
      <w:bookmarkEnd w:id="349"/>
      <w:bookmarkStart w:id="350" w:name="_Toc184310335"/>
      <w:bookmarkEnd w:id="350"/>
      <w:bookmarkStart w:id="351" w:name="_Toc184312096"/>
      <w:bookmarkEnd w:id="351"/>
      <w:bookmarkStart w:id="352" w:name="_Toc184313277"/>
      <w:bookmarkEnd w:id="352"/>
      <w:bookmarkStart w:id="353" w:name="_Toc184312112"/>
      <w:bookmarkEnd w:id="353"/>
      <w:bookmarkStart w:id="354" w:name="_Toc184312068"/>
      <w:bookmarkEnd w:id="354"/>
      <w:bookmarkStart w:id="355" w:name="_Toc184314470"/>
      <w:bookmarkEnd w:id="355"/>
      <w:bookmarkStart w:id="356" w:name="_Toc184312116"/>
      <w:bookmarkEnd w:id="356"/>
      <w:bookmarkStart w:id="357" w:name="_Toc184312094"/>
      <w:bookmarkEnd w:id="357"/>
      <w:bookmarkStart w:id="358" w:name="_Toc184314474"/>
      <w:bookmarkEnd w:id="358"/>
      <w:bookmarkStart w:id="359" w:name="_Toc184314443"/>
      <w:bookmarkEnd w:id="359"/>
      <w:bookmarkStart w:id="360" w:name="_Toc184313253"/>
      <w:bookmarkEnd w:id="360"/>
      <w:bookmarkStart w:id="361" w:name="_Toc184313246"/>
      <w:bookmarkEnd w:id="361"/>
      <w:bookmarkStart w:id="362" w:name="_Toc184313275"/>
      <w:bookmarkEnd w:id="362"/>
      <w:bookmarkStart w:id="363" w:name="_Toc184308066"/>
      <w:bookmarkEnd w:id="363"/>
      <w:bookmarkStart w:id="364" w:name="_Toc184314446"/>
      <w:bookmarkEnd w:id="364"/>
      <w:bookmarkStart w:id="365" w:name="_Toc184310342"/>
      <w:bookmarkEnd w:id="365"/>
      <w:bookmarkStart w:id="366" w:name="_Toc184310321"/>
      <w:bookmarkEnd w:id="366"/>
      <w:bookmarkStart w:id="367" w:name="_Toc184313270"/>
      <w:bookmarkEnd w:id="367"/>
      <w:bookmarkStart w:id="368" w:name="_Toc184313302"/>
      <w:bookmarkEnd w:id="368"/>
      <w:bookmarkStart w:id="369" w:name="_Toc184308098"/>
      <w:bookmarkEnd w:id="369"/>
      <w:bookmarkStart w:id="370" w:name="_Toc184312129"/>
      <w:bookmarkEnd w:id="370"/>
      <w:bookmarkStart w:id="371" w:name="_Toc184310340"/>
      <w:bookmarkEnd w:id="371"/>
      <w:bookmarkStart w:id="372" w:name="_Toc184313305"/>
      <w:bookmarkEnd w:id="372"/>
      <w:bookmarkStart w:id="373" w:name="_Toc184313260"/>
      <w:bookmarkEnd w:id="373"/>
      <w:bookmarkStart w:id="374" w:name="_Toc184308085"/>
      <w:bookmarkEnd w:id="374"/>
      <w:bookmarkStart w:id="375" w:name="_Toc184312088"/>
      <w:bookmarkEnd w:id="375"/>
      <w:bookmarkStart w:id="376" w:name="_Toc184314457"/>
      <w:bookmarkEnd w:id="376"/>
      <w:bookmarkStart w:id="377" w:name="_Toc184310282"/>
      <w:bookmarkEnd w:id="377"/>
      <w:bookmarkStart w:id="378" w:name="_Toc184313257"/>
      <w:bookmarkEnd w:id="378"/>
      <w:bookmarkStart w:id="379" w:name="_Toc184308108"/>
      <w:bookmarkEnd w:id="379"/>
      <w:bookmarkStart w:id="380" w:name="_Toc184313301"/>
      <w:bookmarkEnd w:id="380"/>
      <w:bookmarkStart w:id="381" w:name="_Toc184310324"/>
      <w:bookmarkEnd w:id="381"/>
      <w:bookmarkStart w:id="382" w:name="_Toc184314425"/>
      <w:bookmarkEnd w:id="382"/>
      <w:bookmarkStart w:id="383" w:name="_Toc184314478"/>
      <w:bookmarkEnd w:id="383"/>
      <w:bookmarkStart w:id="384" w:name="_Toc184314419"/>
      <w:bookmarkEnd w:id="384"/>
      <w:bookmarkStart w:id="385" w:name="_Toc184310279"/>
      <w:bookmarkEnd w:id="385"/>
      <w:bookmarkStart w:id="386" w:name="_Toc184310289"/>
      <w:bookmarkEnd w:id="386"/>
      <w:bookmarkStart w:id="387" w:name="_Toc184314441"/>
      <w:bookmarkEnd w:id="387"/>
      <w:bookmarkStart w:id="388" w:name="_Toc184308080"/>
      <w:bookmarkEnd w:id="388"/>
      <w:bookmarkStart w:id="389" w:name="_Toc184308052"/>
      <w:bookmarkEnd w:id="389"/>
      <w:bookmarkStart w:id="390" w:name="_Toc184310274"/>
      <w:bookmarkEnd w:id="390"/>
      <w:bookmarkStart w:id="391" w:name="_Toc184308040"/>
      <w:bookmarkEnd w:id="391"/>
      <w:bookmarkStart w:id="392" w:name="_Toc184314459"/>
      <w:bookmarkEnd w:id="392"/>
      <w:bookmarkStart w:id="393" w:name="_Toc184308042"/>
      <w:bookmarkEnd w:id="393"/>
      <w:bookmarkStart w:id="394" w:name="_Toc184313281"/>
      <w:bookmarkEnd w:id="394"/>
      <w:bookmarkStart w:id="395" w:name="_Toc184308037"/>
      <w:bookmarkEnd w:id="395"/>
      <w:bookmarkStart w:id="396" w:name="_Toc184314455"/>
      <w:bookmarkEnd w:id="396"/>
      <w:r>
        <w:rPr>
          <w:rFonts w:hint="eastAsia" w:ascii="宋体" w:hAnsi="宋体" w:eastAsia="宋体" w:cs="宋体"/>
          <w:b/>
          <w:color w:val="auto"/>
          <w:sz w:val="32"/>
          <w:szCs w:val="32"/>
          <w:highlight w:val="none"/>
        </w:rPr>
        <w:t xml:space="preserve"> 评审办法</w:t>
      </w:r>
    </w:p>
    <w:p w14:paraId="516EC52C">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5805"/>
        <w:gridCol w:w="756"/>
        <w:gridCol w:w="2033"/>
      </w:tblGrid>
      <w:tr w14:paraId="0FE9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70" w:type="pct"/>
            <w:vAlign w:val="center"/>
          </w:tcPr>
          <w:p w14:paraId="25B8049D">
            <w:pPr>
              <w:keepNext w:val="0"/>
              <w:keepLines w:val="0"/>
              <w:pageBreakBefore w:val="0"/>
              <w:kinsoku/>
              <w:wordWrap/>
              <w:overflowPunct/>
              <w:topLinePunct w:val="0"/>
              <w:autoSpaceDE/>
              <w:autoSpaceDN/>
              <w:bidi w:val="0"/>
              <w:snapToGrid w:val="0"/>
              <w:spacing w:line="320" w:lineRule="exact"/>
              <w:jc w:val="center"/>
              <w:textAlignment w:val="auto"/>
              <w:outlineLvl w:val="0"/>
              <w:rPr>
                <w:rFonts w:ascii="宋体" w:hAnsi="宋体" w:cs="宋体"/>
                <w:bCs/>
                <w:color w:val="auto"/>
                <w:sz w:val="21"/>
                <w:szCs w:val="21"/>
                <w:highlight w:val="none"/>
              </w:rPr>
            </w:pPr>
            <w:r>
              <w:rPr>
                <w:rFonts w:hint="eastAsia" w:ascii="宋体" w:hAnsi="宋体" w:cs="宋体"/>
                <w:bCs/>
                <w:color w:val="auto"/>
                <w:sz w:val="21"/>
                <w:szCs w:val="21"/>
                <w:highlight w:val="none"/>
              </w:rPr>
              <w:t>序号</w:t>
            </w:r>
          </w:p>
        </w:tc>
        <w:tc>
          <w:tcPr>
            <w:tcW w:w="3126" w:type="pct"/>
            <w:vAlign w:val="center"/>
          </w:tcPr>
          <w:p w14:paraId="226B8342">
            <w:pPr>
              <w:keepNext w:val="0"/>
              <w:keepLines w:val="0"/>
              <w:pageBreakBefore w:val="0"/>
              <w:kinsoku/>
              <w:wordWrap/>
              <w:overflowPunct/>
              <w:topLinePunct w:val="0"/>
              <w:autoSpaceDE/>
              <w:autoSpaceDN/>
              <w:bidi w:val="0"/>
              <w:snapToGrid w:val="0"/>
              <w:spacing w:line="320" w:lineRule="exact"/>
              <w:jc w:val="center"/>
              <w:textAlignment w:val="auto"/>
              <w:outlineLvl w:val="0"/>
              <w:rPr>
                <w:rFonts w:ascii="宋体" w:hAnsi="宋体" w:cs="宋体"/>
                <w:bCs/>
                <w:color w:val="auto"/>
                <w:sz w:val="21"/>
                <w:szCs w:val="21"/>
                <w:highlight w:val="none"/>
              </w:rPr>
            </w:pPr>
            <w:r>
              <w:rPr>
                <w:rFonts w:hint="eastAsia" w:ascii="宋体" w:hAnsi="宋体" w:cs="宋体"/>
                <w:bCs/>
                <w:color w:val="auto"/>
                <w:sz w:val="21"/>
                <w:szCs w:val="21"/>
                <w:highlight w:val="none"/>
              </w:rPr>
              <w:t>评审标准</w:t>
            </w:r>
          </w:p>
        </w:tc>
        <w:tc>
          <w:tcPr>
            <w:tcW w:w="407" w:type="pct"/>
            <w:vAlign w:val="center"/>
          </w:tcPr>
          <w:p w14:paraId="2D0A7C5F">
            <w:pPr>
              <w:keepNext w:val="0"/>
              <w:keepLines w:val="0"/>
              <w:pageBreakBefore w:val="0"/>
              <w:kinsoku/>
              <w:wordWrap/>
              <w:overflowPunct/>
              <w:topLinePunct w:val="0"/>
              <w:autoSpaceDE/>
              <w:autoSpaceDN/>
              <w:bidi w:val="0"/>
              <w:snapToGrid w:val="0"/>
              <w:spacing w:line="320" w:lineRule="exact"/>
              <w:jc w:val="center"/>
              <w:textAlignment w:val="auto"/>
              <w:outlineLvl w:val="0"/>
              <w:rPr>
                <w:rFonts w:ascii="宋体" w:hAnsi="宋体" w:cs="宋体"/>
                <w:bCs/>
                <w:color w:val="auto"/>
                <w:sz w:val="21"/>
                <w:szCs w:val="21"/>
                <w:highlight w:val="none"/>
              </w:rPr>
            </w:pPr>
            <w:r>
              <w:rPr>
                <w:rFonts w:hint="eastAsia" w:ascii="宋体" w:hAnsi="宋体" w:cs="宋体"/>
                <w:bCs/>
                <w:color w:val="auto"/>
                <w:sz w:val="21"/>
                <w:szCs w:val="21"/>
                <w:highlight w:val="none"/>
              </w:rPr>
              <w:t>权重</w:t>
            </w:r>
          </w:p>
        </w:tc>
        <w:tc>
          <w:tcPr>
            <w:tcW w:w="1095" w:type="pct"/>
          </w:tcPr>
          <w:p w14:paraId="44606B7A">
            <w:pPr>
              <w:keepNext w:val="0"/>
              <w:keepLines w:val="0"/>
              <w:pageBreakBefore w:val="0"/>
              <w:kinsoku/>
              <w:wordWrap/>
              <w:overflowPunct/>
              <w:topLinePunct w:val="0"/>
              <w:autoSpaceDE/>
              <w:autoSpaceDN/>
              <w:bidi w:val="0"/>
              <w:snapToGrid w:val="0"/>
              <w:spacing w:line="320" w:lineRule="exact"/>
              <w:textAlignment w:val="auto"/>
              <w:outlineLvl w:val="0"/>
              <w:rPr>
                <w:rFonts w:ascii="宋体" w:hAnsi="宋体" w:cs="宋体"/>
                <w:bCs/>
                <w:color w:val="auto"/>
                <w:sz w:val="21"/>
                <w:szCs w:val="21"/>
                <w:highlight w:val="none"/>
              </w:rPr>
            </w:pPr>
            <w:r>
              <w:rPr>
                <w:rFonts w:hint="eastAsia" w:ascii="宋体" w:hAnsi="宋体" w:cs="宋体"/>
                <w:bCs/>
                <w:color w:val="auto"/>
                <w:sz w:val="21"/>
                <w:szCs w:val="21"/>
                <w:highlight w:val="none"/>
              </w:rPr>
              <w:t>响应文件中评审标准相应的商务技术资料目录</w:t>
            </w:r>
            <w:r>
              <w:rPr>
                <w:rFonts w:hint="eastAsia" w:ascii="宋体" w:hAnsi="宋体" w:cs="宋体"/>
                <w:color w:val="auto"/>
                <w:sz w:val="21"/>
                <w:szCs w:val="21"/>
                <w:highlight w:val="none"/>
                <w:shd w:val="clear" w:color="auto" w:fill="FFFFFF"/>
              </w:rPr>
              <w:t> *</w:t>
            </w:r>
          </w:p>
        </w:tc>
      </w:tr>
      <w:tr w14:paraId="656D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0" w:type="pct"/>
            <w:vAlign w:val="center"/>
          </w:tcPr>
          <w:p w14:paraId="7D577AE0">
            <w:pPr>
              <w:keepNext w:val="0"/>
              <w:keepLines w:val="0"/>
              <w:pageBreakBefore w:val="0"/>
              <w:kinsoku/>
              <w:wordWrap/>
              <w:overflowPunct/>
              <w:topLinePunct w:val="0"/>
              <w:autoSpaceDE/>
              <w:autoSpaceDN/>
              <w:bidi w:val="0"/>
              <w:spacing w:line="320" w:lineRule="exact"/>
              <w:jc w:val="center"/>
              <w:textAlignment w:val="auto"/>
              <w:rPr>
                <w:rFonts w:ascii="宋体" w:hAnsi="宋体" w:cs="宋体"/>
                <w:color w:val="auto"/>
                <w:sz w:val="21"/>
                <w:szCs w:val="21"/>
                <w:highlight w:val="none"/>
              </w:rPr>
            </w:pPr>
            <w:r>
              <w:rPr>
                <w:rFonts w:ascii="宋体" w:hAnsi="宋体"/>
                <w:color w:val="auto"/>
                <w:sz w:val="21"/>
                <w:szCs w:val="21"/>
                <w:highlight w:val="none"/>
              </w:rPr>
              <w:t>1</w:t>
            </w:r>
          </w:p>
        </w:tc>
        <w:tc>
          <w:tcPr>
            <w:tcW w:w="3126" w:type="pct"/>
            <w:vAlign w:val="center"/>
          </w:tcPr>
          <w:p w14:paraId="4228F43F">
            <w:pPr>
              <w:keepNext w:val="0"/>
              <w:keepLines w:val="0"/>
              <w:pageBreakBefore w:val="0"/>
              <w:kinsoku/>
              <w:wordWrap/>
              <w:overflowPunct/>
              <w:topLinePunct w:val="0"/>
              <w:autoSpaceDE/>
              <w:autoSpaceDN/>
              <w:bidi w:val="0"/>
              <w:spacing w:line="320" w:lineRule="exact"/>
              <w:textAlignment w:val="auto"/>
              <w:rPr>
                <w:rFonts w:ascii="宋体" w:hAnsi="宋体"/>
                <w:color w:val="auto"/>
                <w:sz w:val="21"/>
                <w:szCs w:val="21"/>
                <w:highlight w:val="none"/>
              </w:rPr>
            </w:pPr>
            <w:r>
              <w:rPr>
                <w:rFonts w:hint="eastAsia" w:ascii="宋体" w:hAnsi="宋体"/>
                <w:color w:val="auto"/>
                <w:sz w:val="21"/>
                <w:szCs w:val="21"/>
                <w:highlight w:val="none"/>
              </w:rPr>
              <w:t>供应商同类项目业绩：磋商供应商自2022年1月1日（以合同签订时间为准）以来完成过类似项目（含装修装饰工程内容）业绩的，每个得0.5分，最高得1.5分。</w:t>
            </w:r>
          </w:p>
          <w:p w14:paraId="30711E21">
            <w:pPr>
              <w:keepNext w:val="0"/>
              <w:keepLines w:val="0"/>
              <w:pageBreakBefore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olor w:val="auto"/>
                <w:sz w:val="21"/>
                <w:szCs w:val="21"/>
                <w:highlight w:val="none"/>
              </w:rPr>
              <w:t>业绩证明材料：须同时提供中标通知书、施工合同及竣工验收证明；要求证明材料能反映评审要素，提供的证明材料不完整或不能反映评审要素的将不予认可。</w:t>
            </w:r>
          </w:p>
        </w:tc>
        <w:tc>
          <w:tcPr>
            <w:tcW w:w="407" w:type="pct"/>
            <w:vAlign w:val="center"/>
          </w:tcPr>
          <w:p w14:paraId="313017AA">
            <w:pPr>
              <w:keepNext w:val="0"/>
              <w:keepLines w:val="0"/>
              <w:pageBreakBefore w:val="0"/>
              <w:kinsoku/>
              <w:wordWrap/>
              <w:overflowPunct/>
              <w:topLinePunct w:val="0"/>
              <w:autoSpaceDE/>
              <w:autoSpaceDN/>
              <w:bidi w:val="0"/>
              <w:spacing w:line="320" w:lineRule="exact"/>
              <w:jc w:val="center"/>
              <w:textAlignment w:val="auto"/>
              <w:rPr>
                <w:rFonts w:ascii="宋体" w:hAnsi="宋体" w:cs="宋体"/>
                <w:bCs/>
                <w:color w:val="auto"/>
                <w:sz w:val="21"/>
                <w:szCs w:val="21"/>
                <w:highlight w:val="none"/>
              </w:rPr>
            </w:pPr>
            <w:r>
              <w:rPr>
                <w:rFonts w:hint="eastAsia" w:ascii="宋体" w:hAnsi="宋体"/>
                <w:color w:val="auto"/>
                <w:sz w:val="21"/>
                <w:szCs w:val="21"/>
                <w:highlight w:val="none"/>
              </w:rPr>
              <w:t>1.5</w:t>
            </w:r>
          </w:p>
        </w:tc>
        <w:tc>
          <w:tcPr>
            <w:tcW w:w="1095" w:type="pct"/>
            <w:vAlign w:val="center"/>
          </w:tcPr>
          <w:p w14:paraId="0B936BE8">
            <w:pPr>
              <w:keepNext w:val="0"/>
              <w:keepLines w:val="0"/>
              <w:pageBreakBefore w:val="0"/>
              <w:kinsoku/>
              <w:wordWrap/>
              <w:overflowPunct/>
              <w:topLinePunct w:val="0"/>
              <w:autoSpaceDE/>
              <w:autoSpaceDN/>
              <w:bidi w:val="0"/>
              <w:snapToGrid w:val="0"/>
              <w:spacing w:line="320" w:lineRule="exact"/>
              <w:jc w:val="center"/>
              <w:textAlignment w:val="auto"/>
              <w:outlineLvl w:val="0"/>
              <w:rPr>
                <w:rFonts w:ascii="宋体" w:hAnsi="宋体" w:cs="宋体"/>
                <w:color w:val="auto"/>
                <w:sz w:val="21"/>
                <w:szCs w:val="21"/>
                <w:highlight w:val="none"/>
              </w:rPr>
            </w:pPr>
          </w:p>
        </w:tc>
      </w:tr>
      <w:tr w14:paraId="3FC0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0" w:type="pct"/>
            <w:vAlign w:val="center"/>
          </w:tcPr>
          <w:p w14:paraId="59F48700">
            <w:pPr>
              <w:keepNext w:val="0"/>
              <w:keepLines w:val="0"/>
              <w:pageBreakBefore w:val="0"/>
              <w:kinsoku/>
              <w:wordWrap/>
              <w:overflowPunct/>
              <w:topLinePunct w:val="0"/>
              <w:autoSpaceDE/>
              <w:autoSpaceDN/>
              <w:bidi w:val="0"/>
              <w:spacing w:line="320" w:lineRule="exact"/>
              <w:jc w:val="center"/>
              <w:textAlignment w:val="auto"/>
              <w:rPr>
                <w:rFonts w:ascii="宋体" w:hAnsi="宋体" w:cs="宋体"/>
                <w:color w:val="auto"/>
                <w:sz w:val="21"/>
                <w:szCs w:val="21"/>
                <w:highlight w:val="none"/>
              </w:rPr>
            </w:pPr>
            <w:r>
              <w:rPr>
                <w:rFonts w:ascii="宋体" w:hAnsi="宋体"/>
                <w:color w:val="auto"/>
                <w:sz w:val="21"/>
                <w:szCs w:val="21"/>
                <w:highlight w:val="none"/>
              </w:rPr>
              <w:t>2</w:t>
            </w:r>
          </w:p>
        </w:tc>
        <w:tc>
          <w:tcPr>
            <w:tcW w:w="3126" w:type="pct"/>
            <w:vAlign w:val="center"/>
          </w:tcPr>
          <w:p w14:paraId="424140E4">
            <w:pPr>
              <w:keepNext w:val="0"/>
              <w:keepLines w:val="0"/>
              <w:pageBreakBefore w:val="0"/>
              <w:kinsoku/>
              <w:wordWrap/>
              <w:overflowPunct/>
              <w:topLinePunct w:val="0"/>
              <w:autoSpaceDE/>
              <w:autoSpaceDN/>
              <w:bidi w:val="0"/>
              <w:spacing w:line="320" w:lineRule="exact"/>
              <w:textAlignment w:val="auto"/>
              <w:rPr>
                <w:rFonts w:ascii="宋体" w:hAnsi="宋体"/>
                <w:color w:val="auto"/>
                <w:sz w:val="21"/>
                <w:szCs w:val="21"/>
                <w:highlight w:val="none"/>
              </w:rPr>
            </w:pPr>
            <w:r>
              <w:rPr>
                <w:rFonts w:hint="eastAsia" w:ascii="宋体" w:hAnsi="宋体"/>
                <w:color w:val="auto"/>
                <w:sz w:val="21"/>
                <w:szCs w:val="21"/>
                <w:highlight w:val="none"/>
              </w:rPr>
              <w:t>供应商具有质量管理体系认证证书、环境认证体系认证证书和职业健康管理体系认证证书且在有效期内的，每提供一个证书得0.5分，最高得1.5分。</w:t>
            </w:r>
          </w:p>
          <w:p w14:paraId="24BC2443">
            <w:pPr>
              <w:keepNext w:val="0"/>
              <w:keepLines w:val="0"/>
              <w:pageBreakBefore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olor w:val="auto"/>
                <w:sz w:val="21"/>
                <w:szCs w:val="21"/>
                <w:highlight w:val="none"/>
              </w:rPr>
              <w:t>证明材料：出具有效的证书复印件或扫描件。</w:t>
            </w:r>
          </w:p>
        </w:tc>
        <w:tc>
          <w:tcPr>
            <w:tcW w:w="407" w:type="pct"/>
            <w:vAlign w:val="center"/>
          </w:tcPr>
          <w:p w14:paraId="5CBCD5F6">
            <w:pPr>
              <w:keepNext w:val="0"/>
              <w:keepLines w:val="0"/>
              <w:pageBreakBefore w:val="0"/>
              <w:kinsoku/>
              <w:wordWrap/>
              <w:overflowPunct/>
              <w:topLinePunct w:val="0"/>
              <w:autoSpaceDE/>
              <w:autoSpaceDN/>
              <w:bidi w:val="0"/>
              <w:spacing w:line="320" w:lineRule="exact"/>
              <w:jc w:val="center"/>
              <w:textAlignment w:val="auto"/>
              <w:rPr>
                <w:rFonts w:ascii="宋体" w:hAnsi="宋体" w:cs="宋体"/>
                <w:bCs/>
                <w:color w:val="auto"/>
                <w:sz w:val="21"/>
                <w:szCs w:val="21"/>
                <w:highlight w:val="none"/>
              </w:rPr>
            </w:pPr>
            <w:r>
              <w:rPr>
                <w:rFonts w:hint="eastAsia" w:ascii="宋体" w:hAnsi="宋体"/>
                <w:color w:val="auto"/>
                <w:sz w:val="21"/>
                <w:szCs w:val="21"/>
                <w:highlight w:val="none"/>
              </w:rPr>
              <w:t>1.5</w:t>
            </w:r>
          </w:p>
        </w:tc>
        <w:tc>
          <w:tcPr>
            <w:tcW w:w="1095" w:type="pct"/>
            <w:vAlign w:val="center"/>
          </w:tcPr>
          <w:p w14:paraId="6FEAD3EB">
            <w:pPr>
              <w:keepNext w:val="0"/>
              <w:keepLines w:val="0"/>
              <w:pageBreakBefore w:val="0"/>
              <w:kinsoku/>
              <w:wordWrap/>
              <w:overflowPunct/>
              <w:topLinePunct w:val="0"/>
              <w:autoSpaceDE/>
              <w:autoSpaceDN/>
              <w:bidi w:val="0"/>
              <w:snapToGrid w:val="0"/>
              <w:spacing w:line="320" w:lineRule="exact"/>
              <w:jc w:val="center"/>
              <w:textAlignment w:val="auto"/>
              <w:outlineLvl w:val="0"/>
              <w:rPr>
                <w:rFonts w:ascii="宋体" w:hAnsi="宋体" w:cs="宋体"/>
                <w:color w:val="auto"/>
                <w:sz w:val="21"/>
                <w:szCs w:val="21"/>
                <w:highlight w:val="none"/>
              </w:rPr>
            </w:pPr>
          </w:p>
        </w:tc>
      </w:tr>
      <w:tr w14:paraId="31FE9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0" w:type="pct"/>
            <w:vAlign w:val="center"/>
          </w:tcPr>
          <w:p w14:paraId="15B9D6BD">
            <w:pPr>
              <w:keepNext w:val="0"/>
              <w:keepLines w:val="0"/>
              <w:pageBreakBefore w:val="0"/>
              <w:kinsoku/>
              <w:wordWrap/>
              <w:overflowPunct/>
              <w:topLinePunct w:val="0"/>
              <w:autoSpaceDE/>
              <w:autoSpaceDN/>
              <w:bidi w:val="0"/>
              <w:spacing w:line="320" w:lineRule="exact"/>
              <w:jc w:val="center"/>
              <w:textAlignment w:val="auto"/>
              <w:rPr>
                <w:rFonts w:ascii="宋体" w:hAnsi="宋体" w:cs="宋体"/>
                <w:color w:val="auto"/>
                <w:sz w:val="21"/>
                <w:szCs w:val="21"/>
                <w:highlight w:val="none"/>
              </w:rPr>
            </w:pPr>
            <w:r>
              <w:rPr>
                <w:rFonts w:ascii="宋体" w:hAnsi="宋体"/>
                <w:color w:val="auto"/>
                <w:sz w:val="21"/>
                <w:szCs w:val="21"/>
                <w:highlight w:val="none"/>
              </w:rPr>
              <w:t>3</w:t>
            </w:r>
          </w:p>
        </w:tc>
        <w:tc>
          <w:tcPr>
            <w:tcW w:w="3126" w:type="pct"/>
            <w:vAlign w:val="center"/>
          </w:tcPr>
          <w:p w14:paraId="6E8D8FEF">
            <w:pPr>
              <w:keepNext w:val="0"/>
              <w:keepLines w:val="0"/>
              <w:pageBreakBefore w:val="0"/>
              <w:kinsoku/>
              <w:wordWrap/>
              <w:overflowPunct/>
              <w:topLinePunct w:val="0"/>
              <w:autoSpaceDE/>
              <w:autoSpaceDN/>
              <w:bidi w:val="0"/>
              <w:spacing w:line="320" w:lineRule="exact"/>
              <w:textAlignment w:val="auto"/>
              <w:rPr>
                <w:rFonts w:ascii="宋体" w:hAnsi="宋体"/>
                <w:color w:val="auto"/>
                <w:sz w:val="21"/>
                <w:szCs w:val="21"/>
                <w:highlight w:val="none"/>
              </w:rPr>
            </w:pPr>
            <w:r>
              <w:rPr>
                <w:rFonts w:hint="eastAsia" w:ascii="宋体" w:hAnsi="宋体"/>
                <w:color w:val="auto"/>
                <w:sz w:val="21"/>
                <w:szCs w:val="21"/>
                <w:highlight w:val="none"/>
              </w:rPr>
              <w:t>拟派项目负责人具有中级工程师技术职称的得1分，具有高级工程师技术职称的得2分，没有不得分。</w:t>
            </w:r>
          </w:p>
          <w:p w14:paraId="66AD6444">
            <w:pPr>
              <w:keepNext w:val="0"/>
              <w:keepLines w:val="0"/>
              <w:pageBreakBefore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olor w:val="auto"/>
                <w:sz w:val="21"/>
                <w:szCs w:val="21"/>
                <w:highlight w:val="none"/>
              </w:rPr>
              <w:t>证明材料：提供职称证书扫描件及近三个月来任意时间的社保证明材料。</w:t>
            </w:r>
          </w:p>
        </w:tc>
        <w:tc>
          <w:tcPr>
            <w:tcW w:w="407" w:type="pct"/>
            <w:vAlign w:val="center"/>
          </w:tcPr>
          <w:p w14:paraId="08BE818D">
            <w:pPr>
              <w:keepNext w:val="0"/>
              <w:keepLines w:val="0"/>
              <w:pageBreakBefore w:val="0"/>
              <w:kinsoku/>
              <w:wordWrap/>
              <w:overflowPunct/>
              <w:topLinePunct w:val="0"/>
              <w:autoSpaceDE/>
              <w:autoSpaceDN/>
              <w:bidi w:val="0"/>
              <w:spacing w:line="320" w:lineRule="exact"/>
              <w:jc w:val="center"/>
              <w:textAlignment w:val="auto"/>
              <w:rPr>
                <w:rFonts w:ascii="宋体" w:hAnsi="宋体" w:cs="宋体"/>
                <w:bCs/>
                <w:color w:val="auto"/>
                <w:sz w:val="21"/>
                <w:szCs w:val="21"/>
                <w:highlight w:val="none"/>
              </w:rPr>
            </w:pPr>
            <w:r>
              <w:rPr>
                <w:rFonts w:hint="eastAsia" w:ascii="宋体" w:hAnsi="宋体"/>
                <w:color w:val="auto"/>
                <w:sz w:val="21"/>
                <w:szCs w:val="21"/>
                <w:highlight w:val="none"/>
              </w:rPr>
              <w:t>2</w:t>
            </w:r>
          </w:p>
        </w:tc>
        <w:tc>
          <w:tcPr>
            <w:tcW w:w="1095" w:type="pct"/>
            <w:vAlign w:val="center"/>
          </w:tcPr>
          <w:p w14:paraId="7A53462B">
            <w:pPr>
              <w:keepNext w:val="0"/>
              <w:keepLines w:val="0"/>
              <w:pageBreakBefore w:val="0"/>
              <w:kinsoku/>
              <w:wordWrap/>
              <w:overflowPunct/>
              <w:topLinePunct w:val="0"/>
              <w:autoSpaceDE/>
              <w:autoSpaceDN/>
              <w:bidi w:val="0"/>
              <w:snapToGrid w:val="0"/>
              <w:spacing w:line="320" w:lineRule="exact"/>
              <w:jc w:val="center"/>
              <w:textAlignment w:val="auto"/>
              <w:outlineLvl w:val="0"/>
              <w:rPr>
                <w:rFonts w:ascii="宋体" w:hAnsi="宋体" w:cs="宋体"/>
                <w:color w:val="auto"/>
                <w:sz w:val="21"/>
                <w:szCs w:val="21"/>
                <w:highlight w:val="none"/>
              </w:rPr>
            </w:pPr>
          </w:p>
        </w:tc>
      </w:tr>
      <w:tr w14:paraId="6AE1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0" w:type="pct"/>
            <w:vAlign w:val="center"/>
          </w:tcPr>
          <w:p w14:paraId="031B17BE">
            <w:pPr>
              <w:keepNext w:val="0"/>
              <w:keepLines w:val="0"/>
              <w:pageBreakBefore w:val="0"/>
              <w:kinsoku/>
              <w:wordWrap/>
              <w:overflowPunct/>
              <w:topLinePunct w:val="0"/>
              <w:autoSpaceDE/>
              <w:autoSpaceDN/>
              <w:bidi w:val="0"/>
              <w:spacing w:line="320" w:lineRule="exact"/>
              <w:jc w:val="center"/>
              <w:textAlignment w:val="auto"/>
              <w:rPr>
                <w:rFonts w:ascii="宋体" w:hAnsi="宋体" w:cs="宋体"/>
                <w:color w:val="auto"/>
                <w:sz w:val="21"/>
                <w:szCs w:val="21"/>
                <w:highlight w:val="none"/>
              </w:rPr>
            </w:pPr>
            <w:r>
              <w:rPr>
                <w:rFonts w:hint="eastAsia" w:ascii="宋体" w:hAnsi="宋体"/>
                <w:color w:val="auto"/>
                <w:sz w:val="21"/>
                <w:szCs w:val="21"/>
                <w:highlight w:val="none"/>
              </w:rPr>
              <w:t>4</w:t>
            </w:r>
          </w:p>
        </w:tc>
        <w:tc>
          <w:tcPr>
            <w:tcW w:w="3126" w:type="pct"/>
            <w:vAlign w:val="center"/>
          </w:tcPr>
          <w:p w14:paraId="35790732">
            <w:pPr>
              <w:keepNext w:val="0"/>
              <w:keepLines w:val="0"/>
              <w:pageBreakBefore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针对本工程项目总体情况把握进行分析，根据对工程目标、总体施工部署分析到位情况进行评审。（评审分值：5分或4分或3分或2分或1分或0分）</w:t>
            </w:r>
          </w:p>
        </w:tc>
        <w:tc>
          <w:tcPr>
            <w:tcW w:w="407" w:type="pct"/>
            <w:vAlign w:val="center"/>
          </w:tcPr>
          <w:p w14:paraId="3001D1CB">
            <w:pPr>
              <w:keepNext w:val="0"/>
              <w:keepLines w:val="0"/>
              <w:pageBreakBefore w:val="0"/>
              <w:kinsoku/>
              <w:wordWrap/>
              <w:overflowPunct/>
              <w:topLinePunct w:val="0"/>
              <w:autoSpaceDE/>
              <w:autoSpaceDN/>
              <w:bidi w:val="0"/>
              <w:spacing w:line="320" w:lineRule="exact"/>
              <w:jc w:val="center"/>
              <w:textAlignment w:val="auto"/>
              <w:rPr>
                <w:rFonts w:ascii="宋体" w:hAnsi="宋体" w:cs="宋体"/>
                <w:bCs/>
                <w:color w:val="auto"/>
                <w:sz w:val="21"/>
                <w:szCs w:val="21"/>
                <w:highlight w:val="none"/>
              </w:rPr>
            </w:pPr>
            <w:r>
              <w:rPr>
                <w:rFonts w:hint="eastAsia" w:ascii="宋体" w:hAnsi="宋体"/>
                <w:color w:val="auto"/>
                <w:sz w:val="21"/>
                <w:szCs w:val="21"/>
                <w:highlight w:val="none"/>
              </w:rPr>
              <w:t>5</w:t>
            </w:r>
          </w:p>
        </w:tc>
        <w:tc>
          <w:tcPr>
            <w:tcW w:w="1095" w:type="pct"/>
            <w:vAlign w:val="center"/>
          </w:tcPr>
          <w:p w14:paraId="1E86B318">
            <w:pPr>
              <w:keepNext w:val="0"/>
              <w:keepLines w:val="0"/>
              <w:pageBreakBefore w:val="0"/>
              <w:kinsoku/>
              <w:wordWrap/>
              <w:overflowPunct/>
              <w:topLinePunct w:val="0"/>
              <w:autoSpaceDE/>
              <w:autoSpaceDN/>
              <w:bidi w:val="0"/>
              <w:snapToGrid w:val="0"/>
              <w:spacing w:line="320" w:lineRule="exact"/>
              <w:jc w:val="center"/>
              <w:textAlignment w:val="auto"/>
              <w:outlineLvl w:val="0"/>
              <w:rPr>
                <w:rFonts w:ascii="宋体" w:hAnsi="宋体" w:cs="宋体"/>
                <w:color w:val="auto"/>
                <w:sz w:val="21"/>
                <w:szCs w:val="21"/>
                <w:highlight w:val="none"/>
              </w:rPr>
            </w:pPr>
          </w:p>
        </w:tc>
      </w:tr>
      <w:tr w14:paraId="7C89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0" w:type="pct"/>
            <w:vAlign w:val="center"/>
          </w:tcPr>
          <w:p w14:paraId="32D21A88">
            <w:pPr>
              <w:keepNext w:val="0"/>
              <w:keepLines w:val="0"/>
              <w:pageBreakBefore w:val="0"/>
              <w:kinsoku/>
              <w:wordWrap/>
              <w:overflowPunct/>
              <w:topLinePunct w:val="0"/>
              <w:autoSpaceDE/>
              <w:autoSpaceDN/>
              <w:bidi w:val="0"/>
              <w:spacing w:line="320" w:lineRule="exact"/>
              <w:jc w:val="center"/>
              <w:textAlignment w:val="auto"/>
              <w:rPr>
                <w:rFonts w:ascii="宋体" w:hAnsi="宋体" w:cs="宋体"/>
                <w:color w:val="auto"/>
                <w:sz w:val="21"/>
                <w:szCs w:val="21"/>
                <w:highlight w:val="none"/>
              </w:rPr>
            </w:pPr>
            <w:r>
              <w:rPr>
                <w:rFonts w:hint="eastAsia" w:ascii="宋体" w:hAnsi="宋体"/>
                <w:color w:val="auto"/>
                <w:sz w:val="21"/>
                <w:szCs w:val="21"/>
                <w:highlight w:val="none"/>
              </w:rPr>
              <w:t>5</w:t>
            </w:r>
          </w:p>
        </w:tc>
        <w:tc>
          <w:tcPr>
            <w:tcW w:w="3126" w:type="pct"/>
            <w:vAlign w:val="center"/>
          </w:tcPr>
          <w:p w14:paraId="307B420E">
            <w:pPr>
              <w:keepNext w:val="0"/>
              <w:keepLines w:val="0"/>
              <w:pageBreakBefore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olor w:val="auto"/>
                <w:sz w:val="21"/>
                <w:szCs w:val="21"/>
                <w:highlight w:val="none"/>
              </w:rPr>
              <w:t>工程施工技术方案、措施、施工组织设计：根据方案内容的全面性、合理性以及针对性、可操作性进行评审。</w:t>
            </w:r>
            <w:r>
              <w:rPr>
                <w:rFonts w:hint="eastAsia" w:ascii="宋体" w:hAnsi="宋体" w:cs="宋体"/>
                <w:color w:val="auto"/>
                <w:sz w:val="21"/>
                <w:szCs w:val="21"/>
                <w:highlight w:val="none"/>
              </w:rPr>
              <w:t>（评审分值：5分或4分或3分或2分或1分或0分）</w:t>
            </w:r>
          </w:p>
        </w:tc>
        <w:tc>
          <w:tcPr>
            <w:tcW w:w="407" w:type="pct"/>
            <w:vAlign w:val="center"/>
          </w:tcPr>
          <w:p w14:paraId="60731EB0">
            <w:pPr>
              <w:keepNext w:val="0"/>
              <w:keepLines w:val="0"/>
              <w:pageBreakBefore w:val="0"/>
              <w:kinsoku/>
              <w:wordWrap/>
              <w:overflowPunct/>
              <w:topLinePunct w:val="0"/>
              <w:autoSpaceDE/>
              <w:autoSpaceDN/>
              <w:bidi w:val="0"/>
              <w:spacing w:line="320" w:lineRule="exact"/>
              <w:jc w:val="center"/>
              <w:textAlignment w:val="auto"/>
              <w:rPr>
                <w:rFonts w:ascii="宋体" w:hAnsi="宋体" w:cs="宋体"/>
                <w:bCs/>
                <w:color w:val="auto"/>
                <w:sz w:val="21"/>
                <w:szCs w:val="21"/>
                <w:highlight w:val="none"/>
              </w:rPr>
            </w:pPr>
            <w:r>
              <w:rPr>
                <w:rFonts w:hint="eastAsia" w:ascii="宋体" w:hAnsi="宋体"/>
                <w:color w:val="auto"/>
                <w:sz w:val="21"/>
                <w:szCs w:val="21"/>
                <w:highlight w:val="none"/>
              </w:rPr>
              <w:t>5</w:t>
            </w:r>
          </w:p>
        </w:tc>
        <w:tc>
          <w:tcPr>
            <w:tcW w:w="1095" w:type="pct"/>
            <w:vAlign w:val="center"/>
          </w:tcPr>
          <w:p w14:paraId="25BA1337">
            <w:pPr>
              <w:keepNext w:val="0"/>
              <w:keepLines w:val="0"/>
              <w:pageBreakBefore w:val="0"/>
              <w:kinsoku/>
              <w:wordWrap/>
              <w:overflowPunct/>
              <w:topLinePunct w:val="0"/>
              <w:autoSpaceDE/>
              <w:autoSpaceDN/>
              <w:bidi w:val="0"/>
              <w:snapToGrid w:val="0"/>
              <w:spacing w:line="320" w:lineRule="exact"/>
              <w:jc w:val="center"/>
              <w:textAlignment w:val="auto"/>
              <w:outlineLvl w:val="0"/>
              <w:rPr>
                <w:rFonts w:ascii="宋体" w:hAnsi="宋体" w:cs="宋体"/>
                <w:color w:val="auto"/>
                <w:sz w:val="21"/>
                <w:szCs w:val="21"/>
                <w:highlight w:val="none"/>
              </w:rPr>
            </w:pPr>
          </w:p>
        </w:tc>
      </w:tr>
      <w:tr w14:paraId="25AA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0" w:type="pct"/>
            <w:vAlign w:val="center"/>
          </w:tcPr>
          <w:p w14:paraId="4671416E">
            <w:pPr>
              <w:keepNext w:val="0"/>
              <w:keepLines w:val="0"/>
              <w:pageBreakBefore w:val="0"/>
              <w:kinsoku/>
              <w:wordWrap/>
              <w:overflowPunct/>
              <w:topLinePunct w:val="0"/>
              <w:autoSpaceDE/>
              <w:autoSpaceDN/>
              <w:bidi w:val="0"/>
              <w:spacing w:line="320" w:lineRule="exact"/>
              <w:jc w:val="center"/>
              <w:textAlignment w:val="auto"/>
              <w:rPr>
                <w:rFonts w:ascii="宋体" w:hAnsi="宋体" w:cs="宋体"/>
                <w:color w:val="auto"/>
                <w:sz w:val="21"/>
                <w:szCs w:val="21"/>
                <w:highlight w:val="none"/>
              </w:rPr>
            </w:pPr>
            <w:r>
              <w:rPr>
                <w:rFonts w:hint="eastAsia" w:ascii="宋体" w:hAnsi="宋体"/>
                <w:color w:val="auto"/>
                <w:sz w:val="21"/>
                <w:szCs w:val="21"/>
                <w:highlight w:val="none"/>
              </w:rPr>
              <w:t>6</w:t>
            </w:r>
          </w:p>
        </w:tc>
        <w:tc>
          <w:tcPr>
            <w:tcW w:w="3126" w:type="pct"/>
            <w:vAlign w:val="center"/>
          </w:tcPr>
          <w:p w14:paraId="6242F7B6">
            <w:pPr>
              <w:keepNext w:val="0"/>
              <w:keepLines w:val="0"/>
              <w:pageBreakBefore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olor w:val="auto"/>
                <w:sz w:val="21"/>
                <w:szCs w:val="21"/>
                <w:highlight w:val="none"/>
              </w:rPr>
              <w:t>针对满足工期要求的进度计划及控制措施进行评审。</w:t>
            </w:r>
            <w:r>
              <w:rPr>
                <w:rFonts w:hint="eastAsia" w:ascii="宋体" w:hAnsi="宋体" w:cs="宋体"/>
                <w:color w:val="auto"/>
                <w:sz w:val="21"/>
                <w:szCs w:val="21"/>
                <w:highlight w:val="none"/>
              </w:rPr>
              <w:t>（评审分值：5分或4分或3分或2分或1分或0分）</w:t>
            </w:r>
          </w:p>
        </w:tc>
        <w:tc>
          <w:tcPr>
            <w:tcW w:w="407" w:type="pct"/>
            <w:vAlign w:val="center"/>
          </w:tcPr>
          <w:p w14:paraId="6C61435E">
            <w:pPr>
              <w:keepNext w:val="0"/>
              <w:keepLines w:val="0"/>
              <w:pageBreakBefore w:val="0"/>
              <w:kinsoku/>
              <w:wordWrap/>
              <w:overflowPunct/>
              <w:topLinePunct w:val="0"/>
              <w:autoSpaceDE/>
              <w:autoSpaceDN/>
              <w:bidi w:val="0"/>
              <w:spacing w:line="320" w:lineRule="exact"/>
              <w:jc w:val="center"/>
              <w:textAlignment w:val="auto"/>
              <w:rPr>
                <w:rFonts w:ascii="宋体" w:hAnsi="宋体" w:cs="宋体"/>
                <w:bCs/>
                <w:color w:val="auto"/>
                <w:sz w:val="21"/>
                <w:szCs w:val="21"/>
                <w:highlight w:val="none"/>
              </w:rPr>
            </w:pPr>
            <w:r>
              <w:rPr>
                <w:rFonts w:hint="eastAsia" w:ascii="宋体" w:hAnsi="宋体"/>
                <w:color w:val="auto"/>
                <w:sz w:val="21"/>
                <w:szCs w:val="21"/>
                <w:highlight w:val="none"/>
              </w:rPr>
              <w:t>5</w:t>
            </w:r>
          </w:p>
        </w:tc>
        <w:tc>
          <w:tcPr>
            <w:tcW w:w="1095" w:type="pct"/>
            <w:vAlign w:val="center"/>
          </w:tcPr>
          <w:p w14:paraId="2A1B8A0D">
            <w:pPr>
              <w:keepNext w:val="0"/>
              <w:keepLines w:val="0"/>
              <w:pageBreakBefore w:val="0"/>
              <w:kinsoku/>
              <w:wordWrap/>
              <w:overflowPunct/>
              <w:topLinePunct w:val="0"/>
              <w:autoSpaceDE/>
              <w:autoSpaceDN/>
              <w:bidi w:val="0"/>
              <w:snapToGrid w:val="0"/>
              <w:spacing w:line="320" w:lineRule="exact"/>
              <w:jc w:val="center"/>
              <w:textAlignment w:val="auto"/>
              <w:outlineLvl w:val="0"/>
              <w:rPr>
                <w:rFonts w:ascii="宋体" w:hAnsi="宋体" w:cs="宋体"/>
                <w:color w:val="auto"/>
                <w:sz w:val="21"/>
                <w:szCs w:val="21"/>
                <w:highlight w:val="none"/>
              </w:rPr>
            </w:pPr>
          </w:p>
        </w:tc>
      </w:tr>
      <w:tr w14:paraId="01DC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0" w:type="pct"/>
            <w:vAlign w:val="center"/>
          </w:tcPr>
          <w:p w14:paraId="4959DDFC">
            <w:pPr>
              <w:keepNext w:val="0"/>
              <w:keepLines w:val="0"/>
              <w:pageBreakBefore w:val="0"/>
              <w:kinsoku/>
              <w:wordWrap/>
              <w:overflowPunct/>
              <w:topLinePunct w:val="0"/>
              <w:autoSpaceDE/>
              <w:autoSpaceDN/>
              <w:bidi w:val="0"/>
              <w:spacing w:line="320" w:lineRule="exact"/>
              <w:jc w:val="center"/>
              <w:textAlignment w:val="auto"/>
              <w:rPr>
                <w:rFonts w:ascii="宋体" w:hAnsi="宋体" w:cs="宋体"/>
                <w:color w:val="auto"/>
                <w:sz w:val="21"/>
                <w:szCs w:val="21"/>
                <w:highlight w:val="none"/>
              </w:rPr>
            </w:pPr>
            <w:r>
              <w:rPr>
                <w:rFonts w:hint="eastAsia" w:ascii="宋体" w:hAnsi="宋体"/>
                <w:color w:val="auto"/>
                <w:sz w:val="21"/>
                <w:szCs w:val="21"/>
                <w:highlight w:val="none"/>
              </w:rPr>
              <w:t>7</w:t>
            </w:r>
          </w:p>
        </w:tc>
        <w:tc>
          <w:tcPr>
            <w:tcW w:w="3126" w:type="pct"/>
            <w:vAlign w:val="center"/>
          </w:tcPr>
          <w:p w14:paraId="50394991">
            <w:pPr>
              <w:keepNext w:val="0"/>
              <w:keepLines w:val="0"/>
              <w:pageBreakBefore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olor w:val="auto"/>
                <w:sz w:val="21"/>
                <w:szCs w:val="21"/>
                <w:highlight w:val="none"/>
              </w:rPr>
              <w:t>对供应商和采购人配合实施的方案：根据方案的完整度及可实施性情况进行评审。</w:t>
            </w:r>
            <w:r>
              <w:rPr>
                <w:rFonts w:hint="eastAsia" w:ascii="宋体" w:hAnsi="宋体" w:cs="宋体"/>
                <w:color w:val="auto"/>
                <w:sz w:val="21"/>
                <w:szCs w:val="21"/>
                <w:highlight w:val="none"/>
              </w:rPr>
              <w:t>（评审分值：2分或1分或0分）</w:t>
            </w:r>
          </w:p>
        </w:tc>
        <w:tc>
          <w:tcPr>
            <w:tcW w:w="407" w:type="pct"/>
            <w:vAlign w:val="center"/>
          </w:tcPr>
          <w:p w14:paraId="583F96BC">
            <w:pPr>
              <w:keepNext w:val="0"/>
              <w:keepLines w:val="0"/>
              <w:pageBreakBefore w:val="0"/>
              <w:kinsoku/>
              <w:wordWrap/>
              <w:overflowPunct/>
              <w:topLinePunct w:val="0"/>
              <w:autoSpaceDE/>
              <w:autoSpaceDN/>
              <w:bidi w:val="0"/>
              <w:spacing w:line="320" w:lineRule="exact"/>
              <w:jc w:val="center"/>
              <w:textAlignment w:val="auto"/>
              <w:rPr>
                <w:rFonts w:ascii="宋体" w:hAnsi="宋体" w:cs="宋体"/>
                <w:bCs/>
                <w:color w:val="auto"/>
                <w:sz w:val="21"/>
                <w:szCs w:val="21"/>
                <w:highlight w:val="none"/>
              </w:rPr>
            </w:pPr>
            <w:r>
              <w:rPr>
                <w:rFonts w:hint="eastAsia" w:ascii="宋体" w:hAnsi="宋体"/>
                <w:color w:val="auto"/>
                <w:sz w:val="21"/>
                <w:szCs w:val="21"/>
                <w:highlight w:val="none"/>
              </w:rPr>
              <w:t>2</w:t>
            </w:r>
          </w:p>
        </w:tc>
        <w:tc>
          <w:tcPr>
            <w:tcW w:w="1095" w:type="pct"/>
            <w:vAlign w:val="center"/>
          </w:tcPr>
          <w:p w14:paraId="3412DBD3">
            <w:pPr>
              <w:keepNext w:val="0"/>
              <w:keepLines w:val="0"/>
              <w:pageBreakBefore w:val="0"/>
              <w:kinsoku/>
              <w:wordWrap/>
              <w:overflowPunct/>
              <w:topLinePunct w:val="0"/>
              <w:autoSpaceDE/>
              <w:autoSpaceDN/>
              <w:bidi w:val="0"/>
              <w:snapToGrid w:val="0"/>
              <w:spacing w:line="320" w:lineRule="exact"/>
              <w:jc w:val="center"/>
              <w:textAlignment w:val="auto"/>
              <w:outlineLvl w:val="0"/>
              <w:rPr>
                <w:rFonts w:ascii="宋体" w:hAnsi="宋体" w:cs="宋体"/>
                <w:color w:val="auto"/>
                <w:sz w:val="21"/>
                <w:szCs w:val="21"/>
                <w:highlight w:val="none"/>
              </w:rPr>
            </w:pPr>
          </w:p>
        </w:tc>
      </w:tr>
      <w:tr w14:paraId="3C89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0" w:type="pct"/>
            <w:vAlign w:val="center"/>
          </w:tcPr>
          <w:p w14:paraId="4489147E">
            <w:pPr>
              <w:keepNext w:val="0"/>
              <w:keepLines w:val="0"/>
              <w:pageBreakBefore w:val="0"/>
              <w:kinsoku/>
              <w:wordWrap/>
              <w:overflowPunct/>
              <w:topLinePunct w:val="0"/>
              <w:autoSpaceDE/>
              <w:autoSpaceDN/>
              <w:bidi w:val="0"/>
              <w:spacing w:line="320" w:lineRule="exact"/>
              <w:jc w:val="center"/>
              <w:textAlignment w:val="auto"/>
              <w:rPr>
                <w:rFonts w:ascii="宋体" w:hAnsi="宋体" w:cs="宋体"/>
                <w:color w:val="auto"/>
                <w:sz w:val="21"/>
                <w:szCs w:val="21"/>
                <w:highlight w:val="none"/>
              </w:rPr>
            </w:pPr>
            <w:r>
              <w:rPr>
                <w:rFonts w:hint="eastAsia" w:ascii="宋体" w:hAnsi="宋体"/>
                <w:color w:val="auto"/>
                <w:sz w:val="21"/>
                <w:szCs w:val="21"/>
                <w:highlight w:val="none"/>
              </w:rPr>
              <w:t>8</w:t>
            </w:r>
          </w:p>
        </w:tc>
        <w:tc>
          <w:tcPr>
            <w:tcW w:w="3126" w:type="pct"/>
            <w:vAlign w:val="center"/>
          </w:tcPr>
          <w:p w14:paraId="563B2486">
            <w:pPr>
              <w:keepNext w:val="0"/>
              <w:keepLines w:val="0"/>
              <w:pageBreakBefore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olor w:val="auto"/>
                <w:sz w:val="21"/>
                <w:szCs w:val="21"/>
                <w:highlight w:val="none"/>
              </w:rPr>
              <w:t>建筑垃圾处置方案，运输方式、总量、计划及时间等具体内容：根据方案的完整度及可实施性情况进行评审。</w:t>
            </w:r>
            <w:r>
              <w:rPr>
                <w:rFonts w:hint="eastAsia" w:ascii="宋体" w:hAnsi="宋体" w:cs="宋体"/>
                <w:color w:val="auto"/>
                <w:sz w:val="21"/>
                <w:szCs w:val="21"/>
                <w:highlight w:val="none"/>
              </w:rPr>
              <w:t>（评审分值：2分或1分或0分）</w:t>
            </w:r>
          </w:p>
        </w:tc>
        <w:tc>
          <w:tcPr>
            <w:tcW w:w="407" w:type="pct"/>
            <w:vAlign w:val="center"/>
          </w:tcPr>
          <w:p w14:paraId="10DA819B">
            <w:pPr>
              <w:keepNext w:val="0"/>
              <w:keepLines w:val="0"/>
              <w:pageBreakBefore w:val="0"/>
              <w:kinsoku/>
              <w:wordWrap/>
              <w:overflowPunct/>
              <w:topLinePunct w:val="0"/>
              <w:autoSpaceDE/>
              <w:autoSpaceDN/>
              <w:bidi w:val="0"/>
              <w:spacing w:line="320" w:lineRule="exact"/>
              <w:jc w:val="center"/>
              <w:textAlignment w:val="auto"/>
              <w:rPr>
                <w:rFonts w:ascii="宋体" w:hAnsi="宋体" w:cs="宋体"/>
                <w:bCs/>
                <w:color w:val="auto"/>
                <w:sz w:val="21"/>
                <w:szCs w:val="21"/>
                <w:highlight w:val="none"/>
              </w:rPr>
            </w:pPr>
            <w:r>
              <w:rPr>
                <w:rFonts w:hint="eastAsia" w:ascii="宋体" w:hAnsi="宋体"/>
                <w:color w:val="auto"/>
                <w:sz w:val="21"/>
                <w:szCs w:val="21"/>
                <w:highlight w:val="none"/>
              </w:rPr>
              <w:t>2</w:t>
            </w:r>
          </w:p>
        </w:tc>
        <w:tc>
          <w:tcPr>
            <w:tcW w:w="1095" w:type="pct"/>
            <w:vAlign w:val="center"/>
          </w:tcPr>
          <w:p w14:paraId="30BEC388">
            <w:pPr>
              <w:keepNext w:val="0"/>
              <w:keepLines w:val="0"/>
              <w:pageBreakBefore w:val="0"/>
              <w:kinsoku/>
              <w:wordWrap/>
              <w:overflowPunct/>
              <w:topLinePunct w:val="0"/>
              <w:autoSpaceDE/>
              <w:autoSpaceDN/>
              <w:bidi w:val="0"/>
              <w:snapToGrid w:val="0"/>
              <w:spacing w:line="320" w:lineRule="exact"/>
              <w:jc w:val="center"/>
              <w:textAlignment w:val="auto"/>
              <w:outlineLvl w:val="0"/>
              <w:rPr>
                <w:rFonts w:ascii="宋体" w:hAnsi="宋体" w:cs="宋体"/>
                <w:color w:val="auto"/>
                <w:sz w:val="21"/>
                <w:szCs w:val="21"/>
                <w:highlight w:val="none"/>
              </w:rPr>
            </w:pPr>
          </w:p>
        </w:tc>
      </w:tr>
      <w:tr w14:paraId="6C9F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0" w:type="pct"/>
            <w:vAlign w:val="center"/>
          </w:tcPr>
          <w:p w14:paraId="391D693C">
            <w:pPr>
              <w:keepNext w:val="0"/>
              <w:keepLines w:val="0"/>
              <w:pageBreakBefore w:val="0"/>
              <w:kinsoku/>
              <w:wordWrap/>
              <w:overflowPunct/>
              <w:topLinePunct w:val="0"/>
              <w:autoSpaceDE/>
              <w:autoSpaceDN/>
              <w:bidi w:val="0"/>
              <w:spacing w:line="320" w:lineRule="exact"/>
              <w:jc w:val="center"/>
              <w:textAlignment w:val="auto"/>
              <w:rPr>
                <w:rFonts w:ascii="宋体" w:hAnsi="宋体" w:cs="宋体"/>
                <w:color w:val="auto"/>
                <w:sz w:val="21"/>
                <w:szCs w:val="21"/>
                <w:highlight w:val="none"/>
              </w:rPr>
            </w:pPr>
            <w:r>
              <w:rPr>
                <w:rFonts w:hint="eastAsia" w:ascii="宋体" w:hAnsi="宋体"/>
                <w:color w:val="auto"/>
                <w:sz w:val="21"/>
                <w:szCs w:val="21"/>
                <w:highlight w:val="none"/>
              </w:rPr>
              <w:t>9</w:t>
            </w:r>
          </w:p>
        </w:tc>
        <w:tc>
          <w:tcPr>
            <w:tcW w:w="3126" w:type="pct"/>
            <w:vAlign w:val="center"/>
          </w:tcPr>
          <w:p w14:paraId="7D8D664B">
            <w:pPr>
              <w:keepNext w:val="0"/>
              <w:keepLines w:val="0"/>
              <w:pageBreakBefore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olor w:val="auto"/>
                <w:sz w:val="21"/>
                <w:szCs w:val="21"/>
                <w:highlight w:val="none"/>
              </w:rPr>
              <w:t>本项目施工难点、施工重点的描述及解决措施：根据对本项目施工难点、施工重点描述的清晰度、解决措施的完整性、可行性进行评审。</w:t>
            </w:r>
            <w:r>
              <w:rPr>
                <w:rFonts w:hint="eastAsia" w:ascii="宋体" w:hAnsi="宋体" w:cs="宋体"/>
                <w:color w:val="auto"/>
                <w:sz w:val="21"/>
                <w:szCs w:val="21"/>
                <w:highlight w:val="none"/>
              </w:rPr>
              <w:t>（评审分值：5分或4分或3分或2分或1分或0分）</w:t>
            </w:r>
          </w:p>
        </w:tc>
        <w:tc>
          <w:tcPr>
            <w:tcW w:w="407" w:type="pct"/>
            <w:vAlign w:val="center"/>
          </w:tcPr>
          <w:p w14:paraId="3F89D5C6">
            <w:pPr>
              <w:keepNext w:val="0"/>
              <w:keepLines w:val="0"/>
              <w:pageBreakBefore w:val="0"/>
              <w:kinsoku/>
              <w:wordWrap/>
              <w:overflowPunct/>
              <w:topLinePunct w:val="0"/>
              <w:autoSpaceDE/>
              <w:autoSpaceDN/>
              <w:bidi w:val="0"/>
              <w:spacing w:line="320" w:lineRule="exact"/>
              <w:jc w:val="center"/>
              <w:textAlignment w:val="auto"/>
              <w:rPr>
                <w:rFonts w:ascii="宋体" w:hAnsi="宋体" w:cs="宋体"/>
                <w:bCs/>
                <w:color w:val="auto"/>
                <w:sz w:val="21"/>
                <w:szCs w:val="21"/>
                <w:highlight w:val="none"/>
              </w:rPr>
            </w:pPr>
            <w:r>
              <w:rPr>
                <w:rFonts w:hint="eastAsia" w:ascii="宋体" w:hAnsi="宋体"/>
                <w:color w:val="auto"/>
                <w:sz w:val="21"/>
                <w:szCs w:val="21"/>
                <w:highlight w:val="none"/>
              </w:rPr>
              <w:t>5</w:t>
            </w:r>
          </w:p>
        </w:tc>
        <w:tc>
          <w:tcPr>
            <w:tcW w:w="1095" w:type="pct"/>
            <w:vAlign w:val="center"/>
          </w:tcPr>
          <w:p w14:paraId="2AA30CA9">
            <w:pPr>
              <w:keepNext w:val="0"/>
              <w:keepLines w:val="0"/>
              <w:pageBreakBefore w:val="0"/>
              <w:kinsoku/>
              <w:wordWrap/>
              <w:overflowPunct/>
              <w:topLinePunct w:val="0"/>
              <w:autoSpaceDE/>
              <w:autoSpaceDN/>
              <w:bidi w:val="0"/>
              <w:snapToGrid w:val="0"/>
              <w:spacing w:line="320" w:lineRule="exact"/>
              <w:jc w:val="center"/>
              <w:textAlignment w:val="auto"/>
              <w:outlineLvl w:val="0"/>
              <w:rPr>
                <w:rFonts w:ascii="宋体" w:hAnsi="宋体" w:cs="宋体"/>
                <w:color w:val="auto"/>
                <w:sz w:val="21"/>
                <w:szCs w:val="21"/>
                <w:highlight w:val="none"/>
              </w:rPr>
            </w:pPr>
          </w:p>
        </w:tc>
      </w:tr>
      <w:tr w14:paraId="1E21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0" w:type="pct"/>
            <w:vAlign w:val="center"/>
          </w:tcPr>
          <w:p w14:paraId="5FA6CD9B">
            <w:pPr>
              <w:keepNext w:val="0"/>
              <w:keepLines w:val="0"/>
              <w:pageBreakBefore w:val="0"/>
              <w:kinsoku/>
              <w:wordWrap/>
              <w:overflowPunct/>
              <w:topLinePunct w:val="0"/>
              <w:autoSpaceDE/>
              <w:autoSpaceDN/>
              <w:bidi w:val="0"/>
              <w:spacing w:line="320" w:lineRule="exact"/>
              <w:jc w:val="center"/>
              <w:textAlignment w:val="auto"/>
              <w:rPr>
                <w:rFonts w:ascii="宋体" w:hAnsi="宋体" w:cs="宋体"/>
                <w:color w:val="auto"/>
                <w:sz w:val="21"/>
                <w:szCs w:val="21"/>
                <w:highlight w:val="none"/>
              </w:rPr>
            </w:pPr>
            <w:r>
              <w:rPr>
                <w:rFonts w:hint="eastAsia" w:ascii="宋体" w:hAnsi="宋体"/>
                <w:color w:val="auto"/>
                <w:sz w:val="21"/>
                <w:szCs w:val="21"/>
                <w:highlight w:val="none"/>
              </w:rPr>
              <w:t>10</w:t>
            </w:r>
          </w:p>
        </w:tc>
        <w:tc>
          <w:tcPr>
            <w:tcW w:w="3126" w:type="pct"/>
            <w:vAlign w:val="center"/>
          </w:tcPr>
          <w:p w14:paraId="28CDFC07">
            <w:pPr>
              <w:keepNext w:val="0"/>
              <w:keepLines w:val="0"/>
              <w:pageBreakBefore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olor w:val="auto"/>
                <w:sz w:val="21"/>
                <w:szCs w:val="21"/>
                <w:highlight w:val="none"/>
              </w:rPr>
              <w:t>拟派驻现场的工程技术管理人员的专业配置：根据人员配置的科学合理性、职责明确情况，以及人员经验、执行力情况进行评审。</w:t>
            </w:r>
            <w:r>
              <w:rPr>
                <w:rFonts w:hint="eastAsia" w:ascii="宋体" w:hAnsi="宋体" w:cs="宋体"/>
                <w:color w:val="auto"/>
                <w:sz w:val="21"/>
                <w:szCs w:val="21"/>
                <w:highlight w:val="none"/>
              </w:rPr>
              <w:t>（评审分值：5分或4分或3分或2分或1分或0分）</w:t>
            </w:r>
          </w:p>
        </w:tc>
        <w:tc>
          <w:tcPr>
            <w:tcW w:w="407" w:type="pct"/>
            <w:vAlign w:val="center"/>
          </w:tcPr>
          <w:p w14:paraId="35E33B2D">
            <w:pPr>
              <w:keepNext w:val="0"/>
              <w:keepLines w:val="0"/>
              <w:pageBreakBefore w:val="0"/>
              <w:kinsoku/>
              <w:wordWrap/>
              <w:overflowPunct/>
              <w:topLinePunct w:val="0"/>
              <w:autoSpaceDE/>
              <w:autoSpaceDN/>
              <w:bidi w:val="0"/>
              <w:spacing w:line="320" w:lineRule="exact"/>
              <w:jc w:val="center"/>
              <w:textAlignment w:val="auto"/>
              <w:rPr>
                <w:rFonts w:ascii="宋体" w:hAnsi="宋体" w:cs="宋体"/>
                <w:bCs/>
                <w:color w:val="auto"/>
                <w:sz w:val="21"/>
                <w:szCs w:val="21"/>
                <w:highlight w:val="none"/>
              </w:rPr>
            </w:pPr>
            <w:r>
              <w:rPr>
                <w:rFonts w:hint="eastAsia" w:ascii="宋体" w:hAnsi="宋体"/>
                <w:color w:val="auto"/>
                <w:sz w:val="21"/>
                <w:szCs w:val="21"/>
                <w:highlight w:val="none"/>
              </w:rPr>
              <w:t>5</w:t>
            </w:r>
          </w:p>
        </w:tc>
        <w:tc>
          <w:tcPr>
            <w:tcW w:w="1095" w:type="pct"/>
            <w:vAlign w:val="center"/>
          </w:tcPr>
          <w:p w14:paraId="5268CC74">
            <w:pPr>
              <w:keepNext w:val="0"/>
              <w:keepLines w:val="0"/>
              <w:pageBreakBefore w:val="0"/>
              <w:kinsoku/>
              <w:wordWrap/>
              <w:overflowPunct/>
              <w:topLinePunct w:val="0"/>
              <w:autoSpaceDE/>
              <w:autoSpaceDN/>
              <w:bidi w:val="0"/>
              <w:snapToGrid w:val="0"/>
              <w:spacing w:line="320" w:lineRule="exact"/>
              <w:jc w:val="center"/>
              <w:textAlignment w:val="auto"/>
              <w:outlineLvl w:val="0"/>
              <w:rPr>
                <w:rFonts w:ascii="宋体" w:hAnsi="宋体" w:cs="宋体"/>
                <w:color w:val="auto"/>
                <w:sz w:val="21"/>
                <w:szCs w:val="21"/>
                <w:highlight w:val="none"/>
              </w:rPr>
            </w:pPr>
          </w:p>
        </w:tc>
      </w:tr>
      <w:tr w14:paraId="5339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0" w:type="pct"/>
            <w:vAlign w:val="center"/>
          </w:tcPr>
          <w:p w14:paraId="377568BB">
            <w:pPr>
              <w:keepNext w:val="0"/>
              <w:keepLines w:val="0"/>
              <w:pageBreakBefore w:val="0"/>
              <w:kinsoku/>
              <w:wordWrap/>
              <w:overflowPunct/>
              <w:topLinePunct w:val="0"/>
              <w:autoSpaceDE/>
              <w:autoSpaceDN/>
              <w:bidi w:val="0"/>
              <w:spacing w:line="320" w:lineRule="exact"/>
              <w:jc w:val="center"/>
              <w:textAlignment w:val="auto"/>
              <w:rPr>
                <w:rFonts w:ascii="宋体" w:hAnsi="宋体" w:cs="宋体"/>
                <w:color w:val="auto"/>
                <w:sz w:val="21"/>
                <w:szCs w:val="21"/>
                <w:highlight w:val="none"/>
              </w:rPr>
            </w:pPr>
            <w:r>
              <w:rPr>
                <w:rFonts w:hint="eastAsia" w:ascii="宋体" w:hAnsi="宋体"/>
                <w:color w:val="auto"/>
                <w:sz w:val="21"/>
                <w:szCs w:val="21"/>
                <w:highlight w:val="none"/>
              </w:rPr>
              <w:t>11</w:t>
            </w:r>
          </w:p>
        </w:tc>
        <w:tc>
          <w:tcPr>
            <w:tcW w:w="3126" w:type="pct"/>
            <w:vAlign w:val="center"/>
          </w:tcPr>
          <w:p w14:paraId="77646703">
            <w:pPr>
              <w:keepNext w:val="0"/>
              <w:keepLines w:val="0"/>
              <w:pageBreakBefore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olor w:val="auto"/>
                <w:sz w:val="21"/>
                <w:szCs w:val="21"/>
                <w:highlight w:val="none"/>
              </w:rPr>
              <w:t>施工质量控制措施：根据措施的全面性、科学性、可行性以及对本项目的针对性进行评审。（评审分值：5分或4分或3分或2分或1分或0分）</w:t>
            </w:r>
          </w:p>
        </w:tc>
        <w:tc>
          <w:tcPr>
            <w:tcW w:w="407" w:type="pct"/>
            <w:vAlign w:val="center"/>
          </w:tcPr>
          <w:p w14:paraId="79B6E939">
            <w:pPr>
              <w:keepNext w:val="0"/>
              <w:keepLines w:val="0"/>
              <w:pageBreakBefore w:val="0"/>
              <w:kinsoku/>
              <w:wordWrap/>
              <w:overflowPunct/>
              <w:topLinePunct w:val="0"/>
              <w:autoSpaceDE/>
              <w:autoSpaceDN/>
              <w:bidi w:val="0"/>
              <w:spacing w:line="320" w:lineRule="exact"/>
              <w:jc w:val="center"/>
              <w:textAlignment w:val="auto"/>
              <w:rPr>
                <w:rFonts w:ascii="宋体" w:hAnsi="宋体" w:cs="宋体"/>
                <w:bCs/>
                <w:color w:val="auto"/>
                <w:sz w:val="21"/>
                <w:szCs w:val="21"/>
                <w:highlight w:val="none"/>
              </w:rPr>
            </w:pPr>
            <w:r>
              <w:rPr>
                <w:rFonts w:hint="eastAsia" w:ascii="宋体" w:hAnsi="宋体"/>
                <w:color w:val="auto"/>
                <w:sz w:val="21"/>
                <w:szCs w:val="21"/>
                <w:highlight w:val="none"/>
              </w:rPr>
              <w:t>5</w:t>
            </w:r>
          </w:p>
        </w:tc>
        <w:tc>
          <w:tcPr>
            <w:tcW w:w="1095" w:type="pct"/>
            <w:vAlign w:val="center"/>
          </w:tcPr>
          <w:p w14:paraId="571F859E">
            <w:pPr>
              <w:keepNext w:val="0"/>
              <w:keepLines w:val="0"/>
              <w:pageBreakBefore w:val="0"/>
              <w:kinsoku/>
              <w:wordWrap/>
              <w:overflowPunct/>
              <w:topLinePunct w:val="0"/>
              <w:autoSpaceDE/>
              <w:autoSpaceDN/>
              <w:bidi w:val="0"/>
              <w:snapToGrid w:val="0"/>
              <w:spacing w:line="320" w:lineRule="exact"/>
              <w:jc w:val="center"/>
              <w:textAlignment w:val="auto"/>
              <w:outlineLvl w:val="0"/>
              <w:rPr>
                <w:rFonts w:ascii="宋体" w:hAnsi="宋体" w:cs="宋体"/>
                <w:color w:val="auto"/>
                <w:sz w:val="21"/>
                <w:szCs w:val="21"/>
                <w:highlight w:val="none"/>
              </w:rPr>
            </w:pPr>
          </w:p>
        </w:tc>
      </w:tr>
      <w:tr w14:paraId="32DB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0" w:type="pct"/>
            <w:vAlign w:val="center"/>
          </w:tcPr>
          <w:p w14:paraId="558FC4D3">
            <w:pPr>
              <w:keepNext w:val="0"/>
              <w:keepLines w:val="0"/>
              <w:pageBreakBefore w:val="0"/>
              <w:kinsoku/>
              <w:wordWrap/>
              <w:overflowPunct/>
              <w:topLinePunct w:val="0"/>
              <w:autoSpaceDE/>
              <w:autoSpaceDN/>
              <w:bidi w:val="0"/>
              <w:spacing w:line="320" w:lineRule="exact"/>
              <w:jc w:val="center"/>
              <w:textAlignment w:val="auto"/>
              <w:rPr>
                <w:rFonts w:ascii="宋体" w:hAnsi="宋体" w:cs="宋体"/>
                <w:color w:val="auto"/>
                <w:sz w:val="21"/>
                <w:szCs w:val="21"/>
                <w:highlight w:val="none"/>
              </w:rPr>
            </w:pPr>
            <w:r>
              <w:rPr>
                <w:rFonts w:hint="eastAsia" w:ascii="宋体" w:hAnsi="宋体"/>
                <w:color w:val="auto"/>
                <w:sz w:val="21"/>
                <w:szCs w:val="21"/>
                <w:highlight w:val="none"/>
              </w:rPr>
              <w:t>12</w:t>
            </w:r>
          </w:p>
        </w:tc>
        <w:tc>
          <w:tcPr>
            <w:tcW w:w="3126" w:type="pct"/>
            <w:vAlign w:val="center"/>
          </w:tcPr>
          <w:p w14:paraId="5DBC9DFA">
            <w:pPr>
              <w:keepNext w:val="0"/>
              <w:keepLines w:val="0"/>
              <w:pageBreakBefore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olor w:val="auto"/>
                <w:sz w:val="21"/>
                <w:szCs w:val="21"/>
                <w:highlight w:val="none"/>
              </w:rPr>
              <w:t>安全、文明施工及环保、消防等的保障措施：根据措施的全面性、科学性、可行性以及对本项目的针对性进行评审。（评审分值：5分或4分或3分或2分或1分或0分）</w:t>
            </w:r>
          </w:p>
        </w:tc>
        <w:tc>
          <w:tcPr>
            <w:tcW w:w="407" w:type="pct"/>
            <w:vAlign w:val="center"/>
          </w:tcPr>
          <w:p w14:paraId="215F361B">
            <w:pPr>
              <w:keepNext w:val="0"/>
              <w:keepLines w:val="0"/>
              <w:pageBreakBefore w:val="0"/>
              <w:kinsoku/>
              <w:wordWrap/>
              <w:overflowPunct/>
              <w:topLinePunct w:val="0"/>
              <w:autoSpaceDE/>
              <w:autoSpaceDN/>
              <w:bidi w:val="0"/>
              <w:spacing w:line="320" w:lineRule="exact"/>
              <w:jc w:val="center"/>
              <w:textAlignment w:val="auto"/>
              <w:rPr>
                <w:rFonts w:ascii="宋体" w:hAnsi="宋体" w:cs="宋体"/>
                <w:bCs/>
                <w:color w:val="auto"/>
                <w:sz w:val="21"/>
                <w:szCs w:val="21"/>
                <w:highlight w:val="none"/>
              </w:rPr>
            </w:pPr>
            <w:r>
              <w:rPr>
                <w:rFonts w:hint="eastAsia" w:ascii="宋体" w:hAnsi="宋体"/>
                <w:color w:val="auto"/>
                <w:sz w:val="21"/>
                <w:szCs w:val="21"/>
                <w:highlight w:val="none"/>
              </w:rPr>
              <w:t>5</w:t>
            </w:r>
          </w:p>
        </w:tc>
        <w:tc>
          <w:tcPr>
            <w:tcW w:w="1095" w:type="pct"/>
            <w:vAlign w:val="center"/>
          </w:tcPr>
          <w:p w14:paraId="1D4D48A8">
            <w:pPr>
              <w:keepNext w:val="0"/>
              <w:keepLines w:val="0"/>
              <w:pageBreakBefore w:val="0"/>
              <w:kinsoku/>
              <w:wordWrap/>
              <w:overflowPunct/>
              <w:topLinePunct w:val="0"/>
              <w:autoSpaceDE/>
              <w:autoSpaceDN/>
              <w:bidi w:val="0"/>
              <w:snapToGrid w:val="0"/>
              <w:spacing w:line="320" w:lineRule="exact"/>
              <w:jc w:val="center"/>
              <w:textAlignment w:val="auto"/>
              <w:outlineLvl w:val="0"/>
              <w:rPr>
                <w:rFonts w:ascii="宋体" w:hAnsi="宋体" w:cs="宋体"/>
                <w:color w:val="auto"/>
                <w:sz w:val="21"/>
                <w:szCs w:val="21"/>
                <w:highlight w:val="none"/>
              </w:rPr>
            </w:pPr>
          </w:p>
        </w:tc>
      </w:tr>
      <w:tr w14:paraId="4056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0" w:type="pct"/>
            <w:vAlign w:val="center"/>
          </w:tcPr>
          <w:p w14:paraId="0ECD89F2">
            <w:pPr>
              <w:keepNext w:val="0"/>
              <w:keepLines w:val="0"/>
              <w:pageBreakBefore w:val="0"/>
              <w:kinsoku/>
              <w:wordWrap/>
              <w:overflowPunct/>
              <w:topLinePunct w:val="0"/>
              <w:autoSpaceDE/>
              <w:autoSpaceDN/>
              <w:bidi w:val="0"/>
              <w:spacing w:line="320" w:lineRule="exact"/>
              <w:jc w:val="center"/>
              <w:textAlignment w:val="auto"/>
              <w:rPr>
                <w:rFonts w:ascii="宋体" w:hAnsi="宋体" w:cs="宋体"/>
                <w:color w:val="auto"/>
                <w:sz w:val="21"/>
                <w:szCs w:val="21"/>
                <w:highlight w:val="none"/>
              </w:rPr>
            </w:pPr>
            <w:r>
              <w:rPr>
                <w:rFonts w:hint="eastAsia" w:ascii="宋体" w:hAnsi="宋体"/>
                <w:color w:val="auto"/>
                <w:sz w:val="21"/>
                <w:szCs w:val="21"/>
                <w:highlight w:val="none"/>
              </w:rPr>
              <w:t>13</w:t>
            </w:r>
          </w:p>
        </w:tc>
        <w:tc>
          <w:tcPr>
            <w:tcW w:w="3126" w:type="pct"/>
            <w:vAlign w:val="center"/>
          </w:tcPr>
          <w:p w14:paraId="3463AE61">
            <w:pPr>
              <w:keepNext w:val="0"/>
              <w:keepLines w:val="0"/>
              <w:pageBreakBefore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olor w:val="auto"/>
                <w:sz w:val="21"/>
                <w:szCs w:val="21"/>
                <w:highlight w:val="none"/>
              </w:rPr>
              <w:t>施工机具、检验仪器的投入满足工程质量和进度要求的程度：根据配置的科学性、合理性进行评审。（评审分值：5分或4分或3分或2分或1分或0分）</w:t>
            </w:r>
          </w:p>
        </w:tc>
        <w:tc>
          <w:tcPr>
            <w:tcW w:w="407" w:type="pct"/>
            <w:vAlign w:val="center"/>
          </w:tcPr>
          <w:p w14:paraId="275B958B">
            <w:pPr>
              <w:keepNext w:val="0"/>
              <w:keepLines w:val="0"/>
              <w:pageBreakBefore w:val="0"/>
              <w:kinsoku/>
              <w:wordWrap/>
              <w:overflowPunct/>
              <w:topLinePunct w:val="0"/>
              <w:autoSpaceDE/>
              <w:autoSpaceDN/>
              <w:bidi w:val="0"/>
              <w:spacing w:line="320" w:lineRule="exact"/>
              <w:jc w:val="center"/>
              <w:textAlignment w:val="auto"/>
              <w:rPr>
                <w:rFonts w:ascii="宋体" w:hAnsi="宋体" w:cs="宋体"/>
                <w:bCs/>
                <w:color w:val="auto"/>
                <w:sz w:val="21"/>
                <w:szCs w:val="21"/>
                <w:highlight w:val="none"/>
              </w:rPr>
            </w:pPr>
            <w:r>
              <w:rPr>
                <w:rFonts w:hint="eastAsia" w:ascii="宋体" w:hAnsi="宋体"/>
                <w:color w:val="auto"/>
                <w:sz w:val="21"/>
                <w:szCs w:val="21"/>
                <w:highlight w:val="none"/>
              </w:rPr>
              <w:t>5</w:t>
            </w:r>
          </w:p>
        </w:tc>
        <w:tc>
          <w:tcPr>
            <w:tcW w:w="1095" w:type="pct"/>
            <w:vAlign w:val="center"/>
          </w:tcPr>
          <w:p w14:paraId="088E7815">
            <w:pPr>
              <w:keepNext w:val="0"/>
              <w:keepLines w:val="0"/>
              <w:pageBreakBefore w:val="0"/>
              <w:kinsoku/>
              <w:wordWrap/>
              <w:overflowPunct/>
              <w:topLinePunct w:val="0"/>
              <w:autoSpaceDE/>
              <w:autoSpaceDN/>
              <w:bidi w:val="0"/>
              <w:snapToGrid w:val="0"/>
              <w:spacing w:line="320" w:lineRule="exact"/>
              <w:jc w:val="center"/>
              <w:textAlignment w:val="auto"/>
              <w:outlineLvl w:val="0"/>
              <w:rPr>
                <w:rFonts w:ascii="宋体" w:hAnsi="宋体" w:cs="宋体"/>
                <w:color w:val="auto"/>
                <w:sz w:val="21"/>
                <w:szCs w:val="21"/>
                <w:highlight w:val="none"/>
              </w:rPr>
            </w:pPr>
          </w:p>
        </w:tc>
      </w:tr>
      <w:tr w14:paraId="10DB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0" w:type="pct"/>
            <w:vAlign w:val="center"/>
          </w:tcPr>
          <w:p w14:paraId="2B51BF99">
            <w:pPr>
              <w:keepNext w:val="0"/>
              <w:keepLines w:val="0"/>
              <w:pageBreakBefore w:val="0"/>
              <w:kinsoku/>
              <w:wordWrap/>
              <w:overflowPunct/>
              <w:topLinePunct w:val="0"/>
              <w:autoSpaceDE/>
              <w:autoSpaceDN/>
              <w:bidi w:val="0"/>
              <w:spacing w:line="320" w:lineRule="exact"/>
              <w:jc w:val="center"/>
              <w:textAlignment w:val="auto"/>
              <w:rPr>
                <w:rFonts w:ascii="宋体" w:hAnsi="宋体" w:cs="宋体"/>
                <w:color w:val="auto"/>
                <w:sz w:val="21"/>
                <w:szCs w:val="21"/>
                <w:highlight w:val="none"/>
              </w:rPr>
            </w:pPr>
            <w:r>
              <w:rPr>
                <w:rFonts w:hint="eastAsia" w:ascii="宋体" w:hAnsi="宋体"/>
                <w:color w:val="auto"/>
                <w:sz w:val="21"/>
                <w:szCs w:val="21"/>
                <w:highlight w:val="none"/>
              </w:rPr>
              <w:t>14</w:t>
            </w:r>
          </w:p>
        </w:tc>
        <w:tc>
          <w:tcPr>
            <w:tcW w:w="3126" w:type="pct"/>
            <w:vAlign w:val="center"/>
          </w:tcPr>
          <w:p w14:paraId="0DA05A1C">
            <w:pPr>
              <w:keepNext w:val="0"/>
              <w:keepLines w:val="0"/>
              <w:pageBreakBefore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olor w:val="auto"/>
                <w:sz w:val="21"/>
                <w:szCs w:val="21"/>
                <w:highlight w:val="none"/>
              </w:rPr>
              <w:t>原材料、半成品、外购件外购设备等设备材料的质量保证措施：根据方案的全面性、科学性、可行性以及对本项目的针对性进行评审。（评审分值：5分或4分或3分或2分或1分或0分）</w:t>
            </w:r>
          </w:p>
        </w:tc>
        <w:tc>
          <w:tcPr>
            <w:tcW w:w="407" w:type="pct"/>
            <w:vAlign w:val="center"/>
          </w:tcPr>
          <w:p w14:paraId="78B1EDFA">
            <w:pPr>
              <w:keepNext w:val="0"/>
              <w:keepLines w:val="0"/>
              <w:pageBreakBefore w:val="0"/>
              <w:kinsoku/>
              <w:wordWrap/>
              <w:overflowPunct/>
              <w:topLinePunct w:val="0"/>
              <w:autoSpaceDE/>
              <w:autoSpaceDN/>
              <w:bidi w:val="0"/>
              <w:spacing w:line="320" w:lineRule="exact"/>
              <w:jc w:val="center"/>
              <w:textAlignment w:val="auto"/>
              <w:rPr>
                <w:rFonts w:ascii="宋体" w:hAnsi="宋体" w:cs="宋体"/>
                <w:bCs/>
                <w:color w:val="auto"/>
                <w:sz w:val="21"/>
                <w:szCs w:val="21"/>
                <w:highlight w:val="none"/>
              </w:rPr>
            </w:pPr>
            <w:r>
              <w:rPr>
                <w:rFonts w:hint="eastAsia" w:ascii="宋体" w:hAnsi="宋体"/>
                <w:color w:val="auto"/>
                <w:sz w:val="21"/>
                <w:szCs w:val="21"/>
                <w:highlight w:val="none"/>
              </w:rPr>
              <w:t>5</w:t>
            </w:r>
          </w:p>
        </w:tc>
        <w:tc>
          <w:tcPr>
            <w:tcW w:w="1095" w:type="pct"/>
            <w:vAlign w:val="center"/>
          </w:tcPr>
          <w:p w14:paraId="412EE62B">
            <w:pPr>
              <w:keepNext w:val="0"/>
              <w:keepLines w:val="0"/>
              <w:pageBreakBefore w:val="0"/>
              <w:kinsoku/>
              <w:wordWrap/>
              <w:overflowPunct/>
              <w:topLinePunct w:val="0"/>
              <w:autoSpaceDE/>
              <w:autoSpaceDN/>
              <w:bidi w:val="0"/>
              <w:snapToGrid w:val="0"/>
              <w:spacing w:line="320" w:lineRule="exact"/>
              <w:jc w:val="center"/>
              <w:textAlignment w:val="auto"/>
              <w:outlineLvl w:val="0"/>
              <w:rPr>
                <w:rFonts w:ascii="宋体" w:hAnsi="宋体" w:cs="宋体"/>
                <w:color w:val="auto"/>
                <w:sz w:val="21"/>
                <w:szCs w:val="21"/>
                <w:highlight w:val="none"/>
              </w:rPr>
            </w:pPr>
          </w:p>
        </w:tc>
      </w:tr>
      <w:tr w14:paraId="2ACD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0" w:type="pct"/>
            <w:vAlign w:val="center"/>
          </w:tcPr>
          <w:p w14:paraId="405108D1">
            <w:pPr>
              <w:keepNext w:val="0"/>
              <w:keepLines w:val="0"/>
              <w:pageBreakBefore w:val="0"/>
              <w:kinsoku/>
              <w:wordWrap/>
              <w:overflowPunct/>
              <w:topLinePunct w:val="0"/>
              <w:autoSpaceDE/>
              <w:autoSpaceDN/>
              <w:bidi w:val="0"/>
              <w:spacing w:line="320" w:lineRule="exact"/>
              <w:jc w:val="center"/>
              <w:textAlignment w:val="auto"/>
              <w:rPr>
                <w:rFonts w:ascii="宋体" w:hAnsi="宋体" w:cs="宋体"/>
                <w:color w:val="auto"/>
                <w:sz w:val="21"/>
                <w:szCs w:val="21"/>
                <w:highlight w:val="none"/>
              </w:rPr>
            </w:pPr>
            <w:r>
              <w:rPr>
                <w:rFonts w:hint="eastAsia" w:ascii="宋体" w:hAnsi="宋体"/>
                <w:color w:val="auto"/>
                <w:sz w:val="21"/>
                <w:szCs w:val="21"/>
                <w:highlight w:val="none"/>
              </w:rPr>
              <w:t>15</w:t>
            </w:r>
          </w:p>
        </w:tc>
        <w:tc>
          <w:tcPr>
            <w:tcW w:w="3126" w:type="pct"/>
            <w:vAlign w:val="center"/>
          </w:tcPr>
          <w:p w14:paraId="2CC024A7">
            <w:pPr>
              <w:keepNext w:val="0"/>
              <w:keepLines w:val="0"/>
              <w:pageBreakBefore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olor w:val="auto"/>
                <w:sz w:val="21"/>
                <w:szCs w:val="21"/>
                <w:highlight w:val="none"/>
              </w:rPr>
              <w:t>项目实施过程中针对成品保护的各项措施：根据措施的全面性、科学性、可行性以及对本项目的针对性进行评审。（评审分值：5分或4分或3分或2分或1分或0分）</w:t>
            </w:r>
          </w:p>
        </w:tc>
        <w:tc>
          <w:tcPr>
            <w:tcW w:w="407" w:type="pct"/>
            <w:vAlign w:val="center"/>
          </w:tcPr>
          <w:p w14:paraId="44D21DD6">
            <w:pPr>
              <w:keepNext w:val="0"/>
              <w:keepLines w:val="0"/>
              <w:pageBreakBefore w:val="0"/>
              <w:kinsoku/>
              <w:wordWrap/>
              <w:overflowPunct/>
              <w:topLinePunct w:val="0"/>
              <w:autoSpaceDE/>
              <w:autoSpaceDN/>
              <w:bidi w:val="0"/>
              <w:spacing w:line="320" w:lineRule="exact"/>
              <w:jc w:val="center"/>
              <w:textAlignment w:val="auto"/>
              <w:rPr>
                <w:rFonts w:ascii="宋体" w:hAnsi="宋体" w:cs="宋体"/>
                <w:bCs/>
                <w:color w:val="auto"/>
                <w:sz w:val="21"/>
                <w:szCs w:val="21"/>
                <w:highlight w:val="none"/>
              </w:rPr>
            </w:pPr>
            <w:r>
              <w:rPr>
                <w:rFonts w:hint="eastAsia" w:ascii="宋体" w:hAnsi="宋体"/>
                <w:color w:val="auto"/>
                <w:sz w:val="21"/>
                <w:szCs w:val="21"/>
                <w:highlight w:val="none"/>
              </w:rPr>
              <w:t>5</w:t>
            </w:r>
          </w:p>
        </w:tc>
        <w:tc>
          <w:tcPr>
            <w:tcW w:w="1095" w:type="pct"/>
            <w:vAlign w:val="center"/>
          </w:tcPr>
          <w:p w14:paraId="5915BC7E">
            <w:pPr>
              <w:keepNext w:val="0"/>
              <w:keepLines w:val="0"/>
              <w:pageBreakBefore w:val="0"/>
              <w:kinsoku/>
              <w:wordWrap/>
              <w:overflowPunct/>
              <w:topLinePunct w:val="0"/>
              <w:autoSpaceDE/>
              <w:autoSpaceDN/>
              <w:bidi w:val="0"/>
              <w:snapToGrid w:val="0"/>
              <w:spacing w:line="320" w:lineRule="exact"/>
              <w:jc w:val="center"/>
              <w:textAlignment w:val="auto"/>
              <w:outlineLvl w:val="0"/>
              <w:rPr>
                <w:rFonts w:ascii="宋体" w:hAnsi="宋体" w:cs="宋体"/>
                <w:color w:val="auto"/>
                <w:sz w:val="21"/>
                <w:szCs w:val="21"/>
                <w:highlight w:val="none"/>
              </w:rPr>
            </w:pPr>
          </w:p>
        </w:tc>
      </w:tr>
      <w:tr w14:paraId="05A8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0" w:type="pct"/>
            <w:vAlign w:val="center"/>
          </w:tcPr>
          <w:p w14:paraId="4FCB87A2">
            <w:pPr>
              <w:keepNext w:val="0"/>
              <w:keepLines w:val="0"/>
              <w:pageBreakBefore w:val="0"/>
              <w:kinsoku/>
              <w:wordWrap/>
              <w:overflowPunct/>
              <w:topLinePunct w:val="0"/>
              <w:autoSpaceDE/>
              <w:autoSpaceDN/>
              <w:bidi w:val="0"/>
              <w:spacing w:line="320" w:lineRule="exact"/>
              <w:jc w:val="center"/>
              <w:textAlignment w:val="auto"/>
              <w:rPr>
                <w:rFonts w:ascii="宋体" w:hAnsi="宋体" w:cs="宋体"/>
                <w:color w:val="auto"/>
                <w:sz w:val="21"/>
                <w:szCs w:val="21"/>
                <w:highlight w:val="none"/>
              </w:rPr>
            </w:pPr>
            <w:r>
              <w:rPr>
                <w:rFonts w:hint="eastAsia" w:ascii="宋体" w:hAnsi="宋体"/>
                <w:color w:val="auto"/>
                <w:sz w:val="21"/>
                <w:szCs w:val="21"/>
                <w:highlight w:val="none"/>
              </w:rPr>
              <w:t>16</w:t>
            </w:r>
          </w:p>
        </w:tc>
        <w:tc>
          <w:tcPr>
            <w:tcW w:w="3126" w:type="pct"/>
            <w:vAlign w:val="center"/>
          </w:tcPr>
          <w:p w14:paraId="66B5632C">
            <w:pPr>
              <w:keepNext w:val="0"/>
              <w:keepLines w:val="0"/>
              <w:pageBreakBefore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olor w:val="auto"/>
                <w:sz w:val="21"/>
                <w:szCs w:val="21"/>
                <w:highlight w:val="none"/>
              </w:rPr>
              <w:t>验收、维修及保修期内、外后续服务方案保障措施；根据措施的全面性、科学性、可行性以及对本项目的针对性进行评审。（评审分值：5分或4分或3分或2分或1分或0分）</w:t>
            </w:r>
          </w:p>
        </w:tc>
        <w:tc>
          <w:tcPr>
            <w:tcW w:w="407" w:type="pct"/>
            <w:vAlign w:val="center"/>
          </w:tcPr>
          <w:p w14:paraId="6DAEB6E8">
            <w:pPr>
              <w:keepNext w:val="0"/>
              <w:keepLines w:val="0"/>
              <w:pageBreakBefore w:val="0"/>
              <w:kinsoku/>
              <w:wordWrap/>
              <w:overflowPunct/>
              <w:topLinePunct w:val="0"/>
              <w:autoSpaceDE/>
              <w:autoSpaceDN/>
              <w:bidi w:val="0"/>
              <w:spacing w:line="320" w:lineRule="exact"/>
              <w:jc w:val="center"/>
              <w:textAlignment w:val="auto"/>
              <w:rPr>
                <w:rFonts w:ascii="宋体" w:hAnsi="宋体" w:cs="宋体"/>
                <w:bCs/>
                <w:color w:val="auto"/>
                <w:sz w:val="21"/>
                <w:szCs w:val="21"/>
                <w:highlight w:val="none"/>
              </w:rPr>
            </w:pPr>
            <w:r>
              <w:rPr>
                <w:rFonts w:hint="eastAsia" w:ascii="宋体" w:hAnsi="宋体"/>
                <w:color w:val="auto"/>
                <w:sz w:val="21"/>
                <w:szCs w:val="21"/>
                <w:highlight w:val="none"/>
              </w:rPr>
              <w:t>5</w:t>
            </w:r>
          </w:p>
        </w:tc>
        <w:tc>
          <w:tcPr>
            <w:tcW w:w="1095" w:type="pct"/>
            <w:vAlign w:val="center"/>
          </w:tcPr>
          <w:p w14:paraId="3FCDAED7">
            <w:pPr>
              <w:keepNext w:val="0"/>
              <w:keepLines w:val="0"/>
              <w:pageBreakBefore w:val="0"/>
              <w:kinsoku/>
              <w:wordWrap/>
              <w:overflowPunct/>
              <w:topLinePunct w:val="0"/>
              <w:autoSpaceDE/>
              <w:autoSpaceDN/>
              <w:bidi w:val="0"/>
              <w:snapToGrid w:val="0"/>
              <w:spacing w:line="320" w:lineRule="exact"/>
              <w:jc w:val="center"/>
              <w:textAlignment w:val="auto"/>
              <w:outlineLvl w:val="0"/>
              <w:rPr>
                <w:rFonts w:ascii="宋体" w:hAnsi="宋体" w:cs="宋体"/>
                <w:color w:val="auto"/>
                <w:sz w:val="21"/>
                <w:szCs w:val="21"/>
                <w:highlight w:val="none"/>
              </w:rPr>
            </w:pPr>
          </w:p>
        </w:tc>
      </w:tr>
      <w:tr w14:paraId="4DBE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0" w:type="pct"/>
            <w:vAlign w:val="center"/>
          </w:tcPr>
          <w:p w14:paraId="434C35DE">
            <w:pPr>
              <w:keepNext w:val="0"/>
              <w:keepLines w:val="0"/>
              <w:pageBreakBefore w:val="0"/>
              <w:kinsoku/>
              <w:wordWrap/>
              <w:overflowPunct/>
              <w:topLinePunct w:val="0"/>
              <w:autoSpaceDE/>
              <w:autoSpaceDN/>
              <w:bidi w:val="0"/>
              <w:spacing w:line="320" w:lineRule="exact"/>
              <w:jc w:val="center"/>
              <w:textAlignment w:val="auto"/>
              <w:rPr>
                <w:rFonts w:ascii="宋体" w:hAnsi="宋体" w:cs="宋体"/>
                <w:color w:val="auto"/>
                <w:sz w:val="21"/>
                <w:szCs w:val="21"/>
                <w:highlight w:val="none"/>
              </w:rPr>
            </w:pPr>
            <w:r>
              <w:rPr>
                <w:rFonts w:hint="eastAsia" w:ascii="宋体" w:hAnsi="宋体"/>
                <w:color w:val="auto"/>
                <w:sz w:val="21"/>
                <w:szCs w:val="21"/>
                <w:highlight w:val="none"/>
              </w:rPr>
              <w:t>17</w:t>
            </w:r>
          </w:p>
        </w:tc>
        <w:tc>
          <w:tcPr>
            <w:tcW w:w="3126" w:type="pct"/>
            <w:vAlign w:val="center"/>
          </w:tcPr>
          <w:p w14:paraId="6B4CDAE8">
            <w:pPr>
              <w:keepNext w:val="0"/>
              <w:keepLines w:val="0"/>
              <w:pageBreakBefore w:val="0"/>
              <w:kinsoku/>
              <w:wordWrap/>
              <w:overflowPunct/>
              <w:topLinePunct w:val="0"/>
              <w:autoSpaceDE/>
              <w:autoSpaceDN/>
              <w:bidi w:val="0"/>
              <w:spacing w:line="320" w:lineRule="exact"/>
              <w:textAlignment w:val="auto"/>
              <w:outlineLvl w:val="0"/>
              <w:rPr>
                <w:rFonts w:ascii="宋体" w:hAnsi="宋体" w:cs="宋体"/>
                <w:color w:val="auto"/>
                <w:sz w:val="21"/>
                <w:szCs w:val="21"/>
                <w:highlight w:val="none"/>
              </w:rPr>
            </w:pPr>
            <w:r>
              <w:rPr>
                <w:rFonts w:hint="eastAsia"/>
                <w:color w:val="auto"/>
                <w:spacing w:val="-6"/>
                <w:sz w:val="21"/>
                <w:szCs w:val="21"/>
                <w:highlight w:val="none"/>
              </w:rPr>
              <w:t>应急预案：根据供应商提供针对安全事故、恶劣天气以及突发等情况的应急预案的合理性和适用性进行评审。（评审分值：4分或3分或2分或1分或0分）</w:t>
            </w:r>
          </w:p>
        </w:tc>
        <w:tc>
          <w:tcPr>
            <w:tcW w:w="407" w:type="pct"/>
            <w:vAlign w:val="center"/>
          </w:tcPr>
          <w:p w14:paraId="2EF68187">
            <w:pPr>
              <w:keepNext w:val="0"/>
              <w:keepLines w:val="0"/>
              <w:pageBreakBefore w:val="0"/>
              <w:kinsoku/>
              <w:wordWrap/>
              <w:overflowPunct/>
              <w:topLinePunct w:val="0"/>
              <w:autoSpaceDE/>
              <w:autoSpaceDN/>
              <w:bidi w:val="0"/>
              <w:spacing w:line="320" w:lineRule="exact"/>
              <w:jc w:val="center"/>
              <w:textAlignment w:val="auto"/>
              <w:outlineLvl w:val="0"/>
              <w:rPr>
                <w:rFonts w:ascii="宋体" w:hAnsi="宋体" w:cs="宋体"/>
                <w:bCs/>
                <w:color w:val="auto"/>
                <w:sz w:val="21"/>
                <w:szCs w:val="21"/>
                <w:highlight w:val="none"/>
              </w:rPr>
            </w:pPr>
            <w:r>
              <w:rPr>
                <w:rFonts w:hint="eastAsia" w:ascii="宋体" w:hAnsi="宋体" w:cs="宋体"/>
                <w:color w:val="auto"/>
                <w:sz w:val="21"/>
                <w:szCs w:val="21"/>
                <w:highlight w:val="none"/>
              </w:rPr>
              <w:t>4</w:t>
            </w:r>
          </w:p>
        </w:tc>
        <w:tc>
          <w:tcPr>
            <w:tcW w:w="1095" w:type="pct"/>
            <w:vAlign w:val="center"/>
          </w:tcPr>
          <w:p w14:paraId="0D6DE155">
            <w:pPr>
              <w:keepNext w:val="0"/>
              <w:keepLines w:val="0"/>
              <w:pageBreakBefore w:val="0"/>
              <w:kinsoku/>
              <w:wordWrap/>
              <w:overflowPunct/>
              <w:topLinePunct w:val="0"/>
              <w:autoSpaceDE/>
              <w:autoSpaceDN/>
              <w:bidi w:val="0"/>
              <w:snapToGrid w:val="0"/>
              <w:spacing w:line="320" w:lineRule="exact"/>
              <w:jc w:val="center"/>
              <w:textAlignment w:val="auto"/>
              <w:outlineLvl w:val="0"/>
              <w:rPr>
                <w:rFonts w:ascii="宋体" w:hAnsi="宋体" w:cs="宋体"/>
                <w:color w:val="auto"/>
                <w:sz w:val="21"/>
                <w:szCs w:val="21"/>
                <w:highlight w:val="none"/>
              </w:rPr>
            </w:pPr>
          </w:p>
        </w:tc>
      </w:tr>
      <w:tr w14:paraId="5E5A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0" w:type="pct"/>
            <w:vAlign w:val="center"/>
          </w:tcPr>
          <w:p w14:paraId="6A0A0A99">
            <w:pPr>
              <w:keepNext w:val="0"/>
              <w:keepLines w:val="0"/>
              <w:pageBreakBefore w:val="0"/>
              <w:kinsoku/>
              <w:wordWrap/>
              <w:overflowPunct/>
              <w:topLinePunct w:val="0"/>
              <w:autoSpaceDE/>
              <w:autoSpaceDN/>
              <w:bidi w:val="0"/>
              <w:spacing w:line="320" w:lineRule="exact"/>
              <w:jc w:val="center"/>
              <w:textAlignment w:val="auto"/>
              <w:rPr>
                <w:rFonts w:ascii="宋体" w:hAnsi="宋体" w:cs="宋体"/>
                <w:color w:val="auto"/>
                <w:sz w:val="21"/>
                <w:szCs w:val="21"/>
                <w:highlight w:val="none"/>
              </w:rPr>
            </w:pPr>
            <w:r>
              <w:rPr>
                <w:rFonts w:hint="eastAsia" w:ascii="宋体" w:hAnsi="宋体"/>
                <w:color w:val="auto"/>
                <w:sz w:val="21"/>
                <w:szCs w:val="21"/>
                <w:highlight w:val="none"/>
              </w:rPr>
              <w:t>18</w:t>
            </w:r>
          </w:p>
        </w:tc>
        <w:tc>
          <w:tcPr>
            <w:tcW w:w="3126" w:type="pct"/>
            <w:vAlign w:val="center"/>
          </w:tcPr>
          <w:p w14:paraId="3262E249">
            <w:pPr>
              <w:keepNext w:val="0"/>
              <w:keepLines w:val="0"/>
              <w:pageBreakBefore w:val="0"/>
              <w:kinsoku/>
              <w:wordWrap/>
              <w:overflowPunct/>
              <w:topLinePunct w:val="0"/>
              <w:autoSpaceDE/>
              <w:autoSpaceDN/>
              <w:bidi w:val="0"/>
              <w:spacing w:line="320" w:lineRule="exact"/>
              <w:textAlignment w:val="auto"/>
              <w:outlineLvl w:val="0"/>
              <w:rPr>
                <w:rFonts w:ascii="宋体" w:hAnsi="宋体" w:cs="宋体"/>
                <w:color w:val="auto"/>
                <w:sz w:val="21"/>
                <w:szCs w:val="21"/>
                <w:highlight w:val="none"/>
              </w:rPr>
            </w:pPr>
            <w:r>
              <w:rPr>
                <w:color w:val="auto"/>
                <w:spacing w:val="-6"/>
                <w:sz w:val="21"/>
                <w:szCs w:val="21"/>
                <w:highlight w:val="none"/>
              </w:rPr>
              <w:t>所投材料列入政府采购节能产品</w:t>
            </w:r>
            <w:r>
              <w:rPr>
                <w:rFonts w:hint="eastAsia"/>
                <w:color w:val="auto"/>
                <w:spacing w:val="-6"/>
                <w:sz w:val="21"/>
                <w:szCs w:val="21"/>
                <w:highlight w:val="none"/>
              </w:rPr>
              <w:t>（已列入强制要求的除外）</w:t>
            </w:r>
            <w:r>
              <w:rPr>
                <w:color w:val="auto"/>
                <w:spacing w:val="-6"/>
                <w:sz w:val="21"/>
                <w:szCs w:val="21"/>
                <w:highlight w:val="none"/>
              </w:rPr>
              <w:t>、环境标志产品品目清单范围的，节能产品1分，环境标志产品1分。</w:t>
            </w:r>
            <w:r>
              <w:rPr>
                <w:rFonts w:hint="eastAsia"/>
                <w:color w:val="auto"/>
                <w:spacing w:val="-6"/>
                <w:sz w:val="21"/>
                <w:szCs w:val="21"/>
                <w:highlight w:val="none"/>
              </w:rPr>
              <w:t>（根据最新政府采购节能产品、环境标志产品品目清单进行评分，供应商应在投标文件中提供相关依据国家确定的认证机构出具的、处于有效期之内的节能产品、环境标志产品认证证书证明材料，否则不得分）</w:t>
            </w:r>
            <w:r>
              <w:rPr>
                <w:color w:val="auto"/>
                <w:spacing w:val="-6"/>
                <w:sz w:val="21"/>
                <w:szCs w:val="21"/>
                <w:highlight w:val="none"/>
              </w:rPr>
              <w:t>。</w:t>
            </w:r>
          </w:p>
        </w:tc>
        <w:tc>
          <w:tcPr>
            <w:tcW w:w="407" w:type="pct"/>
            <w:vAlign w:val="center"/>
          </w:tcPr>
          <w:p w14:paraId="4B47A8D1">
            <w:pPr>
              <w:keepNext w:val="0"/>
              <w:keepLines w:val="0"/>
              <w:pageBreakBefore w:val="0"/>
              <w:kinsoku/>
              <w:wordWrap/>
              <w:overflowPunct/>
              <w:topLinePunct w:val="0"/>
              <w:autoSpaceDE/>
              <w:autoSpaceDN/>
              <w:bidi w:val="0"/>
              <w:spacing w:line="320" w:lineRule="exact"/>
              <w:jc w:val="center"/>
              <w:textAlignment w:val="auto"/>
              <w:outlineLvl w:val="0"/>
              <w:rPr>
                <w:rFonts w:ascii="宋体" w:hAnsi="宋体" w:cs="宋体"/>
                <w:bCs/>
                <w:color w:val="auto"/>
                <w:sz w:val="21"/>
                <w:szCs w:val="21"/>
                <w:highlight w:val="none"/>
              </w:rPr>
            </w:pPr>
            <w:r>
              <w:rPr>
                <w:rFonts w:hint="eastAsia" w:ascii="宋体" w:hAnsi="宋体" w:cs="宋体"/>
                <w:color w:val="auto"/>
                <w:sz w:val="21"/>
                <w:szCs w:val="21"/>
                <w:highlight w:val="none"/>
              </w:rPr>
              <w:t>2</w:t>
            </w:r>
          </w:p>
        </w:tc>
        <w:tc>
          <w:tcPr>
            <w:tcW w:w="1095" w:type="pct"/>
            <w:vAlign w:val="center"/>
          </w:tcPr>
          <w:p w14:paraId="0EEE594C">
            <w:pPr>
              <w:keepNext w:val="0"/>
              <w:keepLines w:val="0"/>
              <w:pageBreakBefore w:val="0"/>
              <w:kinsoku/>
              <w:wordWrap/>
              <w:overflowPunct/>
              <w:topLinePunct w:val="0"/>
              <w:autoSpaceDE/>
              <w:autoSpaceDN/>
              <w:bidi w:val="0"/>
              <w:snapToGrid w:val="0"/>
              <w:spacing w:line="320" w:lineRule="exact"/>
              <w:jc w:val="center"/>
              <w:textAlignment w:val="auto"/>
              <w:outlineLvl w:val="0"/>
              <w:rPr>
                <w:rFonts w:ascii="宋体" w:hAnsi="宋体" w:cs="宋体"/>
                <w:color w:val="auto"/>
                <w:sz w:val="21"/>
                <w:szCs w:val="21"/>
                <w:highlight w:val="none"/>
              </w:rPr>
            </w:pPr>
          </w:p>
        </w:tc>
      </w:tr>
      <w:tr w14:paraId="7823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0" w:type="pct"/>
            <w:vAlign w:val="center"/>
          </w:tcPr>
          <w:p w14:paraId="79EC87F4">
            <w:pPr>
              <w:keepNext w:val="0"/>
              <w:keepLines w:val="0"/>
              <w:pageBreakBefore w:val="0"/>
              <w:kinsoku/>
              <w:wordWrap/>
              <w:overflowPunct/>
              <w:topLinePunct w:val="0"/>
              <w:autoSpaceDE/>
              <w:autoSpaceDN/>
              <w:bidi w:val="0"/>
              <w:snapToGrid w:val="0"/>
              <w:spacing w:line="320" w:lineRule="exact"/>
              <w:jc w:val="center"/>
              <w:textAlignment w:val="auto"/>
              <w:outlineLvl w:val="0"/>
              <w:rPr>
                <w:rFonts w:ascii="宋体" w:hAnsi="宋体" w:cs="宋体"/>
                <w:color w:val="auto"/>
                <w:sz w:val="21"/>
                <w:szCs w:val="21"/>
                <w:highlight w:val="none"/>
              </w:rPr>
            </w:pPr>
          </w:p>
        </w:tc>
        <w:tc>
          <w:tcPr>
            <w:tcW w:w="3126" w:type="pct"/>
          </w:tcPr>
          <w:p w14:paraId="442C493B">
            <w:pPr>
              <w:keepNext w:val="0"/>
              <w:keepLines w:val="0"/>
              <w:pageBreakBefore w:val="0"/>
              <w:kinsoku/>
              <w:wordWrap/>
              <w:overflowPunct/>
              <w:topLinePunct w:val="0"/>
              <w:autoSpaceDE/>
              <w:autoSpaceDN/>
              <w:bidi w:val="0"/>
              <w:snapToGrid w:val="0"/>
              <w:spacing w:line="320" w:lineRule="exact"/>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有效最后报价的最低价作为评审基准价，其最低报价为满分；按［最后报价得分=（评审基准价/最后报价）*</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0］的计算公式计算。</w:t>
            </w:r>
          </w:p>
          <w:p w14:paraId="6EA66BB4">
            <w:pPr>
              <w:keepNext w:val="0"/>
              <w:keepLines w:val="0"/>
              <w:pageBreakBefore w:val="0"/>
              <w:widowControl/>
              <w:shd w:val="clear" w:color="auto"/>
              <w:kinsoku/>
              <w:wordWrap/>
              <w:overflowPunct/>
              <w:topLinePunct w:val="0"/>
              <w:autoSpaceDE/>
              <w:autoSpaceDN/>
              <w:bidi w:val="0"/>
              <w:adjustRightInd/>
              <w:snapToGrid w:val="0"/>
              <w:spacing w:line="320" w:lineRule="exact"/>
              <w:ind w:firstLine="42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评审过程中，不得去掉报价中的最高报价和最低报价。</w:t>
            </w:r>
          </w:p>
          <w:p w14:paraId="68E7703D">
            <w:pPr>
              <w:keepNext w:val="0"/>
              <w:keepLines w:val="0"/>
              <w:pageBreakBefore w:val="0"/>
              <w:widowControl/>
              <w:shd w:val="clear" w:color="auto"/>
              <w:kinsoku/>
              <w:wordWrap/>
              <w:overflowPunct/>
              <w:topLinePunct w:val="0"/>
              <w:autoSpaceDE/>
              <w:autoSpaceDN/>
              <w:bidi w:val="0"/>
              <w:adjustRightInd/>
              <w:snapToGrid w:val="0"/>
              <w:spacing w:line="320" w:lineRule="exact"/>
              <w:ind w:firstLine="42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因落实政府采购政策需要进行价格调整的，以调整后的价格计算评审基准价和最后报价。</w:t>
            </w:r>
          </w:p>
          <w:p w14:paraId="40AEA49E">
            <w:pPr>
              <w:keepNext w:val="0"/>
              <w:keepLines w:val="0"/>
              <w:pageBreakBefore w:val="0"/>
              <w:widowControl/>
              <w:shd w:val="clear" w:color="auto"/>
              <w:kinsoku/>
              <w:wordWrap/>
              <w:overflowPunct/>
              <w:topLinePunct w:val="0"/>
              <w:autoSpaceDE/>
              <w:autoSpaceDN/>
              <w:bidi w:val="0"/>
              <w:adjustRightInd/>
              <w:snapToGrid w:val="0"/>
              <w:spacing w:line="320" w:lineRule="exact"/>
              <w:ind w:firstLine="420"/>
              <w:jc w:val="left"/>
              <w:textAlignment w:val="auto"/>
              <w:rPr>
                <w:rFonts w:ascii="宋体" w:hAnsi="宋体" w:cs="宋体"/>
                <w:color w:val="auto"/>
                <w:sz w:val="21"/>
                <w:szCs w:val="21"/>
                <w:highlight w:val="none"/>
              </w:rPr>
            </w:pPr>
            <w:r>
              <w:rPr>
                <w:rFonts w:hint="eastAsia" w:ascii="宋体" w:hAnsi="宋体" w:cs="宋体"/>
                <w:b/>
                <w:bCs/>
                <w:color w:val="auto"/>
                <w:sz w:val="21"/>
                <w:szCs w:val="21"/>
                <w:highlight w:val="none"/>
                <w:u w:val="single"/>
                <w:lang w:val="zh-CN"/>
              </w:rPr>
              <w:t>本项目面向</w:t>
            </w:r>
            <w:r>
              <w:rPr>
                <w:rFonts w:hint="eastAsia" w:ascii="宋体" w:hAnsi="宋体" w:cs="宋体"/>
                <w:b/>
                <w:bCs/>
                <w:color w:val="auto"/>
                <w:sz w:val="21"/>
                <w:szCs w:val="21"/>
                <w:highlight w:val="none"/>
                <w:u w:val="single"/>
              </w:rPr>
              <w:t>中小</w:t>
            </w:r>
            <w:r>
              <w:rPr>
                <w:rFonts w:hint="eastAsia" w:ascii="宋体" w:hAnsi="宋体" w:cs="宋体"/>
                <w:b/>
                <w:bCs/>
                <w:color w:val="auto"/>
                <w:sz w:val="21"/>
                <w:szCs w:val="21"/>
                <w:highlight w:val="none"/>
                <w:u w:val="single"/>
                <w:lang w:val="zh-CN"/>
              </w:rPr>
              <w:t>企业采购，不进行价格扣除或价格分加分。</w:t>
            </w:r>
          </w:p>
        </w:tc>
        <w:tc>
          <w:tcPr>
            <w:tcW w:w="407" w:type="pct"/>
            <w:vAlign w:val="center"/>
          </w:tcPr>
          <w:p w14:paraId="71A2D1D9">
            <w:pPr>
              <w:keepNext w:val="0"/>
              <w:keepLines w:val="0"/>
              <w:pageBreakBefore w:val="0"/>
              <w:kinsoku/>
              <w:wordWrap/>
              <w:overflowPunct/>
              <w:topLinePunct w:val="0"/>
              <w:autoSpaceDE/>
              <w:autoSpaceDN/>
              <w:bidi w:val="0"/>
              <w:snapToGrid w:val="0"/>
              <w:spacing w:line="320" w:lineRule="exact"/>
              <w:jc w:val="center"/>
              <w:textAlignment w:val="auto"/>
              <w:outlineLvl w:val="0"/>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30</w:t>
            </w:r>
          </w:p>
        </w:tc>
        <w:tc>
          <w:tcPr>
            <w:tcW w:w="1095" w:type="pct"/>
            <w:vAlign w:val="center"/>
          </w:tcPr>
          <w:p w14:paraId="1198662E">
            <w:pPr>
              <w:keepNext w:val="0"/>
              <w:keepLines w:val="0"/>
              <w:pageBreakBefore w:val="0"/>
              <w:kinsoku/>
              <w:wordWrap/>
              <w:overflowPunct/>
              <w:topLinePunct w:val="0"/>
              <w:autoSpaceDE/>
              <w:autoSpaceDN/>
              <w:bidi w:val="0"/>
              <w:snapToGrid w:val="0"/>
              <w:spacing w:line="320" w:lineRule="exact"/>
              <w:jc w:val="center"/>
              <w:textAlignment w:val="auto"/>
              <w:outlineLvl w:val="0"/>
              <w:rPr>
                <w:rFonts w:ascii="宋体" w:hAnsi="宋体" w:cs="宋体"/>
                <w:color w:val="auto"/>
                <w:sz w:val="21"/>
                <w:szCs w:val="21"/>
                <w:highlight w:val="none"/>
              </w:rPr>
            </w:pPr>
            <w:r>
              <w:rPr>
                <w:rFonts w:hint="eastAsia" w:ascii="宋体" w:hAnsi="宋体" w:cs="宋体"/>
                <w:color w:val="auto"/>
                <w:sz w:val="21"/>
                <w:szCs w:val="21"/>
                <w:highlight w:val="none"/>
              </w:rPr>
              <w:t>/</w:t>
            </w:r>
          </w:p>
        </w:tc>
      </w:tr>
      <w:tr w14:paraId="4049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0" w:type="pct"/>
            <w:vAlign w:val="center"/>
          </w:tcPr>
          <w:p w14:paraId="4E08CFAE">
            <w:pPr>
              <w:keepNext w:val="0"/>
              <w:keepLines w:val="0"/>
              <w:pageBreakBefore w:val="0"/>
              <w:kinsoku/>
              <w:wordWrap/>
              <w:overflowPunct/>
              <w:topLinePunct w:val="0"/>
              <w:autoSpaceDE/>
              <w:autoSpaceDN/>
              <w:bidi w:val="0"/>
              <w:snapToGrid w:val="0"/>
              <w:spacing w:line="320" w:lineRule="exact"/>
              <w:ind w:firstLine="210" w:firstLineChars="100"/>
              <w:textAlignment w:val="auto"/>
              <w:outlineLvl w:val="0"/>
              <w:rPr>
                <w:rFonts w:ascii="宋体" w:hAnsi="宋体" w:cs="宋体"/>
                <w:color w:val="auto"/>
                <w:sz w:val="21"/>
                <w:szCs w:val="21"/>
                <w:highlight w:val="none"/>
              </w:rPr>
            </w:pPr>
          </w:p>
        </w:tc>
        <w:tc>
          <w:tcPr>
            <w:tcW w:w="3126" w:type="pct"/>
          </w:tcPr>
          <w:p w14:paraId="6DB7C16F">
            <w:pPr>
              <w:keepNext w:val="0"/>
              <w:keepLines w:val="0"/>
              <w:pageBreakBefore w:val="0"/>
              <w:widowControl/>
              <w:shd w:val="clear" w:color="auto"/>
              <w:kinsoku/>
              <w:wordWrap/>
              <w:overflowPunct/>
              <w:topLinePunct w:val="0"/>
              <w:autoSpaceDE/>
              <w:autoSpaceDN/>
              <w:bidi w:val="0"/>
              <w:adjustRightInd/>
              <w:snapToGrid w:val="0"/>
              <w:spacing w:line="320" w:lineRule="exact"/>
              <w:ind w:firstLine="42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注意：不得以特定金额的业绩作为评审因素</w:t>
            </w:r>
          </w:p>
        </w:tc>
        <w:tc>
          <w:tcPr>
            <w:tcW w:w="407" w:type="pct"/>
            <w:vAlign w:val="center"/>
          </w:tcPr>
          <w:p w14:paraId="75B864E6">
            <w:pPr>
              <w:keepNext w:val="0"/>
              <w:keepLines w:val="0"/>
              <w:pageBreakBefore w:val="0"/>
              <w:kinsoku/>
              <w:wordWrap/>
              <w:overflowPunct/>
              <w:topLinePunct w:val="0"/>
              <w:autoSpaceDE/>
              <w:autoSpaceDN/>
              <w:bidi w:val="0"/>
              <w:snapToGrid w:val="0"/>
              <w:spacing w:line="320" w:lineRule="exact"/>
              <w:ind w:firstLine="105" w:firstLineChars="50"/>
              <w:textAlignment w:val="auto"/>
              <w:outlineLvl w:val="0"/>
              <w:rPr>
                <w:rFonts w:ascii="宋体" w:hAnsi="宋体" w:cs="宋体"/>
                <w:color w:val="auto"/>
                <w:sz w:val="21"/>
                <w:szCs w:val="21"/>
                <w:highlight w:val="none"/>
              </w:rPr>
            </w:pPr>
          </w:p>
        </w:tc>
        <w:tc>
          <w:tcPr>
            <w:tcW w:w="1095" w:type="pct"/>
            <w:vAlign w:val="center"/>
          </w:tcPr>
          <w:p w14:paraId="748D2F4D">
            <w:pPr>
              <w:keepNext w:val="0"/>
              <w:keepLines w:val="0"/>
              <w:pageBreakBefore w:val="0"/>
              <w:kinsoku/>
              <w:wordWrap/>
              <w:overflowPunct/>
              <w:topLinePunct w:val="0"/>
              <w:autoSpaceDE/>
              <w:autoSpaceDN/>
              <w:bidi w:val="0"/>
              <w:snapToGrid w:val="0"/>
              <w:spacing w:line="320" w:lineRule="exact"/>
              <w:jc w:val="center"/>
              <w:textAlignment w:val="auto"/>
              <w:outlineLvl w:val="0"/>
              <w:rPr>
                <w:rFonts w:ascii="宋体" w:hAnsi="宋体" w:cs="宋体"/>
                <w:color w:val="auto"/>
                <w:sz w:val="21"/>
                <w:szCs w:val="21"/>
                <w:highlight w:val="none"/>
              </w:rPr>
            </w:pPr>
          </w:p>
        </w:tc>
      </w:tr>
    </w:tbl>
    <w:p w14:paraId="3E7013C3">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w:t>
      </w:r>
    </w:p>
    <w:p w14:paraId="3EF5E801">
      <w:pPr>
        <w:jc w:val="left"/>
        <w:rPr>
          <w:rFonts w:ascii="宋体" w:hAnsi="宋体" w:cs="宋体"/>
          <w:b/>
          <w:color w:val="auto"/>
          <w:sz w:val="32"/>
          <w:highlight w:val="none"/>
        </w:rPr>
      </w:pPr>
      <w:r>
        <w:rPr>
          <w:rFonts w:hint="eastAsia" w:ascii="宋体" w:hAnsi="宋体" w:cs="宋体"/>
          <w:b/>
          <w:color w:val="auto"/>
          <w:sz w:val="32"/>
          <w:highlight w:val="none"/>
        </w:rPr>
        <w:br w:type="page"/>
      </w:r>
    </w:p>
    <w:p w14:paraId="3F16CC46">
      <w:pPr>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4"/>
          <w:szCs w:val="21"/>
          <w:highlight w:val="none"/>
        </w:rPr>
        <w:t>一、评审方法</w:t>
      </w:r>
    </w:p>
    <w:p w14:paraId="538057B6">
      <w:pPr>
        <w:adjustRightInd/>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1.本项目采用综合评分法。</w:t>
      </w:r>
      <w:r>
        <w:rPr>
          <w:rFonts w:hint="eastAsia" w:ascii="宋体" w:hAnsi="宋体" w:cs="宋体"/>
          <w:color w:val="auto"/>
          <w:kern w:val="0"/>
          <w:sz w:val="21"/>
          <w:szCs w:val="21"/>
          <w:highlight w:val="none"/>
        </w:rPr>
        <w:t>综合评分法，是指响应文件满足磋商文件全部实质性要求且按评审因素的量化指标评审得分最高的供应商为成交候选供应商的评审方法。</w:t>
      </w:r>
    </w:p>
    <w:p w14:paraId="3FF21CCC">
      <w:pPr>
        <w:snapToGrid w:val="0"/>
        <w:spacing w:line="360" w:lineRule="auto"/>
        <w:jc w:val="center"/>
        <w:rPr>
          <w:rFonts w:ascii="宋体" w:hAnsi="宋体" w:cs="宋体"/>
          <w:b/>
          <w:color w:val="auto"/>
          <w:sz w:val="24"/>
          <w:szCs w:val="21"/>
          <w:highlight w:val="none"/>
        </w:rPr>
      </w:pPr>
      <w:r>
        <w:rPr>
          <w:rFonts w:hint="eastAsia" w:ascii="宋体" w:hAnsi="宋体" w:cs="宋体"/>
          <w:b/>
          <w:color w:val="auto"/>
          <w:sz w:val="24"/>
          <w:szCs w:val="21"/>
          <w:highlight w:val="none"/>
        </w:rPr>
        <w:t>二、评审标准</w:t>
      </w:r>
    </w:p>
    <w:p w14:paraId="289C9D16">
      <w:pPr>
        <w:spacing w:line="360" w:lineRule="auto"/>
        <w:ind w:firstLine="413" w:firstLineChars="196"/>
        <w:rPr>
          <w:rFonts w:ascii="宋体" w:hAnsi="宋体" w:cs="宋体"/>
          <w:b/>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color w:val="auto"/>
          <w:sz w:val="18"/>
          <w:szCs w:val="21"/>
          <w:highlight w:val="none"/>
        </w:rPr>
        <w:t xml:space="preserve"> </w:t>
      </w:r>
      <w:r>
        <w:rPr>
          <w:rFonts w:hint="eastAsia" w:ascii="宋体" w:hAnsi="宋体" w:cs="宋体"/>
          <w:b/>
          <w:color w:val="auto"/>
          <w:sz w:val="21"/>
          <w:szCs w:val="21"/>
          <w:highlight w:val="none"/>
        </w:rPr>
        <w:t>评审标准：</w:t>
      </w:r>
      <w:r>
        <w:rPr>
          <w:rFonts w:hint="eastAsia" w:ascii="宋体" w:hAnsi="宋体" w:cs="宋体"/>
          <w:color w:val="auto"/>
          <w:kern w:val="0"/>
          <w:sz w:val="21"/>
          <w:szCs w:val="21"/>
          <w:highlight w:val="none"/>
        </w:rPr>
        <w:t>见评审办法前附表。</w:t>
      </w:r>
    </w:p>
    <w:p w14:paraId="6F972D24">
      <w:pPr>
        <w:snapToGrid w:val="0"/>
        <w:spacing w:line="360" w:lineRule="auto"/>
        <w:jc w:val="center"/>
        <w:rPr>
          <w:rFonts w:ascii="宋体" w:hAnsi="宋体" w:cs="宋体"/>
          <w:b/>
          <w:color w:val="auto"/>
          <w:sz w:val="24"/>
          <w:szCs w:val="21"/>
          <w:highlight w:val="none"/>
        </w:rPr>
      </w:pPr>
      <w:r>
        <w:rPr>
          <w:rFonts w:hint="eastAsia" w:ascii="宋体" w:hAnsi="宋体" w:cs="宋体"/>
          <w:b/>
          <w:color w:val="auto"/>
          <w:sz w:val="24"/>
          <w:szCs w:val="21"/>
          <w:highlight w:val="none"/>
        </w:rPr>
        <w:t>三、评审程序</w:t>
      </w:r>
    </w:p>
    <w:p w14:paraId="5C51254B">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3.1符合性审查。</w:t>
      </w:r>
      <w:r>
        <w:rPr>
          <w:rFonts w:hint="eastAsia" w:ascii="宋体" w:hAnsi="宋体" w:cs="宋体"/>
          <w:color w:val="auto"/>
          <w:kern w:val="0"/>
          <w:sz w:val="21"/>
          <w:szCs w:val="21"/>
          <w:highlight w:val="none"/>
        </w:rPr>
        <w:t>磋商小组应当对符合资格的供应商的响应文件进行符合性审查，以确定其是否满足采购文件的实质性要求。不满足采购文件的实质性要求的，响应文件无效。</w:t>
      </w:r>
    </w:p>
    <w:p w14:paraId="36263431">
      <w:pPr>
        <w:spacing w:line="360" w:lineRule="auto"/>
        <w:ind w:firstLine="413" w:firstLineChars="196"/>
        <w:rPr>
          <w:rFonts w:ascii="宋体" w:hAnsi="宋体" w:cs="宋体"/>
          <w:color w:val="auto"/>
          <w:sz w:val="21"/>
          <w:szCs w:val="21"/>
          <w:highlight w:val="none"/>
        </w:rPr>
      </w:pPr>
      <w:r>
        <w:rPr>
          <w:rFonts w:hint="eastAsia" w:ascii="宋体" w:hAnsi="宋体" w:cs="宋体"/>
          <w:b/>
          <w:color w:val="auto"/>
          <w:kern w:val="0"/>
          <w:sz w:val="21"/>
          <w:szCs w:val="21"/>
          <w:highlight w:val="none"/>
        </w:rPr>
        <w:t>3.2 磋商。</w:t>
      </w:r>
      <w:r>
        <w:rPr>
          <w:rFonts w:hint="eastAsia" w:ascii="宋体" w:hAnsi="宋体" w:cs="宋体"/>
          <w:color w:val="auto"/>
          <w:sz w:val="21"/>
          <w:szCs w:val="21"/>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1"/>
          <w:szCs w:val="21"/>
          <w:highlight w:val="none"/>
        </w:rPr>
        <w:t>符合性审查合格的</w:t>
      </w:r>
      <w:r>
        <w:rPr>
          <w:rFonts w:hint="eastAsia" w:ascii="宋体" w:hAnsi="宋体" w:cs="宋体"/>
          <w:color w:val="auto"/>
          <w:sz w:val="21"/>
          <w:szCs w:val="21"/>
          <w:highlight w:val="none"/>
        </w:rPr>
        <w:t>供应商逐一进行磋商。</w:t>
      </w:r>
    </w:p>
    <w:p w14:paraId="135B340A">
      <w:pPr>
        <w:spacing w:line="360" w:lineRule="auto"/>
        <w:ind w:firstLine="411" w:firstLineChars="196"/>
        <w:rPr>
          <w:rFonts w:ascii="宋体" w:hAnsi="宋体" w:cs="宋体"/>
          <w:b/>
          <w:color w:val="auto"/>
          <w:sz w:val="21"/>
          <w:szCs w:val="21"/>
          <w:highlight w:val="none"/>
        </w:rPr>
      </w:pPr>
      <w:r>
        <w:rPr>
          <w:rFonts w:hint="eastAsia" w:ascii="宋体" w:hAnsi="宋体" w:cs="宋体"/>
          <w:bCs/>
          <w:color w:val="auto"/>
          <w:sz w:val="21"/>
          <w:szCs w:val="21"/>
          <w:highlight w:val="none"/>
        </w:rPr>
        <w:t xml:space="preserve">3.2.1 </w:t>
      </w:r>
      <w:r>
        <w:rPr>
          <w:rFonts w:hint="eastAsia" w:ascii="宋体" w:hAnsi="宋体" w:cs="宋体"/>
          <w:color w:val="auto"/>
          <w:sz w:val="21"/>
          <w:szCs w:val="21"/>
          <w:highlight w:val="none"/>
        </w:rPr>
        <w:t>供应商逐家回答磋商小组的提问；</w:t>
      </w:r>
      <w:r>
        <w:rPr>
          <w:rFonts w:hint="eastAsia" w:ascii="宋体" w:hAnsi="宋体" w:cs="宋体"/>
          <w:b/>
          <w:color w:val="auto"/>
          <w:sz w:val="21"/>
          <w:szCs w:val="21"/>
          <w:highlight w:val="none"/>
        </w:rPr>
        <w:t>逐家磋商一次为一个轮次，磋商轮次根据实际情况进行。</w:t>
      </w:r>
    </w:p>
    <w:p w14:paraId="41AABD86">
      <w:pPr>
        <w:spacing w:line="360" w:lineRule="auto"/>
        <w:ind w:firstLine="411" w:firstLineChars="196"/>
        <w:rPr>
          <w:rFonts w:ascii="宋体" w:hAnsi="宋体" w:cs="宋体"/>
          <w:color w:val="auto"/>
          <w:sz w:val="21"/>
          <w:szCs w:val="21"/>
          <w:highlight w:val="none"/>
        </w:rPr>
      </w:pPr>
      <w:r>
        <w:rPr>
          <w:rFonts w:hint="eastAsia" w:ascii="宋体" w:hAnsi="宋体" w:cs="宋体"/>
          <w:bCs/>
          <w:color w:val="auto"/>
          <w:sz w:val="21"/>
          <w:szCs w:val="21"/>
          <w:highlight w:val="none"/>
        </w:rPr>
        <w:t xml:space="preserve">3.2.2 </w:t>
      </w:r>
      <w:r>
        <w:rPr>
          <w:rFonts w:hint="eastAsia" w:ascii="宋体" w:hAnsi="宋体" w:cs="宋体"/>
          <w:color w:val="auto"/>
          <w:sz w:val="21"/>
          <w:szCs w:val="21"/>
          <w:highlight w:val="none"/>
        </w:rPr>
        <w:t>供应商应按磋商小组通知的时间在线或以邮件回复做出承诺或回复，承诺或回复的内容须由供应商法定代表人或授权代表签署，并作为响应文件的补充部分。</w:t>
      </w:r>
    </w:p>
    <w:p w14:paraId="0A7D15A2">
      <w:pPr>
        <w:spacing w:line="360" w:lineRule="auto"/>
        <w:ind w:firstLine="411" w:firstLineChars="196"/>
        <w:rPr>
          <w:rFonts w:ascii="宋体" w:hAnsi="宋体" w:cs="宋体"/>
          <w:bCs/>
          <w:color w:val="auto"/>
          <w:kern w:val="0"/>
          <w:sz w:val="21"/>
          <w:szCs w:val="21"/>
          <w:highlight w:val="none"/>
        </w:rPr>
      </w:pPr>
      <w:r>
        <w:rPr>
          <w:rFonts w:hint="eastAsia" w:ascii="宋体" w:hAnsi="宋体" w:cs="宋体"/>
          <w:color w:val="auto"/>
          <w:sz w:val="21"/>
          <w:szCs w:val="21"/>
          <w:highlight w:val="none"/>
        </w:rPr>
        <w:t xml:space="preserve">3.2.3 </w:t>
      </w:r>
      <w:r>
        <w:rPr>
          <w:rFonts w:hint="eastAsia" w:ascii="宋体" w:hAnsi="宋体" w:cs="宋体"/>
          <w:b/>
          <w:bCs/>
          <w:color w:val="auto"/>
          <w:sz w:val="21"/>
          <w:szCs w:val="21"/>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1"/>
          <w:szCs w:val="21"/>
          <w:highlight w:val="none"/>
        </w:rPr>
        <w:t>实质性变动的内容，须经采购人代表确认。磋商文件有实质性变动的，磋商小组将以书面形式通知所有</w:t>
      </w:r>
      <w:r>
        <w:rPr>
          <w:rFonts w:hint="eastAsia" w:ascii="宋体" w:hAnsi="宋体" w:cs="宋体"/>
          <w:color w:val="auto"/>
          <w:kern w:val="0"/>
          <w:sz w:val="21"/>
          <w:szCs w:val="21"/>
          <w:highlight w:val="none"/>
        </w:rPr>
        <w:t>符合性审查合格的</w:t>
      </w:r>
      <w:r>
        <w:rPr>
          <w:rFonts w:hint="eastAsia" w:ascii="宋体" w:hAnsi="宋体" w:cs="宋体"/>
          <w:color w:val="auto"/>
          <w:sz w:val="21"/>
          <w:szCs w:val="21"/>
          <w:highlight w:val="none"/>
        </w:rPr>
        <w:t xml:space="preserve">供应商。 </w:t>
      </w:r>
    </w:p>
    <w:p w14:paraId="3C8124A1">
      <w:pPr>
        <w:spacing w:line="360" w:lineRule="auto"/>
        <w:ind w:firstLine="413" w:firstLineChars="196"/>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3.3最后报价</w:t>
      </w:r>
    </w:p>
    <w:p w14:paraId="3117CA49">
      <w:pPr>
        <w:spacing w:line="360" w:lineRule="auto"/>
        <w:ind w:firstLine="411" w:firstLineChars="196"/>
        <w:rPr>
          <w:rFonts w:ascii="宋体" w:hAnsi="宋体" w:cs="宋体"/>
          <w:color w:val="auto"/>
          <w:kern w:val="0"/>
          <w:sz w:val="21"/>
          <w:szCs w:val="21"/>
          <w:highlight w:val="none"/>
        </w:rPr>
      </w:pPr>
      <w:r>
        <w:rPr>
          <w:rFonts w:hint="eastAsia" w:ascii="宋体" w:hAnsi="宋体" w:cs="宋体"/>
          <w:color w:val="auto"/>
          <w:kern w:val="0"/>
          <w:sz w:val="21"/>
          <w:szCs w:val="21"/>
          <w:highlight w:val="none"/>
        </w:rPr>
        <w:t>3.3.1 磋商文件能够详细列明采购标的的技术、服务要求的，磋商结束后，磋商小组应当要求所有符合性审查合格的供应商在规定时间内提交最后报价，提交最后报价的供应商不得少于3家。</w:t>
      </w:r>
    </w:p>
    <w:p w14:paraId="18976C75">
      <w:pPr>
        <w:spacing w:line="360" w:lineRule="auto"/>
        <w:ind w:firstLine="411" w:firstLineChars="196"/>
        <w:rPr>
          <w:rFonts w:ascii="宋体" w:hAnsi="宋体" w:cs="宋体"/>
          <w:color w:val="auto"/>
          <w:kern w:val="0"/>
          <w:sz w:val="21"/>
          <w:szCs w:val="21"/>
          <w:highlight w:val="none"/>
        </w:rPr>
      </w:pPr>
      <w:r>
        <w:rPr>
          <w:rFonts w:hint="eastAsia" w:ascii="宋体" w:hAnsi="宋体" w:cs="宋体"/>
          <w:color w:val="auto"/>
          <w:kern w:val="0"/>
          <w:sz w:val="21"/>
          <w:szCs w:val="21"/>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BCB8F5F">
      <w:pPr>
        <w:spacing w:line="360" w:lineRule="auto"/>
        <w:ind w:firstLine="411" w:firstLineChars="196"/>
        <w:rPr>
          <w:rFonts w:ascii="宋体" w:hAnsi="宋体" w:cs="宋体"/>
          <w:color w:val="auto"/>
          <w:kern w:val="0"/>
          <w:sz w:val="21"/>
          <w:szCs w:val="21"/>
          <w:highlight w:val="none"/>
        </w:rPr>
      </w:pPr>
      <w:r>
        <w:rPr>
          <w:rFonts w:hint="eastAsia" w:ascii="宋体" w:hAnsi="宋体" w:cs="宋体"/>
          <w:color w:val="auto"/>
          <w:kern w:val="0"/>
          <w:sz w:val="21"/>
          <w:szCs w:val="21"/>
          <w:highlight w:val="none"/>
        </w:rPr>
        <w:t>3.3.3 已提交响应文件的供应商，在提交最后报价之前，可以根据磋商情况退出磋商</w:t>
      </w:r>
    </w:p>
    <w:p w14:paraId="4B77813B">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3.4 综合评分。</w:t>
      </w:r>
      <w:r>
        <w:rPr>
          <w:rFonts w:hint="eastAsia" w:ascii="宋体" w:hAnsi="宋体" w:cs="宋体"/>
          <w:bCs/>
          <w:color w:val="auto"/>
          <w:kern w:val="0"/>
          <w:sz w:val="21"/>
          <w:szCs w:val="21"/>
          <w:highlight w:val="none"/>
        </w:rPr>
        <w:t>经磋商确定最终采购需求和提交最后报价的供应商后，</w:t>
      </w:r>
      <w:r>
        <w:rPr>
          <w:rFonts w:hint="eastAsia" w:ascii="宋体" w:hAnsi="宋体" w:cs="宋体"/>
          <w:color w:val="auto"/>
          <w:kern w:val="0"/>
          <w:sz w:val="21"/>
          <w:szCs w:val="21"/>
          <w:highlight w:val="none"/>
        </w:rPr>
        <w:t>磋商小组应当按照采购文件中规定的评审标准，对符合性审查合格的响应文件进行综合评分。磋商文件中没有规定的评审标准不得作为评审依据。</w:t>
      </w:r>
    </w:p>
    <w:p w14:paraId="12AC47E2">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3.5汇总商务技术得分。</w:t>
      </w:r>
      <w:r>
        <w:rPr>
          <w:rFonts w:hint="eastAsia" w:ascii="宋体" w:hAnsi="宋体" w:cs="宋体"/>
          <w:color w:val="auto"/>
          <w:kern w:val="0"/>
          <w:sz w:val="21"/>
          <w:szCs w:val="21"/>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1"/>
          <w:szCs w:val="21"/>
          <w:highlight w:val="none"/>
        </w:rPr>
        <w:t>30%以上的，由</w:t>
      </w:r>
      <w:r>
        <w:rPr>
          <w:rFonts w:hint="eastAsia" w:ascii="宋体" w:hAnsi="宋体" w:cs="宋体"/>
          <w:color w:val="auto"/>
          <w:kern w:val="0"/>
          <w:sz w:val="21"/>
          <w:szCs w:val="21"/>
          <w:highlight w:val="none"/>
        </w:rPr>
        <w:t>磋商小组</w:t>
      </w:r>
      <w:r>
        <w:rPr>
          <w:rFonts w:ascii="宋体" w:hAnsi="宋体" w:cs="宋体"/>
          <w:color w:val="auto"/>
          <w:kern w:val="0"/>
          <w:sz w:val="21"/>
          <w:szCs w:val="21"/>
          <w:highlight w:val="none"/>
        </w:rPr>
        <w:t>启动评分畸高、畸低行为认定程序</w:t>
      </w:r>
      <w:r>
        <w:rPr>
          <w:rFonts w:hint="eastAsia" w:ascii="宋体" w:hAnsi="宋体" w:cs="宋体"/>
          <w:color w:val="auto"/>
          <w:kern w:val="0"/>
          <w:sz w:val="21"/>
          <w:szCs w:val="21"/>
          <w:highlight w:val="none"/>
        </w:rPr>
        <w:t>，磋商小组组长应提醒相关评审人员进行复核或书面说明理由，评审人员拒绝说明的，由现场监督员据实记录；评审人员的评审、修改记录应保留原件，随项目其他资料一并存档。</w:t>
      </w:r>
    </w:p>
    <w:p w14:paraId="5DD45511">
      <w:pPr>
        <w:spacing w:line="360" w:lineRule="auto"/>
        <w:ind w:firstLine="413" w:firstLineChars="196"/>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3.6报价评审。</w:t>
      </w:r>
    </w:p>
    <w:p w14:paraId="2B7B35B1">
      <w:pPr>
        <w:pStyle w:val="131"/>
        <w:spacing w:before="0"/>
        <w:ind w:firstLine="445" w:firstLineChars="212"/>
        <w:rPr>
          <w:rFonts w:ascii="宋体" w:hAnsi="宋体" w:cs="宋体"/>
          <w:color w:val="auto"/>
          <w:kern w:val="0"/>
          <w:sz w:val="21"/>
          <w:szCs w:val="16"/>
          <w:highlight w:val="none"/>
        </w:rPr>
      </w:pPr>
      <w:r>
        <w:rPr>
          <w:rFonts w:hint="eastAsia" w:ascii="宋体" w:hAnsi="宋体" w:cs="宋体"/>
          <w:color w:val="auto"/>
          <w:kern w:val="0"/>
          <w:sz w:val="21"/>
          <w:szCs w:val="16"/>
          <w:highlight w:val="none"/>
        </w:rPr>
        <w:t>3.6.1响应文件报价出现前后不一致的，按照下列规定修正：</w:t>
      </w:r>
    </w:p>
    <w:p w14:paraId="441C48F8">
      <w:pPr>
        <w:pStyle w:val="131"/>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3.6.1.1响应文件中已标价工程量清单内容与响应文件中相应内容不一致的，以已标价工程量清单为准;</w:t>
      </w:r>
    </w:p>
    <w:p w14:paraId="2DC9DB9C">
      <w:pPr>
        <w:pStyle w:val="131"/>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3.6.1.2大写金额和小写金额不一致的，以大写金额为准;</w:t>
      </w:r>
    </w:p>
    <w:p w14:paraId="569A4D8E">
      <w:pPr>
        <w:pStyle w:val="131"/>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3.6.1.3单价金额小数点或者百分比有明显错位的，以已标价工程量清单的总价为准，并修改单价;</w:t>
      </w:r>
    </w:p>
    <w:p w14:paraId="0A301B9D">
      <w:pPr>
        <w:pStyle w:val="131"/>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3.6.1.4总价金额与按单价汇总金额不一致的，以单价金额计算结果为准。</w:t>
      </w:r>
    </w:p>
    <w:p w14:paraId="5E85E5BB">
      <w:pPr>
        <w:pStyle w:val="131"/>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3.6.1.5同时出现两种以上不一致的，按照3.6.1规定的顺序修正。修正后的报价经供应商确认后产生约束力。</w:t>
      </w:r>
    </w:p>
    <w:p w14:paraId="0D12651C">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3.6.2响应文件出现不是唯一的、有选择性最后报价的，响应文件无效。</w:t>
      </w:r>
    </w:p>
    <w:p w14:paraId="7CB4F494">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3.6.3最后报价超过采购文件中规定的预算金额或者最高限价的，响应文件无效。</w:t>
      </w:r>
    </w:p>
    <w:p w14:paraId="2F9567E3">
      <w:pPr>
        <w:pStyle w:val="131"/>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F074ACE">
      <w:pPr>
        <w:spacing w:line="360" w:lineRule="auto"/>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3.7排序与推荐。</w:t>
      </w:r>
      <w:r>
        <w:rPr>
          <w:rFonts w:hint="eastAsia" w:ascii="宋体" w:hAnsi="宋体" w:cs="宋体"/>
          <w:color w:val="auto"/>
          <w:kern w:val="0"/>
          <w:sz w:val="21"/>
          <w:szCs w:val="21"/>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1"/>
          <w:szCs w:val="21"/>
          <w:highlight w:val="none"/>
          <w:lang w:val="en"/>
        </w:rPr>
        <w:t>本项目推荐的中标候选人数量：</w:t>
      </w:r>
      <w:r>
        <w:rPr>
          <w:rFonts w:hint="eastAsia" w:ascii="宋体" w:hAnsi="宋体" w:cs="宋体"/>
          <w:color w:val="auto"/>
          <w:kern w:val="0"/>
          <w:sz w:val="21"/>
          <w:szCs w:val="21"/>
          <w:highlight w:val="none"/>
          <w:u w:val="single"/>
        </w:rPr>
        <w:t xml:space="preserve"> 3 </w:t>
      </w:r>
      <w:r>
        <w:rPr>
          <w:rFonts w:hint="eastAsia" w:ascii="宋体" w:hAnsi="宋体" w:cs="宋体"/>
          <w:color w:val="auto"/>
          <w:kern w:val="0"/>
          <w:sz w:val="21"/>
          <w:szCs w:val="21"/>
          <w:highlight w:val="none"/>
          <w:lang w:val="en"/>
        </w:rPr>
        <w:t>。</w:t>
      </w:r>
    </w:p>
    <w:p w14:paraId="3A2189EB">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3.8编写评审报告。</w:t>
      </w:r>
      <w:r>
        <w:rPr>
          <w:rFonts w:hint="eastAsia" w:ascii="宋体" w:hAnsi="宋体" w:cs="宋体"/>
          <w:color w:val="auto"/>
          <w:kern w:val="0"/>
          <w:sz w:val="21"/>
          <w:szCs w:val="21"/>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2417ED7B">
      <w:pPr>
        <w:snapToGrid w:val="0"/>
        <w:spacing w:line="360" w:lineRule="auto"/>
        <w:jc w:val="center"/>
        <w:rPr>
          <w:rFonts w:ascii="宋体" w:hAnsi="宋体" w:cs="宋体"/>
          <w:b/>
          <w:color w:val="auto"/>
          <w:sz w:val="24"/>
          <w:szCs w:val="21"/>
          <w:highlight w:val="none"/>
        </w:rPr>
      </w:pPr>
      <w:r>
        <w:rPr>
          <w:rFonts w:hint="eastAsia" w:ascii="宋体" w:hAnsi="宋体" w:cs="宋体"/>
          <w:b/>
          <w:color w:val="auto"/>
          <w:sz w:val="24"/>
          <w:szCs w:val="21"/>
          <w:highlight w:val="none"/>
        </w:rPr>
        <w:t>四、评审中的其他事项</w:t>
      </w:r>
    </w:p>
    <w:p w14:paraId="4FB09895">
      <w:pPr>
        <w:pStyle w:val="131"/>
        <w:spacing w:before="0"/>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4.1供应商澄清、说明或者补正。</w:t>
      </w:r>
      <w:r>
        <w:rPr>
          <w:rFonts w:hint="eastAsia" w:ascii="宋体" w:hAnsi="宋体" w:cs="宋体"/>
          <w:color w:val="auto"/>
          <w:kern w:val="0"/>
          <w:sz w:val="21"/>
          <w:szCs w:val="21"/>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7893E63">
      <w:pPr>
        <w:pStyle w:val="27"/>
        <w:spacing w:line="360" w:lineRule="auto"/>
        <w:ind w:left="954" w:leftChars="226" w:hanging="479" w:firstLineChars="0"/>
        <w:rPr>
          <w:rFonts w:cs="宋体"/>
          <w:color w:val="auto"/>
          <w:sz w:val="21"/>
          <w:szCs w:val="18"/>
          <w:highlight w:val="none"/>
        </w:rPr>
      </w:pPr>
      <w:r>
        <w:rPr>
          <w:rFonts w:hint="eastAsia" w:cs="宋体"/>
          <w:b/>
          <w:color w:val="auto"/>
          <w:kern w:val="0"/>
          <w:sz w:val="21"/>
          <w:szCs w:val="21"/>
          <w:highlight w:val="none"/>
        </w:rPr>
        <w:t>4.2响应文件无效。</w:t>
      </w:r>
      <w:r>
        <w:rPr>
          <w:rFonts w:hint="eastAsia" w:cs="宋体"/>
          <w:color w:val="auto"/>
          <w:sz w:val="21"/>
          <w:szCs w:val="18"/>
          <w:highlight w:val="none"/>
        </w:rPr>
        <w:t>有下列情形之一的，响应文件无效：</w:t>
      </w:r>
    </w:p>
    <w:p w14:paraId="4A22D76F">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4.2.1供应商不具备采购文件中规定的资格要求的（供应商未提供有效的资格文件的，视为供应商不具备采购文件中规定的资格要求）；</w:t>
      </w:r>
    </w:p>
    <w:p w14:paraId="2DC3FBF2">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4.2.2响应文件未按照采购文件要求签署、盖章的；</w:t>
      </w:r>
    </w:p>
    <w:p w14:paraId="55906DAF">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4.2.3采购人拟采购的产品属于政府强制采购的节能产品品目清单范围的，供应商未按采购文件要求提供国家确定的认证机构出具的、处于有效期之内的节能产品认证证书的；</w:t>
      </w:r>
    </w:p>
    <w:p w14:paraId="3C8A032C">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4.2.4响应文件含有采购人不能接受的附加条件的；</w:t>
      </w:r>
    </w:p>
    <w:p w14:paraId="1B78B110">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4.2.5响应文件中承诺的响应文件有效期少于采购文件中载明的响应文件有效期的；</w:t>
      </w:r>
    </w:p>
    <w:p w14:paraId="34FE4F50">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4.2.6响应文件出现不是唯一的、有选择性最后报价的;</w:t>
      </w:r>
    </w:p>
    <w:p w14:paraId="6165948F">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4.2.7最后报价超过采购文件中规定的预算金额或者最高限价的;</w:t>
      </w:r>
    </w:p>
    <w:p w14:paraId="7EC1A11C">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4.2.8供应商对根据修正原则修正后的报价不确认的；</w:t>
      </w:r>
    </w:p>
    <w:p w14:paraId="54B18414">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4.2.9供应商提供虚假材料响应的；</w:t>
      </w:r>
    </w:p>
    <w:p w14:paraId="7FAB925F">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4.2.10供应商有恶意串通、妨碍其他供应商的竞争行为、损害采购人或者其他供应商的合法权益情形的；</w:t>
      </w:r>
    </w:p>
    <w:p w14:paraId="16577E67">
      <w:pPr>
        <w:pStyle w:val="79"/>
        <w:spacing w:line="360" w:lineRule="auto"/>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4.2.11</w:t>
      </w:r>
      <w:r>
        <w:rPr>
          <w:rFonts w:hint="eastAsia" w:ascii="宋体" w:hAnsi="宋体" w:eastAsia="宋体" w:cs="宋体"/>
          <w:color w:val="auto"/>
          <w:sz w:val="21"/>
          <w:szCs w:val="21"/>
          <w:highlight w:val="none"/>
          <w:lang w:val="e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DC5124">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4.2.12供应商仅提交备份响应文件，未在电子交易平台传输递交响应文件的，响应文件无效；</w:t>
      </w:r>
    </w:p>
    <w:p w14:paraId="51DB1DCE">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4.2.13 响应文件不满足采购文件的其它实质性要求的；</w:t>
      </w:r>
    </w:p>
    <w:p w14:paraId="2D8F638F">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4.2.14法律、法规、规章（适用本市的）及省级以上规范性文件（适用本市的）规定的其他无效情形。</w:t>
      </w:r>
    </w:p>
    <w:p w14:paraId="43C58BB2">
      <w:pPr>
        <w:pStyle w:val="27"/>
        <w:snapToGrid w:val="0"/>
        <w:spacing w:line="360" w:lineRule="auto"/>
        <w:ind w:firstLine="413" w:firstLineChars="196"/>
        <w:rPr>
          <w:rFonts w:cs="宋体"/>
          <w:color w:val="auto"/>
          <w:sz w:val="21"/>
          <w:szCs w:val="21"/>
          <w:highlight w:val="none"/>
        </w:rPr>
      </w:pPr>
      <w:r>
        <w:rPr>
          <w:rFonts w:hint="eastAsia" w:cs="宋体"/>
          <w:b/>
          <w:color w:val="auto"/>
          <w:sz w:val="21"/>
          <w:szCs w:val="21"/>
          <w:highlight w:val="none"/>
        </w:rPr>
        <w:t>5.终止竞争性磋商采购活动。</w:t>
      </w:r>
      <w:r>
        <w:rPr>
          <w:rFonts w:hint="eastAsia" w:cs="宋体"/>
          <w:color w:val="auto"/>
          <w:sz w:val="21"/>
          <w:szCs w:val="21"/>
          <w:highlight w:val="none"/>
        </w:rPr>
        <w:t>出现下列情形之一的，采购人或者采购代理机构应当终止竞争性磋商采购活动，发布项目终止公告并说明原因，重新开展采购活动：</w:t>
      </w:r>
    </w:p>
    <w:p w14:paraId="16456C1F">
      <w:pPr>
        <w:pStyle w:val="27"/>
        <w:snapToGrid w:val="0"/>
        <w:spacing w:line="360" w:lineRule="auto"/>
        <w:rPr>
          <w:rFonts w:cs="宋体"/>
          <w:color w:val="auto"/>
          <w:sz w:val="21"/>
          <w:szCs w:val="21"/>
          <w:highlight w:val="none"/>
        </w:rPr>
      </w:pPr>
      <w:r>
        <w:rPr>
          <w:rFonts w:hint="eastAsia" w:cs="宋体"/>
          <w:color w:val="auto"/>
          <w:sz w:val="21"/>
          <w:szCs w:val="21"/>
          <w:highlight w:val="none"/>
        </w:rPr>
        <w:t>5.1因情况变化，不再符合规定的竞争性磋商采购方式适用情形的；</w:t>
      </w:r>
    </w:p>
    <w:p w14:paraId="26CE22FA">
      <w:pPr>
        <w:pStyle w:val="27"/>
        <w:snapToGrid w:val="0"/>
        <w:spacing w:line="360" w:lineRule="auto"/>
        <w:rPr>
          <w:rFonts w:cs="宋体"/>
          <w:color w:val="auto"/>
          <w:sz w:val="21"/>
          <w:szCs w:val="21"/>
          <w:highlight w:val="none"/>
        </w:rPr>
      </w:pPr>
      <w:r>
        <w:rPr>
          <w:rFonts w:hint="eastAsia" w:cs="宋体"/>
          <w:color w:val="auto"/>
          <w:sz w:val="21"/>
          <w:szCs w:val="21"/>
          <w:highlight w:val="none"/>
        </w:rPr>
        <w:t>5.2出现影响采购公正的违法、违规行为的；</w:t>
      </w:r>
    </w:p>
    <w:p w14:paraId="0F40678F">
      <w:pPr>
        <w:pStyle w:val="27"/>
        <w:snapToGrid w:val="0"/>
        <w:spacing w:line="360" w:lineRule="auto"/>
        <w:rPr>
          <w:rFonts w:cs="宋体"/>
          <w:color w:val="auto"/>
          <w:sz w:val="21"/>
          <w:szCs w:val="21"/>
          <w:highlight w:val="none"/>
        </w:rPr>
      </w:pPr>
      <w:r>
        <w:rPr>
          <w:rFonts w:hint="eastAsia" w:cs="宋体"/>
          <w:color w:val="auto"/>
          <w:sz w:val="21"/>
          <w:szCs w:val="21"/>
          <w:highlight w:val="none"/>
        </w:rPr>
        <w:t>5.3除本办法第二十一条第三款规定的情形外，在采购过程中符合要求的供应商或者报价未超过采购预算的供应商不足3家的。</w:t>
      </w:r>
    </w:p>
    <w:p w14:paraId="1E2F56C6">
      <w:pPr>
        <w:pStyle w:val="27"/>
        <w:snapToGrid w:val="0"/>
        <w:spacing w:line="360" w:lineRule="auto"/>
        <w:rPr>
          <w:rFonts w:cs="宋体"/>
          <w:color w:val="auto"/>
          <w:sz w:val="21"/>
          <w:szCs w:val="21"/>
          <w:highlight w:val="none"/>
        </w:rPr>
      </w:pPr>
      <w:r>
        <w:rPr>
          <w:rFonts w:hint="eastAsia" w:cs="宋体"/>
          <w:color w:val="auto"/>
          <w:sz w:val="21"/>
          <w:szCs w:val="21"/>
          <w:highlight w:val="none"/>
        </w:rPr>
        <w:t>5.4在采购活动中因重大变故，采购任务取消的，采购人或者采购代理机构应当终止采购活动，通知所有参加采购活动的供应商，并将项目实施情况和采购任务取消原因报送本级财政部门。</w:t>
      </w:r>
    </w:p>
    <w:p w14:paraId="64F6392F">
      <w:pPr>
        <w:pStyle w:val="27"/>
        <w:snapToGrid w:val="0"/>
        <w:spacing w:line="360" w:lineRule="auto"/>
        <w:ind w:firstLine="482"/>
        <w:rPr>
          <w:rFonts w:cs="宋体"/>
          <w:color w:val="auto"/>
          <w:sz w:val="21"/>
          <w:szCs w:val="21"/>
          <w:highlight w:val="none"/>
        </w:rPr>
      </w:pPr>
      <w:r>
        <w:rPr>
          <w:rFonts w:hint="eastAsia" w:cs="宋体"/>
          <w:b/>
          <w:color w:val="auto"/>
          <w:kern w:val="0"/>
          <w:sz w:val="21"/>
          <w:szCs w:val="21"/>
          <w:highlight w:val="none"/>
        </w:rPr>
        <w:t>6.重新开展采购。</w:t>
      </w:r>
      <w:r>
        <w:rPr>
          <w:rFonts w:hint="eastAsia" w:cs="宋体"/>
          <w:color w:val="auto"/>
          <w:sz w:val="21"/>
          <w:szCs w:val="21"/>
          <w:highlight w:val="none"/>
        </w:rPr>
        <w:t>有政府采购法第七十一条、第七十二条规定的违法行为之一，影响或者可能影响成交结果的，依照下列规定处理：</w:t>
      </w:r>
    </w:p>
    <w:p w14:paraId="1C885485">
      <w:pPr>
        <w:pStyle w:val="27"/>
        <w:snapToGrid w:val="0"/>
        <w:spacing w:line="360" w:lineRule="auto"/>
        <w:rPr>
          <w:rFonts w:cs="宋体"/>
          <w:color w:val="auto"/>
          <w:sz w:val="21"/>
          <w:szCs w:val="21"/>
          <w:highlight w:val="none"/>
        </w:rPr>
      </w:pPr>
      <w:r>
        <w:rPr>
          <w:rFonts w:hint="eastAsia" w:cs="宋体"/>
          <w:color w:val="auto"/>
          <w:sz w:val="21"/>
          <w:szCs w:val="21"/>
          <w:highlight w:val="none"/>
        </w:rPr>
        <w:t>6.1未确定成交供应商的，终止本次政府采购活动，重新开展政府采购活动。</w:t>
      </w:r>
    </w:p>
    <w:p w14:paraId="5CA861B4">
      <w:pPr>
        <w:pStyle w:val="27"/>
        <w:snapToGrid w:val="0"/>
        <w:spacing w:line="360" w:lineRule="auto"/>
        <w:rPr>
          <w:rFonts w:cs="宋体"/>
          <w:color w:val="auto"/>
          <w:sz w:val="21"/>
          <w:szCs w:val="21"/>
          <w:highlight w:val="none"/>
        </w:rPr>
      </w:pPr>
      <w:r>
        <w:rPr>
          <w:rFonts w:hint="eastAsia" w:cs="宋体"/>
          <w:color w:val="auto"/>
          <w:sz w:val="21"/>
          <w:szCs w:val="21"/>
          <w:highlight w:val="none"/>
        </w:rPr>
        <w:t>6.2已确定成交供应商但尚未签订政府采购合同的，成交结果无效，从合格的成交候选供应商中另行确定成交供应商；没有合格的成交候选供应商的，重新开展政府采购活动。</w:t>
      </w:r>
    </w:p>
    <w:p w14:paraId="430E53C8">
      <w:pPr>
        <w:pStyle w:val="27"/>
        <w:snapToGrid w:val="0"/>
        <w:spacing w:line="360" w:lineRule="auto"/>
        <w:rPr>
          <w:rFonts w:cs="宋体"/>
          <w:color w:val="auto"/>
          <w:sz w:val="21"/>
          <w:szCs w:val="21"/>
          <w:highlight w:val="none"/>
        </w:rPr>
      </w:pPr>
      <w:r>
        <w:rPr>
          <w:rFonts w:hint="eastAsia" w:cs="宋体"/>
          <w:color w:val="auto"/>
          <w:sz w:val="21"/>
          <w:szCs w:val="21"/>
          <w:highlight w:val="none"/>
        </w:rPr>
        <w:t>6.3政府采购合同已签订但尚未履行的，撤销合同，从合格的成交候选供应商中另行确定成交供应商；没有合格的成交候选供应商的，重新开展政府采购活动。</w:t>
      </w:r>
    </w:p>
    <w:p w14:paraId="7ECAB378">
      <w:pPr>
        <w:pStyle w:val="27"/>
        <w:snapToGrid w:val="0"/>
        <w:spacing w:line="360" w:lineRule="auto"/>
        <w:rPr>
          <w:rFonts w:cs="宋体"/>
          <w:color w:val="auto"/>
          <w:sz w:val="21"/>
          <w:szCs w:val="21"/>
          <w:highlight w:val="none"/>
        </w:rPr>
      </w:pPr>
      <w:r>
        <w:rPr>
          <w:rFonts w:hint="eastAsia" w:cs="宋体"/>
          <w:color w:val="auto"/>
          <w:sz w:val="21"/>
          <w:szCs w:val="21"/>
          <w:highlight w:val="none"/>
        </w:rPr>
        <w:t>6.4政府采购合同已经履行，给采购人、供应商造成损失的，由责任人承担赔偿责任。</w:t>
      </w:r>
    </w:p>
    <w:p w14:paraId="118B0B93">
      <w:pPr>
        <w:pStyle w:val="27"/>
        <w:snapToGrid w:val="0"/>
        <w:spacing w:line="360" w:lineRule="auto"/>
        <w:rPr>
          <w:rFonts w:hint="eastAsia" w:cs="宋体"/>
          <w:color w:val="auto"/>
          <w:sz w:val="22"/>
          <w:szCs w:val="22"/>
          <w:highlight w:val="none"/>
        </w:rPr>
      </w:pPr>
      <w:r>
        <w:rPr>
          <w:rFonts w:hint="eastAsia" w:cs="宋体"/>
          <w:color w:val="auto"/>
          <w:sz w:val="21"/>
          <w:szCs w:val="21"/>
          <w:highlight w:val="none"/>
        </w:rPr>
        <w:t>6.5政府采购当事人有其他违反政府采购法或者政府采购法实施条例等法律法规规定的行为，经改正后仍然影响或者可能影响成交结果或者依法被认定为成交无效的，依照6.1-6.4规定处理</w:t>
      </w:r>
      <w:r>
        <w:rPr>
          <w:rFonts w:hint="eastAsia" w:cs="宋体"/>
          <w:color w:val="auto"/>
          <w:sz w:val="22"/>
          <w:szCs w:val="22"/>
          <w:highlight w:val="none"/>
        </w:rPr>
        <w:t>。</w:t>
      </w:r>
    </w:p>
    <w:p w14:paraId="12283DB7">
      <w:pPr>
        <w:rPr>
          <w:rFonts w:hint="eastAsia" w:cs="宋体"/>
          <w:color w:val="auto"/>
          <w:sz w:val="22"/>
          <w:szCs w:val="22"/>
          <w:highlight w:val="none"/>
        </w:rPr>
      </w:pPr>
    </w:p>
    <w:p w14:paraId="7C644467">
      <w:pPr>
        <w:outlineLvl w:val="9"/>
        <w:rPr>
          <w:color w:val="auto"/>
          <w:highlight w:val="none"/>
        </w:rPr>
      </w:pPr>
    </w:p>
    <w:p w14:paraId="76AED96B">
      <w:pPr>
        <w:pStyle w:val="27"/>
        <w:snapToGrid w:val="0"/>
        <w:spacing w:line="360" w:lineRule="auto"/>
        <w:ind w:firstLine="0" w:firstLineChars="0"/>
        <w:rPr>
          <w:rFonts w:cs="宋体"/>
          <w:color w:val="auto"/>
          <w:highlight w:val="none"/>
        </w:rPr>
        <w:sectPr>
          <w:pgSz w:w="11905" w:h="16838"/>
          <w:pgMar w:top="1417" w:right="1417" w:bottom="1417" w:left="1417" w:header="850" w:footer="992" w:gutter="0"/>
          <w:cols w:space="0" w:num="1"/>
          <w:titlePg/>
          <w:rtlGutter w:val="0"/>
          <w:docGrid w:linePitch="0" w:charSpace="0"/>
        </w:sectPr>
      </w:pPr>
    </w:p>
    <w:bookmarkEnd w:id="31"/>
    <w:p w14:paraId="4D319ED2">
      <w:pPr>
        <w:adjustRightInd/>
        <w:snapToGrid/>
        <w:spacing w:line="240" w:lineRule="auto"/>
        <w:jc w:val="center"/>
        <w:outlineLvl w:val="0"/>
        <w:rPr>
          <w:rFonts w:hint="eastAsia" w:ascii="宋体" w:hAnsi="宋体" w:eastAsia="宋体" w:cs="宋体"/>
          <w:b/>
          <w:color w:val="auto"/>
          <w:sz w:val="32"/>
          <w:szCs w:val="32"/>
          <w:highlight w:val="none"/>
        </w:rPr>
      </w:pPr>
      <w:bookmarkStart w:id="397" w:name="第五部分"/>
      <w:bookmarkStart w:id="398" w:name="_Toc86217003"/>
      <w:r>
        <w:rPr>
          <w:rFonts w:hint="eastAsia" w:ascii="宋体" w:hAnsi="宋体" w:eastAsia="宋体" w:cs="宋体"/>
          <w:b/>
          <w:color w:val="auto"/>
          <w:sz w:val="32"/>
          <w:szCs w:val="32"/>
          <w:highlight w:val="none"/>
        </w:rPr>
        <w:t>第五部分 拟签订的合同文本</w:t>
      </w:r>
    </w:p>
    <w:p w14:paraId="7DBC8968">
      <w:pPr>
        <w:snapToGrid w:val="0"/>
        <w:spacing w:line="360" w:lineRule="auto"/>
        <w:ind w:firstLine="420" w:firstLineChars="200"/>
        <w:jc w:val="left"/>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参考住房城乡建设部、原国家工商行政管理总局制定的《建设工程施工合同（示范文本）》（GF-2017-0201）。</w:t>
      </w:r>
    </w:p>
    <w:p w14:paraId="16B964AF">
      <w:pPr>
        <w:keepNext/>
        <w:keepLines/>
        <w:pageBreakBefore w:val="0"/>
        <w:widowControl w:val="0"/>
        <w:numPr>
          <w:ilvl w:val="1"/>
          <w:numId w:val="0"/>
        </w:numPr>
        <w:kinsoku/>
        <w:wordWrap/>
        <w:overflowPunct/>
        <w:topLinePunct w:val="0"/>
        <w:bidi w:val="0"/>
        <w:snapToGrid w:val="0"/>
        <w:spacing w:line="360" w:lineRule="auto"/>
        <w:jc w:val="center"/>
        <w:textAlignment w:val="auto"/>
        <w:outlineLvl w:val="1"/>
        <w:rPr>
          <w:rFonts w:ascii="宋体" w:hAnsi="宋体" w:cs="宋体"/>
          <w:b/>
          <w:bCs/>
          <w:snapToGrid w:val="0"/>
          <w:color w:val="auto"/>
          <w:kern w:val="44"/>
          <w:sz w:val="21"/>
          <w:szCs w:val="21"/>
          <w:highlight w:val="none"/>
        </w:rPr>
      </w:pPr>
      <w:bookmarkStart w:id="399" w:name="_Toc32130"/>
      <w:bookmarkStart w:id="400" w:name="_Toc97299497"/>
      <w:r>
        <w:rPr>
          <w:rFonts w:hint="eastAsia" w:ascii="宋体" w:hAnsi="宋体" w:cs="宋体"/>
          <w:b/>
          <w:bCs/>
          <w:snapToGrid w:val="0"/>
          <w:color w:val="auto"/>
          <w:kern w:val="44"/>
          <w:sz w:val="21"/>
          <w:szCs w:val="21"/>
          <w:highlight w:val="none"/>
        </w:rPr>
        <w:t>第一部分  合同协议书</w:t>
      </w:r>
      <w:bookmarkEnd w:id="399"/>
      <w:bookmarkEnd w:id="400"/>
    </w:p>
    <w:p w14:paraId="41B07F8D">
      <w:pPr>
        <w:pageBreakBefore w:val="0"/>
        <w:widowControl w:val="0"/>
        <w:kinsoku/>
        <w:wordWrap/>
        <w:overflowPunct/>
        <w:topLinePunct w:val="0"/>
        <w:bidi w:val="0"/>
        <w:snapToGrid w:val="0"/>
        <w:spacing w:line="360" w:lineRule="auto"/>
        <w:ind w:firstLine="411" w:firstLineChars="196"/>
        <w:textAlignment w:val="auto"/>
        <w:rPr>
          <w:rFonts w:ascii="宋体" w:hAnsi="宋体" w:cs="宋体"/>
          <w:snapToGrid w:val="0"/>
          <w:color w:val="auto"/>
          <w:kern w:val="0"/>
          <w:sz w:val="21"/>
          <w:szCs w:val="21"/>
          <w:highlight w:val="none"/>
          <w:u w:val="single"/>
        </w:rPr>
      </w:pPr>
      <w:r>
        <w:rPr>
          <w:rFonts w:hint="eastAsia" w:ascii="宋体" w:hAnsi="宋体" w:cs="宋体"/>
          <w:snapToGrid w:val="0"/>
          <w:color w:val="auto"/>
          <w:kern w:val="0"/>
          <w:sz w:val="21"/>
          <w:szCs w:val="21"/>
          <w:highlight w:val="none"/>
        </w:rPr>
        <w:t>发包人（全称）：</w:t>
      </w:r>
      <w:r>
        <w:rPr>
          <w:rFonts w:hint="eastAsia" w:ascii="宋体" w:hAnsi="宋体" w:cs="宋体"/>
          <w:snapToGrid w:val="0"/>
          <w:color w:val="auto"/>
          <w:kern w:val="0"/>
          <w:sz w:val="21"/>
          <w:szCs w:val="21"/>
          <w:highlight w:val="none"/>
          <w:u w:val="single"/>
        </w:rPr>
        <w:t xml:space="preserve">    </w:t>
      </w:r>
      <w:bookmarkStart w:id="401" w:name="SOA_hhxys_fbr"/>
      <w:r>
        <w:rPr>
          <w:rFonts w:hint="eastAsia" w:ascii="宋体" w:hAnsi="宋体" w:cs="宋体"/>
          <w:snapToGrid w:val="0"/>
          <w:color w:val="auto"/>
          <w:kern w:val="0"/>
          <w:sz w:val="21"/>
          <w:szCs w:val="21"/>
          <w:highlight w:val="none"/>
          <w:u w:val="single"/>
          <w:lang w:eastAsia="zh-CN"/>
        </w:rPr>
        <w:t>浙江省杭州第二中学</w:t>
      </w:r>
      <w:r>
        <w:rPr>
          <w:rFonts w:hint="eastAsia" w:ascii="宋体" w:hAnsi="宋体" w:cs="宋体"/>
          <w:snapToGrid w:val="0"/>
          <w:color w:val="auto"/>
          <w:kern w:val="0"/>
          <w:sz w:val="21"/>
          <w:szCs w:val="21"/>
          <w:highlight w:val="none"/>
          <w:u w:val="single"/>
        </w:rPr>
        <w:t xml:space="preserve">   </w:t>
      </w:r>
      <w:bookmarkEnd w:id="401"/>
    </w:p>
    <w:p w14:paraId="2C59AB54">
      <w:pPr>
        <w:pageBreakBefore w:val="0"/>
        <w:widowControl w:val="0"/>
        <w:kinsoku/>
        <w:wordWrap/>
        <w:overflowPunct/>
        <w:topLinePunct w:val="0"/>
        <w:bidi w:val="0"/>
        <w:snapToGrid w:val="0"/>
        <w:spacing w:line="360" w:lineRule="auto"/>
        <w:ind w:firstLine="411" w:firstLineChars="196"/>
        <w:textAlignment w:val="auto"/>
        <w:rPr>
          <w:rFonts w:ascii="宋体" w:hAnsi="宋体" w:cs="宋体"/>
          <w:b/>
          <w:snapToGrid w:val="0"/>
          <w:color w:val="auto"/>
          <w:kern w:val="0"/>
          <w:sz w:val="21"/>
          <w:szCs w:val="21"/>
          <w:highlight w:val="none"/>
          <w:u w:val="single"/>
        </w:rPr>
      </w:pPr>
      <w:r>
        <w:rPr>
          <w:rFonts w:hint="eastAsia" w:ascii="宋体" w:hAnsi="宋体" w:cs="宋体"/>
          <w:snapToGrid w:val="0"/>
          <w:color w:val="auto"/>
          <w:kern w:val="0"/>
          <w:sz w:val="21"/>
          <w:szCs w:val="21"/>
          <w:highlight w:val="none"/>
        </w:rPr>
        <w:t>承包人（全称）：</w:t>
      </w:r>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u w:val="single"/>
          <w:lang w:val="en-US" w:eastAsia="zh-CN"/>
        </w:rPr>
        <w:t xml:space="preserve">      </w:t>
      </w:r>
      <w:r>
        <w:rPr>
          <w:rFonts w:hint="eastAsia" w:ascii="宋体" w:hAnsi="宋体" w:cs="宋体"/>
          <w:snapToGrid w:val="0"/>
          <w:color w:val="auto"/>
          <w:kern w:val="0"/>
          <w:sz w:val="21"/>
          <w:szCs w:val="21"/>
          <w:highlight w:val="none"/>
          <w:u w:val="single"/>
        </w:rPr>
        <w:t xml:space="preserve">       </w:t>
      </w:r>
    </w:p>
    <w:p w14:paraId="01094B43">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1"/>
          <w:szCs w:val="21"/>
          <w:highlight w:val="none"/>
          <w:u w:val="single"/>
        </w:rPr>
        <w:t xml:space="preserve"> 杭州二中东河校区校舍维修与环境提升项目</w:t>
      </w:r>
      <w:r>
        <w:rPr>
          <w:rFonts w:hint="eastAsia" w:ascii="宋体" w:hAnsi="宋体" w:cs="宋体"/>
          <w:snapToGrid w:val="0"/>
          <w:color w:val="auto"/>
          <w:kern w:val="0"/>
          <w:sz w:val="21"/>
          <w:szCs w:val="21"/>
          <w:highlight w:val="none"/>
          <w:u w:val="single"/>
          <w:lang w:val="en-US" w:eastAsia="zh-CN"/>
        </w:rPr>
        <w:t xml:space="preserve"> </w:t>
      </w:r>
      <w:r>
        <w:rPr>
          <w:rFonts w:hint="eastAsia" w:ascii="宋体" w:hAnsi="宋体" w:cs="宋体"/>
          <w:snapToGrid w:val="0"/>
          <w:color w:val="auto"/>
          <w:kern w:val="0"/>
          <w:sz w:val="21"/>
          <w:szCs w:val="21"/>
          <w:highlight w:val="none"/>
        </w:rPr>
        <w:t>施工及有关事项协商一致，共同达成如下协议：</w:t>
      </w:r>
    </w:p>
    <w:p w14:paraId="43B29419">
      <w:pPr>
        <w:pageBreakBefore w:val="0"/>
        <w:widowControl w:val="0"/>
        <w:kinsoku/>
        <w:wordWrap/>
        <w:overflowPunct/>
        <w:topLinePunct w:val="0"/>
        <w:bidi w:val="0"/>
        <w:snapToGrid w:val="0"/>
        <w:spacing w:line="360" w:lineRule="auto"/>
        <w:textAlignment w:val="auto"/>
        <w:outlineLvl w:val="2"/>
        <w:rPr>
          <w:rFonts w:ascii="宋体" w:hAnsi="宋体" w:cs="宋体"/>
          <w:b/>
          <w:bCs/>
          <w:snapToGrid w:val="0"/>
          <w:color w:val="auto"/>
          <w:kern w:val="0"/>
          <w:sz w:val="21"/>
          <w:szCs w:val="21"/>
          <w:highlight w:val="none"/>
        </w:rPr>
      </w:pPr>
      <w:bookmarkStart w:id="402" w:name="_Toc97299498"/>
      <w:bookmarkStart w:id="403" w:name="_Toc361220410"/>
      <w:r>
        <w:rPr>
          <w:rFonts w:hint="eastAsia" w:ascii="宋体" w:hAnsi="宋体" w:cs="宋体"/>
          <w:b/>
          <w:bCs/>
          <w:snapToGrid w:val="0"/>
          <w:color w:val="auto"/>
          <w:kern w:val="0"/>
          <w:sz w:val="21"/>
          <w:szCs w:val="21"/>
          <w:highlight w:val="none"/>
        </w:rPr>
        <w:t>一、工程概况</w:t>
      </w:r>
      <w:bookmarkEnd w:id="402"/>
      <w:bookmarkEnd w:id="403"/>
    </w:p>
    <w:p w14:paraId="11B132E3">
      <w:pPr>
        <w:pageBreakBefore w:val="0"/>
        <w:widowControl w:val="0"/>
        <w:kinsoku/>
        <w:wordWrap/>
        <w:overflowPunct/>
        <w:topLinePunct w:val="0"/>
        <w:bidi w:val="0"/>
        <w:snapToGrid w:val="0"/>
        <w:spacing w:line="360" w:lineRule="auto"/>
        <w:ind w:firstLine="411" w:firstLineChars="196"/>
        <w:textAlignment w:val="auto"/>
        <w:rPr>
          <w:rFonts w:ascii="宋体" w:hAnsi="宋体" w:cs="宋体"/>
          <w:snapToGrid w:val="0"/>
          <w:color w:val="auto"/>
          <w:kern w:val="0"/>
          <w:sz w:val="21"/>
          <w:szCs w:val="21"/>
          <w:highlight w:val="none"/>
          <w:u w:val="single"/>
        </w:rPr>
      </w:pPr>
      <w:r>
        <w:rPr>
          <w:rFonts w:hint="eastAsia" w:ascii="宋体" w:hAnsi="宋体" w:cs="宋体"/>
          <w:bCs/>
          <w:snapToGrid w:val="0"/>
          <w:color w:val="auto"/>
          <w:kern w:val="0"/>
          <w:sz w:val="21"/>
          <w:szCs w:val="21"/>
          <w:highlight w:val="none"/>
        </w:rPr>
        <w:t>1.工程名称</w:t>
      </w:r>
      <w:r>
        <w:rPr>
          <w:rFonts w:hint="eastAsia" w:ascii="宋体" w:hAnsi="宋体" w:cs="宋体"/>
          <w:snapToGrid w:val="0"/>
          <w:color w:val="auto"/>
          <w:kern w:val="0"/>
          <w:sz w:val="21"/>
          <w:szCs w:val="21"/>
          <w:highlight w:val="none"/>
        </w:rPr>
        <w:t>：</w:t>
      </w:r>
      <w:r>
        <w:rPr>
          <w:rFonts w:hint="eastAsia" w:ascii="宋体" w:hAnsi="宋体" w:cs="宋体"/>
          <w:snapToGrid w:val="0"/>
          <w:color w:val="auto"/>
          <w:kern w:val="0"/>
          <w:sz w:val="21"/>
          <w:szCs w:val="21"/>
          <w:highlight w:val="none"/>
          <w:u w:val="single"/>
        </w:rPr>
        <w:t xml:space="preserve"> 杭州二中东河校区校舍维修与环境提升项目 </w:t>
      </w:r>
      <w:r>
        <w:rPr>
          <w:rFonts w:hint="eastAsia" w:ascii="宋体" w:hAnsi="宋体" w:cs="宋体"/>
          <w:snapToGrid w:val="0"/>
          <w:color w:val="auto"/>
          <w:kern w:val="0"/>
          <w:sz w:val="21"/>
          <w:szCs w:val="21"/>
          <w:highlight w:val="none"/>
        </w:rPr>
        <w:t>。</w:t>
      </w:r>
    </w:p>
    <w:p w14:paraId="76C5F4BA">
      <w:pPr>
        <w:pageBreakBefore w:val="0"/>
        <w:widowControl w:val="0"/>
        <w:kinsoku/>
        <w:wordWrap/>
        <w:overflowPunct/>
        <w:topLinePunct w:val="0"/>
        <w:bidi w:val="0"/>
        <w:snapToGrid w:val="0"/>
        <w:spacing w:line="360" w:lineRule="auto"/>
        <w:ind w:firstLine="411" w:firstLineChars="196"/>
        <w:textAlignment w:val="auto"/>
        <w:rPr>
          <w:rFonts w:ascii="宋体" w:hAnsi="宋体" w:cs="宋体"/>
          <w:bCs/>
          <w:snapToGrid w:val="0"/>
          <w:color w:val="auto"/>
          <w:kern w:val="0"/>
          <w:sz w:val="21"/>
          <w:szCs w:val="21"/>
          <w:highlight w:val="none"/>
        </w:rPr>
      </w:pPr>
      <w:r>
        <w:rPr>
          <w:rFonts w:hint="eastAsia" w:ascii="宋体" w:hAnsi="宋体" w:cs="宋体"/>
          <w:bCs/>
          <w:snapToGrid w:val="0"/>
          <w:color w:val="auto"/>
          <w:kern w:val="0"/>
          <w:sz w:val="21"/>
          <w:szCs w:val="21"/>
          <w:highlight w:val="none"/>
        </w:rPr>
        <w:t>2.工程地点：</w:t>
      </w:r>
      <w:r>
        <w:rPr>
          <w:rFonts w:hint="eastAsia" w:ascii="宋体" w:hAnsi="宋体" w:cs="宋体"/>
          <w:snapToGrid w:val="0"/>
          <w:color w:val="auto"/>
          <w:kern w:val="0"/>
          <w:sz w:val="21"/>
          <w:szCs w:val="21"/>
          <w:highlight w:val="none"/>
          <w:u w:val="single"/>
        </w:rPr>
        <w:t xml:space="preserve"> 杭州市上城区建国中路36号  </w:t>
      </w:r>
      <w:r>
        <w:rPr>
          <w:rFonts w:hint="eastAsia" w:ascii="宋体" w:hAnsi="宋体" w:cs="宋体"/>
          <w:snapToGrid w:val="0"/>
          <w:color w:val="auto"/>
          <w:kern w:val="0"/>
          <w:sz w:val="21"/>
          <w:szCs w:val="21"/>
          <w:highlight w:val="none"/>
        </w:rPr>
        <w:t>。</w:t>
      </w:r>
    </w:p>
    <w:p w14:paraId="35ED8656">
      <w:pPr>
        <w:pageBreakBefore w:val="0"/>
        <w:widowControl w:val="0"/>
        <w:kinsoku/>
        <w:wordWrap/>
        <w:overflowPunct/>
        <w:topLinePunct w:val="0"/>
        <w:bidi w:val="0"/>
        <w:snapToGrid w:val="0"/>
        <w:spacing w:line="360" w:lineRule="auto"/>
        <w:ind w:firstLine="411" w:firstLineChars="196"/>
        <w:textAlignment w:val="auto"/>
        <w:rPr>
          <w:rFonts w:ascii="宋体" w:hAnsi="宋体" w:cs="宋体"/>
          <w:bCs/>
          <w:snapToGrid w:val="0"/>
          <w:color w:val="auto"/>
          <w:kern w:val="0"/>
          <w:sz w:val="21"/>
          <w:szCs w:val="21"/>
          <w:highlight w:val="none"/>
        </w:rPr>
      </w:pPr>
      <w:r>
        <w:rPr>
          <w:rFonts w:hint="eastAsia" w:ascii="宋体" w:hAnsi="宋体" w:cs="宋体"/>
          <w:bCs/>
          <w:snapToGrid w:val="0"/>
          <w:color w:val="auto"/>
          <w:kern w:val="0"/>
          <w:sz w:val="21"/>
          <w:szCs w:val="21"/>
          <w:highlight w:val="none"/>
        </w:rPr>
        <w:t>3.工程立项批准文号：</w:t>
      </w:r>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u w:val="single"/>
          <w:lang w:val="en-US" w:eastAsia="zh-CN"/>
        </w:rPr>
        <w:t>/</w:t>
      </w:r>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u w:val="single"/>
          <w:lang w:val="en-US" w:eastAsia="zh-CN"/>
        </w:rPr>
        <w:t xml:space="preserve">  </w:t>
      </w:r>
      <w:r>
        <w:rPr>
          <w:rFonts w:hint="eastAsia" w:ascii="宋体" w:hAnsi="宋体" w:cs="宋体"/>
          <w:snapToGrid w:val="0"/>
          <w:color w:val="auto"/>
          <w:kern w:val="0"/>
          <w:sz w:val="21"/>
          <w:szCs w:val="21"/>
          <w:highlight w:val="none"/>
          <w:u w:val="single"/>
        </w:rPr>
        <w:t xml:space="preserve">   </w:t>
      </w:r>
      <w:r>
        <w:rPr>
          <w:rFonts w:hint="eastAsia" w:ascii="宋体" w:hAnsi="宋体" w:cs="宋体"/>
          <w:bCs/>
          <w:snapToGrid w:val="0"/>
          <w:color w:val="auto"/>
          <w:kern w:val="0"/>
          <w:sz w:val="21"/>
          <w:szCs w:val="21"/>
          <w:highlight w:val="none"/>
        </w:rPr>
        <w:t>。</w:t>
      </w:r>
    </w:p>
    <w:p w14:paraId="3CFFD508">
      <w:pPr>
        <w:pageBreakBefore w:val="0"/>
        <w:widowControl w:val="0"/>
        <w:kinsoku/>
        <w:wordWrap/>
        <w:overflowPunct/>
        <w:topLinePunct w:val="0"/>
        <w:bidi w:val="0"/>
        <w:snapToGrid w:val="0"/>
        <w:spacing w:line="360" w:lineRule="auto"/>
        <w:ind w:firstLine="411" w:firstLineChars="196"/>
        <w:textAlignment w:val="auto"/>
        <w:rPr>
          <w:rFonts w:ascii="宋体" w:hAnsi="宋体" w:cs="宋体"/>
          <w:bCs/>
          <w:snapToGrid w:val="0"/>
          <w:color w:val="auto"/>
          <w:kern w:val="0"/>
          <w:sz w:val="21"/>
          <w:szCs w:val="21"/>
          <w:highlight w:val="none"/>
        </w:rPr>
      </w:pPr>
      <w:r>
        <w:rPr>
          <w:rFonts w:hint="eastAsia" w:ascii="宋体" w:hAnsi="宋体" w:cs="宋体"/>
          <w:bCs/>
          <w:snapToGrid w:val="0"/>
          <w:color w:val="auto"/>
          <w:kern w:val="0"/>
          <w:sz w:val="21"/>
          <w:szCs w:val="21"/>
          <w:highlight w:val="none"/>
        </w:rPr>
        <w:t>4.资金来源：</w:t>
      </w:r>
      <w:r>
        <w:rPr>
          <w:rFonts w:hint="eastAsia" w:ascii="宋体" w:hAnsi="宋体" w:cs="宋体"/>
          <w:snapToGrid w:val="0"/>
          <w:color w:val="auto"/>
          <w:kern w:val="0"/>
          <w:sz w:val="21"/>
          <w:szCs w:val="21"/>
          <w:highlight w:val="none"/>
          <w:u w:val="single"/>
        </w:rPr>
        <w:t>财政资金</w:t>
      </w:r>
      <w:r>
        <w:rPr>
          <w:rFonts w:hint="eastAsia" w:ascii="宋体" w:hAnsi="宋体" w:cs="宋体"/>
          <w:snapToGrid w:val="0"/>
          <w:color w:val="auto"/>
          <w:kern w:val="0"/>
          <w:sz w:val="21"/>
          <w:szCs w:val="21"/>
          <w:highlight w:val="none"/>
          <w:u w:val="single"/>
          <w:lang w:eastAsia="zh-CN"/>
        </w:rPr>
        <w:t>，</w:t>
      </w:r>
      <w:r>
        <w:rPr>
          <w:rFonts w:hint="eastAsia" w:ascii="宋体" w:hAnsi="宋体" w:cs="宋体"/>
          <w:snapToGrid w:val="0"/>
          <w:color w:val="auto"/>
          <w:kern w:val="0"/>
          <w:sz w:val="21"/>
          <w:szCs w:val="21"/>
          <w:highlight w:val="none"/>
          <w:u w:val="single"/>
          <w:lang w:val="en-US" w:eastAsia="zh-CN"/>
        </w:rPr>
        <w:t xml:space="preserve">计划书文号：       </w:t>
      </w:r>
      <w:r>
        <w:rPr>
          <w:rFonts w:hint="eastAsia" w:ascii="宋体" w:hAnsi="宋体" w:cs="宋体"/>
          <w:snapToGrid w:val="0"/>
          <w:color w:val="auto"/>
          <w:kern w:val="0"/>
          <w:sz w:val="21"/>
          <w:szCs w:val="21"/>
          <w:highlight w:val="none"/>
          <w:u w:val="single"/>
        </w:rPr>
        <w:t></w:t>
      </w:r>
      <w:r>
        <w:rPr>
          <w:rFonts w:hint="eastAsia" w:ascii="宋体" w:hAnsi="宋体" w:cs="宋体"/>
          <w:bCs/>
          <w:snapToGrid w:val="0"/>
          <w:color w:val="auto"/>
          <w:kern w:val="0"/>
          <w:sz w:val="21"/>
          <w:szCs w:val="21"/>
          <w:highlight w:val="none"/>
        </w:rPr>
        <w:t>。</w:t>
      </w:r>
    </w:p>
    <w:p w14:paraId="4E85DAE0">
      <w:pPr>
        <w:pageBreakBefore w:val="0"/>
        <w:widowControl w:val="0"/>
        <w:kinsoku/>
        <w:wordWrap/>
        <w:overflowPunct/>
        <w:topLinePunct w:val="0"/>
        <w:bidi w:val="0"/>
        <w:snapToGrid w:val="0"/>
        <w:spacing w:line="360" w:lineRule="auto"/>
        <w:ind w:firstLine="405" w:firstLineChars="193"/>
        <w:textAlignment w:val="auto"/>
        <w:rPr>
          <w:rFonts w:ascii="宋体" w:hAnsi="宋体" w:cs="宋体"/>
          <w:snapToGrid w:val="0"/>
          <w:color w:val="auto"/>
          <w:kern w:val="0"/>
          <w:sz w:val="21"/>
          <w:szCs w:val="21"/>
          <w:highlight w:val="none"/>
        </w:rPr>
      </w:pPr>
      <w:r>
        <w:rPr>
          <w:rFonts w:hint="eastAsia" w:ascii="宋体" w:hAnsi="宋体" w:cs="宋体"/>
          <w:bCs/>
          <w:snapToGrid w:val="0"/>
          <w:color w:val="auto"/>
          <w:kern w:val="0"/>
          <w:sz w:val="21"/>
          <w:szCs w:val="21"/>
          <w:highlight w:val="none"/>
        </w:rPr>
        <w:t xml:space="preserve">5.工程内容： </w:t>
      </w:r>
      <w:r>
        <w:rPr>
          <w:rFonts w:hint="eastAsia" w:ascii="宋体" w:hAnsi="宋体" w:cs="宋体"/>
          <w:color w:val="auto"/>
          <w:sz w:val="21"/>
          <w:szCs w:val="21"/>
          <w:highlight w:val="none"/>
          <w:u w:val="single"/>
        </w:rPr>
        <w:t>所有图纸范围内的工程。</w:t>
      </w:r>
    </w:p>
    <w:p w14:paraId="4FB0E18D">
      <w:pPr>
        <w:pageBreakBefore w:val="0"/>
        <w:widowControl w:val="0"/>
        <w:kinsoku/>
        <w:wordWrap/>
        <w:overflowPunct/>
        <w:topLinePunct w:val="0"/>
        <w:bidi w:val="0"/>
        <w:snapToGrid w:val="0"/>
        <w:spacing w:line="360" w:lineRule="auto"/>
        <w:ind w:firstLine="411" w:firstLineChars="196"/>
        <w:textAlignment w:val="auto"/>
        <w:rPr>
          <w:rFonts w:ascii="宋体" w:hAnsi="宋体" w:cs="宋体"/>
          <w:bCs/>
          <w:snapToGrid w:val="0"/>
          <w:color w:val="auto"/>
          <w:kern w:val="0"/>
          <w:sz w:val="21"/>
          <w:szCs w:val="21"/>
          <w:highlight w:val="none"/>
        </w:rPr>
      </w:pPr>
      <w:r>
        <w:rPr>
          <w:rFonts w:hint="eastAsia" w:ascii="宋体" w:hAnsi="宋体" w:cs="宋体"/>
          <w:bCs/>
          <w:snapToGrid w:val="0"/>
          <w:color w:val="auto"/>
          <w:kern w:val="0"/>
          <w:sz w:val="21"/>
          <w:szCs w:val="21"/>
          <w:highlight w:val="none"/>
        </w:rPr>
        <w:t>6.工程承包范围：</w:t>
      </w:r>
      <w:r>
        <w:rPr>
          <w:rFonts w:hint="eastAsia" w:ascii="宋体" w:hAnsi="宋体" w:cs="宋体"/>
          <w:color w:val="auto"/>
          <w:sz w:val="21"/>
          <w:szCs w:val="21"/>
          <w:highlight w:val="none"/>
          <w:u w:val="single"/>
        </w:rPr>
        <w:t>所有图纸范围内的工程。</w:t>
      </w:r>
    </w:p>
    <w:p w14:paraId="3838EC73">
      <w:pPr>
        <w:pageBreakBefore w:val="0"/>
        <w:widowControl w:val="0"/>
        <w:kinsoku/>
        <w:wordWrap/>
        <w:overflowPunct/>
        <w:topLinePunct w:val="0"/>
        <w:bidi w:val="0"/>
        <w:snapToGrid w:val="0"/>
        <w:spacing w:line="360" w:lineRule="auto"/>
        <w:ind w:firstLine="405" w:firstLineChars="193"/>
        <w:textAlignment w:val="auto"/>
        <w:rPr>
          <w:rFonts w:ascii="宋体" w:hAnsi="宋体" w:cs="宋体"/>
          <w:bCs/>
          <w:snapToGrid w:val="0"/>
          <w:color w:val="auto"/>
          <w:kern w:val="0"/>
          <w:sz w:val="21"/>
          <w:szCs w:val="21"/>
          <w:highlight w:val="none"/>
        </w:rPr>
      </w:pPr>
      <w:bookmarkStart w:id="404" w:name="_Toc361220411"/>
      <w:r>
        <w:rPr>
          <w:rFonts w:hint="eastAsia" w:ascii="宋体" w:hAnsi="宋体" w:cs="宋体"/>
          <w:bCs/>
          <w:snapToGrid w:val="0"/>
          <w:color w:val="auto"/>
          <w:kern w:val="0"/>
          <w:sz w:val="21"/>
          <w:szCs w:val="21"/>
          <w:highlight w:val="none"/>
        </w:rPr>
        <w:t>本项目为</w:t>
      </w:r>
      <w:r>
        <w:rPr>
          <w:rFonts w:hint="eastAsia" w:ascii="宋体" w:hAnsi="宋体" w:cs="宋体"/>
          <w:bCs/>
          <w:snapToGrid w:val="0"/>
          <w:color w:val="auto"/>
          <w:kern w:val="0"/>
          <w:sz w:val="21"/>
          <w:szCs w:val="21"/>
          <w:highlight w:val="none"/>
          <w:lang w:eastAsia="zh-CN"/>
        </w:rPr>
        <w:t>杭州二中东河校区校舍维修与环境提升项目</w:t>
      </w:r>
      <w:r>
        <w:rPr>
          <w:rFonts w:hint="eastAsia" w:ascii="宋体" w:hAnsi="宋体" w:cs="宋体"/>
          <w:bCs/>
          <w:snapToGrid w:val="0"/>
          <w:color w:val="auto"/>
          <w:kern w:val="0"/>
          <w:sz w:val="21"/>
          <w:szCs w:val="21"/>
          <w:highlight w:val="none"/>
        </w:rPr>
        <w:t>，详见图纸、工程量清单以及采购文件要求</w:t>
      </w:r>
    </w:p>
    <w:p w14:paraId="510ABDB8">
      <w:pPr>
        <w:pageBreakBefore w:val="0"/>
        <w:widowControl w:val="0"/>
        <w:kinsoku/>
        <w:wordWrap/>
        <w:overflowPunct/>
        <w:topLinePunct w:val="0"/>
        <w:bidi w:val="0"/>
        <w:snapToGrid w:val="0"/>
        <w:spacing w:line="360" w:lineRule="auto"/>
        <w:textAlignment w:val="auto"/>
        <w:outlineLvl w:val="2"/>
        <w:rPr>
          <w:rFonts w:ascii="宋体" w:hAnsi="宋体" w:cs="宋体"/>
          <w:b/>
          <w:bCs/>
          <w:snapToGrid w:val="0"/>
          <w:color w:val="auto"/>
          <w:kern w:val="0"/>
          <w:sz w:val="21"/>
          <w:szCs w:val="21"/>
          <w:highlight w:val="none"/>
        </w:rPr>
      </w:pPr>
      <w:bookmarkStart w:id="405" w:name="_Toc97299499"/>
      <w:r>
        <w:rPr>
          <w:rFonts w:hint="eastAsia" w:ascii="宋体" w:hAnsi="宋体" w:cs="宋体"/>
          <w:b/>
          <w:bCs/>
          <w:snapToGrid w:val="0"/>
          <w:color w:val="auto"/>
          <w:kern w:val="0"/>
          <w:sz w:val="21"/>
          <w:szCs w:val="21"/>
          <w:highlight w:val="none"/>
        </w:rPr>
        <w:t>二、合同工期</w:t>
      </w:r>
      <w:bookmarkEnd w:id="404"/>
      <w:bookmarkEnd w:id="405"/>
    </w:p>
    <w:p w14:paraId="3A4AA461">
      <w:pPr>
        <w:pageBreakBefore w:val="0"/>
        <w:widowControl w:val="0"/>
        <w:kinsoku/>
        <w:wordWrap/>
        <w:overflowPunct/>
        <w:topLinePunct w:val="0"/>
        <w:bidi w:val="0"/>
        <w:snapToGrid w:val="0"/>
        <w:spacing w:line="360" w:lineRule="auto"/>
        <w:ind w:firstLine="459"/>
        <w:textAlignment w:val="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计划开工日期：</w:t>
      </w:r>
      <w:r>
        <w:rPr>
          <w:rFonts w:hint="eastAsia" w:ascii="宋体" w:hAnsi="宋体" w:cs="宋体"/>
          <w:snapToGrid w:val="0"/>
          <w:color w:val="auto"/>
          <w:kern w:val="0"/>
          <w:sz w:val="21"/>
          <w:szCs w:val="21"/>
          <w:highlight w:val="none"/>
          <w:u w:val="single"/>
        </w:rPr>
        <w:t>202</w:t>
      </w:r>
      <w:r>
        <w:rPr>
          <w:rFonts w:hint="eastAsia" w:ascii="宋体" w:hAnsi="宋体" w:cs="宋体"/>
          <w:snapToGrid w:val="0"/>
          <w:color w:val="auto"/>
          <w:kern w:val="0"/>
          <w:sz w:val="21"/>
          <w:szCs w:val="21"/>
          <w:highlight w:val="none"/>
          <w:u w:val="single"/>
          <w:lang w:val="en-US" w:eastAsia="zh-CN"/>
        </w:rPr>
        <w:t>5</w:t>
      </w:r>
      <w:r>
        <w:rPr>
          <w:rFonts w:hint="eastAsia" w:ascii="宋体" w:hAnsi="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日</w:t>
      </w:r>
      <w:r>
        <w:rPr>
          <w:rFonts w:hint="eastAsia" w:ascii="宋体" w:hAnsi="宋体" w:cs="宋体"/>
          <w:snapToGrid w:val="0"/>
          <w:color w:val="auto"/>
          <w:kern w:val="0"/>
          <w:sz w:val="21"/>
          <w:szCs w:val="21"/>
          <w:highlight w:val="none"/>
          <w:lang w:eastAsia="zh-CN"/>
        </w:rPr>
        <w:t>，</w:t>
      </w:r>
      <w:r>
        <w:rPr>
          <w:rFonts w:hint="eastAsia" w:ascii="宋体" w:hAnsi="宋体" w:cs="宋体"/>
          <w:snapToGrid w:val="0"/>
          <w:color w:val="auto"/>
          <w:kern w:val="0"/>
          <w:sz w:val="21"/>
          <w:szCs w:val="21"/>
          <w:highlight w:val="none"/>
          <w:lang w:val="en-US" w:eastAsia="zh-CN"/>
        </w:rPr>
        <w:t>以实际开工通知为准</w:t>
      </w:r>
      <w:r>
        <w:rPr>
          <w:rFonts w:hint="eastAsia" w:ascii="宋体" w:hAnsi="宋体" w:cs="宋体"/>
          <w:snapToGrid w:val="0"/>
          <w:color w:val="auto"/>
          <w:kern w:val="0"/>
          <w:sz w:val="21"/>
          <w:szCs w:val="21"/>
          <w:highlight w:val="none"/>
        </w:rPr>
        <w:t>；</w:t>
      </w:r>
    </w:p>
    <w:p w14:paraId="1165764E">
      <w:pPr>
        <w:pageBreakBefore w:val="0"/>
        <w:widowControl w:val="0"/>
        <w:kinsoku/>
        <w:wordWrap/>
        <w:overflowPunct/>
        <w:topLinePunct w:val="0"/>
        <w:bidi w:val="0"/>
        <w:snapToGrid w:val="0"/>
        <w:spacing w:line="360" w:lineRule="auto"/>
        <w:ind w:firstLine="459"/>
        <w:textAlignment w:val="auto"/>
        <w:rPr>
          <w:rFonts w:ascii="宋体" w:hAnsi="宋体" w:cs="宋体"/>
          <w:snapToGrid w:val="0"/>
          <w:color w:val="auto"/>
          <w:kern w:val="0"/>
          <w:sz w:val="21"/>
          <w:szCs w:val="21"/>
          <w:highlight w:val="none"/>
        </w:rPr>
      </w:pPr>
      <w:bookmarkStart w:id="406" w:name="SOA_hhxys_jgn"/>
      <w:r>
        <w:rPr>
          <w:rFonts w:hint="eastAsia" w:ascii="宋体" w:hAnsi="宋体" w:cs="宋体"/>
          <w:snapToGrid w:val="0"/>
          <w:color w:val="auto"/>
          <w:kern w:val="0"/>
          <w:sz w:val="21"/>
          <w:szCs w:val="21"/>
          <w:highlight w:val="none"/>
        </w:rPr>
        <w:t>计划竣工日期：</w:t>
      </w:r>
      <w:r>
        <w:rPr>
          <w:rFonts w:hint="eastAsia" w:ascii="宋体" w:hAnsi="宋体" w:cs="宋体"/>
          <w:snapToGrid w:val="0"/>
          <w:color w:val="auto"/>
          <w:kern w:val="0"/>
          <w:sz w:val="21"/>
          <w:szCs w:val="21"/>
          <w:highlight w:val="none"/>
          <w:u w:val="single"/>
        </w:rPr>
        <w:t>202</w:t>
      </w:r>
      <w:r>
        <w:rPr>
          <w:rFonts w:hint="eastAsia" w:ascii="宋体" w:hAnsi="宋体" w:cs="宋体"/>
          <w:snapToGrid w:val="0"/>
          <w:color w:val="auto"/>
          <w:kern w:val="0"/>
          <w:sz w:val="21"/>
          <w:szCs w:val="21"/>
          <w:highlight w:val="none"/>
          <w:u w:val="single"/>
          <w:lang w:val="en-US" w:eastAsia="zh-CN"/>
        </w:rPr>
        <w:t>5</w:t>
      </w:r>
      <w:r>
        <w:rPr>
          <w:rFonts w:hint="eastAsia" w:ascii="宋体" w:hAnsi="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u w:val="single"/>
          <w:lang w:val="en-US" w:eastAsia="zh-CN"/>
        </w:rPr>
        <w:t xml:space="preserve"> </w:t>
      </w:r>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日；</w:t>
      </w:r>
      <w:bookmarkEnd w:id="406"/>
    </w:p>
    <w:p w14:paraId="41FEC161">
      <w:pPr>
        <w:pageBreakBefore w:val="0"/>
        <w:widowControl w:val="0"/>
        <w:kinsoku/>
        <w:wordWrap/>
        <w:overflowPunct/>
        <w:topLinePunct w:val="0"/>
        <w:bidi w:val="0"/>
        <w:snapToGrid w:val="0"/>
        <w:spacing w:line="360" w:lineRule="auto"/>
        <w:ind w:firstLine="459"/>
        <w:textAlignment w:val="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工期总日历天数：</w:t>
      </w:r>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天。工期总日历天数与根据前述计划开竣工日期计算的工期天数不一致的，以工期总日历天数为准。</w:t>
      </w:r>
    </w:p>
    <w:p w14:paraId="560F6F63">
      <w:pPr>
        <w:pageBreakBefore w:val="0"/>
        <w:widowControl w:val="0"/>
        <w:kinsoku/>
        <w:wordWrap/>
        <w:overflowPunct/>
        <w:topLinePunct w:val="0"/>
        <w:bidi w:val="0"/>
        <w:snapToGrid w:val="0"/>
        <w:spacing w:line="360" w:lineRule="auto"/>
        <w:textAlignment w:val="auto"/>
        <w:outlineLvl w:val="2"/>
        <w:rPr>
          <w:rFonts w:ascii="宋体" w:hAnsi="宋体" w:cs="宋体"/>
          <w:b/>
          <w:bCs/>
          <w:snapToGrid w:val="0"/>
          <w:color w:val="auto"/>
          <w:kern w:val="0"/>
          <w:sz w:val="21"/>
          <w:szCs w:val="21"/>
          <w:highlight w:val="none"/>
        </w:rPr>
      </w:pPr>
      <w:bookmarkStart w:id="407" w:name="_Toc97299500"/>
      <w:bookmarkStart w:id="408" w:name="_Toc361220412"/>
      <w:r>
        <w:rPr>
          <w:rFonts w:hint="eastAsia" w:ascii="宋体" w:hAnsi="宋体" w:cs="宋体"/>
          <w:b/>
          <w:bCs/>
          <w:snapToGrid w:val="0"/>
          <w:color w:val="auto"/>
          <w:kern w:val="0"/>
          <w:sz w:val="21"/>
          <w:szCs w:val="21"/>
          <w:highlight w:val="none"/>
        </w:rPr>
        <w:t>三、质量标准</w:t>
      </w:r>
      <w:bookmarkEnd w:id="407"/>
      <w:bookmarkEnd w:id="408"/>
    </w:p>
    <w:p w14:paraId="42593BC1">
      <w:pPr>
        <w:pageBreakBefore w:val="0"/>
        <w:widowControl w:val="0"/>
        <w:kinsoku/>
        <w:wordWrap/>
        <w:overflowPunct/>
        <w:topLinePunct w:val="0"/>
        <w:bidi w:val="0"/>
        <w:snapToGrid w:val="0"/>
        <w:spacing w:line="360" w:lineRule="auto"/>
        <w:ind w:firstLine="459"/>
        <w:textAlignment w:val="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工程质量符合</w:t>
      </w:r>
      <w:bookmarkStart w:id="409" w:name="SOA_hhxys_zlbz"/>
      <w:r>
        <w:rPr>
          <w:rFonts w:hint="eastAsia" w:ascii="宋体" w:hAnsi="宋体" w:cs="宋体"/>
          <w:snapToGrid w:val="0"/>
          <w:color w:val="auto"/>
          <w:kern w:val="0"/>
          <w:sz w:val="21"/>
          <w:szCs w:val="21"/>
          <w:highlight w:val="none"/>
          <w:u w:val="single"/>
          <w:lang w:val="en-US" w:eastAsia="zh-CN"/>
        </w:rPr>
        <w:t xml:space="preserve"> </w:t>
      </w:r>
      <w:r>
        <w:rPr>
          <w:rFonts w:hint="eastAsia" w:ascii="宋体" w:hAnsi="宋体" w:cs="宋体"/>
          <w:snapToGrid w:val="0"/>
          <w:color w:val="auto"/>
          <w:kern w:val="0"/>
          <w:sz w:val="21"/>
          <w:szCs w:val="21"/>
          <w:highlight w:val="none"/>
          <w:u w:val="single"/>
        </w:rPr>
        <w:t xml:space="preserve">合格 </w:t>
      </w:r>
      <w:bookmarkEnd w:id="409"/>
      <w:r>
        <w:rPr>
          <w:rFonts w:hint="eastAsia" w:ascii="宋体" w:hAnsi="宋体" w:cs="宋体"/>
          <w:snapToGrid w:val="0"/>
          <w:color w:val="auto"/>
          <w:kern w:val="0"/>
          <w:sz w:val="21"/>
          <w:szCs w:val="21"/>
          <w:highlight w:val="none"/>
        </w:rPr>
        <w:t>标准。</w:t>
      </w:r>
    </w:p>
    <w:p w14:paraId="1D2F60E2">
      <w:pPr>
        <w:pageBreakBefore w:val="0"/>
        <w:widowControl w:val="0"/>
        <w:kinsoku/>
        <w:wordWrap/>
        <w:overflowPunct/>
        <w:topLinePunct w:val="0"/>
        <w:bidi w:val="0"/>
        <w:snapToGrid w:val="0"/>
        <w:spacing w:line="360" w:lineRule="auto"/>
        <w:textAlignment w:val="auto"/>
        <w:outlineLvl w:val="2"/>
        <w:rPr>
          <w:rFonts w:ascii="宋体" w:hAnsi="宋体" w:cs="宋体"/>
          <w:b/>
          <w:bCs/>
          <w:snapToGrid w:val="0"/>
          <w:color w:val="auto"/>
          <w:kern w:val="0"/>
          <w:sz w:val="21"/>
          <w:szCs w:val="21"/>
          <w:highlight w:val="none"/>
        </w:rPr>
      </w:pPr>
      <w:bookmarkStart w:id="410" w:name="_Toc97299501"/>
      <w:bookmarkStart w:id="411" w:name="_Toc361220413"/>
      <w:r>
        <w:rPr>
          <w:rFonts w:hint="eastAsia" w:ascii="宋体" w:hAnsi="宋体" w:cs="宋体"/>
          <w:b/>
          <w:bCs/>
          <w:snapToGrid w:val="0"/>
          <w:color w:val="auto"/>
          <w:kern w:val="0"/>
          <w:sz w:val="21"/>
          <w:szCs w:val="21"/>
          <w:highlight w:val="none"/>
        </w:rPr>
        <w:t>四、签约合同价与合同价格形式</w:t>
      </w:r>
      <w:bookmarkEnd w:id="410"/>
      <w:bookmarkEnd w:id="411"/>
    </w:p>
    <w:p w14:paraId="580F6110">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1.签约合同价为：</w:t>
      </w:r>
    </w:p>
    <w:p w14:paraId="5E67447E">
      <w:pPr>
        <w:pageBreakBefore w:val="0"/>
        <w:widowControl w:val="0"/>
        <w:kinsoku/>
        <w:wordWrap/>
        <w:overflowPunct/>
        <w:topLinePunct w:val="0"/>
        <w:bidi w:val="0"/>
        <w:snapToGrid w:val="0"/>
        <w:spacing w:line="360" w:lineRule="auto"/>
        <w:ind w:firstLine="525" w:firstLineChars="250"/>
        <w:textAlignment w:val="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人民币（大写）</w:t>
      </w:r>
      <w:bookmarkStart w:id="412" w:name="SOA_hhxys_htjdx"/>
      <w:r>
        <w:rPr>
          <w:rFonts w:hint="eastAsia" w:ascii="宋体" w:hAnsi="宋体" w:cs="宋体"/>
          <w:snapToGrid w:val="0"/>
          <w:color w:val="auto"/>
          <w:kern w:val="0"/>
          <w:sz w:val="21"/>
          <w:szCs w:val="21"/>
          <w:highlight w:val="none"/>
          <w:u w:val="single"/>
        </w:rPr>
        <w:t xml:space="preserve">                   </w:t>
      </w:r>
      <w:bookmarkEnd w:id="412"/>
      <w:r>
        <w:rPr>
          <w:rFonts w:hint="eastAsia" w:ascii="宋体" w:hAnsi="宋体" w:cs="宋体"/>
          <w:snapToGrid w:val="0"/>
          <w:color w:val="auto"/>
          <w:kern w:val="0"/>
          <w:sz w:val="21"/>
          <w:szCs w:val="21"/>
          <w:highlight w:val="none"/>
        </w:rPr>
        <w:t>(¥</w:t>
      </w:r>
      <w:r>
        <w:rPr>
          <w:rFonts w:hint="eastAsia" w:ascii="宋体" w:hAnsi="宋体" w:cs="宋体"/>
          <w:snapToGrid w:val="0"/>
          <w:color w:val="auto"/>
          <w:kern w:val="0"/>
          <w:sz w:val="21"/>
          <w:szCs w:val="21"/>
          <w:highlight w:val="none"/>
          <w:u w:val="single"/>
        </w:rPr>
        <w:t xml:space="preserve"> </w:t>
      </w:r>
      <w:bookmarkStart w:id="413" w:name="SOA_hhxys_htjxx"/>
      <w:r>
        <w:rPr>
          <w:rFonts w:hint="eastAsia" w:ascii="宋体" w:hAnsi="宋体" w:cs="宋体"/>
          <w:snapToGrid w:val="0"/>
          <w:color w:val="auto"/>
          <w:kern w:val="0"/>
          <w:sz w:val="21"/>
          <w:szCs w:val="21"/>
          <w:highlight w:val="none"/>
          <w:u w:val="single"/>
        </w:rPr>
        <w:t xml:space="preserve">            </w:t>
      </w:r>
      <w:bookmarkEnd w:id="413"/>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元)；</w:t>
      </w:r>
    </w:p>
    <w:p w14:paraId="4D59AF5F">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其中：</w:t>
      </w:r>
    </w:p>
    <w:p w14:paraId="78FE98C8">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（1）安全文明施工费：</w:t>
      </w:r>
    </w:p>
    <w:p w14:paraId="0FB97543">
      <w:pPr>
        <w:pageBreakBefore w:val="0"/>
        <w:widowControl w:val="0"/>
        <w:kinsoku/>
        <w:wordWrap/>
        <w:overflowPunct/>
        <w:topLinePunct w:val="0"/>
        <w:bidi w:val="0"/>
        <w:snapToGrid w:val="0"/>
        <w:spacing w:line="360" w:lineRule="auto"/>
        <w:textAlignment w:val="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 xml:space="preserve">     人民币（大写）</w:t>
      </w:r>
      <w:bookmarkStart w:id="414" w:name="SOA_hhxys_wmsgfdx"/>
      <w:r>
        <w:rPr>
          <w:rFonts w:hint="eastAsia" w:ascii="宋体" w:hAnsi="宋体" w:cs="宋体"/>
          <w:snapToGrid w:val="0"/>
          <w:color w:val="auto"/>
          <w:kern w:val="0"/>
          <w:sz w:val="21"/>
          <w:szCs w:val="21"/>
          <w:highlight w:val="none"/>
          <w:u w:val="single"/>
        </w:rPr>
        <w:t xml:space="preserve">                </w:t>
      </w:r>
      <w:bookmarkEnd w:id="414"/>
      <w:r>
        <w:rPr>
          <w:rFonts w:hint="eastAsia" w:ascii="宋体" w:hAnsi="宋体" w:cs="宋体"/>
          <w:snapToGrid w:val="0"/>
          <w:color w:val="auto"/>
          <w:kern w:val="0"/>
          <w:sz w:val="21"/>
          <w:szCs w:val="21"/>
          <w:highlight w:val="none"/>
        </w:rPr>
        <w:t>(¥</w:t>
      </w:r>
      <w:bookmarkStart w:id="415" w:name="SOA_hhxys_wmsgfxx"/>
      <w:r>
        <w:rPr>
          <w:rFonts w:hint="eastAsia" w:ascii="宋体" w:hAnsi="宋体" w:cs="宋体"/>
          <w:snapToGrid w:val="0"/>
          <w:color w:val="auto"/>
          <w:kern w:val="0"/>
          <w:sz w:val="21"/>
          <w:szCs w:val="21"/>
          <w:highlight w:val="none"/>
          <w:u w:val="single"/>
        </w:rPr>
        <w:t xml:space="preserve">                  </w:t>
      </w:r>
      <w:bookmarkEnd w:id="415"/>
      <w:r>
        <w:rPr>
          <w:rFonts w:hint="eastAsia" w:ascii="宋体" w:hAnsi="宋体" w:cs="宋体"/>
          <w:snapToGrid w:val="0"/>
          <w:color w:val="auto"/>
          <w:kern w:val="0"/>
          <w:sz w:val="21"/>
          <w:szCs w:val="21"/>
          <w:highlight w:val="none"/>
        </w:rPr>
        <w:t>元)；</w:t>
      </w:r>
    </w:p>
    <w:p w14:paraId="7D1D5B60">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（2）材料和工程设备暂估价金额：</w:t>
      </w:r>
    </w:p>
    <w:p w14:paraId="6FE6A468">
      <w:pPr>
        <w:pageBreakBefore w:val="0"/>
        <w:widowControl w:val="0"/>
        <w:kinsoku/>
        <w:wordWrap/>
        <w:overflowPunct/>
        <w:topLinePunct w:val="0"/>
        <w:bidi w:val="0"/>
        <w:snapToGrid w:val="0"/>
        <w:spacing w:line="360" w:lineRule="auto"/>
        <w:textAlignment w:val="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 xml:space="preserve">     人民币（大写）</w:t>
      </w:r>
      <w:bookmarkStart w:id="416" w:name="SOA_hhxys_sbzgjdx"/>
      <w:r>
        <w:rPr>
          <w:rFonts w:hint="eastAsia" w:ascii="宋体" w:hAnsi="宋体" w:cs="宋体"/>
          <w:snapToGrid w:val="0"/>
          <w:color w:val="auto"/>
          <w:kern w:val="0"/>
          <w:sz w:val="21"/>
          <w:szCs w:val="21"/>
          <w:highlight w:val="none"/>
          <w:u w:val="single"/>
        </w:rPr>
        <w:t xml:space="preserve">       </w:t>
      </w:r>
      <w:bookmarkEnd w:id="416"/>
      <w:r>
        <w:rPr>
          <w:rFonts w:hint="eastAsia" w:ascii="宋体" w:hAnsi="宋体" w:cs="宋体"/>
          <w:snapToGrid w:val="0"/>
          <w:color w:val="auto"/>
          <w:kern w:val="0"/>
          <w:sz w:val="21"/>
          <w:szCs w:val="21"/>
          <w:highlight w:val="none"/>
        </w:rPr>
        <w:t>(¥</w:t>
      </w:r>
      <w:bookmarkStart w:id="417" w:name="SOA_hhxys_sbzgjxx"/>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u w:val="single"/>
          <w:lang w:val="en-US" w:eastAsia="zh-CN"/>
        </w:rPr>
        <w:t xml:space="preserve"> </w:t>
      </w:r>
      <w:r>
        <w:rPr>
          <w:rFonts w:hint="eastAsia" w:ascii="宋体" w:hAnsi="宋体" w:cs="宋体"/>
          <w:snapToGrid w:val="0"/>
          <w:color w:val="auto"/>
          <w:kern w:val="0"/>
          <w:sz w:val="21"/>
          <w:szCs w:val="21"/>
          <w:highlight w:val="none"/>
          <w:u w:val="single"/>
        </w:rPr>
        <w:t xml:space="preserve">  </w:t>
      </w:r>
      <w:bookmarkEnd w:id="417"/>
      <w:r>
        <w:rPr>
          <w:rFonts w:hint="eastAsia" w:ascii="宋体" w:hAnsi="宋体" w:cs="宋体"/>
          <w:snapToGrid w:val="0"/>
          <w:color w:val="auto"/>
          <w:kern w:val="0"/>
          <w:sz w:val="21"/>
          <w:szCs w:val="21"/>
          <w:highlight w:val="none"/>
        </w:rPr>
        <w:t>元)；</w:t>
      </w:r>
    </w:p>
    <w:p w14:paraId="7D68A273">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（3）专业工程暂估价金额：</w:t>
      </w:r>
    </w:p>
    <w:p w14:paraId="35AC8C26">
      <w:pPr>
        <w:pageBreakBefore w:val="0"/>
        <w:widowControl w:val="0"/>
        <w:kinsoku/>
        <w:wordWrap/>
        <w:overflowPunct/>
        <w:topLinePunct w:val="0"/>
        <w:bidi w:val="0"/>
        <w:snapToGrid w:val="0"/>
        <w:spacing w:line="360" w:lineRule="auto"/>
        <w:textAlignment w:val="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 xml:space="preserve">     人民币（大写）</w:t>
      </w:r>
      <w:bookmarkStart w:id="418" w:name="SOA_hhxys_gczgjdx"/>
      <w:r>
        <w:rPr>
          <w:rFonts w:hint="eastAsia" w:ascii="宋体" w:hAnsi="宋体" w:cs="宋体"/>
          <w:snapToGrid w:val="0"/>
          <w:color w:val="auto"/>
          <w:kern w:val="0"/>
          <w:sz w:val="21"/>
          <w:szCs w:val="21"/>
          <w:highlight w:val="none"/>
          <w:u w:val="single"/>
        </w:rPr>
        <w:t xml:space="preserve">       </w:t>
      </w:r>
      <w:bookmarkEnd w:id="418"/>
      <w:r>
        <w:rPr>
          <w:rFonts w:hint="eastAsia" w:ascii="宋体" w:hAnsi="宋体" w:cs="宋体"/>
          <w:snapToGrid w:val="0"/>
          <w:color w:val="auto"/>
          <w:kern w:val="0"/>
          <w:sz w:val="21"/>
          <w:szCs w:val="21"/>
          <w:highlight w:val="none"/>
        </w:rPr>
        <w:t>(¥</w:t>
      </w:r>
      <w:bookmarkStart w:id="419" w:name="SOA_hhxys_gczgjxx"/>
      <w:r>
        <w:rPr>
          <w:rFonts w:hint="eastAsia" w:ascii="宋体" w:hAnsi="宋体" w:cs="宋体"/>
          <w:snapToGrid w:val="0"/>
          <w:color w:val="auto"/>
          <w:kern w:val="0"/>
          <w:sz w:val="21"/>
          <w:szCs w:val="21"/>
          <w:highlight w:val="none"/>
          <w:u w:val="single"/>
        </w:rPr>
        <w:t xml:space="preserve">       </w:t>
      </w:r>
      <w:bookmarkEnd w:id="419"/>
      <w:r>
        <w:rPr>
          <w:rFonts w:hint="eastAsia" w:ascii="宋体" w:hAnsi="宋体" w:cs="宋体"/>
          <w:snapToGrid w:val="0"/>
          <w:color w:val="auto"/>
          <w:kern w:val="0"/>
          <w:sz w:val="21"/>
          <w:szCs w:val="21"/>
          <w:highlight w:val="none"/>
        </w:rPr>
        <w:t>元)；</w:t>
      </w:r>
    </w:p>
    <w:p w14:paraId="5631AA74">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（4）暂列金额：</w:t>
      </w:r>
    </w:p>
    <w:p w14:paraId="2D121711">
      <w:pPr>
        <w:pageBreakBefore w:val="0"/>
        <w:widowControl w:val="0"/>
        <w:kinsoku/>
        <w:wordWrap/>
        <w:overflowPunct/>
        <w:topLinePunct w:val="0"/>
        <w:bidi w:val="0"/>
        <w:snapToGrid w:val="0"/>
        <w:spacing w:line="360" w:lineRule="auto"/>
        <w:textAlignment w:val="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 xml:space="preserve">     人民币（大写）</w:t>
      </w:r>
      <w:bookmarkStart w:id="420" w:name="SOA_hhxys_zljedx"/>
      <w:r>
        <w:rPr>
          <w:rFonts w:hint="eastAsia" w:ascii="宋体" w:hAnsi="宋体" w:cs="宋体"/>
          <w:snapToGrid w:val="0"/>
          <w:color w:val="auto"/>
          <w:kern w:val="0"/>
          <w:sz w:val="21"/>
          <w:szCs w:val="21"/>
          <w:highlight w:val="none"/>
          <w:u w:val="single"/>
        </w:rPr>
        <w:t xml:space="preserve">       </w:t>
      </w:r>
      <w:bookmarkEnd w:id="420"/>
      <w:r>
        <w:rPr>
          <w:rFonts w:hint="eastAsia" w:ascii="宋体" w:hAnsi="宋体" w:cs="宋体"/>
          <w:snapToGrid w:val="0"/>
          <w:color w:val="auto"/>
          <w:kern w:val="0"/>
          <w:sz w:val="21"/>
          <w:szCs w:val="21"/>
          <w:highlight w:val="none"/>
        </w:rPr>
        <w:t>(¥</w:t>
      </w:r>
      <w:bookmarkStart w:id="421" w:name="SOA_hhxys_zljexx"/>
      <w:r>
        <w:rPr>
          <w:rFonts w:hint="eastAsia" w:ascii="宋体" w:hAnsi="宋体" w:cs="宋体"/>
          <w:snapToGrid w:val="0"/>
          <w:color w:val="auto"/>
          <w:kern w:val="0"/>
          <w:sz w:val="21"/>
          <w:szCs w:val="21"/>
          <w:highlight w:val="none"/>
          <w:u w:val="single"/>
        </w:rPr>
        <w:t xml:space="preserve">        </w:t>
      </w:r>
      <w:bookmarkEnd w:id="421"/>
      <w:r>
        <w:rPr>
          <w:rFonts w:hint="eastAsia" w:ascii="宋体" w:hAnsi="宋体" w:cs="宋体"/>
          <w:snapToGrid w:val="0"/>
          <w:color w:val="auto"/>
          <w:kern w:val="0"/>
          <w:sz w:val="21"/>
          <w:szCs w:val="21"/>
          <w:highlight w:val="none"/>
        </w:rPr>
        <w:t>元)。</w:t>
      </w:r>
    </w:p>
    <w:p w14:paraId="0FB0B64F">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2.合同价格形式：</w:t>
      </w:r>
      <w:r>
        <w:rPr>
          <w:rFonts w:hint="eastAsia" w:ascii="宋体" w:hAnsi="宋体" w:cs="宋体"/>
          <w:snapToGrid w:val="0"/>
          <w:color w:val="auto"/>
          <w:kern w:val="0"/>
          <w:sz w:val="21"/>
          <w:szCs w:val="21"/>
          <w:highlight w:val="none"/>
          <w:u w:val="single"/>
        </w:rPr>
        <w:t></w:t>
      </w:r>
      <w:bookmarkStart w:id="422" w:name="SOA_hhxys_htjgxs"/>
      <w:r>
        <w:rPr>
          <w:rFonts w:hint="eastAsia" w:ascii="宋体" w:hAnsi="宋体" w:cs="宋体"/>
          <w:snapToGrid w:val="0"/>
          <w:color w:val="auto"/>
          <w:kern w:val="0"/>
          <w:sz w:val="21"/>
          <w:szCs w:val="21"/>
          <w:highlight w:val="none"/>
          <w:u w:val="single"/>
        </w:rPr>
        <w:t xml:space="preserve">  </w:t>
      </w:r>
      <w:bookmarkEnd w:id="422"/>
      <w:r>
        <w:rPr>
          <w:rFonts w:hint="eastAsia" w:ascii="宋体" w:hAnsi="宋体" w:cs="宋体"/>
          <w:snapToGrid w:val="0"/>
          <w:color w:val="auto"/>
          <w:kern w:val="0"/>
          <w:sz w:val="21"/>
          <w:szCs w:val="21"/>
          <w:highlight w:val="none"/>
          <w:u w:val="single"/>
        </w:rPr>
        <w:t xml:space="preserve">      </w:t>
      </w:r>
      <w:r>
        <w:rPr>
          <w:rFonts w:hint="eastAsia" w:ascii="宋体" w:hAnsi="宋体" w:cs="宋体"/>
          <w:snapToGrid w:val="0"/>
          <w:color w:val="auto"/>
          <w:kern w:val="0"/>
          <w:sz w:val="21"/>
          <w:szCs w:val="21"/>
          <w:highlight w:val="none"/>
        </w:rPr>
        <w:t>。</w:t>
      </w:r>
    </w:p>
    <w:p w14:paraId="52ED2F47">
      <w:pPr>
        <w:pageBreakBefore w:val="0"/>
        <w:widowControl w:val="0"/>
        <w:kinsoku/>
        <w:wordWrap/>
        <w:overflowPunct/>
        <w:topLinePunct w:val="0"/>
        <w:bidi w:val="0"/>
        <w:snapToGrid w:val="0"/>
        <w:spacing w:line="360" w:lineRule="auto"/>
        <w:textAlignment w:val="auto"/>
        <w:outlineLvl w:val="2"/>
        <w:rPr>
          <w:rFonts w:ascii="宋体" w:hAnsi="宋体" w:cs="宋体"/>
          <w:b/>
          <w:bCs/>
          <w:snapToGrid w:val="0"/>
          <w:color w:val="auto"/>
          <w:kern w:val="0"/>
          <w:sz w:val="21"/>
          <w:szCs w:val="21"/>
          <w:highlight w:val="none"/>
        </w:rPr>
      </w:pPr>
      <w:bookmarkStart w:id="423" w:name="_Toc361220414"/>
      <w:bookmarkStart w:id="424" w:name="_Toc97299502"/>
      <w:r>
        <w:rPr>
          <w:rFonts w:hint="eastAsia" w:ascii="宋体" w:hAnsi="宋体" w:cs="宋体"/>
          <w:b/>
          <w:bCs/>
          <w:snapToGrid w:val="0"/>
          <w:color w:val="auto"/>
          <w:kern w:val="0"/>
          <w:sz w:val="21"/>
          <w:szCs w:val="21"/>
          <w:highlight w:val="none"/>
        </w:rPr>
        <w:t>五、项目经理</w:t>
      </w:r>
      <w:bookmarkEnd w:id="423"/>
      <w:bookmarkEnd w:id="424"/>
    </w:p>
    <w:p w14:paraId="190AB2A0">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承包人项目经理：</w:t>
      </w:r>
      <w:r>
        <w:rPr>
          <w:rFonts w:hint="eastAsia" w:ascii="宋体" w:hAnsi="宋体" w:cs="宋体"/>
          <w:snapToGrid w:val="0"/>
          <w:color w:val="auto"/>
          <w:kern w:val="0"/>
          <w:sz w:val="21"/>
          <w:szCs w:val="21"/>
          <w:highlight w:val="none"/>
          <w:u w:val="single"/>
        </w:rPr>
        <w:t></w:t>
      </w:r>
      <w:bookmarkStart w:id="425" w:name="SOA_hhxys_cbrxmjl"/>
      <w:r>
        <w:rPr>
          <w:rFonts w:hint="eastAsia" w:ascii="宋体" w:hAnsi="宋体" w:cs="宋体"/>
          <w:snapToGrid w:val="0"/>
          <w:color w:val="auto"/>
          <w:kern w:val="0"/>
          <w:sz w:val="21"/>
          <w:szCs w:val="21"/>
          <w:highlight w:val="none"/>
          <w:u w:val="single"/>
        </w:rPr>
        <w:t xml:space="preserve">        </w:t>
      </w:r>
      <w:bookmarkEnd w:id="425"/>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w:t>
      </w:r>
    </w:p>
    <w:p w14:paraId="65501F57">
      <w:pPr>
        <w:pageBreakBefore w:val="0"/>
        <w:widowControl w:val="0"/>
        <w:kinsoku/>
        <w:wordWrap/>
        <w:overflowPunct/>
        <w:topLinePunct w:val="0"/>
        <w:bidi w:val="0"/>
        <w:snapToGrid w:val="0"/>
        <w:spacing w:line="360" w:lineRule="auto"/>
        <w:textAlignment w:val="auto"/>
        <w:outlineLvl w:val="2"/>
        <w:rPr>
          <w:rFonts w:ascii="宋体" w:hAnsi="宋体" w:cs="宋体"/>
          <w:b/>
          <w:bCs/>
          <w:snapToGrid w:val="0"/>
          <w:color w:val="auto"/>
          <w:kern w:val="0"/>
          <w:sz w:val="21"/>
          <w:szCs w:val="21"/>
          <w:highlight w:val="none"/>
        </w:rPr>
      </w:pPr>
      <w:bookmarkStart w:id="426" w:name="_Toc361220415"/>
      <w:bookmarkStart w:id="427" w:name="_Toc97299503"/>
      <w:r>
        <w:rPr>
          <w:rFonts w:hint="eastAsia" w:ascii="宋体" w:hAnsi="宋体" w:cs="宋体"/>
          <w:b/>
          <w:bCs/>
          <w:snapToGrid w:val="0"/>
          <w:color w:val="auto"/>
          <w:kern w:val="0"/>
          <w:sz w:val="21"/>
          <w:szCs w:val="21"/>
          <w:highlight w:val="none"/>
        </w:rPr>
        <w:t>六、合同文件构成</w:t>
      </w:r>
      <w:bookmarkEnd w:id="426"/>
      <w:bookmarkEnd w:id="427"/>
    </w:p>
    <w:p w14:paraId="63FD4868">
      <w:pPr>
        <w:pageBreakBefore w:val="0"/>
        <w:widowControl w:val="0"/>
        <w:kinsoku/>
        <w:wordWrap/>
        <w:overflowPunct/>
        <w:topLinePunct w:val="0"/>
        <w:bidi w:val="0"/>
        <w:snapToGrid w:val="0"/>
        <w:spacing w:line="360" w:lineRule="auto"/>
        <w:ind w:firstLine="420" w:firstLineChars="200"/>
        <w:textAlignment w:val="auto"/>
        <w:rPr>
          <w:rFonts w:ascii="宋体" w:hAnsi="宋体" w:cs="宋体"/>
          <w:bCs/>
          <w:snapToGrid w:val="0"/>
          <w:color w:val="auto"/>
          <w:kern w:val="0"/>
          <w:sz w:val="21"/>
          <w:szCs w:val="21"/>
          <w:highlight w:val="none"/>
        </w:rPr>
      </w:pPr>
      <w:r>
        <w:rPr>
          <w:rFonts w:hint="eastAsia" w:ascii="宋体" w:hAnsi="宋体" w:cs="宋体"/>
          <w:bCs/>
          <w:snapToGrid w:val="0"/>
          <w:color w:val="auto"/>
          <w:kern w:val="0"/>
          <w:sz w:val="21"/>
          <w:szCs w:val="21"/>
          <w:highlight w:val="none"/>
        </w:rPr>
        <w:t>本协议书与下列文件一起构成合同文件：</w:t>
      </w:r>
    </w:p>
    <w:p w14:paraId="7AE2F897">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（1）成交通知书（如果有）；</w:t>
      </w:r>
    </w:p>
    <w:p w14:paraId="27AD46A7">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 xml:space="preserve">（2）响应函及其附录（如果有）； </w:t>
      </w:r>
    </w:p>
    <w:p w14:paraId="62BC924A">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（3）专用合同条款及其附件；</w:t>
      </w:r>
    </w:p>
    <w:p w14:paraId="57009177">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（4）通用合同条款；</w:t>
      </w:r>
    </w:p>
    <w:p w14:paraId="68923AB9">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（5）技术标准和要求；</w:t>
      </w:r>
    </w:p>
    <w:p w14:paraId="4F8FBC98">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（6）图纸；</w:t>
      </w:r>
    </w:p>
    <w:p w14:paraId="0EF10D5A">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（7）已标价工程量清单或预算书；</w:t>
      </w:r>
    </w:p>
    <w:p w14:paraId="0B7FFA35">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（8）其他合同文件。</w:t>
      </w:r>
    </w:p>
    <w:p w14:paraId="2D36C6A9">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在合同订立及履行过程中形成的与合同有关的文件均构成合同文件组成部分。</w:t>
      </w:r>
    </w:p>
    <w:p w14:paraId="5994A672">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74A95CD0">
      <w:pPr>
        <w:pageBreakBefore w:val="0"/>
        <w:widowControl w:val="0"/>
        <w:kinsoku/>
        <w:wordWrap/>
        <w:overflowPunct/>
        <w:topLinePunct w:val="0"/>
        <w:bidi w:val="0"/>
        <w:snapToGrid w:val="0"/>
        <w:spacing w:line="360" w:lineRule="auto"/>
        <w:textAlignment w:val="auto"/>
        <w:outlineLvl w:val="2"/>
        <w:rPr>
          <w:rFonts w:ascii="宋体" w:hAnsi="宋体" w:cs="宋体"/>
          <w:b/>
          <w:bCs/>
          <w:snapToGrid w:val="0"/>
          <w:color w:val="auto"/>
          <w:kern w:val="0"/>
          <w:sz w:val="21"/>
          <w:szCs w:val="21"/>
          <w:highlight w:val="none"/>
        </w:rPr>
      </w:pPr>
      <w:bookmarkStart w:id="428" w:name="_Toc97299504"/>
      <w:bookmarkStart w:id="429" w:name="_Toc361220416"/>
      <w:r>
        <w:rPr>
          <w:rFonts w:hint="eastAsia" w:ascii="宋体" w:hAnsi="宋体" w:cs="宋体"/>
          <w:b/>
          <w:bCs/>
          <w:snapToGrid w:val="0"/>
          <w:color w:val="auto"/>
          <w:kern w:val="0"/>
          <w:sz w:val="21"/>
          <w:szCs w:val="21"/>
          <w:highlight w:val="none"/>
        </w:rPr>
        <w:t>七、承诺</w:t>
      </w:r>
      <w:bookmarkEnd w:id="428"/>
      <w:bookmarkEnd w:id="429"/>
    </w:p>
    <w:p w14:paraId="042F9F02">
      <w:pPr>
        <w:pageBreakBefore w:val="0"/>
        <w:widowControl w:val="0"/>
        <w:kinsoku/>
        <w:wordWrap/>
        <w:overflowPunct/>
        <w:topLinePunct w:val="0"/>
        <w:bidi w:val="0"/>
        <w:snapToGrid w:val="0"/>
        <w:spacing w:line="360" w:lineRule="auto"/>
        <w:ind w:firstLine="420" w:firstLineChars="200"/>
        <w:textAlignment w:val="auto"/>
        <w:rPr>
          <w:rFonts w:ascii="宋体" w:hAnsi="宋体" w:cs="宋体"/>
          <w:bCs/>
          <w:snapToGrid w:val="0"/>
          <w:color w:val="auto"/>
          <w:kern w:val="0"/>
          <w:sz w:val="21"/>
          <w:szCs w:val="21"/>
          <w:highlight w:val="none"/>
        </w:rPr>
      </w:pPr>
      <w:r>
        <w:rPr>
          <w:rFonts w:hint="eastAsia" w:ascii="宋体" w:hAnsi="宋体" w:cs="宋体"/>
          <w:bCs/>
          <w:snapToGrid w:val="0"/>
          <w:color w:val="auto"/>
          <w:kern w:val="0"/>
          <w:sz w:val="21"/>
          <w:szCs w:val="21"/>
          <w:highlight w:val="none"/>
        </w:rPr>
        <w:t>1.发包人承诺按照法律规定履行项目审批手续、筹集工程建设资金并按照合同约定的期限和方式支付合同价款。</w:t>
      </w:r>
    </w:p>
    <w:p w14:paraId="25792E72">
      <w:pPr>
        <w:pageBreakBefore w:val="0"/>
        <w:widowControl w:val="0"/>
        <w:kinsoku/>
        <w:wordWrap/>
        <w:overflowPunct/>
        <w:topLinePunct w:val="0"/>
        <w:bidi w:val="0"/>
        <w:snapToGrid w:val="0"/>
        <w:spacing w:line="360" w:lineRule="auto"/>
        <w:ind w:firstLine="420" w:firstLineChars="200"/>
        <w:textAlignment w:val="auto"/>
        <w:rPr>
          <w:rFonts w:ascii="宋体" w:hAnsi="宋体" w:cs="宋体"/>
          <w:bCs/>
          <w:snapToGrid w:val="0"/>
          <w:color w:val="auto"/>
          <w:kern w:val="0"/>
          <w:sz w:val="21"/>
          <w:szCs w:val="21"/>
          <w:highlight w:val="none"/>
        </w:rPr>
      </w:pPr>
      <w:r>
        <w:rPr>
          <w:rFonts w:hint="eastAsia" w:ascii="宋体" w:hAnsi="宋体" w:cs="宋体"/>
          <w:bCs/>
          <w:snapToGrid w:val="0"/>
          <w:color w:val="auto"/>
          <w:kern w:val="0"/>
          <w:sz w:val="21"/>
          <w:szCs w:val="21"/>
          <w:highlight w:val="none"/>
        </w:rPr>
        <w:t>2.承包人承诺按照法律规定及合同约定组织完成工程施工，确保工程质量和安全，不进行转包及违法分包，并在缺陷责任期及保修期内承担相应的工程维修责任。</w:t>
      </w:r>
    </w:p>
    <w:p w14:paraId="5EAC0D6C">
      <w:pPr>
        <w:pageBreakBefore w:val="0"/>
        <w:widowControl w:val="0"/>
        <w:kinsoku/>
        <w:wordWrap/>
        <w:overflowPunct/>
        <w:topLinePunct w:val="0"/>
        <w:bidi w:val="0"/>
        <w:snapToGrid w:val="0"/>
        <w:spacing w:line="360" w:lineRule="auto"/>
        <w:ind w:firstLine="420" w:firstLineChars="200"/>
        <w:textAlignment w:val="auto"/>
        <w:rPr>
          <w:rFonts w:ascii="宋体" w:hAnsi="宋体" w:cs="宋体"/>
          <w:bCs/>
          <w:snapToGrid w:val="0"/>
          <w:color w:val="auto"/>
          <w:kern w:val="0"/>
          <w:sz w:val="21"/>
          <w:szCs w:val="21"/>
          <w:highlight w:val="none"/>
        </w:rPr>
      </w:pPr>
      <w:r>
        <w:rPr>
          <w:rFonts w:hint="eastAsia" w:ascii="宋体" w:hAnsi="宋体" w:cs="宋体"/>
          <w:bCs/>
          <w:snapToGrid w:val="0"/>
          <w:color w:val="auto"/>
          <w:kern w:val="0"/>
          <w:sz w:val="21"/>
          <w:szCs w:val="21"/>
          <w:highlight w:val="none"/>
        </w:rPr>
        <w:t>3.发包人和承包人通过</w:t>
      </w:r>
      <w:r>
        <w:rPr>
          <w:rFonts w:hint="eastAsia" w:ascii="宋体" w:hAnsi="宋体" w:cs="宋体"/>
          <w:color w:val="auto"/>
          <w:sz w:val="21"/>
          <w:szCs w:val="21"/>
          <w:highlight w:val="none"/>
        </w:rPr>
        <w:t>政府采购</w:t>
      </w:r>
      <w:r>
        <w:rPr>
          <w:rFonts w:hint="eastAsia" w:ascii="宋体" w:hAnsi="宋体" w:cs="宋体"/>
          <w:bCs/>
          <w:snapToGrid w:val="0"/>
          <w:color w:val="auto"/>
          <w:kern w:val="0"/>
          <w:sz w:val="21"/>
          <w:szCs w:val="21"/>
          <w:highlight w:val="none"/>
        </w:rPr>
        <w:t>形式签订合同的，双方理解并承诺不再就同一工程另行签订与合同实质性内容相背离的协议。</w:t>
      </w:r>
    </w:p>
    <w:p w14:paraId="2E21F4DD">
      <w:pPr>
        <w:pageBreakBefore w:val="0"/>
        <w:widowControl w:val="0"/>
        <w:kinsoku/>
        <w:wordWrap/>
        <w:overflowPunct/>
        <w:topLinePunct w:val="0"/>
        <w:bidi w:val="0"/>
        <w:snapToGrid w:val="0"/>
        <w:spacing w:line="360" w:lineRule="auto"/>
        <w:textAlignment w:val="auto"/>
        <w:outlineLvl w:val="2"/>
        <w:rPr>
          <w:rFonts w:ascii="宋体" w:hAnsi="宋体" w:cs="宋体"/>
          <w:b/>
          <w:bCs/>
          <w:snapToGrid w:val="0"/>
          <w:color w:val="auto"/>
          <w:kern w:val="0"/>
          <w:sz w:val="21"/>
          <w:szCs w:val="21"/>
          <w:highlight w:val="none"/>
        </w:rPr>
      </w:pPr>
      <w:bookmarkStart w:id="430" w:name="_Toc361220417"/>
      <w:bookmarkStart w:id="431" w:name="_Toc97299505"/>
      <w:r>
        <w:rPr>
          <w:rFonts w:hint="eastAsia" w:ascii="宋体" w:hAnsi="宋体" w:cs="宋体"/>
          <w:b/>
          <w:bCs/>
          <w:snapToGrid w:val="0"/>
          <w:color w:val="auto"/>
          <w:kern w:val="0"/>
          <w:sz w:val="21"/>
          <w:szCs w:val="21"/>
          <w:highlight w:val="none"/>
        </w:rPr>
        <w:t>八、词语含义</w:t>
      </w:r>
      <w:bookmarkEnd w:id="430"/>
      <w:bookmarkEnd w:id="431"/>
    </w:p>
    <w:p w14:paraId="7CA026E1">
      <w:pPr>
        <w:pageBreakBefore w:val="0"/>
        <w:widowControl w:val="0"/>
        <w:kinsoku/>
        <w:wordWrap/>
        <w:overflowPunct/>
        <w:topLinePunct w:val="0"/>
        <w:bidi w:val="0"/>
        <w:snapToGrid w:val="0"/>
        <w:spacing w:line="360" w:lineRule="auto"/>
        <w:ind w:firstLine="420" w:firstLineChars="200"/>
        <w:textAlignment w:val="auto"/>
        <w:rPr>
          <w:rFonts w:ascii="宋体" w:hAnsi="宋体" w:cs="宋体"/>
          <w:bCs/>
          <w:snapToGrid w:val="0"/>
          <w:color w:val="auto"/>
          <w:kern w:val="0"/>
          <w:sz w:val="21"/>
          <w:szCs w:val="21"/>
          <w:highlight w:val="none"/>
        </w:rPr>
      </w:pPr>
      <w:r>
        <w:rPr>
          <w:rFonts w:hint="eastAsia" w:ascii="宋体" w:hAnsi="宋体" w:cs="宋体"/>
          <w:bCs/>
          <w:snapToGrid w:val="0"/>
          <w:color w:val="auto"/>
          <w:kern w:val="0"/>
          <w:sz w:val="21"/>
          <w:szCs w:val="21"/>
          <w:highlight w:val="none"/>
        </w:rPr>
        <w:t>本协议书中词语含义与第二部分通用合同条款中赋予的含义相同。</w:t>
      </w:r>
    </w:p>
    <w:p w14:paraId="6920AA70">
      <w:pPr>
        <w:pageBreakBefore w:val="0"/>
        <w:widowControl w:val="0"/>
        <w:kinsoku/>
        <w:wordWrap/>
        <w:overflowPunct/>
        <w:topLinePunct w:val="0"/>
        <w:bidi w:val="0"/>
        <w:snapToGrid w:val="0"/>
        <w:spacing w:line="360" w:lineRule="auto"/>
        <w:textAlignment w:val="auto"/>
        <w:outlineLvl w:val="2"/>
        <w:rPr>
          <w:rFonts w:ascii="宋体" w:hAnsi="宋体" w:cs="宋体"/>
          <w:b/>
          <w:bCs/>
          <w:snapToGrid w:val="0"/>
          <w:color w:val="auto"/>
          <w:kern w:val="0"/>
          <w:sz w:val="21"/>
          <w:szCs w:val="21"/>
          <w:highlight w:val="none"/>
        </w:rPr>
      </w:pPr>
      <w:bookmarkStart w:id="432" w:name="_Toc361220418"/>
      <w:bookmarkStart w:id="433" w:name="_Toc97299506"/>
      <w:r>
        <w:rPr>
          <w:rFonts w:hint="eastAsia" w:ascii="宋体" w:hAnsi="宋体" w:cs="宋体"/>
          <w:b/>
          <w:bCs/>
          <w:snapToGrid w:val="0"/>
          <w:color w:val="auto"/>
          <w:kern w:val="0"/>
          <w:sz w:val="21"/>
          <w:szCs w:val="21"/>
          <w:highlight w:val="none"/>
        </w:rPr>
        <w:t>九、签订时间</w:t>
      </w:r>
      <w:bookmarkEnd w:id="432"/>
      <w:bookmarkEnd w:id="433"/>
    </w:p>
    <w:p w14:paraId="32157237">
      <w:pPr>
        <w:pageBreakBefore w:val="0"/>
        <w:widowControl w:val="0"/>
        <w:kinsoku/>
        <w:wordWrap/>
        <w:overflowPunct/>
        <w:topLinePunct w:val="0"/>
        <w:bidi w:val="0"/>
        <w:snapToGrid w:val="0"/>
        <w:spacing w:line="360" w:lineRule="auto"/>
        <w:ind w:firstLine="420" w:firstLineChars="200"/>
        <w:textAlignment w:val="auto"/>
        <w:rPr>
          <w:rFonts w:ascii="宋体" w:hAnsi="宋体" w:cs="宋体"/>
          <w:bCs/>
          <w:snapToGrid w:val="0"/>
          <w:color w:val="auto"/>
          <w:kern w:val="0"/>
          <w:sz w:val="21"/>
          <w:szCs w:val="21"/>
          <w:highlight w:val="none"/>
        </w:rPr>
      </w:pPr>
      <w:r>
        <w:rPr>
          <w:rFonts w:hint="eastAsia" w:ascii="宋体" w:hAnsi="宋体" w:cs="宋体"/>
          <w:bCs/>
          <w:snapToGrid w:val="0"/>
          <w:color w:val="auto"/>
          <w:kern w:val="0"/>
          <w:sz w:val="21"/>
          <w:szCs w:val="21"/>
          <w:highlight w:val="none"/>
        </w:rPr>
        <w:t>本合同于</w:t>
      </w:r>
      <w:bookmarkStart w:id="434" w:name="SOA_hhxys_htqdn"/>
      <w:r>
        <w:rPr>
          <w:rFonts w:hint="eastAsia" w:ascii="宋体" w:hAnsi="宋体" w:cs="宋体"/>
          <w:bCs/>
          <w:snapToGrid w:val="0"/>
          <w:color w:val="auto"/>
          <w:kern w:val="0"/>
          <w:sz w:val="21"/>
          <w:szCs w:val="21"/>
          <w:highlight w:val="none"/>
          <w:u w:val="single"/>
        </w:rPr>
        <w:t xml:space="preserve">      </w:t>
      </w:r>
      <w:bookmarkEnd w:id="434"/>
      <w:r>
        <w:rPr>
          <w:rFonts w:hint="eastAsia" w:ascii="宋体" w:hAnsi="宋体" w:cs="宋体"/>
          <w:bCs/>
          <w:snapToGrid w:val="0"/>
          <w:color w:val="auto"/>
          <w:kern w:val="0"/>
          <w:sz w:val="21"/>
          <w:szCs w:val="21"/>
          <w:highlight w:val="none"/>
        </w:rPr>
        <w:t>年</w:t>
      </w:r>
      <w:bookmarkStart w:id="435" w:name="SOA_hhxys_htqdy"/>
      <w:r>
        <w:rPr>
          <w:rFonts w:hint="eastAsia" w:ascii="宋体" w:hAnsi="宋体" w:cs="宋体"/>
          <w:bCs/>
          <w:snapToGrid w:val="0"/>
          <w:color w:val="auto"/>
          <w:kern w:val="0"/>
          <w:sz w:val="21"/>
          <w:szCs w:val="21"/>
          <w:highlight w:val="none"/>
          <w:u w:val="single"/>
        </w:rPr>
        <w:t xml:space="preserve">      </w:t>
      </w:r>
      <w:bookmarkEnd w:id="435"/>
      <w:r>
        <w:rPr>
          <w:rFonts w:hint="eastAsia" w:ascii="宋体" w:hAnsi="宋体" w:cs="宋体"/>
          <w:bCs/>
          <w:snapToGrid w:val="0"/>
          <w:color w:val="auto"/>
          <w:kern w:val="0"/>
          <w:sz w:val="21"/>
          <w:szCs w:val="21"/>
          <w:highlight w:val="none"/>
        </w:rPr>
        <w:t>月</w:t>
      </w:r>
      <w:bookmarkStart w:id="436" w:name="SOA_hhxys_htqdr"/>
      <w:r>
        <w:rPr>
          <w:rFonts w:hint="eastAsia" w:ascii="宋体" w:hAnsi="宋体" w:cs="宋体"/>
          <w:bCs/>
          <w:snapToGrid w:val="0"/>
          <w:color w:val="auto"/>
          <w:kern w:val="0"/>
          <w:sz w:val="21"/>
          <w:szCs w:val="21"/>
          <w:highlight w:val="none"/>
          <w:u w:val="single"/>
        </w:rPr>
        <w:t xml:space="preserve">      </w:t>
      </w:r>
      <w:bookmarkEnd w:id="436"/>
      <w:r>
        <w:rPr>
          <w:rFonts w:hint="eastAsia" w:ascii="宋体" w:hAnsi="宋体" w:cs="宋体"/>
          <w:bCs/>
          <w:snapToGrid w:val="0"/>
          <w:color w:val="auto"/>
          <w:kern w:val="0"/>
          <w:sz w:val="21"/>
          <w:szCs w:val="21"/>
          <w:highlight w:val="none"/>
        </w:rPr>
        <w:t>日签订。</w:t>
      </w:r>
    </w:p>
    <w:p w14:paraId="638A823F">
      <w:pPr>
        <w:pageBreakBefore w:val="0"/>
        <w:widowControl w:val="0"/>
        <w:kinsoku/>
        <w:wordWrap/>
        <w:overflowPunct/>
        <w:topLinePunct w:val="0"/>
        <w:bidi w:val="0"/>
        <w:snapToGrid w:val="0"/>
        <w:spacing w:line="360" w:lineRule="auto"/>
        <w:textAlignment w:val="auto"/>
        <w:outlineLvl w:val="2"/>
        <w:rPr>
          <w:rFonts w:ascii="宋体" w:hAnsi="宋体" w:cs="宋体"/>
          <w:b/>
          <w:bCs/>
          <w:snapToGrid w:val="0"/>
          <w:color w:val="auto"/>
          <w:kern w:val="0"/>
          <w:sz w:val="21"/>
          <w:szCs w:val="21"/>
          <w:highlight w:val="none"/>
        </w:rPr>
      </w:pPr>
      <w:bookmarkStart w:id="437" w:name="_Toc361220419"/>
      <w:bookmarkStart w:id="438" w:name="_Toc97299507"/>
      <w:r>
        <w:rPr>
          <w:rFonts w:hint="eastAsia" w:ascii="宋体" w:hAnsi="宋体" w:cs="宋体"/>
          <w:b/>
          <w:bCs/>
          <w:snapToGrid w:val="0"/>
          <w:color w:val="auto"/>
          <w:kern w:val="0"/>
          <w:sz w:val="21"/>
          <w:szCs w:val="21"/>
          <w:highlight w:val="none"/>
        </w:rPr>
        <w:t>十、签订地点</w:t>
      </w:r>
      <w:bookmarkEnd w:id="437"/>
      <w:bookmarkEnd w:id="438"/>
    </w:p>
    <w:p w14:paraId="40587F06">
      <w:pPr>
        <w:pageBreakBefore w:val="0"/>
        <w:widowControl w:val="0"/>
        <w:kinsoku/>
        <w:wordWrap/>
        <w:overflowPunct/>
        <w:topLinePunct w:val="0"/>
        <w:bidi w:val="0"/>
        <w:snapToGrid w:val="0"/>
        <w:spacing w:line="360" w:lineRule="auto"/>
        <w:textAlignment w:val="auto"/>
        <w:rPr>
          <w:rFonts w:ascii="宋体" w:hAnsi="宋体" w:cs="宋体"/>
          <w:bCs/>
          <w:snapToGrid w:val="0"/>
          <w:color w:val="auto"/>
          <w:kern w:val="0"/>
          <w:sz w:val="21"/>
          <w:szCs w:val="21"/>
          <w:highlight w:val="none"/>
        </w:rPr>
      </w:pPr>
      <w:r>
        <w:rPr>
          <w:rFonts w:hint="eastAsia" w:ascii="宋体" w:hAnsi="宋体" w:cs="宋体"/>
          <w:bCs/>
          <w:snapToGrid w:val="0"/>
          <w:color w:val="auto"/>
          <w:kern w:val="0"/>
          <w:sz w:val="21"/>
          <w:szCs w:val="21"/>
          <w:highlight w:val="none"/>
        </w:rPr>
        <w:t xml:space="preserve">    本合同在</w:t>
      </w:r>
      <w:r>
        <w:rPr>
          <w:rFonts w:hint="eastAsia" w:ascii="宋体" w:hAnsi="宋体" w:cs="宋体"/>
          <w:bCs/>
          <w:snapToGrid w:val="0"/>
          <w:color w:val="auto"/>
          <w:kern w:val="0"/>
          <w:sz w:val="21"/>
          <w:szCs w:val="21"/>
          <w:highlight w:val="none"/>
          <w:u w:val="single"/>
        </w:rPr>
        <w:t xml:space="preserve">   </w:t>
      </w:r>
      <w:bookmarkStart w:id="439" w:name="SOA_zyht_htqddd"/>
      <w:r>
        <w:rPr>
          <w:rFonts w:hint="eastAsia" w:ascii="宋体" w:hAnsi="宋体" w:cs="宋体"/>
          <w:bCs/>
          <w:snapToGrid w:val="0"/>
          <w:color w:val="auto"/>
          <w:kern w:val="0"/>
          <w:sz w:val="21"/>
          <w:szCs w:val="21"/>
          <w:highlight w:val="none"/>
          <w:u w:val="single"/>
        </w:rPr>
        <w:t xml:space="preserve">  杭州   </w:t>
      </w:r>
      <w:bookmarkEnd w:id="439"/>
      <w:r>
        <w:rPr>
          <w:rFonts w:hint="eastAsia" w:ascii="宋体" w:hAnsi="宋体" w:cs="宋体"/>
          <w:bCs/>
          <w:snapToGrid w:val="0"/>
          <w:color w:val="auto"/>
          <w:kern w:val="0"/>
          <w:sz w:val="21"/>
          <w:szCs w:val="21"/>
          <w:highlight w:val="none"/>
          <w:u w:val="single"/>
        </w:rPr>
        <w:t xml:space="preserve">  </w:t>
      </w:r>
      <w:r>
        <w:rPr>
          <w:rFonts w:hint="eastAsia" w:ascii="宋体" w:hAnsi="宋体" w:cs="宋体"/>
          <w:bCs/>
          <w:snapToGrid w:val="0"/>
          <w:color w:val="auto"/>
          <w:kern w:val="0"/>
          <w:sz w:val="21"/>
          <w:szCs w:val="21"/>
          <w:highlight w:val="none"/>
        </w:rPr>
        <w:t>签订。</w:t>
      </w:r>
    </w:p>
    <w:p w14:paraId="23B111A1">
      <w:pPr>
        <w:pageBreakBefore w:val="0"/>
        <w:widowControl w:val="0"/>
        <w:kinsoku/>
        <w:wordWrap/>
        <w:overflowPunct/>
        <w:topLinePunct w:val="0"/>
        <w:bidi w:val="0"/>
        <w:snapToGrid w:val="0"/>
        <w:spacing w:line="360" w:lineRule="auto"/>
        <w:textAlignment w:val="auto"/>
        <w:outlineLvl w:val="2"/>
        <w:rPr>
          <w:rFonts w:ascii="宋体" w:hAnsi="宋体" w:cs="宋体"/>
          <w:b/>
          <w:bCs/>
          <w:snapToGrid w:val="0"/>
          <w:color w:val="auto"/>
          <w:kern w:val="0"/>
          <w:sz w:val="21"/>
          <w:szCs w:val="21"/>
          <w:highlight w:val="none"/>
        </w:rPr>
      </w:pPr>
      <w:bookmarkStart w:id="440" w:name="_Toc361220420"/>
      <w:bookmarkStart w:id="441" w:name="_Toc97299508"/>
      <w:r>
        <w:rPr>
          <w:rFonts w:hint="eastAsia" w:ascii="宋体" w:hAnsi="宋体" w:cs="宋体"/>
          <w:b/>
          <w:bCs/>
          <w:snapToGrid w:val="0"/>
          <w:color w:val="auto"/>
          <w:kern w:val="0"/>
          <w:sz w:val="21"/>
          <w:szCs w:val="21"/>
          <w:highlight w:val="none"/>
        </w:rPr>
        <w:t>十一、补充协议</w:t>
      </w:r>
      <w:bookmarkEnd w:id="440"/>
      <w:bookmarkEnd w:id="441"/>
    </w:p>
    <w:p w14:paraId="2674BD22">
      <w:pPr>
        <w:pageBreakBefore w:val="0"/>
        <w:widowControl w:val="0"/>
        <w:kinsoku/>
        <w:wordWrap/>
        <w:overflowPunct/>
        <w:topLinePunct w:val="0"/>
        <w:bidi w:val="0"/>
        <w:snapToGrid w:val="0"/>
        <w:spacing w:line="360" w:lineRule="auto"/>
        <w:ind w:firstLine="420" w:firstLineChars="200"/>
        <w:textAlignment w:val="auto"/>
        <w:rPr>
          <w:rFonts w:ascii="宋体" w:hAnsi="宋体" w:cs="宋体"/>
          <w:b/>
          <w:bCs/>
          <w:snapToGrid w:val="0"/>
          <w:color w:val="auto"/>
          <w:kern w:val="0"/>
          <w:sz w:val="21"/>
          <w:szCs w:val="21"/>
          <w:highlight w:val="none"/>
        </w:rPr>
      </w:pPr>
      <w:r>
        <w:rPr>
          <w:rFonts w:hint="eastAsia" w:ascii="宋体" w:hAnsi="宋体" w:cs="宋体"/>
          <w:bCs/>
          <w:snapToGrid w:val="0"/>
          <w:color w:val="auto"/>
          <w:kern w:val="0"/>
          <w:sz w:val="21"/>
          <w:szCs w:val="21"/>
          <w:highlight w:val="none"/>
        </w:rPr>
        <w:t>合同未尽事宜，合同当事人另行签订补充协议，补充协议是合同的组成部分。</w:t>
      </w:r>
    </w:p>
    <w:p w14:paraId="1035EAB5">
      <w:pPr>
        <w:pageBreakBefore w:val="0"/>
        <w:widowControl w:val="0"/>
        <w:kinsoku/>
        <w:wordWrap/>
        <w:overflowPunct/>
        <w:topLinePunct w:val="0"/>
        <w:bidi w:val="0"/>
        <w:snapToGrid w:val="0"/>
        <w:spacing w:line="360" w:lineRule="auto"/>
        <w:textAlignment w:val="auto"/>
        <w:outlineLvl w:val="2"/>
        <w:rPr>
          <w:rFonts w:ascii="宋体" w:hAnsi="宋体" w:cs="宋体"/>
          <w:b/>
          <w:bCs/>
          <w:snapToGrid w:val="0"/>
          <w:color w:val="auto"/>
          <w:kern w:val="0"/>
          <w:sz w:val="21"/>
          <w:szCs w:val="21"/>
          <w:highlight w:val="none"/>
        </w:rPr>
      </w:pPr>
      <w:bookmarkStart w:id="442" w:name="_Toc361220421"/>
      <w:bookmarkStart w:id="443" w:name="_Toc97299509"/>
      <w:r>
        <w:rPr>
          <w:rFonts w:hint="eastAsia" w:ascii="宋体" w:hAnsi="宋体" w:cs="宋体"/>
          <w:b/>
          <w:bCs/>
          <w:snapToGrid w:val="0"/>
          <w:color w:val="auto"/>
          <w:kern w:val="0"/>
          <w:sz w:val="21"/>
          <w:szCs w:val="21"/>
          <w:highlight w:val="none"/>
        </w:rPr>
        <w:t>十二、合同生效</w:t>
      </w:r>
      <w:bookmarkEnd w:id="442"/>
      <w:bookmarkEnd w:id="443"/>
    </w:p>
    <w:p w14:paraId="4162E598">
      <w:pPr>
        <w:pageBreakBefore w:val="0"/>
        <w:widowControl w:val="0"/>
        <w:kinsoku/>
        <w:wordWrap/>
        <w:overflowPunct/>
        <w:topLinePunct w:val="0"/>
        <w:bidi w:val="0"/>
        <w:snapToGrid w:val="0"/>
        <w:spacing w:line="360" w:lineRule="auto"/>
        <w:ind w:firstLine="420" w:firstLineChars="200"/>
        <w:textAlignment w:val="auto"/>
        <w:rPr>
          <w:rFonts w:ascii="宋体" w:hAnsi="宋体" w:cs="宋体"/>
          <w:bCs/>
          <w:snapToGrid w:val="0"/>
          <w:color w:val="auto"/>
          <w:kern w:val="0"/>
          <w:sz w:val="21"/>
          <w:szCs w:val="21"/>
          <w:highlight w:val="none"/>
        </w:rPr>
      </w:pPr>
      <w:r>
        <w:rPr>
          <w:rFonts w:hint="eastAsia" w:ascii="宋体" w:hAnsi="宋体" w:cs="宋体"/>
          <w:bCs/>
          <w:snapToGrid w:val="0"/>
          <w:color w:val="auto"/>
          <w:kern w:val="0"/>
          <w:sz w:val="21"/>
          <w:szCs w:val="21"/>
          <w:highlight w:val="none"/>
        </w:rPr>
        <w:t>本合同自</w:t>
      </w:r>
      <w:r>
        <w:rPr>
          <w:rFonts w:hint="eastAsia" w:ascii="宋体" w:hAnsi="宋体" w:cs="宋体"/>
          <w:bCs/>
          <w:snapToGrid w:val="0"/>
          <w:color w:val="auto"/>
          <w:kern w:val="0"/>
          <w:sz w:val="21"/>
          <w:szCs w:val="21"/>
          <w:highlight w:val="none"/>
          <w:u w:val="single"/>
        </w:rPr>
        <w:t xml:space="preserve">  </w:t>
      </w:r>
      <w:bookmarkStart w:id="444" w:name="SOA_hhxys_htsx"/>
      <w:r>
        <w:rPr>
          <w:rFonts w:hint="eastAsia" w:ascii="宋体" w:hAnsi="宋体" w:cs="宋体"/>
          <w:bCs/>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u w:val="single"/>
        </w:rPr>
        <w:t xml:space="preserve"> 双方签字盖章后</w:t>
      </w:r>
      <w:r>
        <w:rPr>
          <w:rFonts w:hint="eastAsia" w:ascii="宋体" w:hAnsi="宋体" w:cs="宋体"/>
          <w:b/>
          <w:bCs/>
          <w:snapToGrid w:val="0"/>
          <w:color w:val="auto"/>
          <w:kern w:val="0"/>
          <w:sz w:val="21"/>
          <w:szCs w:val="21"/>
          <w:highlight w:val="none"/>
          <w:u w:val="single"/>
        </w:rPr>
        <w:t xml:space="preserve">  </w:t>
      </w:r>
      <w:r>
        <w:rPr>
          <w:rFonts w:hint="eastAsia" w:ascii="宋体" w:hAnsi="宋体" w:cs="宋体"/>
          <w:bCs/>
          <w:snapToGrid w:val="0"/>
          <w:color w:val="auto"/>
          <w:kern w:val="0"/>
          <w:sz w:val="21"/>
          <w:szCs w:val="21"/>
          <w:highlight w:val="none"/>
          <w:u w:val="single"/>
        </w:rPr>
        <w:t xml:space="preserve">   </w:t>
      </w:r>
      <w:bookmarkEnd w:id="444"/>
      <w:r>
        <w:rPr>
          <w:rFonts w:hint="eastAsia" w:ascii="宋体" w:hAnsi="宋体" w:cs="宋体"/>
          <w:bCs/>
          <w:snapToGrid w:val="0"/>
          <w:color w:val="auto"/>
          <w:kern w:val="0"/>
          <w:sz w:val="21"/>
          <w:szCs w:val="21"/>
          <w:highlight w:val="none"/>
          <w:u w:val="single"/>
        </w:rPr>
        <w:t xml:space="preserve">  </w:t>
      </w:r>
      <w:r>
        <w:rPr>
          <w:rFonts w:hint="eastAsia" w:ascii="宋体" w:hAnsi="宋体" w:cs="宋体"/>
          <w:bCs/>
          <w:snapToGrid w:val="0"/>
          <w:color w:val="auto"/>
          <w:kern w:val="0"/>
          <w:sz w:val="21"/>
          <w:szCs w:val="21"/>
          <w:highlight w:val="none"/>
        </w:rPr>
        <w:t>生效。</w:t>
      </w:r>
    </w:p>
    <w:p w14:paraId="3D854AAF">
      <w:pPr>
        <w:pageBreakBefore w:val="0"/>
        <w:widowControl w:val="0"/>
        <w:kinsoku/>
        <w:wordWrap/>
        <w:overflowPunct/>
        <w:topLinePunct w:val="0"/>
        <w:bidi w:val="0"/>
        <w:snapToGrid w:val="0"/>
        <w:spacing w:line="360" w:lineRule="auto"/>
        <w:textAlignment w:val="auto"/>
        <w:outlineLvl w:val="2"/>
        <w:rPr>
          <w:rFonts w:ascii="宋体" w:hAnsi="宋体" w:cs="宋体"/>
          <w:b/>
          <w:bCs/>
          <w:snapToGrid w:val="0"/>
          <w:color w:val="auto"/>
          <w:kern w:val="0"/>
          <w:sz w:val="21"/>
          <w:szCs w:val="21"/>
          <w:highlight w:val="none"/>
        </w:rPr>
      </w:pPr>
      <w:bookmarkStart w:id="445" w:name="_Toc97299510"/>
      <w:bookmarkStart w:id="446" w:name="_Toc361220422"/>
      <w:r>
        <w:rPr>
          <w:rFonts w:hint="eastAsia" w:ascii="宋体" w:hAnsi="宋体" w:cs="宋体"/>
          <w:b/>
          <w:bCs/>
          <w:snapToGrid w:val="0"/>
          <w:color w:val="auto"/>
          <w:kern w:val="0"/>
          <w:sz w:val="21"/>
          <w:szCs w:val="21"/>
          <w:highlight w:val="none"/>
        </w:rPr>
        <w:t>十三、合同份数</w:t>
      </w:r>
      <w:bookmarkEnd w:id="445"/>
      <w:bookmarkEnd w:id="446"/>
    </w:p>
    <w:p w14:paraId="10BB9FB1">
      <w:pPr>
        <w:pageBreakBefore w:val="0"/>
        <w:widowControl w:val="0"/>
        <w:kinsoku/>
        <w:wordWrap/>
        <w:overflowPunct/>
        <w:topLinePunct w:val="0"/>
        <w:bidi w:val="0"/>
        <w:snapToGrid w:val="0"/>
        <w:spacing w:line="360" w:lineRule="auto"/>
        <w:ind w:left="210" w:leftChars="100" w:firstLine="210" w:firstLineChars="100"/>
        <w:textAlignment w:val="auto"/>
        <w:rPr>
          <w:rFonts w:ascii="宋体" w:hAnsi="宋体" w:cs="宋体"/>
          <w:bCs/>
          <w:snapToGrid w:val="0"/>
          <w:color w:val="auto"/>
          <w:kern w:val="0"/>
          <w:sz w:val="21"/>
          <w:szCs w:val="21"/>
          <w:highlight w:val="none"/>
        </w:rPr>
      </w:pPr>
      <w:r>
        <w:rPr>
          <w:rFonts w:hint="eastAsia" w:ascii="宋体" w:hAnsi="宋体" w:cs="宋体"/>
          <w:bCs/>
          <w:snapToGrid w:val="0"/>
          <w:color w:val="auto"/>
          <w:kern w:val="0"/>
          <w:sz w:val="21"/>
          <w:szCs w:val="21"/>
          <w:highlight w:val="none"/>
        </w:rPr>
        <w:t>本合同一式</w:t>
      </w:r>
      <w:r>
        <w:rPr>
          <w:rFonts w:hint="eastAsia" w:ascii="宋体" w:hAnsi="宋体" w:cs="宋体"/>
          <w:b/>
          <w:bCs/>
          <w:snapToGrid w:val="0"/>
          <w:color w:val="auto"/>
          <w:kern w:val="0"/>
          <w:sz w:val="21"/>
          <w:szCs w:val="21"/>
          <w:highlight w:val="none"/>
          <w:u w:val="single"/>
        </w:rPr>
        <w:t xml:space="preserve">    </w:t>
      </w:r>
      <w:r>
        <w:rPr>
          <w:rFonts w:hint="eastAsia" w:ascii="宋体" w:hAnsi="宋体" w:cs="宋体"/>
          <w:bCs/>
          <w:snapToGrid w:val="0"/>
          <w:color w:val="auto"/>
          <w:kern w:val="0"/>
          <w:sz w:val="21"/>
          <w:szCs w:val="21"/>
          <w:highlight w:val="none"/>
        </w:rPr>
        <w:t>份，均具有同等法律效力，发包人执</w:t>
      </w:r>
      <w:r>
        <w:rPr>
          <w:rFonts w:hint="eastAsia" w:ascii="宋体" w:hAnsi="宋体" w:cs="宋体"/>
          <w:bCs/>
          <w:snapToGrid w:val="0"/>
          <w:color w:val="auto"/>
          <w:kern w:val="0"/>
          <w:sz w:val="21"/>
          <w:szCs w:val="21"/>
          <w:highlight w:val="none"/>
          <w:u w:val="single"/>
        </w:rPr>
        <w:t xml:space="preserve">    </w:t>
      </w:r>
      <w:r>
        <w:rPr>
          <w:rFonts w:hint="eastAsia" w:ascii="宋体" w:hAnsi="宋体" w:cs="宋体"/>
          <w:bCs/>
          <w:snapToGrid w:val="0"/>
          <w:color w:val="auto"/>
          <w:kern w:val="0"/>
          <w:sz w:val="21"/>
          <w:szCs w:val="21"/>
          <w:highlight w:val="none"/>
        </w:rPr>
        <w:t>份，承包人执</w:t>
      </w:r>
      <w:r>
        <w:rPr>
          <w:rFonts w:hint="eastAsia" w:ascii="宋体" w:hAnsi="宋体" w:cs="宋体"/>
          <w:b/>
          <w:snapToGrid w:val="0"/>
          <w:color w:val="auto"/>
          <w:kern w:val="0"/>
          <w:sz w:val="21"/>
          <w:szCs w:val="21"/>
          <w:highlight w:val="none"/>
          <w:u w:val="single"/>
        </w:rPr>
        <w:t xml:space="preserve">    </w:t>
      </w:r>
      <w:r>
        <w:rPr>
          <w:rFonts w:hint="eastAsia" w:ascii="宋体" w:hAnsi="宋体" w:cs="宋体"/>
          <w:bCs/>
          <w:snapToGrid w:val="0"/>
          <w:color w:val="auto"/>
          <w:kern w:val="0"/>
          <w:sz w:val="21"/>
          <w:szCs w:val="21"/>
          <w:highlight w:val="none"/>
        </w:rPr>
        <w:t>份。</w:t>
      </w:r>
    </w:p>
    <w:p w14:paraId="4ECC1774">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 w:val="21"/>
          <w:szCs w:val="21"/>
          <w:highlight w:val="none"/>
        </w:rPr>
      </w:pPr>
    </w:p>
    <w:p w14:paraId="7D08988B">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发包人：  (公章)</w:t>
      </w:r>
      <w:r>
        <w:rPr>
          <w:rFonts w:hint="eastAsia" w:ascii="宋体" w:hAnsi="宋体" w:cs="宋体"/>
          <w:snapToGrid w:val="0"/>
          <w:color w:val="auto"/>
          <w:kern w:val="0"/>
          <w:sz w:val="21"/>
          <w:szCs w:val="21"/>
          <w:highlight w:val="none"/>
        </w:rPr>
        <w:tab/>
      </w:r>
      <w:r>
        <w:rPr>
          <w:rFonts w:hint="eastAsia" w:ascii="宋体" w:hAnsi="宋体" w:cs="宋体"/>
          <w:snapToGrid w:val="0"/>
          <w:color w:val="auto"/>
          <w:kern w:val="0"/>
          <w:sz w:val="21"/>
          <w:szCs w:val="21"/>
          <w:highlight w:val="none"/>
        </w:rPr>
        <w:tab/>
      </w:r>
      <w:r>
        <w:rPr>
          <w:rFonts w:hint="eastAsia" w:ascii="宋体" w:hAnsi="宋体" w:cs="宋体"/>
          <w:snapToGrid w:val="0"/>
          <w:color w:val="auto"/>
          <w:kern w:val="0"/>
          <w:sz w:val="21"/>
          <w:szCs w:val="21"/>
          <w:highlight w:val="none"/>
        </w:rPr>
        <w:tab/>
      </w:r>
      <w:r>
        <w:rPr>
          <w:rFonts w:hint="eastAsia" w:ascii="宋体" w:hAnsi="宋体" w:cs="宋体"/>
          <w:snapToGrid w:val="0"/>
          <w:color w:val="auto"/>
          <w:kern w:val="0"/>
          <w:sz w:val="21"/>
          <w:szCs w:val="21"/>
          <w:highlight w:val="none"/>
        </w:rPr>
        <w:tab/>
      </w:r>
      <w:r>
        <w:rPr>
          <w:rFonts w:hint="eastAsia" w:ascii="宋体" w:hAnsi="宋体" w:cs="宋体"/>
          <w:snapToGrid w:val="0"/>
          <w:color w:val="auto"/>
          <w:kern w:val="0"/>
          <w:sz w:val="21"/>
          <w:szCs w:val="21"/>
          <w:highlight w:val="none"/>
        </w:rPr>
        <w:tab/>
      </w:r>
      <w:r>
        <w:rPr>
          <w:rFonts w:hint="eastAsia" w:ascii="宋体" w:hAnsi="宋体" w:cs="宋体"/>
          <w:snapToGrid w:val="0"/>
          <w:color w:val="auto"/>
          <w:kern w:val="0"/>
          <w:sz w:val="21"/>
          <w:szCs w:val="21"/>
          <w:highlight w:val="none"/>
        </w:rPr>
        <w:tab/>
      </w:r>
      <w:r>
        <w:rPr>
          <w:rFonts w:hint="eastAsia" w:ascii="宋体" w:hAnsi="宋体" w:cs="宋体"/>
          <w:snapToGrid w:val="0"/>
          <w:color w:val="auto"/>
          <w:kern w:val="0"/>
          <w:sz w:val="21"/>
          <w:szCs w:val="21"/>
          <w:highlight w:val="none"/>
        </w:rPr>
        <w:tab/>
      </w:r>
      <w:r>
        <w:rPr>
          <w:rFonts w:hint="eastAsia" w:ascii="宋体" w:hAnsi="宋体" w:cs="宋体"/>
          <w:snapToGrid w:val="0"/>
          <w:color w:val="auto"/>
          <w:kern w:val="0"/>
          <w:sz w:val="21"/>
          <w:szCs w:val="21"/>
          <w:highlight w:val="none"/>
        </w:rPr>
        <w:t>承包人：  (公章)</w:t>
      </w:r>
    </w:p>
    <w:p w14:paraId="4B510E94">
      <w:pPr>
        <w:pageBreakBefore w:val="0"/>
        <w:widowControl w:val="0"/>
        <w:kinsoku/>
        <w:wordWrap/>
        <w:overflowPunct/>
        <w:topLinePunct w:val="0"/>
        <w:bidi w:val="0"/>
        <w:snapToGrid w:val="0"/>
        <w:spacing w:line="360" w:lineRule="auto"/>
        <w:ind w:firstLine="420" w:firstLineChars="200"/>
        <w:textAlignment w:val="auto"/>
        <w:rPr>
          <w:rFonts w:ascii="宋体" w:hAnsi="宋体" w:cs="宋体"/>
          <w:bCs/>
          <w:snapToGrid w:val="0"/>
          <w:color w:val="auto"/>
          <w:kern w:val="0"/>
          <w:sz w:val="21"/>
          <w:szCs w:val="21"/>
          <w:highlight w:val="none"/>
        </w:rPr>
      </w:pPr>
      <w:r>
        <w:rPr>
          <w:rFonts w:hint="eastAsia" w:ascii="宋体" w:hAnsi="宋体" w:cs="宋体"/>
          <w:snapToGrid w:val="0"/>
          <w:color w:val="auto"/>
          <w:kern w:val="0"/>
          <w:sz w:val="21"/>
          <w:szCs w:val="21"/>
          <w:highlight w:val="none"/>
        </w:rPr>
        <w:t>法定代表人或其委托代理人：</w:t>
      </w:r>
      <w:r>
        <w:rPr>
          <w:rFonts w:hint="eastAsia" w:ascii="宋体" w:hAnsi="宋体" w:cs="宋体"/>
          <w:snapToGrid w:val="0"/>
          <w:color w:val="auto"/>
          <w:kern w:val="0"/>
          <w:sz w:val="21"/>
          <w:szCs w:val="21"/>
          <w:highlight w:val="none"/>
        </w:rPr>
        <w:tab/>
      </w:r>
      <w:r>
        <w:rPr>
          <w:rFonts w:hint="eastAsia" w:ascii="宋体" w:hAnsi="宋体" w:cs="宋体"/>
          <w:snapToGrid w:val="0"/>
          <w:color w:val="auto"/>
          <w:kern w:val="0"/>
          <w:sz w:val="21"/>
          <w:szCs w:val="21"/>
          <w:highlight w:val="none"/>
        </w:rPr>
        <w:tab/>
      </w:r>
      <w:r>
        <w:rPr>
          <w:rFonts w:hint="eastAsia" w:ascii="宋体" w:hAnsi="宋体" w:cs="宋体"/>
          <w:snapToGrid w:val="0"/>
          <w:color w:val="auto"/>
          <w:kern w:val="0"/>
          <w:sz w:val="21"/>
          <w:szCs w:val="21"/>
          <w:highlight w:val="none"/>
        </w:rPr>
        <w:tab/>
      </w:r>
      <w:r>
        <w:rPr>
          <w:rFonts w:hint="eastAsia" w:ascii="宋体" w:hAnsi="宋体" w:cs="宋体"/>
          <w:snapToGrid w:val="0"/>
          <w:color w:val="auto"/>
          <w:kern w:val="0"/>
          <w:sz w:val="21"/>
          <w:szCs w:val="21"/>
          <w:highlight w:val="none"/>
        </w:rPr>
        <w:tab/>
      </w:r>
      <w:r>
        <w:rPr>
          <w:rFonts w:hint="eastAsia" w:ascii="宋体" w:hAnsi="宋体" w:cs="宋体"/>
          <w:snapToGrid w:val="0"/>
          <w:color w:val="auto"/>
          <w:kern w:val="0"/>
          <w:sz w:val="21"/>
          <w:szCs w:val="21"/>
          <w:highlight w:val="none"/>
        </w:rPr>
        <w:t>法定代表人或其委托代理人：</w:t>
      </w:r>
    </w:p>
    <w:p w14:paraId="12ADDF03">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（签字）</w:t>
      </w:r>
      <w:r>
        <w:rPr>
          <w:rFonts w:hint="eastAsia" w:ascii="宋体" w:hAnsi="宋体" w:cs="宋体"/>
          <w:snapToGrid w:val="0"/>
          <w:color w:val="auto"/>
          <w:kern w:val="0"/>
          <w:sz w:val="21"/>
          <w:szCs w:val="21"/>
          <w:highlight w:val="none"/>
        </w:rPr>
        <w:tab/>
      </w:r>
      <w:r>
        <w:rPr>
          <w:rFonts w:hint="eastAsia" w:ascii="宋体" w:hAnsi="宋体" w:cs="宋体"/>
          <w:snapToGrid w:val="0"/>
          <w:color w:val="auto"/>
          <w:kern w:val="0"/>
          <w:sz w:val="21"/>
          <w:szCs w:val="21"/>
          <w:highlight w:val="none"/>
        </w:rPr>
        <w:tab/>
      </w:r>
      <w:r>
        <w:rPr>
          <w:rFonts w:hint="eastAsia" w:ascii="宋体" w:hAnsi="宋体" w:cs="宋体"/>
          <w:snapToGrid w:val="0"/>
          <w:color w:val="auto"/>
          <w:kern w:val="0"/>
          <w:sz w:val="21"/>
          <w:szCs w:val="21"/>
          <w:highlight w:val="none"/>
        </w:rPr>
        <w:tab/>
      </w:r>
      <w:r>
        <w:rPr>
          <w:rFonts w:hint="eastAsia" w:ascii="宋体" w:hAnsi="宋体" w:cs="宋体"/>
          <w:snapToGrid w:val="0"/>
          <w:color w:val="auto"/>
          <w:kern w:val="0"/>
          <w:sz w:val="21"/>
          <w:szCs w:val="21"/>
          <w:highlight w:val="none"/>
        </w:rPr>
        <w:tab/>
      </w:r>
      <w:r>
        <w:rPr>
          <w:rFonts w:hint="eastAsia" w:ascii="宋体" w:hAnsi="宋体" w:cs="宋体"/>
          <w:snapToGrid w:val="0"/>
          <w:color w:val="auto"/>
          <w:kern w:val="0"/>
          <w:sz w:val="21"/>
          <w:szCs w:val="21"/>
          <w:highlight w:val="none"/>
        </w:rPr>
        <w:tab/>
      </w:r>
      <w:r>
        <w:rPr>
          <w:rFonts w:hint="eastAsia" w:ascii="宋体" w:hAnsi="宋体" w:cs="宋体"/>
          <w:snapToGrid w:val="0"/>
          <w:color w:val="auto"/>
          <w:kern w:val="0"/>
          <w:sz w:val="21"/>
          <w:szCs w:val="21"/>
          <w:highlight w:val="none"/>
        </w:rPr>
        <w:tab/>
      </w:r>
      <w:r>
        <w:rPr>
          <w:rFonts w:hint="eastAsia" w:ascii="宋体" w:hAnsi="宋体" w:cs="宋体"/>
          <w:snapToGrid w:val="0"/>
          <w:color w:val="auto"/>
          <w:kern w:val="0"/>
          <w:sz w:val="21"/>
          <w:szCs w:val="21"/>
          <w:highlight w:val="none"/>
        </w:rPr>
        <w:tab/>
      </w:r>
      <w:r>
        <w:rPr>
          <w:rFonts w:hint="eastAsia" w:ascii="宋体" w:hAnsi="宋体" w:cs="宋体"/>
          <w:snapToGrid w:val="0"/>
          <w:color w:val="auto"/>
          <w:kern w:val="0"/>
          <w:sz w:val="21"/>
          <w:szCs w:val="21"/>
          <w:highlight w:val="none"/>
        </w:rPr>
        <w:tab/>
      </w:r>
      <w:r>
        <w:rPr>
          <w:rFonts w:hint="eastAsia" w:ascii="宋体" w:hAnsi="宋体" w:cs="宋体"/>
          <w:snapToGrid w:val="0"/>
          <w:color w:val="auto"/>
          <w:kern w:val="0"/>
          <w:sz w:val="21"/>
          <w:szCs w:val="21"/>
          <w:highlight w:val="none"/>
        </w:rPr>
        <w:tab/>
      </w:r>
      <w:r>
        <w:rPr>
          <w:rFonts w:hint="eastAsia" w:ascii="宋体" w:hAnsi="宋体" w:cs="宋体"/>
          <w:snapToGrid w:val="0"/>
          <w:color w:val="auto"/>
          <w:kern w:val="0"/>
          <w:sz w:val="21"/>
          <w:szCs w:val="21"/>
          <w:highlight w:val="none"/>
        </w:rPr>
        <w:t>（签字）</w:t>
      </w:r>
    </w:p>
    <w:p w14:paraId="467D7D86">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组织机构代码：</w:t>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rPr>
        <w:t>组织机构代码：</w:t>
      </w:r>
      <w:bookmarkStart w:id="447" w:name="SOA_hhxys_zjjgdm1"/>
      <w:r>
        <w:rPr>
          <w:rFonts w:hint="eastAsia" w:ascii="宋体" w:hAnsi="宋体" w:cs="宋体"/>
          <w:snapToGrid w:val="0"/>
          <w:color w:val="auto"/>
          <w:kern w:val="0"/>
          <w:sz w:val="21"/>
          <w:szCs w:val="21"/>
          <w:highlight w:val="none"/>
          <w:u w:val="single"/>
        </w:rPr>
        <w:t xml:space="preserve">         </w:t>
      </w:r>
      <w:bookmarkEnd w:id="447"/>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 xml:space="preserve">  </w:t>
      </w:r>
    </w:p>
    <w:p w14:paraId="3649F538">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 w:val="21"/>
          <w:szCs w:val="21"/>
          <w:highlight w:val="none"/>
          <w:u w:val="single"/>
        </w:rPr>
      </w:pPr>
      <w:r>
        <w:rPr>
          <w:rFonts w:hint="eastAsia" w:ascii="宋体" w:hAnsi="宋体" w:cs="宋体"/>
          <w:snapToGrid w:val="0"/>
          <w:color w:val="auto"/>
          <w:kern w:val="0"/>
          <w:sz w:val="21"/>
          <w:szCs w:val="21"/>
          <w:highlight w:val="none"/>
        </w:rPr>
        <w:t>地  址：</w:t>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rPr>
        <w:t>地  址：</w:t>
      </w:r>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 xml:space="preserve">     </w:t>
      </w:r>
    </w:p>
    <w:p w14:paraId="3CECBC50">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 w:val="21"/>
          <w:szCs w:val="21"/>
          <w:highlight w:val="none"/>
          <w:u w:val="single"/>
        </w:rPr>
      </w:pPr>
      <w:r>
        <w:rPr>
          <w:rFonts w:hint="eastAsia" w:ascii="宋体" w:hAnsi="宋体" w:cs="宋体"/>
          <w:snapToGrid w:val="0"/>
          <w:color w:val="auto"/>
          <w:kern w:val="0"/>
          <w:sz w:val="21"/>
          <w:szCs w:val="21"/>
          <w:highlight w:val="none"/>
        </w:rPr>
        <w:t>邮政编码：</w:t>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rPr>
        <w:t>邮政编码：</w:t>
      </w:r>
      <w:bookmarkStart w:id="448" w:name="SOA_hhxys_cbryb"/>
      <w:r>
        <w:rPr>
          <w:rFonts w:hint="eastAsia" w:ascii="宋体" w:hAnsi="宋体" w:cs="宋体"/>
          <w:snapToGrid w:val="0"/>
          <w:color w:val="auto"/>
          <w:kern w:val="0"/>
          <w:sz w:val="21"/>
          <w:szCs w:val="21"/>
          <w:highlight w:val="none"/>
          <w:u w:val="single"/>
        </w:rPr>
        <w:t xml:space="preserve">             </w:t>
      </w:r>
      <w:bookmarkEnd w:id="448"/>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 xml:space="preserve">    </w:t>
      </w:r>
    </w:p>
    <w:p w14:paraId="1E681980">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 w:val="21"/>
          <w:szCs w:val="21"/>
          <w:highlight w:val="none"/>
          <w:u w:val="single"/>
        </w:rPr>
      </w:pPr>
      <w:r>
        <w:rPr>
          <w:rFonts w:hint="eastAsia" w:ascii="宋体" w:hAnsi="宋体" w:cs="宋体"/>
          <w:snapToGrid w:val="0"/>
          <w:color w:val="auto"/>
          <w:kern w:val="0"/>
          <w:sz w:val="21"/>
          <w:szCs w:val="21"/>
          <w:highlight w:val="none"/>
        </w:rPr>
        <w:t>法定代表人：</w:t>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rPr>
        <w:t>法定代表人：</w:t>
      </w:r>
      <w:bookmarkStart w:id="449" w:name="SOA_hhxys_fddbr1"/>
      <w:r>
        <w:rPr>
          <w:rFonts w:hint="eastAsia" w:ascii="宋体" w:hAnsi="宋体" w:cs="宋体"/>
          <w:snapToGrid w:val="0"/>
          <w:color w:val="auto"/>
          <w:kern w:val="0"/>
          <w:sz w:val="21"/>
          <w:szCs w:val="21"/>
          <w:highlight w:val="none"/>
          <w:u w:val="single"/>
        </w:rPr>
        <w:t xml:space="preserve">           </w:t>
      </w:r>
      <w:bookmarkEnd w:id="449"/>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 xml:space="preserve">  </w:t>
      </w:r>
    </w:p>
    <w:p w14:paraId="201FB105">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 w:val="21"/>
          <w:szCs w:val="21"/>
          <w:highlight w:val="none"/>
          <w:u w:val="single"/>
        </w:rPr>
      </w:pPr>
      <w:r>
        <w:rPr>
          <w:rFonts w:hint="eastAsia" w:ascii="宋体" w:hAnsi="宋体" w:cs="宋体"/>
          <w:snapToGrid w:val="0"/>
          <w:color w:val="auto"/>
          <w:kern w:val="0"/>
          <w:sz w:val="21"/>
          <w:szCs w:val="21"/>
          <w:highlight w:val="none"/>
        </w:rPr>
        <w:t>委托代理人：</w:t>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rPr>
        <w:t>委托代理人：</w:t>
      </w:r>
      <w:bookmarkStart w:id="450" w:name="SOA_hhxys_wtdlr1"/>
      <w:r>
        <w:rPr>
          <w:rFonts w:hint="eastAsia" w:ascii="宋体" w:hAnsi="宋体" w:cs="宋体"/>
          <w:snapToGrid w:val="0"/>
          <w:color w:val="auto"/>
          <w:kern w:val="0"/>
          <w:sz w:val="21"/>
          <w:szCs w:val="21"/>
          <w:highlight w:val="none"/>
          <w:u w:val="single"/>
        </w:rPr>
        <w:t xml:space="preserve">           </w:t>
      </w:r>
      <w:bookmarkEnd w:id="450"/>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 xml:space="preserve">  </w:t>
      </w:r>
    </w:p>
    <w:p w14:paraId="7BA008FB">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 w:val="21"/>
          <w:szCs w:val="21"/>
          <w:highlight w:val="none"/>
          <w:u w:val="single"/>
        </w:rPr>
      </w:pPr>
      <w:r>
        <w:rPr>
          <w:rFonts w:hint="eastAsia" w:ascii="宋体" w:hAnsi="宋体" w:cs="宋体"/>
          <w:snapToGrid w:val="0"/>
          <w:color w:val="auto"/>
          <w:kern w:val="0"/>
          <w:sz w:val="21"/>
          <w:szCs w:val="21"/>
          <w:highlight w:val="none"/>
        </w:rPr>
        <w:t>电  话：</w:t>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rPr>
        <w:t>电  话：</w:t>
      </w:r>
      <w:bookmarkStart w:id="451" w:name="SOA_hhxys_cbrdh"/>
      <w:r>
        <w:rPr>
          <w:rFonts w:hint="eastAsia" w:ascii="宋体" w:hAnsi="宋体" w:cs="宋体"/>
          <w:snapToGrid w:val="0"/>
          <w:color w:val="auto"/>
          <w:kern w:val="0"/>
          <w:sz w:val="21"/>
          <w:szCs w:val="21"/>
          <w:highlight w:val="none"/>
          <w:u w:val="single"/>
        </w:rPr>
        <w:t xml:space="preserve">              </w:t>
      </w:r>
      <w:bookmarkEnd w:id="451"/>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 xml:space="preserve">     </w:t>
      </w:r>
    </w:p>
    <w:p w14:paraId="3079517A">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 w:val="21"/>
          <w:szCs w:val="21"/>
          <w:highlight w:val="none"/>
          <w:u w:val="single"/>
        </w:rPr>
      </w:pPr>
      <w:r>
        <w:rPr>
          <w:rFonts w:hint="eastAsia" w:ascii="宋体" w:hAnsi="宋体" w:cs="宋体"/>
          <w:snapToGrid w:val="0"/>
          <w:color w:val="auto"/>
          <w:kern w:val="0"/>
          <w:sz w:val="21"/>
          <w:szCs w:val="21"/>
          <w:highlight w:val="none"/>
        </w:rPr>
        <w:t>传  真：</w:t>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rPr>
        <w:t>传  真：</w:t>
      </w:r>
      <w:bookmarkStart w:id="452" w:name="SOA_hhxys_cbrcz"/>
      <w:r>
        <w:rPr>
          <w:rFonts w:hint="eastAsia" w:ascii="宋体" w:hAnsi="宋体" w:cs="宋体"/>
          <w:snapToGrid w:val="0"/>
          <w:color w:val="auto"/>
          <w:kern w:val="0"/>
          <w:sz w:val="21"/>
          <w:szCs w:val="21"/>
          <w:highlight w:val="none"/>
          <w:u w:val="single"/>
        </w:rPr>
        <w:t xml:space="preserve">              </w:t>
      </w:r>
      <w:bookmarkEnd w:id="452"/>
      <w:r>
        <w:rPr>
          <w:rFonts w:hint="eastAsia" w:ascii="宋体" w:hAnsi="宋体" w:cs="宋体"/>
          <w:snapToGrid w:val="0"/>
          <w:color w:val="auto"/>
          <w:kern w:val="0"/>
          <w:sz w:val="21"/>
          <w:szCs w:val="21"/>
          <w:highlight w:val="none"/>
          <w:u w:val="single"/>
        </w:rPr>
        <w:t xml:space="preserve"> </w:t>
      </w:r>
      <w:r>
        <w:rPr>
          <w:rFonts w:hint="eastAsia" w:ascii="宋体" w:hAnsi="宋体" w:cs="宋体"/>
          <w:snapToGrid w:val="0"/>
          <w:color w:val="auto"/>
          <w:kern w:val="0"/>
          <w:sz w:val="21"/>
          <w:szCs w:val="21"/>
          <w:highlight w:val="none"/>
        </w:rPr>
        <w:t xml:space="preserve">     </w:t>
      </w:r>
    </w:p>
    <w:p w14:paraId="3C7CAC53">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 w:val="21"/>
          <w:szCs w:val="21"/>
          <w:highlight w:val="none"/>
          <w:u w:val="single"/>
        </w:rPr>
      </w:pPr>
      <w:r>
        <w:rPr>
          <w:rFonts w:hint="eastAsia" w:ascii="宋体" w:hAnsi="宋体" w:cs="宋体"/>
          <w:snapToGrid w:val="0"/>
          <w:color w:val="auto"/>
          <w:kern w:val="0"/>
          <w:sz w:val="21"/>
          <w:szCs w:val="21"/>
          <w:highlight w:val="none"/>
        </w:rPr>
        <w:t>电子信箱：</w:t>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rPr>
        <w:t>电子信箱：</w:t>
      </w:r>
      <w:bookmarkStart w:id="453" w:name="SOA_hhxys_cbrdzxx"/>
      <w:r>
        <w:rPr>
          <w:rFonts w:hint="eastAsia" w:ascii="宋体" w:hAnsi="宋体" w:cs="宋体"/>
          <w:snapToGrid w:val="0"/>
          <w:color w:val="auto"/>
          <w:kern w:val="0"/>
          <w:sz w:val="21"/>
          <w:szCs w:val="21"/>
          <w:highlight w:val="none"/>
          <w:u w:val="single"/>
        </w:rPr>
        <w:t xml:space="preserve">             </w:t>
      </w:r>
      <w:bookmarkEnd w:id="453"/>
      <w:r>
        <w:rPr>
          <w:rFonts w:hint="eastAsia" w:ascii="宋体" w:hAnsi="宋体" w:cs="宋体"/>
          <w:snapToGrid w:val="0"/>
          <w:color w:val="auto"/>
          <w:kern w:val="0"/>
          <w:sz w:val="21"/>
          <w:szCs w:val="21"/>
          <w:highlight w:val="none"/>
          <w:u w:val="single"/>
        </w:rPr>
        <w:t xml:space="preserve">  </w:t>
      </w:r>
    </w:p>
    <w:p w14:paraId="4FDB7F54">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 w:val="21"/>
          <w:szCs w:val="21"/>
          <w:highlight w:val="none"/>
          <w:u w:val="single"/>
        </w:rPr>
      </w:pPr>
      <w:r>
        <w:rPr>
          <w:rFonts w:hint="eastAsia" w:ascii="宋体" w:hAnsi="宋体" w:cs="宋体"/>
          <w:snapToGrid w:val="0"/>
          <w:color w:val="auto"/>
          <w:kern w:val="0"/>
          <w:sz w:val="21"/>
          <w:szCs w:val="21"/>
          <w:highlight w:val="none"/>
        </w:rPr>
        <w:t>开户银行：</w:t>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rPr>
        <w:t>开户银行：</w:t>
      </w:r>
      <w:r>
        <w:rPr>
          <w:rFonts w:hint="eastAsia" w:ascii="宋体" w:hAnsi="宋体" w:cs="宋体"/>
          <w:snapToGrid w:val="0"/>
          <w:color w:val="auto"/>
          <w:kern w:val="0"/>
          <w:sz w:val="21"/>
          <w:szCs w:val="21"/>
          <w:highlight w:val="none"/>
          <w:u w:val="single"/>
        </w:rPr>
        <w:t xml:space="preserve">                </w:t>
      </w:r>
    </w:p>
    <w:p w14:paraId="3DE8DC97">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 w:val="21"/>
          <w:szCs w:val="21"/>
          <w:highlight w:val="none"/>
          <w:u w:val="single"/>
        </w:rPr>
      </w:pPr>
      <w:r>
        <w:rPr>
          <w:rFonts w:hint="eastAsia" w:ascii="宋体" w:hAnsi="宋体" w:cs="宋体"/>
          <w:snapToGrid w:val="0"/>
          <w:color w:val="auto"/>
          <w:kern w:val="0"/>
          <w:sz w:val="21"/>
          <w:szCs w:val="21"/>
          <w:highlight w:val="none"/>
        </w:rPr>
        <w:t>账  号：</w:t>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u w:val="single"/>
        </w:rPr>
        <w:tab/>
      </w:r>
      <w:r>
        <w:rPr>
          <w:rFonts w:hint="eastAsia" w:ascii="宋体" w:hAnsi="宋体" w:cs="宋体"/>
          <w:snapToGrid w:val="0"/>
          <w:color w:val="auto"/>
          <w:kern w:val="0"/>
          <w:sz w:val="21"/>
          <w:szCs w:val="21"/>
          <w:highlight w:val="none"/>
        </w:rPr>
        <w:t>账  号：</w:t>
      </w:r>
      <w:r>
        <w:rPr>
          <w:rFonts w:hint="eastAsia" w:ascii="宋体" w:hAnsi="宋体" w:cs="宋体"/>
          <w:snapToGrid w:val="0"/>
          <w:color w:val="auto"/>
          <w:kern w:val="0"/>
          <w:sz w:val="21"/>
          <w:szCs w:val="21"/>
          <w:highlight w:val="none"/>
          <w:u w:val="single"/>
        </w:rPr>
        <w:t></w:t>
      </w:r>
      <w:bookmarkStart w:id="454" w:name="SOA_hhxys_cbrzh"/>
      <w:r>
        <w:rPr>
          <w:rFonts w:hint="eastAsia" w:ascii="宋体" w:hAnsi="宋体" w:cs="宋体"/>
          <w:snapToGrid w:val="0"/>
          <w:color w:val="auto"/>
          <w:kern w:val="0"/>
          <w:sz w:val="21"/>
          <w:szCs w:val="21"/>
          <w:highlight w:val="none"/>
          <w:u w:val="single"/>
        </w:rPr>
        <w:t xml:space="preserve"> </w:t>
      </w:r>
      <w:bookmarkEnd w:id="454"/>
      <w:r>
        <w:rPr>
          <w:rFonts w:hint="eastAsia" w:ascii="宋体" w:hAnsi="宋体" w:cs="宋体"/>
          <w:snapToGrid w:val="0"/>
          <w:color w:val="auto"/>
          <w:kern w:val="0"/>
          <w:sz w:val="21"/>
          <w:szCs w:val="21"/>
          <w:highlight w:val="none"/>
          <w:u w:val="single"/>
        </w:rPr>
        <w:t xml:space="preserve">               </w:t>
      </w:r>
    </w:p>
    <w:p w14:paraId="07155DDF">
      <w:pPr>
        <w:keepNext/>
        <w:keepLines/>
        <w:pageBreakBefore w:val="0"/>
        <w:widowControl w:val="0"/>
        <w:numPr>
          <w:ilvl w:val="1"/>
          <w:numId w:val="0"/>
        </w:numPr>
        <w:kinsoku/>
        <w:wordWrap/>
        <w:overflowPunct/>
        <w:topLinePunct w:val="0"/>
        <w:bidi w:val="0"/>
        <w:snapToGrid w:val="0"/>
        <w:spacing w:line="360" w:lineRule="auto"/>
        <w:jc w:val="center"/>
        <w:textAlignment w:val="auto"/>
        <w:outlineLvl w:val="1"/>
        <w:rPr>
          <w:rFonts w:ascii="宋体" w:hAnsi="宋体" w:cs="宋体"/>
          <w:b/>
          <w:bCs/>
          <w:snapToGrid w:val="0"/>
          <w:color w:val="auto"/>
          <w:kern w:val="44"/>
          <w:sz w:val="28"/>
          <w:szCs w:val="20"/>
          <w:highlight w:val="none"/>
        </w:rPr>
      </w:pPr>
      <w:r>
        <w:rPr>
          <w:rFonts w:hint="eastAsia" w:ascii="宋体" w:hAnsi="宋体" w:cs="宋体"/>
          <w:snapToGrid w:val="0"/>
          <w:color w:val="auto"/>
          <w:kern w:val="0"/>
          <w:sz w:val="24"/>
          <w:highlight w:val="none"/>
        </w:rPr>
        <w:br w:type="page"/>
      </w:r>
      <w:bookmarkStart w:id="455" w:name="_Toc69485879"/>
      <w:bookmarkStart w:id="456" w:name="_Toc97299511"/>
      <w:bookmarkStart w:id="457" w:name="_Toc31640"/>
      <w:r>
        <w:rPr>
          <w:rFonts w:hint="eastAsia" w:ascii="宋体" w:hAnsi="宋体" w:cs="宋体"/>
          <w:b/>
          <w:bCs/>
          <w:snapToGrid w:val="0"/>
          <w:color w:val="auto"/>
          <w:kern w:val="44"/>
          <w:sz w:val="28"/>
          <w:szCs w:val="20"/>
          <w:highlight w:val="none"/>
        </w:rPr>
        <w:t>第二部分  通用条款（略）</w:t>
      </w:r>
      <w:bookmarkEnd w:id="455"/>
      <w:bookmarkEnd w:id="456"/>
      <w:bookmarkEnd w:id="457"/>
    </w:p>
    <w:p w14:paraId="067DB033">
      <w:pPr>
        <w:keepNext/>
        <w:keepLines/>
        <w:pageBreakBefore w:val="0"/>
        <w:widowControl w:val="0"/>
        <w:numPr>
          <w:ilvl w:val="1"/>
          <w:numId w:val="0"/>
        </w:numPr>
        <w:kinsoku/>
        <w:wordWrap/>
        <w:overflowPunct/>
        <w:topLinePunct w:val="0"/>
        <w:bidi w:val="0"/>
        <w:snapToGrid w:val="0"/>
        <w:spacing w:line="360" w:lineRule="auto"/>
        <w:jc w:val="center"/>
        <w:textAlignment w:val="auto"/>
        <w:outlineLvl w:val="1"/>
        <w:rPr>
          <w:rFonts w:hint="eastAsia" w:ascii="宋体" w:hAnsi="宋体" w:cs="宋体"/>
          <w:b/>
          <w:bCs/>
          <w:snapToGrid w:val="0"/>
          <w:color w:val="auto"/>
          <w:kern w:val="44"/>
          <w:sz w:val="28"/>
          <w:szCs w:val="20"/>
          <w:highlight w:val="none"/>
        </w:rPr>
      </w:pPr>
      <w:bookmarkStart w:id="458" w:name="_Toc97299512"/>
      <w:bookmarkStart w:id="459" w:name="_Toc69485880"/>
      <w:bookmarkStart w:id="460" w:name="_Toc8278"/>
    </w:p>
    <w:p w14:paraId="62D4CE84">
      <w:pPr>
        <w:keepNext/>
        <w:keepLines/>
        <w:pageBreakBefore w:val="0"/>
        <w:widowControl w:val="0"/>
        <w:numPr>
          <w:ilvl w:val="1"/>
          <w:numId w:val="0"/>
        </w:numPr>
        <w:kinsoku/>
        <w:wordWrap/>
        <w:overflowPunct/>
        <w:topLinePunct w:val="0"/>
        <w:bidi w:val="0"/>
        <w:snapToGrid w:val="0"/>
        <w:spacing w:line="360" w:lineRule="auto"/>
        <w:jc w:val="center"/>
        <w:textAlignment w:val="auto"/>
        <w:outlineLvl w:val="1"/>
        <w:rPr>
          <w:rFonts w:ascii="宋体" w:hAnsi="宋体" w:cs="宋体"/>
          <w:b/>
          <w:bCs/>
          <w:snapToGrid w:val="0"/>
          <w:color w:val="auto"/>
          <w:kern w:val="44"/>
          <w:sz w:val="28"/>
          <w:szCs w:val="20"/>
          <w:highlight w:val="none"/>
        </w:rPr>
      </w:pPr>
      <w:r>
        <w:rPr>
          <w:rFonts w:hint="eastAsia" w:ascii="宋体" w:hAnsi="宋体" w:cs="宋体"/>
          <w:b/>
          <w:bCs/>
          <w:snapToGrid w:val="0"/>
          <w:color w:val="auto"/>
          <w:kern w:val="44"/>
          <w:sz w:val="28"/>
          <w:szCs w:val="20"/>
          <w:highlight w:val="none"/>
        </w:rPr>
        <w:t>第三部分  专用条款</w:t>
      </w:r>
      <w:bookmarkEnd w:id="458"/>
      <w:bookmarkEnd w:id="459"/>
      <w:bookmarkEnd w:id="460"/>
    </w:p>
    <w:p w14:paraId="7C315D2E">
      <w:pPr>
        <w:keepNext/>
        <w:pageBreakBefore w:val="0"/>
        <w:widowControl w:val="0"/>
        <w:numPr>
          <w:ilvl w:val="3"/>
          <w:numId w:val="0"/>
        </w:numPr>
        <w:tabs>
          <w:tab w:val="left" w:pos="864"/>
        </w:tabs>
        <w:kinsoku/>
        <w:wordWrap/>
        <w:overflowPunct/>
        <w:topLinePunct w:val="0"/>
        <w:bidi w:val="0"/>
        <w:snapToGrid w:val="0"/>
        <w:spacing w:line="360" w:lineRule="auto"/>
        <w:ind w:left="426" w:hanging="420"/>
        <w:textAlignment w:val="auto"/>
        <w:outlineLvl w:val="3"/>
        <w:rPr>
          <w:rFonts w:ascii="宋体" w:hAnsi="宋体" w:cs="宋体"/>
          <w:b/>
          <w:color w:val="auto"/>
          <w:szCs w:val="21"/>
          <w:highlight w:val="none"/>
        </w:rPr>
      </w:pPr>
      <w:bookmarkStart w:id="461" w:name="_Toc351203633"/>
      <w:r>
        <w:rPr>
          <w:rFonts w:hint="eastAsia" w:ascii="宋体" w:hAnsi="宋体" w:cs="宋体"/>
          <w:b/>
          <w:color w:val="auto"/>
          <w:szCs w:val="21"/>
          <w:highlight w:val="none"/>
        </w:rPr>
        <w:t>1</w:t>
      </w:r>
      <w:bookmarkStart w:id="462" w:name="_Toc296346657"/>
      <w:bookmarkStart w:id="463" w:name="_Toc296891196"/>
      <w:bookmarkStart w:id="464" w:name="_Toc296890984"/>
      <w:bookmarkStart w:id="465" w:name="_Toc297120456"/>
      <w:bookmarkStart w:id="466" w:name="_Toc292559866"/>
      <w:bookmarkStart w:id="467" w:name="_Toc297048342"/>
      <w:bookmarkStart w:id="468" w:name="_Toc292559361"/>
      <w:bookmarkStart w:id="469" w:name="_Toc296347155"/>
      <w:bookmarkStart w:id="470" w:name="_Toc296503156"/>
      <w:bookmarkStart w:id="471" w:name="_Toc296944495"/>
      <w:r>
        <w:rPr>
          <w:rFonts w:hint="eastAsia" w:ascii="宋体" w:hAnsi="宋体" w:cs="宋体"/>
          <w:b/>
          <w:color w:val="auto"/>
          <w:szCs w:val="21"/>
          <w:highlight w:val="none"/>
        </w:rPr>
        <w:t>. 一般约定</w:t>
      </w:r>
      <w:bookmarkEnd w:id="461"/>
    </w:p>
    <w:bookmarkEnd w:id="462"/>
    <w:bookmarkEnd w:id="463"/>
    <w:bookmarkEnd w:id="464"/>
    <w:bookmarkEnd w:id="465"/>
    <w:bookmarkEnd w:id="466"/>
    <w:bookmarkEnd w:id="467"/>
    <w:bookmarkEnd w:id="468"/>
    <w:bookmarkEnd w:id="469"/>
    <w:bookmarkEnd w:id="470"/>
    <w:bookmarkEnd w:id="471"/>
    <w:p w14:paraId="728D53A5">
      <w:pPr>
        <w:pageBreakBefore w:val="0"/>
        <w:widowControl w:val="0"/>
        <w:kinsoku/>
        <w:wordWrap/>
        <w:overflowPunct/>
        <w:topLinePunct w:val="0"/>
        <w:bidi w:val="0"/>
        <w:snapToGrid w:val="0"/>
        <w:spacing w:line="360" w:lineRule="auto"/>
        <w:ind w:firstLine="367" w:firstLineChars="175"/>
        <w:textAlignment w:val="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 词语定义</w:t>
      </w:r>
    </w:p>
    <w:p w14:paraId="5173E9C6">
      <w:pPr>
        <w:pageBreakBefore w:val="0"/>
        <w:widowControl w:val="0"/>
        <w:kinsoku/>
        <w:wordWrap/>
        <w:overflowPunct/>
        <w:topLinePunct w:val="0"/>
        <w:bidi w:val="0"/>
        <w:snapToGrid w:val="0"/>
        <w:spacing w:line="360" w:lineRule="auto"/>
        <w:ind w:firstLine="367" w:firstLineChars="175"/>
        <w:textAlignment w:val="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1.1.1合同</w:t>
      </w:r>
    </w:p>
    <w:p w14:paraId="6F50C089">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1.1.1.10其他合同文件包括：施工组织设计：施工组织是用来指导全过程各项活动的技术、经济和组织的综合性文件。 </w:t>
      </w:r>
    </w:p>
    <w:p w14:paraId="07E284E1">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1.1.2 合同当事人及其他相关方</w:t>
      </w:r>
    </w:p>
    <w:p w14:paraId="6747856E">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1.1.2.4监理人：</w:t>
      </w:r>
    </w:p>
    <w:p w14:paraId="231C802D">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533DBACF">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74C3E3DB">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6FC9FE9">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11D3285E">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6C0F871">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1.1.2.5 设计人：</w:t>
      </w:r>
    </w:p>
    <w:p w14:paraId="39AA5B0D">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名    称：</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w:t>
      </w:r>
    </w:p>
    <w:p w14:paraId="3C32C338">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资质类别和等级：</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0"/>
          <w:highlight w:val="none"/>
          <w:u w:val="single"/>
        </w:rPr>
        <w:t xml:space="preserve"> </w:t>
      </w:r>
      <w:r>
        <w:rPr>
          <w:rFonts w:hint="eastAsia" w:ascii="宋体" w:hAnsi="宋体" w:cs="宋体"/>
          <w:snapToGrid w:val="0"/>
          <w:color w:val="auto"/>
          <w:kern w:val="0"/>
          <w:szCs w:val="20"/>
          <w:highlight w:val="none"/>
          <w:u w:val="single"/>
          <w:lang w:val="en-US" w:eastAsia="zh-CN"/>
        </w:rPr>
        <w:t xml:space="preserve">       </w:t>
      </w:r>
      <w:r>
        <w:rPr>
          <w:rFonts w:hint="eastAsia" w:ascii="宋体" w:hAnsi="宋体" w:cs="宋体"/>
          <w:snapToGrid w:val="0"/>
          <w:color w:val="auto"/>
          <w:kern w:val="0"/>
          <w:szCs w:val="20"/>
          <w:highlight w:val="none"/>
          <w:u w:val="single"/>
        </w:rPr>
        <w:t xml:space="preserve">       </w:t>
      </w:r>
      <w:r>
        <w:rPr>
          <w:rFonts w:hint="eastAsia" w:ascii="宋体" w:hAnsi="宋体" w:cs="宋体"/>
          <w:snapToGrid w:val="0"/>
          <w:color w:val="auto"/>
          <w:kern w:val="0"/>
          <w:szCs w:val="21"/>
          <w:highlight w:val="none"/>
          <w:u w:val="single"/>
        </w:rPr>
        <w:t></w:t>
      </w:r>
      <w:r>
        <w:rPr>
          <w:rFonts w:hint="eastAsia" w:ascii="宋体" w:hAnsi="宋体" w:cs="宋体"/>
          <w:snapToGrid w:val="0"/>
          <w:color w:val="auto"/>
          <w:kern w:val="0"/>
          <w:szCs w:val="21"/>
          <w:highlight w:val="none"/>
        </w:rPr>
        <w:t>；</w:t>
      </w:r>
    </w:p>
    <w:p w14:paraId="18122086">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联系电话：</w:t>
      </w:r>
      <w:r>
        <w:rPr>
          <w:rFonts w:hint="eastAsia" w:ascii="宋体" w:hAnsi="宋体" w:cs="宋体"/>
          <w:snapToGrid w:val="0"/>
          <w:color w:val="auto"/>
          <w:kern w:val="0"/>
          <w:szCs w:val="21"/>
          <w:highlight w:val="none"/>
          <w:u w:val="single"/>
        </w:rPr>
        <w:t xml:space="preserve">            /              </w:t>
      </w:r>
      <w:r>
        <w:rPr>
          <w:rFonts w:hint="eastAsia" w:ascii="宋体" w:hAnsi="宋体" w:cs="宋体"/>
          <w:snapToGrid w:val="0"/>
          <w:color w:val="auto"/>
          <w:kern w:val="0"/>
          <w:szCs w:val="21"/>
          <w:highlight w:val="none"/>
        </w:rPr>
        <w:t>；</w:t>
      </w:r>
    </w:p>
    <w:p w14:paraId="3085829F">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电子信箱：</w:t>
      </w:r>
      <w:r>
        <w:rPr>
          <w:rFonts w:hint="eastAsia" w:ascii="宋体" w:hAnsi="宋体" w:cs="宋体"/>
          <w:snapToGrid w:val="0"/>
          <w:color w:val="auto"/>
          <w:kern w:val="0"/>
          <w:szCs w:val="21"/>
          <w:highlight w:val="none"/>
          <w:u w:val="single"/>
        </w:rPr>
        <w:t xml:space="preserve">  /                  </w:t>
      </w:r>
      <w:r>
        <w:rPr>
          <w:rFonts w:hint="eastAsia" w:ascii="宋体" w:hAnsi="宋体" w:cs="宋体"/>
          <w:snapToGrid w:val="0"/>
          <w:color w:val="auto"/>
          <w:kern w:val="0"/>
          <w:szCs w:val="21"/>
          <w:highlight w:val="none"/>
        </w:rPr>
        <w:t>；</w:t>
      </w:r>
    </w:p>
    <w:p w14:paraId="11475F68">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通信地址：</w:t>
      </w:r>
      <w:r>
        <w:rPr>
          <w:rFonts w:hint="eastAsia" w:ascii="宋体" w:hAnsi="宋体" w:cs="宋体"/>
          <w:snapToGrid w:val="0"/>
          <w:color w:val="auto"/>
          <w:kern w:val="0"/>
          <w:szCs w:val="21"/>
          <w:highlight w:val="none"/>
          <w:u w:val="single"/>
        </w:rPr>
        <w:t>      /                </w:t>
      </w:r>
      <w:r>
        <w:rPr>
          <w:rFonts w:hint="eastAsia" w:ascii="宋体" w:hAnsi="宋体" w:cs="宋体"/>
          <w:snapToGrid w:val="0"/>
          <w:color w:val="auto"/>
          <w:kern w:val="0"/>
          <w:szCs w:val="21"/>
          <w:highlight w:val="none"/>
        </w:rPr>
        <w:t>。</w:t>
      </w:r>
    </w:p>
    <w:p w14:paraId="61CEDACD">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1.1.3 工程和设备</w:t>
      </w:r>
    </w:p>
    <w:p w14:paraId="3D077A5D">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1.1.3.7 作为施工现场组成部分的其他场所包括：</w:t>
      </w:r>
      <w:r>
        <w:rPr>
          <w:rFonts w:hint="eastAsia" w:ascii="宋体" w:hAnsi="宋体" w:cs="宋体"/>
          <w:color w:val="auto"/>
          <w:szCs w:val="21"/>
          <w:highlight w:val="none"/>
          <w:u w:val="single"/>
        </w:rPr>
        <w:t xml:space="preserve">           </w:t>
      </w:r>
    </w:p>
    <w:p w14:paraId="6447ECA0">
      <w:pPr>
        <w:pageBreakBefore w:val="0"/>
        <w:widowControl w:val="0"/>
        <w:kinsoku/>
        <w:wordWrap/>
        <w:overflowPunct/>
        <w:topLinePunct w:val="0"/>
        <w:bidi w:val="0"/>
        <w:snapToGrid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4749164E">
      <w:pPr>
        <w:pageBreakBefore w:val="0"/>
        <w:widowControl w:val="0"/>
        <w:kinsoku/>
        <w:wordWrap/>
        <w:overflowPunct/>
        <w:topLinePunct w:val="0"/>
        <w:bidi w:val="0"/>
        <w:snapToGrid w:val="0"/>
        <w:spacing w:line="360" w:lineRule="auto"/>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1.1.3.9 永久占地包括：</w:t>
      </w:r>
      <w:r>
        <w:rPr>
          <w:rFonts w:hint="eastAsia" w:ascii="宋体" w:hAnsi="宋体" w:cs="宋体"/>
          <w:color w:val="auto"/>
          <w:szCs w:val="21"/>
          <w:highlight w:val="none"/>
          <w:u w:val="single"/>
        </w:rPr>
        <w:t xml:space="preserve">                        </w:t>
      </w:r>
      <w:r>
        <w:rPr>
          <w:rFonts w:hint="eastAsia" w:ascii="宋体" w:hAnsi="宋体" w:cs="宋体"/>
          <w:color w:val="auto"/>
          <w:kern w:val="0"/>
          <w:szCs w:val="21"/>
          <w:highlight w:val="none"/>
        </w:rPr>
        <w:t>。</w:t>
      </w:r>
    </w:p>
    <w:p w14:paraId="58B442C5">
      <w:pPr>
        <w:pageBreakBefore w:val="0"/>
        <w:widowControl w:val="0"/>
        <w:kinsoku/>
        <w:wordWrap/>
        <w:overflowPunct/>
        <w:topLinePunct w:val="0"/>
        <w:bidi w:val="0"/>
        <w:adjustRightInd/>
        <w:snapToGrid w:val="0"/>
        <w:spacing w:line="360" w:lineRule="auto"/>
        <w:ind w:firstLine="420" w:firstLineChars="200"/>
        <w:jc w:val="left"/>
        <w:textAlignment w:val="auto"/>
        <w:rPr>
          <w:rFonts w:ascii="宋体" w:hAnsi="宋体" w:cs="宋体"/>
          <w:snapToGrid w:val="0"/>
          <w:color w:val="auto"/>
          <w:kern w:val="0"/>
          <w:szCs w:val="21"/>
          <w:highlight w:val="none"/>
        </w:rPr>
      </w:pPr>
      <w:r>
        <w:rPr>
          <w:rFonts w:hint="eastAsia" w:ascii="宋体" w:hAnsi="宋体" w:cs="宋体"/>
          <w:color w:val="auto"/>
          <w:kern w:val="0"/>
          <w:szCs w:val="21"/>
          <w:highlight w:val="none"/>
        </w:rPr>
        <w:t>1.1.3.10 临时占地包括：</w:t>
      </w:r>
      <w:r>
        <w:rPr>
          <w:rFonts w:hint="eastAsia" w:ascii="宋体" w:hAnsi="宋体" w:cs="宋体"/>
          <w:color w:val="auto"/>
          <w:szCs w:val="21"/>
          <w:highlight w:val="none"/>
          <w:u w:val="single"/>
        </w:rPr>
        <w:t xml:space="preserve">                       </w:t>
      </w:r>
      <w:r>
        <w:rPr>
          <w:rFonts w:hint="eastAsia" w:ascii="宋体" w:hAnsi="宋体" w:cs="宋体"/>
          <w:color w:val="auto"/>
          <w:kern w:val="0"/>
          <w:szCs w:val="21"/>
          <w:highlight w:val="none"/>
        </w:rPr>
        <w:t>。</w:t>
      </w:r>
    </w:p>
    <w:p w14:paraId="5F4187BF">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1.3法律 </w:t>
      </w:r>
    </w:p>
    <w:p w14:paraId="394DF347">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适用于合同的其他规范性文件：</w:t>
      </w:r>
    </w:p>
    <w:p w14:paraId="3F3C4847">
      <w:pPr>
        <w:pageBreakBefore w:val="0"/>
        <w:widowControl w:val="0"/>
        <w:kinsoku/>
        <w:wordWrap/>
        <w:overflowPunct/>
        <w:topLinePunct w:val="0"/>
        <w:autoSpaceDE w:val="0"/>
        <w:autoSpaceDN w:val="0"/>
        <w:bidi w:val="0"/>
        <w:snapToGrid w:val="0"/>
        <w:spacing w:line="360" w:lineRule="auto"/>
        <w:ind w:firstLine="422" w:firstLineChars="200"/>
        <w:jc w:val="left"/>
        <w:textAlignment w:val="auto"/>
        <w:rPr>
          <w:rFonts w:ascii="宋体" w:hAnsi="宋体" w:cs="宋体"/>
          <w:b/>
          <w:color w:val="auto"/>
          <w:szCs w:val="21"/>
          <w:highlight w:val="none"/>
        </w:rPr>
      </w:pPr>
      <w:r>
        <w:rPr>
          <w:rFonts w:hint="eastAsia" w:ascii="宋体" w:hAnsi="宋体" w:cs="宋体"/>
          <w:b/>
          <w:color w:val="auto"/>
          <w:szCs w:val="21"/>
          <w:highlight w:val="none"/>
          <w:u w:val="single"/>
        </w:rPr>
        <w:t>（1）《杭州市建设工程工程量清单计价实施细则（2013年修订）》</w:t>
      </w:r>
    </w:p>
    <w:p w14:paraId="01B9C329">
      <w:pPr>
        <w:pageBreakBefore w:val="0"/>
        <w:widowControl w:val="0"/>
        <w:kinsoku/>
        <w:wordWrap/>
        <w:overflowPunct/>
        <w:topLinePunct w:val="0"/>
        <w:autoSpaceDE w:val="0"/>
        <w:autoSpaceDN w:val="0"/>
        <w:bidi w:val="0"/>
        <w:snapToGrid w:val="0"/>
        <w:spacing w:line="360" w:lineRule="auto"/>
        <w:ind w:firstLine="422" w:firstLineChars="200"/>
        <w:jc w:val="left"/>
        <w:textAlignment w:val="auto"/>
        <w:rPr>
          <w:rFonts w:ascii="宋体" w:hAnsi="宋体" w:cs="宋体"/>
          <w:b/>
          <w:color w:val="auto"/>
          <w:szCs w:val="21"/>
          <w:highlight w:val="none"/>
          <w:u w:val="single"/>
        </w:rPr>
      </w:pPr>
      <w:r>
        <w:rPr>
          <w:rFonts w:hint="eastAsia" w:ascii="宋体" w:hAnsi="宋体" w:cs="宋体"/>
          <w:b/>
          <w:color w:val="auto"/>
          <w:szCs w:val="21"/>
          <w:highlight w:val="none"/>
          <w:u w:val="single"/>
        </w:rPr>
        <w:t>（2）《关于进一步加强建筑施工领域企业安全生产工作的实施意见》的通知 （杭建工发〔2011〕130号）</w:t>
      </w:r>
    </w:p>
    <w:p w14:paraId="4F054EDF">
      <w:pPr>
        <w:pageBreakBefore w:val="0"/>
        <w:widowControl w:val="0"/>
        <w:kinsoku/>
        <w:wordWrap/>
        <w:overflowPunct/>
        <w:topLinePunct w:val="0"/>
        <w:autoSpaceDE w:val="0"/>
        <w:autoSpaceDN w:val="0"/>
        <w:bidi w:val="0"/>
        <w:snapToGrid w:val="0"/>
        <w:spacing w:line="360" w:lineRule="auto"/>
        <w:ind w:firstLine="422" w:firstLineChars="200"/>
        <w:jc w:val="left"/>
        <w:textAlignment w:val="auto"/>
        <w:rPr>
          <w:rFonts w:ascii="宋体" w:hAnsi="宋体" w:cs="宋体"/>
          <w:b/>
          <w:color w:val="auto"/>
          <w:szCs w:val="21"/>
          <w:highlight w:val="none"/>
          <w:u w:val="single"/>
        </w:rPr>
      </w:pPr>
      <w:r>
        <w:rPr>
          <w:rFonts w:hint="eastAsia" w:ascii="宋体" w:hAnsi="宋体" w:cs="宋体"/>
          <w:b/>
          <w:color w:val="auto"/>
          <w:szCs w:val="21"/>
          <w:highlight w:val="none"/>
          <w:u w:val="single"/>
        </w:rPr>
        <w:t>（3）《关于进一步加强建设工程安全质量物联网管理应用平台建设的通知》（杭建工发【2012】426号）</w:t>
      </w:r>
    </w:p>
    <w:p w14:paraId="4C1EE513">
      <w:pPr>
        <w:pageBreakBefore w:val="0"/>
        <w:widowControl w:val="0"/>
        <w:kinsoku/>
        <w:wordWrap/>
        <w:overflowPunct/>
        <w:topLinePunct w:val="0"/>
        <w:autoSpaceDE w:val="0"/>
        <w:autoSpaceDN w:val="0"/>
        <w:bidi w:val="0"/>
        <w:snapToGrid w:val="0"/>
        <w:spacing w:line="360" w:lineRule="auto"/>
        <w:ind w:firstLine="422" w:firstLineChars="200"/>
        <w:jc w:val="left"/>
        <w:textAlignment w:val="auto"/>
        <w:rPr>
          <w:rFonts w:ascii="宋体" w:hAnsi="宋体" w:cs="宋体"/>
          <w:b/>
          <w:color w:val="auto"/>
          <w:szCs w:val="21"/>
          <w:highlight w:val="none"/>
          <w:u w:val="single"/>
        </w:rPr>
      </w:pPr>
      <w:r>
        <w:rPr>
          <w:rFonts w:hint="eastAsia" w:ascii="宋体" w:hAnsi="宋体" w:cs="宋体"/>
          <w:b/>
          <w:color w:val="auto"/>
          <w:szCs w:val="21"/>
          <w:highlight w:val="none"/>
          <w:u w:val="single"/>
        </w:rPr>
        <w:t>（4）《杭州市人民政府办公厅关于印发杭州市建设工程推广应用预拌砂浆管理办法的通知》（杭政办函（2011）32号）</w:t>
      </w:r>
    </w:p>
    <w:p w14:paraId="4F356E04">
      <w:pPr>
        <w:pageBreakBefore w:val="0"/>
        <w:widowControl w:val="0"/>
        <w:kinsoku/>
        <w:wordWrap/>
        <w:overflowPunct/>
        <w:topLinePunct w:val="0"/>
        <w:autoSpaceDE w:val="0"/>
        <w:autoSpaceDN w:val="0"/>
        <w:bidi w:val="0"/>
        <w:snapToGrid w:val="0"/>
        <w:spacing w:line="360" w:lineRule="auto"/>
        <w:ind w:firstLine="422" w:firstLineChars="200"/>
        <w:jc w:val="left"/>
        <w:textAlignment w:val="auto"/>
        <w:rPr>
          <w:rFonts w:ascii="宋体" w:hAnsi="宋体" w:cs="宋体"/>
          <w:b/>
          <w:color w:val="auto"/>
          <w:szCs w:val="21"/>
          <w:highlight w:val="none"/>
          <w:u w:val="single"/>
        </w:rPr>
      </w:pPr>
      <w:r>
        <w:rPr>
          <w:rFonts w:hint="eastAsia" w:ascii="宋体" w:hAnsi="宋体" w:cs="宋体"/>
          <w:b/>
          <w:color w:val="auto"/>
          <w:szCs w:val="21"/>
          <w:highlight w:val="none"/>
          <w:u w:val="single"/>
        </w:rPr>
        <w:t>（5）《关于落实建筑工棚安装空调事宜的通知》（杭建工发【2011】237号）</w:t>
      </w:r>
    </w:p>
    <w:p w14:paraId="0999E46C">
      <w:pPr>
        <w:pageBreakBefore w:val="0"/>
        <w:widowControl w:val="0"/>
        <w:kinsoku/>
        <w:wordWrap/>
        <w:overflowPunct/>
        <w:topLinePunct w:val="0"/>
        <w:autoSpaceDE w:val="0"/>
        <w:autoSpaceDN w:val="0"/>
        <w:bidi w:val="0"/>
        <w:snapToGrid w:val="0"/>
        <w:spacing w:line="360" w:lineRule="auto"/>
        <w:ind w:firstLine="422" w:firstLineChars="200"/>
        <w:jc w:val="left"/>
        <w:textAlignment w:val="auto"/>
        <w:rPr>
          <w:rFonts w:ascii="宋体" w:hAnsi="宋体" w:cs="宋体"/>
          <w:b/>
          <w:color w:val="auto"/>
          <w:szCs w:val="21"/>
          <w:highlight w:val="none"/>
          <w:u w:val="single"/>
        </w:rPr>
      </w:pPr>
      <w:r>
        <w:rPr>
          <w:rFonts w:hint="eastAsia" w:ascii="宋体" w:hAnsi="宋体" w:cs="宋体"/>
          <w:b/>
          <w:color w:val="auto"/>
          <w:szCs w:val="21"/>
          <w:highlight w:val="none"/>
          <w:u w:val="single"/>
        </w:rPr>
        <w:t>（6） 《关于进一步加强杭州市建设工程市场要素价格动态管理的指导意见》（杭建市发【 2018 】 579 号）</w:t>
      </w:r>
    </w:p>
    <w:p w14:paraId="55517F7A">
      <w:pPr>
        <w:pageBreakBefore w:val="0"/>
        <w:widowControl w:val="0"/>
        <w:kinsoku/>
        <w:wordWrap/>
        <w:overflowPunct/>
        <w:topLinePunct w:val="0"/>
        <w:autoSpaceDE w:val="0"/>
        <w:autoSpaceDN w:val="0"/>
        <w:bidi w:val="0"/>
        <w:snapToGrid w:val="0"/>
        <w:spacing w:line="360" w:lineRule="auto"/>
        <w:ind w:firstLine="422" w:firstLineChars="200"/>
        <w:jc w:val="left"/>
        <w:textAlignment w:val="auto"/>
        <w:rPr>
          <w:rFonts w:ascii="宋体" w:hAnsi="宋体" w:cs="宋体"/>
          <w:b/>
          <w:color w:val="auto"/>
          <w:szCs w:val="21"/>
          <w:highlight w:val="none"/>
          <w:u w:val="single"/>
        </w:rPr>
      </w:pPr>
      <w:r>
        <w:rPr>
          <w:rFonts w:hint="eastAsia" w:ascii="宋体" w:hAnsi="宋体" w:cs="宋体"/>
          <w:b/>
          <w:color w:val="auto"/>
          <w:szCs w:val="21"/>
          <w:highlight w:val="none"/>
          <w:u w:val="single"/>
        </w:rPr>
        <w:t>（7）《关于进一步明确杭州市建设工程优质工程增加费计取规定的通知》（杭建市【2012】240号）</w:t>
      </w:r>
    </w:p>
    <w:p w14:paraId="6F2DD2B0">
      <w:pPr>
        <w:pageBreakBefore w:val="0"/>
        <w:widowControl w:val="0"/>
        <w:kinsoku/>
        <w:wordWrap/>
        <w:overflowPunct/>
        <w:topLinePunct w:val="0"/>
        <w:autoSpaceDE w:val="0"/>
        <w:autoSpaceDN w:val="0"/>
        <w:bidi w:val="0"/>
        <w:snapToGrid w:val="0"/>
        <w:spacing w:line="360" w:lineRule="auto"/>
        <w:ind w:firstLine="422" w:firstLineChars="200"/>
        <w:jc w:val="left"/>
        <w:textAlignment w:val="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（8）新工艺、新技术的约定：                            </w:t>
      </w:r>
    </w:p>
    <w:p w14:paraId="6FB768D7">
      <w:pPr>
        <w:pageBreakBefore w:val="0"/>
        <w:widowControl w:val="0"/>
        <w:kinsoku/>
        <w:wordWrap/>
        <w:overflowPunct/>
        <w:topLinePunct w:val="0"/>
        <w:autoSpaceDE w:val="0"/>
        <w:autoSpaceDN w:val="0"/>
        <w:bidi w:val="0"/>
        <w:snapToGrid w:val="0"/>
        <w:spacing w:line="360" w:lineRule="auto"/>
        <w:ind w:firstLine="417" w:firstLineChars="198"/>
        <w:jc w:val="left"/>
        <w:textAlignment w:val="auto"/>
        <w:rPr>
          <w:rFonts w:ascii="宋体" w:hAnsi="宋体" w:cs="宋体"/>
          <w:b/>
          <w:color w:val="auto"/>
          <w:szCs w:val="21"/>
          <w:highlight w:val="none"/>
          <w:u w:val="single"/>
        </w:rPr>
      </w:pPr>
      <w:r>
        <w:rPr>
          <w:rFonts w:hint="eastAsia" w:ascii="宋体" w:hAnsi="宋体" w:cs="宋体"/>
          <w:b/>
          <w:color w:val="auto"/>
          <w:szCs w:val="21"/>
          <w:highlight w:val="none"/>
          <w:u w:val="single"/>
        </w:rPr>
        <w:t>（9）其他：</w:t>
      </w:r>
    </w:p>
    <w:p w14:paraId="7985901A">
      <w:pPr>
        <w:pageBreakBefore w:val="0"/>
        <w:widowControl w:val="0"/>
        <w:kinsoku/>
        <w:wordWrap/>
        <w:overflowPunct/>
        <w:topLinePunct w:val="0"/>
        <w:autoSpaceDE w:val="0"/>
        <w:autoSpaceDN w:val="0"/>
        <w:bidi w:val="0"/>
        <w:snapToGrid w:val="0"/>
        <w:spacing w:line="360" w:lineRule="auto"/>
        <w:ind w:firstLine="417" w:firstLineChars="198"/>
        <w:jc w:val="left"/>
        <w:textAlignment w:val="auto"/>
        <w:rPr>
          <w:rFonts w:ascii="宋体" w:hAnsi="宋体" w:cs="宋体"/>
          <w:b/>
          <w:color w:val="auto"/>
          <w:szCs w:val="21"/>
          <w:highlight w:val="none"/>
          <w:u w:val="single"/>
        </w:rPr>
      </w:pPr>
      <w:r>
        <w:rPr>
          <w:rFonts w:hint="eastAsia" w:ascii="宋体" w:hAnsi="宋体" w:cs="宋体"/>
          <w:b/>
          <w:color w:val="auto"/>
          <w:szCs w:val="21"/>
          <w:highlight w:val="none"/>
          <w:u w:val="single"/>
        </w:rPr>
        <w:t>《杭州市建筑市场管理若干规定》（杭州市人民政府令第277号）</w:t>
      </w:r>
    </w:p>
    <w:p w14:paraId="41059774">
      <w:pPr>
        <w:pageBreakBefore w:val="0"/>
        <w:widowControl w:val="0"/>
        <w:kinsoku/>
        <w:wordWrap/>
        <w:overflowPunct/>
        <w:topLinePunct w:val="0"/>
        <w:autoSpaceDE w:val="0"/>
        <w:autoSpaceDN w:val="0"/>
        <w:bidi w:val="0"/>
        <w:snapToGrid w:val="0"/>
        <w:spacing w:line="360" w:lineRule="auto"/>
        <w:ind w:firstLine="417" w:firstLineChars="198"/>
        <w:jc w:val="left"/>
        <w:textAlignment w:val="auto"/>
        <w:rPr>
          <w:rFonts w:ascii="宋体" w:hAnsi="宋体" w:cs="宋体"/>
          <w:b/>
          <w:color w:val="auto"/>
          <w:szCs w:val="21"/>
          <w:highlight w:val="none"/>
          <w:u w:val="single"/>
        </w:rPr>
      </w:pPr>
      <w:r>
        <w:rPr>
          <w:rFonts w:hint="eastAsia" w:ascii="宋体" w:hAnsi="宋体" w:cs="宋体"/>
          <w:b/>
          <w:color w:val="auto"/>
          <w:szCs w:val="21"/>
          <w:highlight w:val="none"/>
          <w:u w:val="single"/>
        </w:rPr>
        <w:t>《杭州市建设工程文明施工管理规定》（杭州市人民政府令第278号文）</w:t>
      </w:r>
    </w:p>
    <w:p w14:paraId="18BD29BB">
      <w:pPr>
        <w:pageBreakBefore w:val="0"/>
        <w:widowControl w:val="0"/>
        <w:kinsoku/>
        <w:wordWrap/>
        <w:overflowPunct/>
        <w:topLinePunct w:val="0"/>
        <w:autoSpaceDE w:val="0"/>
        <w:autoSpaceDN w:val="0"/>
        <w:bidi w:val="0"/>
        <w:snapToGrid w:val="0"/>
        <w:spacing w:line="360" w:lineRule="auto"/>
        <w:ind w:firstLine="417" w:firstLineChars="198"/>
        <w:jc w:val="left"/>
        <w:textAlignment w:val="auto"/>
        <w:rPr>
          <w:rFonts w:ascii="宋体" w:hAnsi="宋体" w:cs="宋体"/>
          <w:b/>
          <w:color w:val="auto"/>
          <w:szCs w:val="21"/>
          <w:highlight w:val="none"/>
          <w:u w:val="single"/>
        </w:rPr>
      </w:pPr>
      <w:r>
        <w:rPr>
          <w:rFonts w:hint="eastAsia" w:ascii="宋体" w:hAnsi="宋体" w:cs="宋体"/>
          <w:b/>
          <w:color w:val="auto"/>
          <w:szCs w:val="21"/>
          <w:highlight w:val="none"/>
          <w:u w:val="single"/>
        </w:rPr>
        <w:t>相关部门颁发的有关文件对上述文件有调整的，按其规定执行。</w:t>
      </w:r>
    </w:p>
    <w:p w14:paraId="12ECEADF">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 标准和规范</w:t>
      </w:r>
    </w:p>
    <w:p w14:paraId="6FE4C216">
      <w:pPr>
        <w:pageBreakBefore w:val="0"/>
        <w:widowControl w:val="0"/>
        <w:kinsoku/>
        <w:wordWrap/>
        <w:overflowPunct/>
        <w:topLinePunct w:val="0"/>
        <w:bidi w:val="0"/>
        <w:snapToGrid w:val="0"/>
        <w:spacing w:line="360" w:lineRule="auto"/>
        <w:ind w:firstLine="420" w:firstLineChars="200"/>
        <w:textAlignment w:val="auto"/>
        <w:rPr>
          <w:rFonts w:ascii="宋体" w:hAnsi="宋体" w:cs="宋体"/>
          <w:b/>
          <w:snapToGrid w:val="0"/>
          <w:color w:val="auto"/>
          <w:kern w:val="0"/>
          <w:szCs w:val="21"/>
          <w:highlight w:val="none"/>
          <w:u w:val="single"/>
        </w:rPr>
      </w:pPr>
      <w:r>
        <w:rPr>
          <w:rFonts w:hint="eastAsia" w:ascii="宋体" w:hAnsi="宋体" w:cs="宋体"/>
          <w:snapToGrid w:val="0"/>
          <w:color w:val="auto"/>
          <w:kern w:val="0"/>
          <w:szCs w:val="21"/>
          <w:highlight w:val="none"/>
        </w:rPr>
        <w:t>1.4.1适用于工程的标准规范包括：</w:t>
      </w:r>
      <w:r>
        <w:rPr>
          <w:rFonts w:hint="eastAsia" w:ascii="宋体" w:hAnsi="宋体" w:cs="宋体"/>
          <w:b/>
          <w:bCs/>
          <w:color w:val="auto"/>
          <w:szCs w:val="21"/>
          <w:highlight w:val="none"/>
          <w:u w:val="single" w:color="000000"/>
        </w:rPr>
        <w:t>（1）按通用条款约定；</w:t>
      </w:r>
    </w:p>
    <w:p w14:paraId="5483ECAE">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1.4.2 发包人提供国外标准、规范的名称：</w:t>
      </w:r>
      <w:r>
        <w:rPr>
          <w:rFonts w:hint="eastAsia" w:ascii="宋体" w:hAnsi="宋体" w:cs="宋体"/>
          <w:snapToGrid w:val="0"/>
          <w:color w:val="auto"/>
          <w:kern w:val="0"/>
          <w:szCs w:val="21"/>
          <w:highlight w:val="none"/>
          <w:u w:val="single"/>
        </w:rPr>
        <w:t xml:space="preserve">      /        </w:t>
      </w:r>
      <w:r>
        <w:rPr>
          <w:rFonts w:hint="eastAsia" w:ascii="宋体" w:hAnsi="宋体" w:cs="宋体"/>
          <w:snapToGrid w:val="0"/>
          <w:color w:val="auto"/>
          <w:kern w:val="0"/>
          <w:szCs w:val="21"/>
          <w:highlight w:val="none"/>
        </w:rPr>
        <w:t>；</w:t>
      </w:r>
    </w:p>
    <w:p w14:paraId="63B8B7DC">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发包人提供国外标准、规范的份数：</w:t>
      </w:r>
      <w:r>
        <w:rPr>
          <w:rFonts w:hint="eastAsia" w:ascii="宋体" w:hAnsi="宋体" w:cs="宋体"/>
          <w:snapToGrid w:val="0"/>
          <w:color w:val="auto"/>
          <w:kern w:val="0"/>
          <w:szCs w:val="21"/>
          <w:highlight w:val="none"/>
          <w:u w:val="single"/>
        </w:rPr>
        <w:t xml:space="preserve">      /              </w:t>
      </w:r>
      <w:r>
        <w:rPr>
          <w:rFonts w:hint="eastAsia" w:ascii="宋体" w:hAnsi="宋体" w:cs="宋体"/>
          <w:snapToGrid w:val="0"/>
          <w:color w:val="auto"/>
          <w:kern w:val="0"/>
          <w:szCs w:val="21"/>
          <w:highlight w:val="none"/>
        </w:rPr>
        <w:t>；</w:t>
      </w:r>
    </w:p>
    <w:p w14:paraId="4497999B">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发包人提供国外标准、规范的名称：</w:t>
      </w:r>
      <w:r>
        <w:rPr>
          <w:rFonts w:hint="eastAsia" w:ascii="宋体" w:hAnsi="宋体" w:cs="宋体"/>
          <w:snapToGrid w:val="0"/>
          <w:color w:val="auto"/>
          <w:kern w:val="0"/>
          <w:szCs w:val="21"/>
          <w:highlight w:val="none"/>
          <w:u w:val="single"/>
        </w:rPr>
        <w:t xml:space="preserve">       /           </w:t>
      </w:r>
      <w:r>
        <w:rPr>
          <w:rFonts w:hint="eastAsia" w:ascii="宋体" w:hAnsi="宋体" w:cs="宋体"/>
          <w:snapToGrid w:val="0"/>
          <w:color w:val="auto"/>
          <w:kern w:val="0"/>
          <w:szCs w:val="21"/>
          <w:highlight w:val="none"/>
        </w:rPr>
        <w:t>。</w:t>
      </w:r>
    </w:p>
    <w:p w14:paraId="58B8B7BB">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u w:color="000000"/>
        </w:rPr>
      </w:pPr>
      <w:r>
        <w:rPr>
          <w:rFonts w:hint="eastAsia" w:ascii="宋体" w:hAnsi="宋体" w:cs="宋体"/>
          <w:snapToGrid w:val="0"/>
          <w:color w:val="auto"/>
          <w:kern w:val="0"/>
          <w:szCs w:val="21"/>
          <w:highlight w:val="none"/>
        </w:rPr>
        <w:t>1.4.3发包人对工程的技术标准和功能要求的特殊要求：</w:t>
      </w:r>
      <w:r>
        <w:rPr>
          <w:rFonts w:hint="eastAsia" w:ascii="宋体" w:hAnsi="宋体" w:cs="宋体"/>
          <w:snapToGrid w:val="0"/>
          <w:color w:val="auto"/>
          <w:kern w:val="0"/>
          <w:szCs w:val="21"/>
          <w:highlight w:val="none"/>
          <w:u w:val="single"/>
        </w:rPr>
        <w:t></w:t>
      </w:r>
      <w:r>
        <w:rPr>
          <w:rFonts w:hint="eastAsia" w:ascii="宋体" w:hAnsi="宋体" w:cs="宋体"/>
          <w:color w:val="auto"/>
          <w:szCs w:val="21"/>
          <w:highlight w:val="none"/>
          <w:u w:val="single" w:color="000000"/>
        </w:rPr>
        <w:t xml:space="preserve">详见设计文件和招标技术要求 </w:t>
      </w:r>
      <w:r>
        <w:rPr>
          <w:rFonts w:hint="eastAsia" w:ascii="宋体" w:hAnsi="宋体" w:cs="宋体"/>
          <w:color w:val="auto"/>
          <w:szCs w:val="21"/>
          <w:highlight w:val="none"/>
          <w:u w:color="000000"/>
        </w:rPr>
        <w:t>。</w:t>
      </w:r>
    </w:p>
    <w:p w14:paraId="00992325">
      <w:pPr>
        <w:pageBreakBefore w:val="0"/>
        <w:widowControl w:val="0"/>
        <w:kinsoku/>
        <w:wordWrap/>
        <w:overflowPunct/>
        <w:topLinePunct w:val="0"/>
        <w:bidi w:val="0"/>
        <w:snapToGrid w:val="0"/>
        <w:spacing w:line="360" w:lineRule="auto"/>
        <w:ind w:firstLine="420" w:firstLineChars="200"/>
        <w:textAlignment w:val="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1.5 合同文件的优先顺序</w:t>
      </w:r>
    </w:p>
    <w:p w14:paraId="2786FE5C">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合同文件组成及优先顺序为：</w:t>
      </w:r>
    </w:p>
    <w:p w14:paraId="66BC8FD7">
      <w:pPr>
        <w:pageBreakBefore w:val="0"/>
        <w:widowControl w:val="0"/>
        <w:kinsoku/>
        <w:wordWrap/>
        <w:overflowPunct/>
        <w:topLinePunct w:val="0"/>
        <w:autoSpaceDE w:val="0"/>
        <w:autoSpaceDN w:val="0"/>
        <w:bidi w:val="0"/>
        <w:snapToGrid w:val="0"/>
        <w:spacing w:line="360" w:lineRule="auto"/>
        <w:ind w:firstLine="417" w:firstLineChars="198"/>
        <w:jc w:val="left"/>
        <w:textAlignment w:val="auto"/>
        <w:rPr>
          <w:rFonts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（1）合同协议书</w:t>
      </w:r>
      <w:r>
        <w:rPr>
          <w:rFonts w:hint="eastAsia" w:ascii="宋体" w:hAnsi="宋体" w:cs="宋体"/>
          <w:b/>
          <w:snapToGrid w:val="0"/>
          <w:color w:val="auto"/>
          <w:kern w:val="0"/>
          <w:szCs w:val="21"/>
          <w:highlight w:val="none"/>
        </w:rPr>
        <w:t>；</w:t>
      </w:r>
    </w:p>
    <w:p w14:paraId="753971B3">
      <w:pPr>
        <w:pageBreakBefore w:val="0"/>
        <w:widowControl w:val="0"/>
        <w:kinsoku/>
        <w:wordWrap/>
        <w:overflowPunct/>
        <w:topLinePunct w:val="0"/>
        <w:autoSpaceDE w:val="0"/>
        <w:autoSpaceDN w:val="0"/>
        <w:bidi w:val="0"/>
        <w:snapToGrid w:val="0"/>
        <w:spacing w:line="360" w:lineRule="auto"/>
        <w:ind w:firstLine="417" w:firstLineChars="198"/>
        <w:jc w:val="left"/>
        <w:textAlignment w:val="auto"/>
        <w:rPr>
          <w:rFonts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（2）成交通知书（或项目发承包基本情况表）</w:t>
      </w:r>
      <w:r>
        <w:rPr>
          <w:rFonts w:hint="eastAsia" w:ascii="宋体" w:hAnsi="宋体" w:cs="宋体"/>
          <w:b/>
          <w:snapToGrid w:val="0"/>
          <w:color w:val="auto"/>
          <w:kern w:val="0"/>
          <w:szCs w:val="21"/>
          <w:highlight w:val="none"/>
        </w:rPr>
        <w:t>；</w:t>
      </w:r>
    </w:p>
    <w:p w14:paraId="60DD3624">
      <w:pPr>
        <w:pageBreakBefore w:val="0"/>
        <w:widowControl w:val="0"/>
        <w:kinsoku/>
        <w:wordWrap/>
        <w:overflowPunct/>
        <w:topLinePunct w:val="0"/>
        <w:bidi w:val="0"/>
        <w:snapToGrid w:val="0"/>
        <w:spacing w:line="360" w:lineRule="auto"/>
        <w:ind w:firstLine="417" w:firstLineChars="198"/>
        <w:textAlignment w:val="auto"/>
        <w:rPr>
          <w:rFonts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（3）磋商响应文件及磋商记录（如果有）</w:t>
      </w:r>
      <w:r>
        <w:rPr>
          <w:rFonts w:hint="eastAsia" w:ascii="宋体" w:hAnsi="宋体" w:cs="宋体"/>
          <w:b/>
          <w:snapToGrid w:val="0"/>
          <w:color w:val="auto"/>
          <w:kern w:val="0"/>
          <w:szCs w:val="21"/>
          <w:highlight w:val="none"/>
        </w:rPr>
        <w:t>；</w:t>
      </w:r>
    </w:p>
    <w:p w14:paraId="4F3E28CE">
      <w:pPr>
        <w:pageBreakBefore w:val="0"/>
        <w:widowControl w:val="0"/>
        <w:kinsoku/>
        <w:wordWrap/>
        <w:overflowPunct/>
        <w:topLinePunct w:val="0"/>
        <w:autoSpaceDE w:val="0"/>
        <w:autoSpaceDN w:val="0"/>
        <w:bidi w:val="0"/>
        <w:snapToGrid w:val="0"/>
        <w:spacing w:line="360" w:lineRule="auto"/>
        <w:ind w:firstLine="417" w:firstLineChars="198"/>
        <w:jc w:val="left"/>
        <w:textAlignment w:val="auto"/>
        <w:rPr>
          <w:rFonts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（4）专用合同条款及其附件</w:t>
      </w:r>
      <w:r>
        <w:rPr>
          <w:rFonts w:hint="eastAsia" w:ascii="宋体" w:hAnsi="宋体" w:cs="宋体"/>
          <w:b/>
          <w:snapToGrid w:val="0"/>
          <w:color w:val="auto"/>
          <w:kern w:val="0"/>
          <w:szCs w:val="21"/>
          <w:highlight w:val="none"/>
        </w:rPr>
        <w:t>；</w:t>
      </w:r>
    </w:p>
    <w:p w14:paraId="1A1317FF">
      <w:pPr>
        <w:pageBreakBefore w:val="0"/>
        <w:widowControl w:val="0"/>
        <w:kinsoku/>
        <w:wordWrap/>
        <w:overflowPunct/>
        <w:topLinePunct w:val="0"/>
        <w:autoSpaceDE w:val="0"/>
        <w:autoSpaceDN w:val="0"/>
        <w:bidi w:val="0"/>
        <w:snapToGrid w:val="0"/>
        <w:spacing w:line="360" w:lineRule="auto"/>
        <w:ind w:firstLine="417" w:firstLineChars="198"/>
        <w:jc w:val="left"/>
        <w:textAlignment w:val="auto"/>
        <w:rPr>
          <w:rFonts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（5）技术标准和要求</w:t>
      </w:r>
      <w:r>
        <w:rPr>
          <w:rFonts w:hint="eastAsia" w:ascii="宋体" w:hAnsi="宋体" w:cs="宋体"/>
          <w:b/>
          <w:snapToGrid w:val="0"/>
          <w:color w:val="auto"/>
          <w:kern w:val="0"/>
          <w:szCs w:val="21"/>
          <w:highlight w:val="none"/>
        </w:rPr>
        <w:t>；</w:t>
      </w:r>
    </w:p>
    <w:p w14:paraId="64AAD80B">
      <w:pPr>
        <w:pageBreakBefore w:val="0"/>
        <w:widowControl w:val="0"/>
        <w:kinsoku/>
        <w:wordWrap/>
        <w:overflowPunct/>
        <w:topLinePunct w:val="0"/>
        <w:bidi w:val="0"/>
        <w:snapToGrid w:val="0"/>
        <w:spacing w:line="360" w:lineRule="auto"/>
        <w:ind w:firstLine="417" w:firstLineChars="198"/>
        <w:textAlignment w:val="auto"/>
        <w:rPr>
          <w:rFonts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（6）通用合同条款</w:t>
      </w:r>
      <w:r>
        <w:rPr>
          <w:rFonts w:hint="eastAsia" w:ascii="宋体" w:hAnsi="宋体" w:cs="宋体"/>
          <w:b/>
          <w:snapToGrid w:val="0"/>
          <w:color w:val="auto"/>
          <w:kern w:val="0"/>
          <w:szCs w:val="21"/>
          <w:highlight w:val="none"/>
        </w:rPr>
        <w:t>；</w:t>
      </w:r>
    </w:p>
    <w:p w14:paraId="52F658E4">
      <w:pPr>
        <w:pageBreakBefore w:val="0"/>
        <w:widowControl w:val="0"/>
        <w:kinsoku/>
        <w:wordWrap/>
        <w:overflowPunct/>
        <w:topLinePunct w:val="0"/>
        <w:bidi w:val="0"/>
        <w:snapToGrid w:val="0"/>
        <w:spacing w:line="360" w:lineRule="auto"/>
        <w:ind w:firstLine="417" w:firstLineChars="198"/>
        <w:textAlignment w:val="auto"/>
        <w:rPr>
          <w:rFonts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（7）图纸（如有） ；</w:t>
      </w:r>
    </w:p>
    <w:p w14:paraId="5D61A9CA">
      <w:pPr>
        <w:pageBreakBefore w:val="0"/>
        <w:widowControl w:val="0"/>
        <w:kinsoku/>
        <w:wordWrap/>
        <w:overflowPunct/>
        <w:topLinePunct w:val="0"/>
        <w:bidi w:val="0"/>
        <w:snapToGrid w:val="0"/>
        <w:spacing w:line="360" w:lineRule="auto"/>
        <w:ind w:firstLine="417" w:firstLineChars="198"/>
        <w:textAlignment w:val="auto"/>
        <w:rPr>
          <w:rFonts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（8）已标价工程量清单或预算书</w:t>
      </w:r>
      <w:r>
        <w:rPr>
          <w:rFonts w:hint="eastAsia" w:ascii="宋体" w:hAnsi="宋体" w:cs="宋体"/>
          <w:b/>
          <w:snapToGrid w:val="0"/>
          <w:color w:val="auto"/>
          <w:kern w:val="0"/>
          <w:szCs w:val="21"/>
          <w:highlight w:val="none"/>
        </w:rPr>
        <w:t>；</w:t>
      </w:r>
    </w:p>
    <w:p w14:paraId="31F448F5">
      <w:pPr>
        <w:pageBreakBefore w:val="0"/>
        <w:widowControl w:val="0"/>
        <w:kinsoku/>
        <w:wordWrap/>
        <w:overflowPunct/>
        <w:topLinePunct w:val="0"/>
        <w:bidi w:val="0"/>
        <w:snapToGrid w:val="0"/>
        <w:spacing w:line="360" w:lineRule="auto"/>
        <w:ind w:firstLine="417" w:firstLineChars="198"/>
        <w:textAlignment w:val="auto"/>
        <w:rPr>
          <w:rFonts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（9）其他合同文件</w:t>
      </w:r>
      <w:r>
        <w:rPr>
          <w:rFonts w:hint="eastAsia" w:ascii="宋体" w:hAnsi="宋体" w:cs="宋体"/>
          <w:b/>
          <w:snapToGrid w:val="0"/>
          <w:color w:val="auto"/>
          <w:kern w:val="0"/>
          <w:szCs w:val="21"/>
          <w:highlight w:val="none"/>
        </w:rPr>
        <w:t>：</w:t>
      </w:r>
    </w:p>
    <w:p w14:paraId="3CD37D0E">
      <w:pPr>
        <w:pageBreakBefore w:val="0"/>
        <w:widowControl w:val="0"/>
        <w:kinsoku/>
        <w:wordWrap/>
        <w:overflowPunct/>
        <w:topLinePunct w:val="0"/>
        <w:bidi w:val="0"/>
        <w:snapToGrid w:val="0"/>
        <w:spacing w:line="360" w:lineRule="auto"/>
        <w:ind w:firstLine="417" w:firstLineChars="198"/>
        <w:textAlignment w:val="auto"/>
        <w:rPr>
          <w:rFonts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①施工组织设计</w:t>
      </w:r>
      <w:r>
        <w:rPr>
          <w:rFonts w:hint="eastAsia" w:ascii="宋体" w:hAnsi="宋体" w:cs="宋体"/>
          <w:b/>
          <w:snapToGrid w:val="0"/>
          <w:color w:val="auto"/>
          <w:kern w:val="0"/>
          <w:szCs w:val="21"/>
          <w:highlight w:val="none"/>
        </w:rPr>
        <w:t>；</w:t>
      </w:r>
    </w:p>
    <w:p w14:paraId="65F76626">
      <w:pPr>
        <w:pageBreakBefore w:val="0"/>
        <w:widowControl w:val="0"/>
        <w:kinsoku/>
        <w:wordWrap/>
        <w:overflowPunct/>
        <w:topLinePunct w:val="0"/>
        <w:bidi w:val="0"/>
        <w:snapToGrid w:val="0"/>
        <w:spacing w:line="360" w:lineRule="auto"/>
        <w:ind w:firstLine="417" w:firstLineChars="198"/>
        <w:textAlignment w:val="auto"/>
        <w:rPr>
          <w:rFonts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②其他：采购文件（含采购工程量清单）及采购答疑（如果有）。</w:t>
      </w:r>
    </w:p>
    <w:p w14:paraId="484B87BB">
      <w:pPr>
        <w:pageBreakBefore w:val="0"/>
        <w:widowControl w:val="0"/>
        <w:kinsoku/>
        <w:wordWrap/>
        <w:overflowPunct/>
        <w:topLinePunct w:val="0"/>
        <w:bidi w:val="0"/>
        <w:snapToGrid w:val="0"/>
        <w:spacing w:line="360" w:lineRule="auto"/>
        <w:ind w:firstLine="420" w:firstLineChars="200"/>
        <w:textAlignment w:val="auto"/>
        <w:outlineLvl w:val="0"/>
        <w:rPr>
          <w:rFonts w:ascii="宋体" w:hAnsi="宋体" w:cs="宋体"/>
          <w:color w:val="auto"/>
          <w:szCs w:val="21"/>
          <w:highlight w:val="none"/>
        </w:rPr>
      </w:pPr>
      <w:r>
        <w:rPr>
          <w:rFonts w:hint="eastAsia" w:ascii="宋体" w:hAnsi="宋体" w:cs="宋体"/>
          <w:color w:val="auto"/>
          <w:szCs w:val="21"/>
          <w:highlight w:val="none"/>
        </w:rPr>
        <w:t>1.6 图纸和承包人文件</w:t>
      </w:r>
      <w:r>
        <w:rPr>
          <w:rFonts w:hint="eastAsia" w:ascii="宋体" w:hAnsi="宋体" w:cs="宋体"/>
          <w:color w:val="auto"/>
          <w:szCs w:val="21"/>
          <w:highlight w:val="none"/>
        </w:rPr>
        <w:tab/>
      </w:r>
    </w:p>
    <w:p w14:paraId="29CF984B">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1.6.1 图纸的提供</w:t>
      </w:r>
    </w:p>
    <w:p w14:paraId="4C0A8FC7">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发包人向承包人提供图纸的期限：</w:t>
      </w:r>
      <w:r>
        <w:rPr>
          <w:rFonts w:hint="eastAsia" w:ascii="宋体" w:hAnsi="宋体" w:cs="宋体"/>
          <w:color w:val="auto"/>
          <w:szCs w:val="21"/>
          <w:highlight w:val="none"/>
          <w:u w:val="single" w:color="000000"/>
        </w:rPr>
        <w:t>合同签订</w:t>
      </w:r>
      <w:r>
        <w:rPr>
          <w:rFonts w:hint="eastAsia" w:ascii="宋体" w:hAnsi="宋体" w:cs="宋体"/>
          <w:color w:val="auto"/>
          <w:szCs w:val="21"/>
          <w:highlight w:val="none"/>
          <w:u w:val="single" w:color="000000"/>
          <w:lang w:val="en-US" w:eastAsia="zh-CN"/>
        </w:rPr>
        <w:t>5</w:t>
      </w:r>
      <w:r>
        <w:rPr>
          <w:rFonts w:hint="eastAsia" w:ascii="宋体" w:hAnsi="宋体" w:cs="宋体"/>
          <w:color w:val="auto"/>
          <w:szCs w:val="21"/>
          <w:highlight w:val="none"/>
          <w:u w:val="single" w:color="000000"/>
        </w:rPr>
        <w:t>个工作日内，并组织有关人员对承包人进行技术交底</w:t>
      </w:r>
      <w:r>
        <w:rPr>
          <w:rFonts w:hint="eastAsia" w:ascii="宋体" w:hAnsi="宋体" w:cs="宋体"/>
          <w:color w:val="auto"/>
          <w:szCs w:val="21"/>
          <w:highlight w:val="none"/>
          <w:u w:color="000000"/>
        </w:rPr>
        <w:t>；</w:t>
      </w:r>
    </w:p>
    <w:p w14:paraId="667E8C8E">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发包人向承包人提供图纸的数量：</w:t>
      </w:r>
      <w:r>
        <w:rPr>
          <w:rFonts w:hint="eastAsia" w:ascii="宋体" w:hAnsi="宋体" w:cs="宋体"/>
          <w:color w:val="auto"/>
          <w:szCs w:val="21"/>
          <w:highlight w:val="none"/>
          <w:u w:val="single" w:color="000000"/>
        </w:rPr>
        <w:t>合同签订后提供8套施工图（其中4套做竣工图用，移交</w:t>
      </w:r>
      <w:r>
        <w:rPr>
          <w:rFonts w:hint="eastAsia" w:ascii="宋体" w:hAnsi="宋体" w:cs="宋体"/>
          <w:color w:val="auto"/>
          <w:szCs w:val="21"/>
          <w:highlight w:val="none"/>
          <w:u w:val="single" w:color="000000"/>
          <w:lang w:eastAsia="zh-CN"/>
        </w:rPr>
        <w:t>发包方</w:t>
      </w:r>
      <w:r>
        <w:rPr>
          <w:rFonts w:hint="eastAsia" w:ascii="宋体" w:hAnsi="宋体" w:cs="宋体"/>
          <w:color w:val="auto"/>
          <w:szCs w:val="21"/>
          <w:highlight w:val="none"/>
          <w:u w:val="single" w:color="000000"/>
        </w:rPr>
        <w:t>）。</w:t>
      </w:r>
      <w:r>
        <w:rPr>
          <w:rFonts w:hint="eastAsia" w:ascii="宋体" w:hAnsi="宋体" w:cs="宋体"/>
          <w:color w:val="auto"/>
          <w:szCs w:val="21"/>
          <w:highlight w:val="none"/>
          <w:u w:val="single" w:color="000000"/>
          <w:lang w:eastAsia="zh-CN"/>
        </w:rPr>
        <w:t>承包方</w:t>
      </w:r>
      <w:r>
        <w:rPr>
          <w:rFonts w:hint="eastAsia" w:ascii="宋体" w:hAnsi="宋体" w:cs="宋体"/>
          <w:color w:val="auto"/>
          <w:szCs w:val="21"/>
          <w:highlight w:val="none"/>
          <w:u w:val="single" w:color="000000"/>
        </w:rPr>
        <w:t>如需增加图纸份数，</w:t>
      </w:r>
      <w:r>
        <w:rPr>
          <w:rFonts w:hint="eastAsia" w:ascii="宋体" w:hAnsi="宋体" w:cs="宋体"/>
          <w:color w:val="auto"/>
          <w:szCs w:val="21"/>
          <w:highlight w:val="none"/>
          <w:u w:val="single" w:color="000000"/>
          <w:lang w:eastAsia="zh-CN"/>
        </w:rPr>
        <w:t>发包方</w:t>
      </w:r>
      <w:r>
        <w:rPr>
          <w:rFonts w:hint="eastAsia" w:ascii="宋体" w:hAnsi="宋体" w:cs="宋体"/>
          <w:color w:val="auto"/>
          <w:szCs w:val="21"/>
          <w:highlight w:val="none"/>
          <w:u w:val="single" w:color="000000"/>
        </w:rPr>
        <w:t>可代为复制，复制费用由</w:t>
      </w:r>
      <w:r>
        <w:rPr>
          <w:rFonts w:hint="eastAsia" w:ascii="宋体" w:hAnsi="宋体" w:cs="宋体"/>
          <w:color w:val="auto"/>
          <w:szCs w:val="21"/>
          <w:highlight w:val="none"/>
          <w:u w:val="single" w:color="000000"/>
          <w:lang w:eastAsia="zh-CN"/>
        </w:rPr>
        <w:t>承包方</w:t>
      </w:r>
      <w:r>
        <w:rPr>
          <w:rFonts w:hint="eastAsia" w:ascii="宋体" w:hAnsi="宋体" w:cs="宋体"/>
          <w:color w:val="auto"/>
          <w:szCs w:val="21"/>
          <w:highlight w:val="none"/>
          <w:u w:val="single" w:color="000000"/>
        </w:rPr>
        <w:t>承担。</w:t>
      </w:r>
    </w:p>
    <w:p w14:paraId="7A7A615A">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发包人向承包人提供图纸的内容：</w:t>
      </w:r>
      <w:r>
        <w:rPr>
          <w:rFonts w:hint="eastAsia" w:ascii="宋体" w:hAnsi="宋体" w:cs="宋体"/>
          <w:color w:val="auto"/>
          <w:szCs w:val="21"/>
          <w:highlight w:val="none"/>
          <w:u w:val="single" w:color="000000"/>
        </w:rPr>
        <w:t>施工图（详见签收表）</w:t>
      </w:r>
      <w:r>
        <w:rPr>
          <w:rFonts w:hint="eastAsia" w:ascii="宋体" w:hAnsi="宋体" w:cs="宋体"/>
          <w:color w:val="auto"/>
          <w:szCs w:val="21"/>
          <w:highlight w:val="none"/>
          <w:u w:color="000000"/>
        </w:rPr>
        <w:t>。</w:t>
      </w:r>
    </w:p>
    <w:p w14:paraId="27A17FF4">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1.6.4 承包人文件</w:t>
      </w:r>
    </w:p>
    <w:p w14:paraId="10BBF1BC">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需要由承包人提供的文件，包括：</w:t>
      </w:r>
      <w:r>
        <w:rPr>
          <w:rFonts w:hint="eastAsia" w:ascii="宋体" w:hAnsi="宋体" w:cs="宋体"/>
          <w:color w:val="auto"/>
          <w:szCs w:val="21"/>
          <w:highlight w:val="none"/>
          <w:u w:val="single" w:color="000000"/>
        </w:rPr>
        <w:t>与施工有关的一切必要文件。包括本工程适用的国家现行的设计规范、国家现行的施工规范、国家现行的验收规范、国家现行的质量验评标准及国家及地方现行施工验收及施工安全技术规范等</w:t>
      </w:r>
      <w:r>
        <w:rPr>
          <w:rFonts w:hint="eastAsia" w:ascii="宋体" w:hAnsi="宋体" w:cs="宋体"/>
          <w:color w:val="auto"/>
          <w:szCs w:val="21"/>
          <w:highlight w:val="none"/>
          <w:u w:color="000000"/>
        </w:rPr>
        <w:t>；</w:t>
      </w:r>
      <w:r>
        <w:rPr>
          <w:rFonts w:hint="eastAsia" w:ascii="宋体" w:hAnsi="宋体" w:cs="宋体"/>
          <w:color w:val="auto"/>
          <w:szCs w:val="21"/>
          <w:highlight w:val="none"/>
          <w:u w:val="single" w:color="000000"/>
        </w:rPr>
        <w:t>对危险性较大的分部分项工程，投标人需提供与自身报价相应的安全专项施工方案。</w:t>
      </w:r>
    </w:p>
    <w:p w14:paraId="61AA65BA">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承包人提供的文件的期限为：</w:t>
      </w:r>
      <w:r>
        <w:rPr>
          <w:rFonts w:hint="eastAsia" w:ascii="宋体" w:hAnsi="宋体" w:cs="宋体"/>
          <w:color w:val="auto"/>
          <w:szCs w:val="21"/>
          <w:highlight w:val="none"/>
          <w:u w:val="single" w:color="000000"/>
        </w:rPr>
        <w:t>发包人提出要求后7天内</w:t>
      </w:r>
      <w:r>
        <w:rPr>
          <w:rFonts w:hint="eastAsia" w:ascii="宋体" w:hAnsi="宋体" w:cs="宋体"/>
          <w:color w:val="auto"/>
          <w:szCs w:val="21"/>
          <w:highlight w:val="none"/>
          <w:u w:color="000000"/>
        </w:rPr>
        <w:t>；</w:t>
      </w:r>
    </w:p>
    <w:p w14:paraId="57C1F387">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承包人提供的文件的数量为：</w:t>
      </w:r>
      <w:r>
        <w:rPr>
          <w:rFonts w:hint="eastAsia" w:ascii="宋体" w:hAnsi="宋体" w:cs="宋体"/>
          <w:color w:val="auto"/>
          <w:szCs w:val="21"/>
          <w:highlight w:val="none"/>
          <w:u w:val="single" w:color="000000"/>
        </w:rPr>
        <w:t>双方协商确定</w:t>
      </w:r>
      <w:r>
        <w:rPr>
          <w:rFonts w:hint="eastAsia" w:ascii="宋体" w:hAnsi="宋体" w:cs="宋体"/>
          <w:color w:val="auto"/>
          <w:szCs w:val="21"/>
          <w:highlight w:val="none"/>
          <w:u w:color="000000"/>
        </w:rPr>
        <w:t>；</w:t>
      </w:r>
    </w:p>
    <w:p w14:paraId="4D43194E">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承包人提供的文件的形式为：</w:t>
      </w:r>
      <w:r>
        <w:rPr>
          <w:rFonts w:hint="eastAsia" w:ascii="宋体" w:hAnsi="宋体" w:cs="宋体"/>
          <w:color w:val="auto"/>
          <w:szCs w:val="21"/>
          <w:highlight w:val="none"/>
          <w:u w:val="single" w:color="000000"/>
        </w:rPr>
        <w:t>按发包人要求</w:t>
      </w:r>
      <w:r>
        <w:rPr>
          <w:rFonts w:hint="eastAsia" w:ascii="宋体" w:hAnsi="宋体" w:cs="宋体"/>
          <w:color w:val="auto"/>
          <w:szCs w:val="21"/>
          <w:highlight w:val="none"/>
          <w:u w:color="000000"/>
        </w:rPr>
        <w:t>；</w:t>
      </w:r>
    </w:p>
    <w:p w14:paraId="251E8681">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发包人审批承包人文件的期限：</w:t>
      </w:r>
      <w:r>
        <w:rPr>
          <w:rFonts w:hint="eastAsia" w:ascii="宋体" w:hAnsi="宋体" w:cs="宋体"/>
          <w:color w:val="auto"/>
          <w:szCs w:val="21"/>
          <w:highlight w:val="none"/>
          <w:u w:val="single" w:color="000000"/>
        </w:rPr>
        <w:t>收到文件后7天内</w:t>
      </w:r>
      <w:r>
        <w:rPr>
          <w:rFonts w:hint="eastAsia" w:ascii="宋体" w:hAnsi="宋体" w:cs="宋体"/>
          <w:color w:val="auto"/>
          <w:szCs w:val="21"/>
          <w:highlight w:val="none"/>
          <w:u w:color="000000"/>
        </w:rPr>
        <w:t>。</w:t>
      </w:r>
    </w:p>
    <w:p w14:paraId="70E6B943">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1.6.5 现场图纸准备</w:t>
      </w:r>
    </w:p>
    <w:p w14:paraId="4F082341">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关于现场图纸准备的约定：</w:t>
      </w:r>
      <w:r>
        <w:rPr>
          <w:rFonts w:hint="eastAsia" w:ascii="宋体" w:hAnsi="宋体" w:cs="宋体"/>
          <w:color w:val="auto"/>
          <w:szCs w:val="21"/>
          <w:highlight w:val="none"/>
          <w:u w:val="single" w:color="000000"/>
        </w:rPr>
        <w:t>承包人应在施工现场另外保存一套完整的图纸和承包人文件，供发包人、监理人及有关人员进行工程检查时使用</w:t>
      </w:r>
      <w:r>
        <w:rPr>
          <w:rFonts w:hint="eastAsia" w:ascii="宋体" w:hAnsi="宋体" w:cs="宋体"/>
          <w:color w:val="auto"/>
          <w:szCs w:val="21"/>
          <w:highlight w:val="none"/>
          <w:u w:color="000000"/>
        </w:rPr>
        <w:t>。</w:t>
      </w:r>
    </w:p>
    <w:p w14:paraId="0A8F2027">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1.7 联络</w:t>
      </w:r>
    </w:p>
    <w:p w14:paraId="24BB8DB0">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1.7.1发包人和承包人应当在</w:t>
      </w:r>
      <w:r>
        <w:rPr>
          <w:rFonts w:hint="eastAsia" w:ascii="宋体" w:hAnsi="宋体" w:cs="宋体"/>
          <w:color w:val="auto"/>
          <w:szCs w:val="21"/>
          <w:highlight w:val="none"/>
          <w:u w:val="single" w:color="000000"/>
        </w:rPr>
        <w:t xml:space="preserve">3   </w:t>
      </w:r>
      <w:r>
        <w:rPr>
          <w:rFonts w:hint="eastAsia" w:ascii="宋体" w:hAnsi="宋体" w:cs="宋体"/>
          <w:color w:val="auto"/>
          <w:szCs w:val="21"/>
          <w:highlight w:val="none"/>
          <w:u w:color="000000"/>
        </w:rPr>
        <w:t>天内将与合同有关的通知、批准、证明、证书、指示、指令、要求、请求、同意、意见、确定和决定等书面函件送达对方当事人。</w:t>
      </w:r>
    </w:p>
    <w:p w14:paraId="6A144EFA">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1.7.2 发包人接收文件的地点：</w:t>
      </w:r>
      <w:r>
        <w:rPr>
          <w:rFonts w:hint="eastAsia" w:ascii="宋体" w:hAnsi="宋体" w:cs="宋体"/>
          <w:color w:val="auto"/>
          <w:szCs w:val="21"/>
          <w:highlight w:val="none"/>
          <w:u w:val="single" w:color="000000"/>
        </w:rPr>
        <w:t xml:space="preserve">发包人现场办公室 </w:t>
      </w:r>
      <w:r>
        <w:rPr>
          <w:rFonts w:hint="eastAsia" w:ascii="宋体" w:hAnsi="宋体" w:cs="宋体"/>
          <w:color w:val="auto"/>
          <w:szCs w:val="21"/>
          <w:highlight w:val="none"/>
          <w:u w:color="000000"/>
        </w:rPr>
        <w:t>；</w:t>
      </w:r>
    </w:p>
    <w:p w14:paraId="4588A10C">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发包人指定的接收人为：</w:t>
      </w:r>
      <w:r>
        <w:rPr>
          <w:rFonts w:hint="eastAsia" w:ascii="宋体" w:hAnsi="宋体" w:cs="宋体"/>
          <w:color w:val="auto"/>
          <w:szCs w:val="21"/>
          <w:highlight w:val="none"/>
          <w:u w:val="single" w:color="000000"/>
        </w:rPr>
        <w:t>待定              </w:t>
      </w:r>
      <w:r>
        <w:rPr>
          <w:rFonts w:hint="eastAsia" w:ascii="宋体" w:hAnsi="宋体" w:cs="宋体"/>
          <w:color w:val="auto"/>
          <w:szCs w:val="21"/>
          <w:highlight w:val="none"/>
          <w:u w:color="000000"/>
        </w:rPr>
        <w:t>。</w:t>
      </w:r>
    </w:p>
    <w:p w14:paraId="21D4F58F">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承包人接收文件的地点：</w:t>
      </w:r>
      <w:r>
        <w:rPr>
          <w:rFonts w:hint="eastAsia" w:ascii="宋体" w:hAnsi="宋体" w:cs="宋体"/>
          <w:color w:val="auto"/>
          <w:szCs w:val="21"/>
          <w:highlight w:val="none"/>
          <w:u w:val="single" w:color="000000"/>
        </w:rPr>
        <w:t xml:space="preserve">承包人现场办公室         </w:t>
      </w:r>
      <w:r>
        <w:rPr>
          <w:rFonts w:hint="eastAsia" w:ascii="宋体" w:hAnsi="宋体" w:cs="宋体"/>
          <w:color w:val="auto"/>
          <w:szCs w:val="21"/>
          <w:highlight w:val="none"/>
          <w:u w:color="000000"/>
        </w:rPr>
        <w:t>；</w:t>
      </w:r>
    </w:p>
    <w:p w14:paraId="50559121">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承包人指定的接收人为：</w:t>
      </w:r>
      <w:r>
        <w:rPr>
          <w:rFonts w:hint="eastAsia" w:ascii="宋体" w:hAnsi="宋体" w:cs="宋体"/>
          <w:color w:val="auto"/>
          <w:szCs w:val="21"/>
          <w:highlight w:val="none"/>
          <w:u w:val="single" w:color="000000"/>
        </w:rPr>
        <w:t>待定            </w:t>
      </w:r>
      <w:r>
        <w:rPr>
          <w:rFonts w:hint="eastAsia" w:ascii="宋体" w:hAnsi="宋体" w:cs="宋体"/>
          <w:color w:val="auto"/>
          <w:szCs w:val="21"/>
          <w:highlight w:val="none"/>
          <w:u w:color="000000"/>
        </w:rPr>
        <w:t>。</w:t>
      </w:r>
    </w:p>
    <w:p w14:paraId="662D9306">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监理人接收文件的地点：</w:t>
      </w:r>
      <w:r>
        <w:rPr>
          <w:rFonts w:hint="eastAsia" w:ascii="宋体" w:hAnsi="宋体" w:cs="宋体"/>
          <w:color w:val="auto"/>
          <w:szCs w:val="21"/>
          <w:highlight w:val="none"/>
          <w:u w:val="single" w:color="000000"/>
        </w:rPr>
        <w:t xml:space="preserve">监理人现场办公室        </w:t>
      </w:r>
      <w:r>
        <w:rPr>
          <w:rFonts w:hint="eastAsia" w:ascii="宋体" w:hAnsi="宋体" w:cs="宋体"/>
          <w:color w:val="auto"/>
          <w:szCs w:val="21"/>
          <w:highlight w:val="none"/>
          <w:u w:color="000000"/>
        </w:rPr>
        <w:t>；</w:t>
      </w:r>
    </w:p>
    <w:p w14:paraId="2E630873">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监理人指定的接收人为：</w:t>
      </w:r>
      <w:r>
        <w:rPr>
          <w:rFonts w:hint="eastAsia" w:ascii="宋体" w:hAnsi="宋体" w:cs="宋体"/>
          <w:color w:val="auto"/>
          <w:szCs w:val="21"/>
          <w:highlight w:val="none"/>
          <w:u w:val="single" w:color="000000"/>
        </w:rPr>
        <w:t xml:space="preserve">待定           </w:t>
      </w:r>
      <w:r>
        <w:rPr>
          <w:rFonts w:hint="eastAsia" w:ascii="宋体" w:hAnsi="宋体" w:cs="宋体"/>
          <w:color w:val="auto"/>
          <w:szCs w:val="21"/>
          <w:highlight w:val="none"/>
          <w:u w:color="000000"/>
        </w:rPr>
        <w:t>。</w:t>
      </w:r>
    </w:p>
    <w:p w14:paraId="5152AC19">
      <w:pPr>
        <w:pageBreakBefore w:val="0"/>
        <w:widowControl w:val="0"/>
        <w:kinsoku/>
        <w:wordWrap/>
        <w:overflowPunct/>
        <w:topLinePunct w:val="0"/>
        <w:bidi w:val="0"/>
        <w:snapToGrid w:val="0"/>
        <w:spacing w:line="360" w:lineRule="auto"/>
        <w:ind w:firstLine="420" w:firstLineChars="200"/>
        <w:textAlignment w:val="auto"/>
        <w:outlineLvl w:val="0"/>
        <w:rPr>
          <w:rFonts w:ascii="宋体" w:hAnsi="宋体" w:cs="宋体"/>
          <w:color w:val="auto"/>
          <w:szCs w:val="21"/>
          <w:highlight w:val="none"/>
        </w:rPr>
      </w:pPr>
      <w:r>
        <w:rPr>
          <w:rFonts w:hint="eastAsia" w:ascii="宋体" w:hAnsi="宋体" w:cs="宋体"/>
          <w:color w:val="auto"/>
          <w:szCs w:val="21"/>
          <w:highlight w:val="none"/>
        </w:rPr>
        <w:t>1.10 交通运输</w:t>
      </w:r>
    </w:p>
    <w:p w14:paraId="1EDC6317">
      <w:pPr>
        <w:pageBreakBefore w:val="0"/>
        <w:widowControl w:val="0"/>
        <w:kinsoku/>
        <w:wordWrap/>
        <w:overflowPunct/>
        <w:topLinePunct w:val="0"/>
        <w:bidi w:val="0"/>
        <w:snapToGrid w:val="0"/>
        <w:spacing w:line="360" w:lineRule="auto"/>
        <w:ind w:firstLine="420" w:firstLineChars="200"/>
        <w:textAlignment w:val="auto"/>
        <w:outlineLvl w:val="0"/>
        <w:rPr>
          <w:rFonts w:ascii="宋体" w:hAnsi="宋体" w:cs="宋体"/>
          <w:color w:val="auto"/>
          <w:szCs w:val="21"/>
          <w:highlight w:val="none"/>
        </w:rPr>
      </w:pPr>
      <w:r>
        <w:rPr>
          <w:rFonts w:hint="eastAsia" w:ascii="宋体" w:hAnsi="宋体" w:cs="宋体"/>
          <w:color w:val="auto"/>
          <w:szCs w:val="21"/>
          <w:highlight w:val="none"/>
        </w:rPr>
        <w:t>1</w:t>
      </w:r>
      <w:bookmarkStart w:id="472" w:name="_Toc312677986"/>
      <w:bookmarkStart w:id="473" w:name="_Toc300934943"/>
      <w:bookmarkStart w:id="474" w:name="_Toc303539100"/>
      <w:bookmarkStart w:id="475" w:name="_Toc304295521"/>
      <w:bookmarkStart w:id="476" w:name="_Toc318581155"/>
      <w:r>
        <w:rPr>
          <w:rFonts w:hint="eastAsia" w:ascii="宋体" w:hAnsi="宋体" w:cs="宋体"/>
          <w:color w:val="auto"/>
          <w:szCs w:val="21"/>
          <w:highlight w:val="none"/>
        </w:rPr>
        <w:t>.10.1 出入现场的权利</w:t>
      </w:r>
    </w:p>
    <w:p w14:paraId="48118289">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关于出入现场的权利的约定：</w:t>
      </w:r>
      <w:r>
        <w:rPr>
          <w:rFonts w:hint="eastAsia" w:ascii="宋体" w:hAnsi="宋体" w:cs="宋体"/>
          <w:color w:val="auto"/>
          <w:szCs w:val="21"/>
          <w:highlight w:val="none"/>
          <w:u w:val="single"/>
        </w:rPr>
        <w:t></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bookmarkEnd w:id="472"/>
    <w:bookmarkEnd w:id="473"/>
    <w:bookmarkEnd w:id="474"/>
    <w:bookmarkEnd w:id="475"/>
    <w:bookmarkEnd w:id="476"/>
    <w:p w14:paraId="175F4B6B">
      <w:pPr>
        <w:pageBreakBefore w:val="0"/>
        <w:widowControl w:val="0"/>
        <w:kinsoku/>
        <w:wordWrap/>
        <w:overflowPunct/>
        <w:topLinePunct w:val="0"/>
        <w:bidi w:val="0"/>
        <w:snapToGrid w:val="0"/>
        <w:spacing w:line="360" w:lineRule="auto"/>
        <w:ind w:firstLine="420" w:firstLineChars="200"/>
        <w:jc w:val="left"/>
        <w:textAlignment w:val="auto"/>
        <w:outlineLvl w:val="0"/>
        <w:rPr>
          <w:rFonts w:ascii="宋体" w:hAnsi="宋体" w:cs="宋体"/>
          <w:color w:val="auto"/>
          <w:szCs w:val="21"/>
          <w:highlight w:val="none"/>
        </w:rPr>
      </w:pPr>
      <w:r>
        <w:rPr>
          <w:rFonts w:hint="eastAsia" w:ascii="宋体" w:hAnsi="宋体" w:cs="宋体"/>
          <w:color w:val="auto"/>
          <w:szCs w:val="21"/>
          <w:highlight w:val="none"/>
        </w:rPr>
        <w:t>1</w:t>
      </w:r>
      <w:bookmarkStart w:id="477" w:name="_Toc304295522"/>
      <w:bookmarkStart w:id="478" w:name="_Toc318581156"/>
      <w:bookmarkStart w:id="479" w:name="_Toc312677987"/>
      <w:bookmarkStart w:id="480" w:name="_Toc300934944"/>
      <w:bookmarkStart w:id="481" w:name="_Toc303539101"/>
      <w:r>
        <w:rPr>
          <w:rFonts w:hint="eastAsia" w:ascii="宋体" w:hAnsi="宋体" w:cs="宋体"/>
          <w:color w:val="auto"/>
          <w:szCs w:val="21"/>
          <w:highlight w:val="none"/>
        </w:rPr>
        <w:t>.10.3 场内交通</w:t>
      </w:r>
    </w:p>
    <w:p w14:paraId="40FEF2E5">
      <w:pPr>
        <w:pageBreakBefore w:val="0"/>
        <w:widowControl w:val="0"/>
        <w:kinsoku/>
        <w:wordWrap/>
        <w:overflowPunct/>
        <w:topLinePunct w:val="0"/>
        <w:bidi w:val="0"/>
        <w:snapToGrid w:val="0"/>
        <w:spacing w:line="360" w:lineRule="auto"/>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关于场外交通和场内交通的边界的约定：</w:t>
      </w:r>
      <w:r>
        <w:rPr>
          <w:rFonts w:hint="eastAsia" w:ascii="宋体" w:hAnsi="宋体" w:cs="宋体"/>
          <w:color w:val="auto"/>
          <w:szCs w:val="21"/>
          <w:highlight w:val="none"/>
          <w:u w:val="single"/>
        </w:rPr>
        <w:t></w:t>
      </w:r>
      <w:r>
        <w:rPr>
          <w:rFonts w:hint="eastAsia" w:ascii="宋体" w:hAnsi="宋体" w:cs="宋体"/>
          <w:color w:val="auto"/>
          <w:szCs w:val="21"/>
          <w:highlight w:val="none"/>
          <w:u w:val="single" w:color="000000"/>
        </w:rPr>
        <w:t>以施工现场围墙（挡）为界</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5E8EEAD1">
      <w:pPr>
        <w:pageBreakBefore w:val="0"/>
        <w:widowControl w:val="0"/>
        <w:kinsoku/>
        <w:wordWrap/>
        <w:overflowPunct/>
        <w:topLinePunct w:val="0"/>
        <w:bidi w:val="0"/>
        <w:snapToGrid w:val="0"/>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s="宋体"/>
          <w:color w:val="auto"/>
          <w:szCs w:val="21"/>
          <w:highlight w:val="none"/>
          <w:u w:val="single" w:color="000000"/>
        </w:rPr>
        <w:t>由承包人负责并承担相应费用</w:t>
      </w:r>
      <w:r>
        <w:rPr>
          <w:rFonts w:hint="eastAsia" w:ascii="宋体" w:hAnsi="宋体" w:cs="宋体"/>
          <w:color w:val="auto"/>
          <w:szCs w:val="21"/>
          <w:highlight w:val="none"/>
        </w:rPr>
        <w:t>。</w:t>
      </w:r>
      <w:bookmarkEnd w:id="477"/>
      <w:bookmarkEnd w:id="478"/>
      <w:bookmarkEnd w:id="479"/>
      <w:bookmarkEnd w:id="480"/>
      <w:bookmarkEnd w:id="481"/>
      <w:r>
        <w:rPr>
          <w:rFonts w:hint="eastAsia" w:ascii="宋体" w:hAnsi="宋体" w:cs="宋体"/>
          <w:color w:val="auto"/>
          <w:szCs w:val="21"/>
          <w:highlight w:val="none"/>
        </w:rPr>
        <w:t xml:space="preserve">  </w:t>
      </w:r>
      <w:bookmarkStart w:id="482" w:name="_Toc318581157"/>
    </w:p>
    <w:p w14:paraId="03B008CE">
      <w:pPr>
        <w:pageBreakBefore w:val="0"/>
        <w:widowControl w:val="0"/>
        <w:kinsoku/>
        <w:wordWrap/>
        <w:overflowPunct/>
        <w:topLinePunct w:val="0"/>
        <w:bidi w:val="0"/>
        <w:snapToGrid w:val="0"/>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1.10.4超大件和超重件的运输</w:t>
      </w:r>
    </w:p>
    <w:p w14:paraId="3A991254">
      <w:pPr>
        <w:pageBreakBefore w:val="0"/>
        <w:widowControl w:val="0"/>
        <w:kinsoku/>
        <w:wordWrap/>
        <w:overflowPunct/>
        <w:topLinePunct w:val="0"/>
        <w:bidi w:val="0"/>
        <w:snapToGrid w:val="0"/>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按《通用合同条款》1.18.3条执行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承担。</w:t>
      </w:r>
    </w:p>
    <w:bookmarkEnd w:id="482"/>
    <w:p w14:paraId="4029556C">
      <w:pPr>
        <w:pageBreakBefore w:val="0"/>
        <w:widowControl w:val="0"/>
        <w:kinsoku/>
        <w:wordWrap/>
        <w:overflowPunct/>
        <w:topLinePunct w:val="0"/>
        <w:bidi w:val="0"/>
        <w:snapToGrid w:val="0"/>
        <w:spacing w:line="360" w:lineRule="auto"/>
        <w:ind w:firstLine="420" w:firstLineChars="200"/>
        <w:textAlignment w:val="auto"/>
        <w:outlineLvl w:val="0"/>
        <w:rPr>
          <w:rFonts w:ascii="宋体" w:hAnsi="宋体" w:cs="宋体"/>
          <w:color w:val="auto"/>
          <w:szCs w:val="21"/>
          <w:highlight w:val="none"/>
        </w:rPr>
      </w:pPr>
      <w:r>
        <w:rPr>
          <w:rFonts w:hint="eastAsia" w:ascii="宋体" w:hAnsi="宋体" w:cs="宋体"/>
          <w:color w:val="auto"/>
          <w:szCs w:val="21"/>
          <w:highlight w:val="none"/>
        </w:rPr>
        <w:t>1.11 知识产权</w:t>
      </w:r>
    </w:p>
    <w:p w14:paraId="1F22D3FF">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rPr>
        <w:t></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63027AF">
      <w:pPr>
        <w:pageBreakBefore w:val="0"/>
        <w:widowControl w:val="0"/>
        <w:kinsoku/>
        <w:wordWrap/>
        <w:overflowPunct/>
        <w:topLinePunct w:val="0"/>
        <w:bidi w:val="0"/>
        <w:snapToGrid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AF06CB9">
      <w:pPr>
        <w:pageBreakBefore w:val="0"/>
        <w:widowControl w:val="0"/>
        <w:kinsoku/>
        <w:wordWrap/>
        <w:overflowPunct/>
        <w:topLinePunct w:val="0"/>
        <w:bidi w:val="0"/>
        <w:snapToGrid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0E78672B">
      <w:pPr>
        <w:pageBreakBefore w:val="0"/>
        <w:widowControl w:val="0"/>
        <w:kinsoku/>
        <w:wordWrap/>
        <w:overflowPunct/>
        <w:topLinePunct w:val="0"/>
        <w:bidi w:val="0"/>
        <w:snapToGrid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关于承包人提供的上述文件的使用限制的要求：</w:t>
      </w:r>
      <w:r>
        <w:rPr>
          <w:rFonts w:hint="eastAsia" w:ascii="宋体" w:hAnsi="宋体" w:cs="宋体"/>
          <w:color w:val="auto"/>
          <w:szCs w:val="21"/>
          <w:highlight w:val="none"/>
          <w:u w:val="single"/>
        </w:rPr>
        <w:t></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A6AB94B">
      <w:pPr>
        <w:pageBreakBefore w:val="0"/>
        <w:widowControl w:val="0"/>
        <w:kinsoku/>
        <w:wordWrap/>
        <w:overflowPunct/>
        <w:topLinePunct w:val="0"/>
        <w:bidi w:val="0"/>
        <w:snapToGrid w:val="0"/>
        <w:spacing w:line="360" w:lineRule="auto"/>
        <w:ind w:firstLine="420" w:firstLineChars="200"/>
        <w:textAlignment w:val="auto"/>
        <w:outlineLvl w:val="0"/>
        <w:rPr>
          <w:rFonts w:ascii="宋体" w:hAnsi="宋体" w:cs="宋体"/>
          <w:color w:val="auto"/>
          <w:kern w:val="0"/>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s="宋体"/>
          <w:color w:val="auto"/>
          <w:szCs w:val="21"/>
          <w:highlight w:val="none"/>
          <w:u w:val="single"/>
        </w:rPr>
        <w:t></w:t>
      </w:r>
      <w:r>
        <w:rPr>
          <w:rFonts w:hint="eastAsia" w:ascii="宋体" w:hAnsi="宋体" w:cs="宋体"/>
          <w:b/>
          <w:bCs/>
          <w:color w:val="auto"/>
          <w:szCs w:val="21"/>
          <w:highlight w:val="none"/>
          <w:u w:val="single" w:color="000000"/>
        </w:rPr>
        <w:t xml:space="preserve">（除发包人指明外）承包人在施工过程中所采用的专利、专有技术、技术秘密的使用费包含在合同价款内 </w:t>
      </w:r>
      <w:r>
        <w:rPr>
          <w:rFonts w:hint="eastAsia" w:ascii="宋体" w:hAnsi="宋体" w:cs="宋体"/>
          <w:color w:val="auto"/>
          <w:kern w:val="0"/>
          <w:szCs w:val="21"/>
          <w:highlight w:val="none"/>
        </w:rPr>
        <w:t>。</w:t>
      </w:r>
    </w:p>
    <w:p w14:paraId="37C7F8C6">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1.13工程量清单错误的修正</w:t>
      </w:r>
    </w:p>
    <w:p w14:paraId="78BB69C0">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rFonts w:hint="eastAsia" w:ascii="宋体" w:hAnsi="宋体" w:cs="宋体"/>
          <w:color w:val="auto"/>
          <w:szCs w:val="21"/>
          <w:highlight w:val="none"/>
          <w:u w:val="single"/>
        </w:rPr>
        <w:t xml:space="preserve">       否     </w:t>
      </w:r>
      <w:r>
        <w:rPr>
          <w:rFonts w:hint="eastAsia" w:ascii="宋体" w:hAnsi="宋体" w:cs="宋体"/>
          <w:color w:val="auto"/>
          <w:kern w:val="0"/>
          <w:szCs w:val="21"/>
          <w:highlight w:val="none"/>
        </w:rPr>
        <w:t>。</w:t>
      </w:r>
    </w:p>
    <w:p w14:paraId="588C7229">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允许调整合同价格的工程量偏差范围：</w:t>
      </w:r>
      <w:r>
        <w:rPr>
          <w:rFonts w:hint="eastAsia" w:ascii="宋体" w:hAnsi="宋体" w:cs="宋体"/>
          <w:color w:val="auto"/>
          <w:szCs w:val="21"/>
          <w:highlight w:val="none"/>
          <w:u w:val="single"/>
        </w:rPr>
        <w:t xml:space="preserve">       /           </w:t>
      </w:r>
      <w:r>
        <w:rPr>
          <w:rFonts w:hint="eastAsia" w:ascii="宋体" w:hAnsi="宋体" w:cs="宋体"/>
          <w:color w:val="auto"/>
          <w:kern w:val="0"/>
          <w:szCs w:val="21"/>
          <w:highlight w:val="none"/>
        </w:rPr>
        <w:t>。</w:t>
      </w:r>
    </w:p>
    <w:p w14:paraId="78386360">
      <w:pPr>
        <w:pStyle w:val="6"/>
        <w:pageBreakBefore w:val="0"/>
        <w:widowControl w:val="0"/>
        <w:kinsoku/>
        <w:wordWrap/>
        <w:overflowPunct/>
        <w:topLinePunct w:val="0"/>
        <w:bidi w:val="0"/>
        <w:snapToGrid w:val="0"/>
        <w:spacing w:before="0" w:after="0" w:line="360" w:lineRule="auto"/>
        <w:textAlignment w:val="auto"/>
        <w:rPr>
          <w:rFonts w:ascii="宋体" w:hAnsi="宋体" w:eastAsia="宋体" w:cs="宋体"/>
          <w:b w:val="0"/>
          <w:color w:val="auto"/>
          <w:sz w:val="21"/>
          <w:szCs w:val="21"/>
          <w:highlight w:val="none"/>
        </w:rPr>
      </w:pPr>
      <w:bookmarkStart w:id="483" w:name="_Toc351203634"/>
      <w:r>
        <w:rPr>
          <w:rFonts w:hint="eastAsia" w:ascii="宋体" w:hAnsi="宋体" w:eastAsia="宋体" w:cs="宋体"/>
          <w:b w:val="0"/>
          <w:color w:val="auto"/>
          <w:sz w:val="21"/>
          <w:szCs w:val="21"/>
          <w:highlight w:val="none"/>
        </w:rPr>
        <w:t>2</w:t>
      </w:r>
      <w:bookmarkStart w:id="484" w:name="_Toc296944496"/>
      <w:bookmarkStart w:id="485" w:name="_Toc292559867"/>
      <w:bookmarkStart w:id="486" w:name="_Toc296890985"/>
      <w:bookmarkStart w:id="487" w:name="_Toc292559362"/>
      <w:bookmarkStart w:id="488" w:name="_Toc297120457"/>
      <w:bookmarkStart w:id="489" w:name="_Toc296346658"/>
      <w:bookmarkStart w:id="490" w:name="_Toc296503157"/>
      <w:bookmarkStart w:id="491" w:name="_Toc296347156"/>
      <w:bookmarkStart w:id="492" w:name="_Toc297048343"/>
      <w:bookmarkStart w:id="493" w:name="_Toc296891197"/>
      <w:r>
        <w:rPr>
          <w:rFonts w:hint="eastAsia" w:ascii="宋体" w:hAnsi="宋体" w:eastAsia="宋体" w:cs="宋体"/>
          <w:b w:val="0"/>
          <w:color w:val="auto"/>
          <w:sz w:val="21"/>
          <w:szCs w:val="21"/>
          <w:highlight w:val="none"/>
        </w:rPr>
        <w:t>. 发包人</w:t>
      </w:r>
      <w:bookmarkEnd w:id="483"/>
    </w:p>
    <w:bookmarkEnd w:id="484"/>
    <w:bookmarkEnd w:id="485"/>
    <w:bookmarkEnd w:id="486"/>
    <w:bookmarkEnd w:id="487"/>
    <w:bookmarkEnd w:id="488"/>
    <w:bookmarkEnd w:id="489"/>
    <w:bookmarkEnd w:id="490"/>
    <w:bookmarkEnd w:id="491"/>
    <w:bookmarkEnd w:id="492"/>
    <w:bookmarkEnd w:id="493"/>
    <w:p w14:paraId="18E24487">
      <w:pPr>
        <w:pageBreakBefore w:val="0"/>
        <w:widowControl w:val="0"/>
        <w:kinsoku/>
        <w:wordWrap/>
        <w:overflowPunct/>
        <w:topLinePunct w:val="0"/>
        <w:bidi w:val="0"/>
        <w:snapToGrid w:val="0"/>
        <w:spacing w:line="360" w:lineRule="auto"/>
        <w:ind w:firstLine="420" w:firstLineChars="200"/>
        <w:textAlignment w:val="auto"/>
        <w:outlineLvl w:val="0"/>
        <w:rPr>
          <w:rFonts w:ascii="宋体" w:hAnsi="宋体" w:cs="宋体"/>
          <w:color w:val="auto"/>
          <w:szCs w:val="21"/>
          <w:highlight w:val="none"/>
        </w:rPr>
      </w:pPr>
      <w:r>
        <w:rPr>
          <w:rFonts w:hint="eastAsia" w:ascii="宋体" w:hAnsi="宋体" w:cs="宋体"/>
          <w:color w:val="auto"/>
          <w:szCs w:val="21"/>
          <w:highlight w:val="none"/>
        </w:rPr>
        <w:t>2.2 发包人代表</w:t>
      </w:r>
    </w:p>
    <w:p w14:paraId="6AC2855D">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发包人代表：</w:t>
      </w:r>
    </w:p>
    <w:p w14:paraId="63C30901">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76930B20">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2A9FEBA4">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9BF5CA2">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66C2411B">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366A1657">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0F482F7">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rPr>
      </w:pPr>
      <w:r>
        <w:rPr>
          <w:rFonts w:hint="eastAsia" w:ascii="宋体" w:hAnsi="宋体" w:cs="宋体"/>
          <w:color w:val="auto"/>
          <w:szCs w:val="21"/>
          <w:highlight w:val="none"/>
        </w:rPr>
        <w:t>发包人对发包人代表的授权范围如下：</w:t>
      </w:r>
    </w:p>
    <w:p w14:paraId="3D8505DA">
      <w:pPr>
        <w:pageBreakBefore w:val="0"/>
        <w:widowControl w:val="0"/>
        <w:kinsoku/>
        <w:wordWrap/>
        <w:overflowPunct/>
        <w:topLinePunct w:val="0"/>
        <w:bidi w:val="0"/>
        <w:snapToGrid w:val="0"/>
        <w:spacing w:line="360" w:lineRule="auto"/>
        <w:ind w:firstLine="480"/>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委派（        ）为</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代表，行使合同约定的权利，履行合同约定的职责。</w:t>
      </w:r>
    </w:p>
    <w:p w14:paraId="68C5C35E">
      <w:pPr>
        <w:pageBreakBefore w:val="0"/>
        <w:widowControl w:val="0"/>
        <w:kinsoku/>
        <w:wordWrap/>
        <w:overflowPunct/>
        <w:topLinePunct w:val="0"/>
        <w:bidi w:val="0"/>
        <w:snapToGrid w:val="0"/>
        <w:spacing w:line="360" w:lineRule="auto"/>
        <w:ind w:firstLine="482"/>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代表的指令、通知由其本人签字后，以书面形式交给</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代表，</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代表在回执签署姓名和收到时间后生效。</w:t>
      </w:r>
    </w:p>
    <w:p w14:paraId="78AF6C8F">
      <w:pPr>
        <w:pageBreakBefore w:val="0"/>
        <w:widowControl w:val="0"/>
        <w:kinsoku/>
        <w:wordWrap/>
        <w:overflowPunct/>
        <w:topLinePunct w:val="0"/>
        <w:bidi w:val="0"/>
        <w:snapToGrid w:val="0"/>
        <w:spacing w:line="360" w:lineRule="auto"/>
        <w:ind w:firstLine="482"/>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（3）确有必要时，</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代表可发出口头指令，并在24小时内给予书面确认，</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对</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代表的指令应予执行。</w:t>
      </w:r>
    </w:p>
    <w:p w14:paraId="6EFF8880">
      <w:pPr>
        <w:pageBreakBefore w:val="0"/>
        <w:widowControl w:val="0"/>
        <w:kinsoku/>
        <w:wordWrap/>
        <w:overflowPunct/>
        <w:topLinePunct w:val="0"/>
        <w:bidi w:val="0"/>
        <w:snapToGrid w:val="0"/>
        <w:spacing w:line="360" w:lineRule="auto"/>
        <w:ind w:firstLine="482"/>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代表不能及时给予书面确认，</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应于</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代表发出口头指令3天内提出书面确认要求，</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代表在</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提出书面确认要求后3天内不给予答复，应视为</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要求已被确认。</w:t>
      </w:r>
    </w:p>
    <w:p w14:paraId="2FBB4FC1">
      <w:pPr>
        <w:pageBreakBefore w:val="0"/>
        <w:widowControl w:val="0"/>
        <w:kinsoku/>
        <w:wordWrap/>
        <w:overflowPunct/>
        <w:topLinePunct w:val="0"/>
        <w:bidi w:val="0"/>
        <w:snapToGrid w:val="0"/>
        <w:spacing w:line="360" w:lineRule="auto"/>
        <w:ind w:firstLine="482"/>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（5）</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认为</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代表的指令不合理，应收到指令后24小时内提出书面申告，</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代表在收到</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申告后24小时内作出修改指令或继续执行原指令的决定，以书面形式通知</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w:t>
      </w:r>
    </w:p>
    <w:p w14:paraId="6571CD47">
      <w:pPr>
        <w:pageBreakBefore w:val="0"/>
        <w:widowControl w:val="0"/>
        <w:kinsoku/>
        <w:wordWrap/>
        <w:overflowPunct/>
        <w:topLinePunct w:val="0"/>
        <w:bidi w:val="0"/>
        <w:snapToGrid w:val="0"/>
        <w:spacing w:line="360" w:lineRule="auto"/>
        <w:ind w:firstLine="482"/>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（6）在紧急情况下，</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代表要求</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立即执行指令或</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虽有异议，但</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代表仍决定执行的指令，</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应予以执行。</w:t>
      </w:r>
    </w:p>
    <w:p w14:paraId="6ECF381A">
      <w:pPr>
        <w:pageBreakBefore w:val="0"/>
        <w:widowControl w:val="0"/>
        <w:kinsoku/>
        <w:wordWrap/>
        <w:overflowPunct/>
        <w:topLinePunct w:val="0"/>
        <w:bidi w:val="0"/>
        <w:snapToGrid w:val="0"/>
        <w:spacing w:line="360" w:lineRule="auto"/>
        <w:ind w:firstLine="482"/>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（7）因指令错误发生的费用和给</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造成的损失由</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承担，延误的工期应相应顺延。</w:t>
      </w:r>
    </w:p>
    <w:p w14:paraId="5647FB5B">
      <w:pPr>
        <w:pageBreakBefore w:val="0"/>
        <w:widowControl w:val="0"/>
        <w:kinsoku/>
        <w:wordWrap/>
        <w:overflowPunct/>
        <w:topLinePunct w:val="0"/>
        <w:bidi w:val="0"/>
        <w:snapToGrid w:val="0"/>
        <w:spacing w:line="360" w:lineRule="auto"/>
        <w:ind w:firstLine="482"/>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（8）如</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拒绝执行</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指令或配合的质量进度达不到</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要求，</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有权另行委托第三方执行指令，并视情节轻重</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向</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支付1000元—5000元/次的违约金。</w:t>
      </w:r>
    </w:p>
    <w:p w14:paraId="6A34EE30">
      <w:pPr>
        <w:pageBreakBefore w:val="0"/>
        <w:widowControl w:val="0"/>
        <w:kinsoku/>
        <w:wordWrap/>
        <w:overflowPunct/>
        <w:topLinePunct w:val="0"/>
        <w:bidi w:val="0"/>
        <w:snapToGrid w:val="0"/>
        <w:spacing w:line="360" w:lineRule="auto"/>
        <w:ind w:firstLine="482"/>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（9）</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代表按合同约定，及时向</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提供所需指令、批件、图纸并履行其它约定的义务。</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对</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代表的指令、批件有异议，</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可在接到指令、批件24小时内书面通知</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代表接到</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书面通知后24小时内书面回复，逾期视作认可。</w:t>
      </w:r>
    </w:p>
    <w:p w14:paraId="593F2426">
      <w:pPr>
        <w:pageBreakBefore w:val="0"/>
        <w:widowControl w:val="0"/>
        <w:kinsoku/>
        <w:wordWrap/>
        <w:overflowPunct/>
        <w:topLinePunct w:val="0"/>
        <w:bidi w:val="0"/>
        <w:snapToGrid w:val="0"/>
        <w:spacing w:line="360" w:lineRule="auto"/>
        <w:ind w:firstLine="482"/>
        <w:textAlignment w:val="auto"/>
        <w:rPr>
          <w:rFonts w:ascii="宋体" w:hAnsi="宋体" w:cs="宋体"/>
          <w:b/>
          <w:color w:val="auto"/>
          <w:szCs w:val="21"/>
          <w:highlight w:val="none"/>
        </w:rPr>
      </w:pPr>
      <w:r>
        <w:rPr>
          <w:rFonts w:hint="eastAsia" w:ascii="宋体" w:hAnsi="宋体" w:cs="宋体"/>
          <w:b/>
          <w:bCs/>
          <w:color w:val="auto"/>
          <w:szCs w:val="21"/>
          <w:highlight w:val="none"/>
          <w:u w:val="single" w:color="000000"/>
        </w:rPr>
        <w:t>（10）</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代表易人，</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应提前7天通知</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，后任继续承担前任应负的责任</w:t>
      </w:r>
      <w:r>
        <w:rPr>
          <w:rFonts w:hint="eastAsia" w:ascii="宋体" w:hAnsi="宋体" w:cs="宋体"/>
          <w:color w:val="auto"/>
          <w:szCs w:val="21"/>
          <w:highlight w:val="none"/>
          <w:u w:color="000000"/>
        </w:rPr>
        <w:t>。</w:t>
      </w:r>
    </w:p>
    <w:p w14:paraId="10EED3F4">
      <w:pPr>
        <w:pageBreakBefore w:val="0"/>
        <w:widowControl w:val="0"/>
        <w:kinsoku/>
        <w:wordWrap/>
        <w:overflowPunct/>
        <w:topLinePunct w:val="0"/>
        <w:bidi w:val="0"/>
        <w:snapToGrid w:val="0"/>
        <w:spacing w:line="360" w:lineRule="auto"/>
        <w:ind w:firstLine="420" w:firstLineChars="200"/>
        <w:textAlignment w:val="auto"/>
        <w:outlineLvl w:val="0"/>
        <w:rPr>
          <w:rFonts w:ascii="宋体" w:hAnsi="宋体" w:cs="宋体"/>
          <w:color w:val="auto"/>
          <w:szCs w:val="21"/>
          <w:highlight w:val="none"/>
        </w:rPr>
      </w:pPr>
      <w:r>
        <w:rPr>
          <w:rFonts w:hint="eastAsia" w:ascii="宋体" w:hAnsi="宋体" w:cs="宋体"/>
          <w:color w:val="auto"/>
          <w:szCs w:val="21"/>
          <w:highlight w:val="none"/>
        </w:rPr>
        <w:t>2.4 施工现场、施工条件和基础资料的提供</w:t>
      </w:r>
    </w:p>
    <w:p w14:paraId="4A543420">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2.4.1 提供施工现场</w:t>
      </w:r>
    </w:p>
    <w:p w14:paraId="7D157190">
      <w:pPr>
        <w:pageBreakBefore w:val="0"/>
        <w:widowControl w:val="0"/>
        <w:kinsoku/>
        <w:wordWrap/>
        <w:overflowPunct/>
        <w:topLinePunct w:val="0"/>
        <w:bidi w:val="0"/>
        <w:snapToGrid w:val="0"/>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color w:val="auto"/>
          <w:szCs w:val="21"/>
          <w:highlight w:val="none"/>
          <w:u w:val="single"/>
        </w:rPr>
        <w:t></w:t>
      </w:r>
      <w:r>
        <w:rPr>
          <w:rFonts w:hint="eastAsia" w:ascii="宋体" w:hAnsi="宋体" w:cs="宋体"/>
          <w:color w:val="auto"/>
          <w:szCs w:val="21"/>
          <w:highlight w:val="none"/>
          <w:u w:val="single" w:color="000000"/>
        </w:rPr>
        <w:t xml:space="preserve">按通用条款执行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F125A0C">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2.4.2 提供施工条件</w:t>
      </w:r>
    </w:p>
    <w:p w14:paraId="7D6CA238">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关于发包人应负责提供施工所需要的条件，包括：</w:t>
      </w:r>
      <w:r>
        <w:rPr>
          <w:rFonts w:hint="eastAsia" w:ascii="宋体" w:hAnsi="宋体" w:cs="宋体"/>
          <w:color w:val="auto"/>
          <w:szCs w:val="21"/>
          <w:highlight w:val="none"/>
          <w:u w:val="single" w:color="000000"/>
        </w:rPr>
        <w:t>除《通用合同条款》2.4.2条规定外，开工日7天前，由发包人组织设计人、承包人、监理单位进行图纸会审，设计人向承包人进行设计交底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5553304">
      <w:pPr>
        <w:pageBreakBefore w:val="0"/>
        <w:widowControl w:val="0"/>
        <w:kinsoku/>
        <w:wordWrap/>
        <w:overflowPunct/>
        <w:topLinePunct w:val="0"/>
        <w:bidi w:val="0"/>
        <w:snapToGrid w:val="0"/>
        <w:spacing w:line="360" w:lineRule="auto"/>
        <w:ind w:firstLine="420" w:firstLineChars="200"/>
        <w:textAlignment w:val="auto"/>
        <w:outlineLvl w:val="0"/>
        <w:rPr>
          <w:rFonts w:ascii="宋体" w:hAnsi="宋体" w:cs="宋体"/>
          <w:color w:val="auto"/>
          <w:szCs w:val="21"/>
          <w:highlight w:val="none"/>
        </w:rPr>
      </w:pPr>
      <w:r>
        <w:rPr>
          <w:rFonts w:hint="eastAsia" w:ascii="宋体" w:hAnsi="宋体" w:cs="宋体"/>
          <w:color w:val="auto"/>
          <w:szCs w:val="21"/>
          <w:highlight w:val="none"/>
        </w:rPr>
        <w:t>2.5 资金来源证明及支付担保</w:t>
      </w:r>
    </w:p>
    <w:p w14:paraId="55BFB4AA">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rPr>
        <w:t xml:space="preserve">财政拨款     </w:t>
      </w:r>
      <w:r>
        <w:rPr>
          <w:rFonts w:hint="eastAsia" w:ascii="宋体" w:hAnsi="宋体" w:cs="宋体"/>
          <w:color w:val="auto"/>
          <w:szCs w:val="21"/>
          <w:highlight w:val="none"/>
        </w:rPr>
        <w:t>。</w:t>
      </w:r>
    </w:p>
    <w:p w14:paraId="2D651B77">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7D24E000">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935E965">
      <w:pPr>
        <w:pStyle w:val="6"/>
        <w:pageBreakBefore w:val="0"/>
        <w:widowControl w:val="0"/>
        <w:kinsoku/>
        <w:wordWrap/>
        <w:overflowPunct/>
        <w:topLinePunct w:val="0"/>
        <w:bidi w:val="0"/>
        <w:snapToGrid w:val="0"/>
        <w:spacing w:before="0" w:after="0" w:line="360" w:lineRule="auto"/>
        <w:textAlignment w:val="auto"/>
        <w:rPr>
          <w:rFonts w:ascii="宋体" w:hAnsi="宋体" w:eastAsia="宋体" w:cs="宋体"/>
          <w:b w:val="0"/>
          <w:color w:val="auto"/>
          <w:sz w:val="21"/>
          <w:szCs w:val="21"/>
          <w:highlight w:val="none"/>
        </w:rPr>
      </w:pPr>
      <w:bookmarkStart w:id="494" w:name="_Toc351203635"/>
      <w:r>
        <w:rPr>
          <w:rFonts w:hint="eastAsia" w:ascii="宋体" w:hAnsi="宋体" w:eastAsia="宋体" w:cs="宋体"/>
          <w:b w:val="0"/>
          <w:color w:val="auto"/>
          <w:sz w:val="21"/>
          <w:szCs w:val="21"/>
          <w:highlight w:val="none"/>
        </w:rPr>
        <w:t>3</w:t>
      </w:r>
      <w:bookmarkStart w:id="495" w:name="_Toc292559868"/>
      <w:bookmarkStart w:id="496" w:name="_Toc296346659"/>
      <w:bookmarkStart w:id="497" w:name="_Toc296944497"/>
      <w:bookmarkStart w:id="498" w:name="_Toc296347157"/>
      <w:bookmarkStart w:id="499" w:name="_Toc297120458"/>
      <w:bookmarkStart w:id="500" w:name="_Toc292559363"/>
      <w:bookmarkStart w:id="501" w:name="_Toc296891198"/>
      <w:bookmarkStart w:id="502" w:name="_Toc296890986"/>
      <w:bookmarkStart w:id="503" w:name="_Toc296503158"/>
      <w:bookmarkStart w:id="504" w:name="_Toc297048344"/>
      <w:r>
        <w:rPr>
          <w:rFonts w:hint="eastAsia" w:ascii="宋体" w:hAnsi="宋体" w:eastAsia="宋体" w:cs="宋体"/>
          <w:b w:val="0"/>
          <w:color w:val="auto"/>
          <w:sz w:val="21"/>
          <w:szCs w:val="21"/>
          <w:highlight w:val="none"/>
        </w:rPr>
        <w:t>. 承包人</w:t>
      </w:r>
      <w:bookmarkEnd w:id="494"/>
    </w:p>
    <w:bookmarkEnd w:id="495"/>
    <w:bookmarkEnd w:id="496"/>
    <w:bookmarkEnd w:id="497"/>
    <w:bookmarkEnd w:id="498"/>
    <w:bookmarkEnd w:id="499"/>
    <w:bookmarkEnd w:id="500"/>
    <w:bookmarkEnd w:id="501"/>
    <w:bookmarkEnd w:id="502"/>
    <w:bookmarkEnd w:id="503"/>
    <w:bookmarkEnd w:id="504"/>
    <w:p w14:paraId="6925FB39">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3.1 承包人的一般义务</w:t>
      </w:r>
    </w:p>
    <w:p w14:paraId="4BEBEB9F">
      <w:pPr>
        <w:pageBreakBefore w:val="0"/>
        <w:widowControl w:val="0"/>
        <w:kinsoku/>
        <w:wordWrap/>
        <w:overflowPunct/>
        <w:topLinePunct w:val="0"/>
        <w:bidi w:val="0"/>
        <w:snapToGrid w:val="0"/>
        <w:spacing w:line="360" w:lineRule="auto"/>
        <w:ind w:firstLine="480"/>
        <w:jc w:val="left"/>
        <w:textAlignment w:val="auto"/>
        <w:rPr>
          <w:rFonts w:ascii="宋体" w:hAnsi="宋体" w:cs="宋体"/>
          <w:b/>
          <w:bCs/>
          <w:color w:val="auto"/>
          <w:szCs w:val="21"/>
          <w:highlight w:val="none"/>
          <w:u w:val="single" w:color="000000"/>
        </w:rPr>
      </w:pPr>
      <w:r>
        <w:rPr>
          <w:rFonts w:hint="eastAsia" w:ascii="宋体" w:hAnsi="宋体" w:cs="宋体"/>
          <w:color w:val="auto"/>
          <w:kern w:val="0"/>
          <w:szCs w:val="21"/>
          <w:highlight w:val="none"/>
        </w:rPr>
        <w:t>（9）</w:t>
      </w:r>
      <w:r>
        <w:rPr>
          <w:rFonts w:hint="eastAsia" w:ascii="宋体" w:hAnsi="宋体" w:cs="宋体"/>
          <w:color w:val="auto"/>
          <w:szCs w:val="21"/>
          <w:highlight w:val="none"/>
        </w:rPr>
        <w:t>承包人提交的竣工资料的内容：</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color="000000"/>
        </w:rPr>
        <w:t>工程项目竣工通过验收后，</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需按杭州市规定要求在15个工作日内向</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报送竣工档案，竣工档案资料管理按国家规定、城建档案部门及</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的相关文件执行。</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在</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规定期限内整理完成符合要求的竣工资料，每推迟1天,罚</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1000元，扣完为止。</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需另行提供竣工图纸和资料，配合本项目的总体验收。工程结算必须在竣工档案通过验收后方可进行。</w:t>
      </w:r>
    </w:p>
    <w:p w14:paraId="372BDDEE">
      <w:pPr>
        <w:pageBreakBefore w:val="0"/>
        <w:widowControl w:val="0"/>
        <w:kinsoku/>
        <w:wordWrap/>
        <w:overflowPunct/>
        <w:topLinePunct w:val="0"/>
        <w:bidi w:val="0"/>
        <w:snapToGrid w:val="0"/>
        <w:spacing w:line="360" w:lineRule="auto"/>
        <w:ind w:firstLine="630" w:firstLineChars="300"/>
        <w:jc w:val="left"/>
        <w:textAlignment w:val="auto"/>
        <w:rPr>
          <w:rFonts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color="000000"/>
        </w:rPr>
        <w:t>5套竣工图、3套竣工资料和电子版竣工图及资料光盘一张</w:t>
      </w:r>
      <w:r>
        <w:rPr>
          <w:rFonts w:hint="eastAsia" w:ascii="宋体" w:hAnsi="宋体" w:cs="宋体"/>
          <w:color w:val="auto"/>
          <w:szCs w:val="21"/>
          <w:highlight w:val="none"/>
        </w:rPr>
        <w:t>。</w:t>
      </w:r>
    </w:p>
    <w:p w14:paraId="1A60C247">
      <w:pPr>
        <w:pageBreakBefore w:val="0"/>
        <w:widowControl w:val="0"/>
        <w:kinsoku/>
        <w:wordWrap/>
        <w:overflowPunct/>
        <w:topLinePunct w:val="0"/>
        <w:bidi w:val="0"/>
        <w:snapToGrid w:val="0"/>
        <w:spacing w:line="360" w:lineRule="auto"/>
        <w:ind w:left="638" w:leftChars="304"/>
        <w:jc w:val="left"/>
        <w:textAlignment w:val="auto"/>
        <w:rPr>
          <w:rFonts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color="000000"/>
        </w:rPr>
        <w:t>由承包人承担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41C4378">
      <w:pPr>
        <w:pageBreakBefore w:val="0"/>
        <w:widowControl w:val="0"/>
        <w:kinsoku/>
        <w:wordWrap/>
        <w:overflowPunct/>
        <w:topLinePunct w:val="0"/>
        <w:bidi w:val="0"/>
        <w:snapToGrid w:val="0"/>
        <w:spacing w:line="360" w:lineRule="auto"/>
        <w:ind w:left="638" w:leftChars="304"/>
        <w:jc w:val="left"/>
        <w:textAlignment w:val="auto"/>
        <w:rPr>
          <w:rFonts w:ascii="宋体" w:hAnsi="宋体" w:cs="宋体"/>
          <w:color w:val="auto"/>
          <w:szCs w:val="21"/>
          <w:highlight w:val="none"/>
        </w:rPr>
      </w:pPr>
      <w:r>
        <w:rPr>
          <w:rFonts w:hint="eastAsia" w:ascii="宋体" w:hAnsi="宋体" w:cs="宋体"/>
          <w:color w:val="auto"/>
          <w:szCs w:val="21"/>
          <w:highlight w:val="none"/>
        </w:rPr>
        <w:t>承包人提交的竣工资料移交时间：</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color="000000"/>
        </w:rPr>
        <w:t>竣工验收合格后28天内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27AD74A">
      <w:pPr>
        <w:pageBreakBefore w:val="0"/>
        <w:widowControl w:val="0"/>
        <w:kinsoku/>
        <w:wordWrap/>
        <w:overflowPunct/>
        <w:topLinePunct w:val="0"/>
        <w:bidi w:val="0"/>
        <w:snapToGrid w:val="0"/>
        <w:spacing w:line="360" w:lineRule="auto"/>
        <w:ind w:firstLine="630" w:firstLineChars="3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书面形式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5021B79">
      <w:pPr>
        <w:pageBreakBefore w:val="0"/>
        <w:widowControl w:val="0"/>
        <w:numPr>
          <w:ilvl w:val="0"/>
          <w:numId w:val="2"/>
        </w:numPr>
        <w:kinsoku/>
        <w:wordWrap/>
        <w:overflowPunct/>
        <w:topLinePunct w:val="0"/>
        <w:bidi w:val="0"/>
        <w:snapToGrid w:val="0"/>
        <w:spacing w:line="360" w:lineRule="auto"/>
        <w:ind w:firstLine="48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承包人应履行的其他义务：</w:t>
      </w:r>
    </w:p>
    <w:p w14:paraId="4B4C5D92">
      <w:pPr>
        <w:pageBreakBefore w:val="0"/>
        <w:widowControl w:val="0"/>
        <w:kinsoku/>
        <w:wordWrap/>
        <w:overflowPunct/>
        <w:topLinePunct w:val="0"/>
        <w:bidi w:val="0"/>
        <w:snapToGrid w:val="0"/>
        <w:spacing w:line="360" w:lineRule="auto"/>
        <w:ind w:firstLine="420" w:firstLineChars="20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val="single" w:color="000000"/>
        </w:rPr>
        <w:t>a.需由设计资质等级和业务范围允许的承包人完成的设计文件提交时间：</w:t>
      </w:r>
    </w:p>
    <w:p w14:paraId="6FF51927">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val="single" w:color="000000"/>
        </w:rPr>
      </w:pPr>
      <w:r>
        <w:rPr>
          <w:rFonts w:hint="eastAsia" w:ascii="宋体" w:hAnsi="宋体" w:cs="宋体"/>
          <w:color w:val="auto"/>
          <w:szCs w:val="21"/>
          <w:highlight w:val="none"/>
          <w:u w:val="single" w:color="000000"/>
        </w:rPr>
        <w:t>b.应提供计划、报表的名称及完成时间：</w:t>
      </w:r>
      <w:r>
        <w:rPr>
          <w:rFonts w:hint="eastAsia" w:ascii="宋体" w:hAnsi="宋体" w:cs="宋体"/>
          <w:b/>
          <w:bCs/>
          <w:color w:val="auto"/>
          <w:szCs w:val="21"/>
          <w:highlight w:val="none"/>
          <w:u w:val="single" w:color="000000"/>
        </w:rPr>
        <w:t>开工前10天提供施工组织设计及施工详细的工期、质量、安全文明保证措施，并报监理工程师审定，每月25日前向监理工程师提交当月己完成工程量月报表、施工形象月报表、下个月进度计划。</w:t>
      </w:r>
    </w:p>
    <w:p w14:paraId="3E2BB3FD">
      <w:pPr>
        <w:pageBreakBefore w:val="0"/>
        <w:widowControl w:val="0"/>
        <w:kinsoku/>
        <w:wordWrap/>
        <w:overflowPunct/>
        <w:topLinePunct w:val="0"/>
        <w:bidi w:val="0"/>
        <w:snapToGrid w:val="0"/>
        <w:spacing w:line="360" w:lineRule="auto"/>
        <w:ind w:firstLine="480"/>
        <w:textAlignment w:val="auto"/>
        <w:rPr>
          <w:rFonts w:ascii="宋体" w:hAnsi="宋体" w:cs="宋体"/>
          <w:b/>
          <w:bCs/>
          <w:color w:val="auto"/>
          <w:szCs w:val="21"/>
          <w:highlight w:val="none"/>
          <w:u w:val="single" w:color="000000"/>
        </w:rPr>
      </w:pPr>
      <w:r>
        <w:rPr>
          <w:rFonts w:hint="eastAsia" w:ascii="宋体" w:hAnsi="宋体" w:cs="宋体"/>
          <w:color w:val="auto"/>
          <w:szCs w:val="21"/>
          <w:highlight w:val="none"/>
          <w:u w:val="single" w:color="000000"/>
        </w:rPr>
        <w:t>c.承担施工安全保卫工作及非夜间施工照明的责任和要求：</w:t>
      </w:r>
      <w:r>
        <w:rPr>
          <w:rFonts w:hint="eastAsia" w:ascii="宋体" w:hAnsi="宋体" w:cs="宋体"/>
          <w:b/>
          <w:bCs/>
          <w:color w:val="auto"/>
          <w:szCs w:val="21"/>
          <w:highlight w:val="none"/>
          <w:u w:val="single" w:color="000000"/>
        </w:rPr>
        <w:t>由承包人负责，并承担相应费用。承办施工暂住人口证手续以及计划生育手续，施工现场的夜间照明线路必须单独敷设。切实履行工地治安，生产安全的责任和义务，并承担所有安全保卫责任以及引起的所有的经济和法律责任，确保安全文明施工。</w:t>
      </w:r>
    </w:p>
    <w:p w14:paraId="6A003B3D">
      <w:pPr>
        <w:pageBreakBefore w:val="0"/>
        <w:widowControl w:val="0"/>
        <w:kinsoku/>
        <w:wordWrap/>
        <w:overflowPunct/>
        <w:topLinePunct w:val="0"/>
        <w:bidi w:val="0"/>
        <w:snapToGrid w:val="0"/>
        <w:spacing w:line="360" w:lineRule="auto"/>
        <w:ind w:firstLine="482"/>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d.向发包人提供的办公和生活房屋及设施的要求：无</w:t>
      </w:r>
    </w:p>
    <w:p w14:paraId="004BEBD0">
      <w:pPr>
        <w:pageBreakBefore w:val="0"/>
        <w:widowControl w:val="0"/>
        <w:kinsoku/>
        <w:wordWrap/>
        <w:overflowPunct/>
        <w:topLinePunct w:val="0"/>
        <w:bidi w:val="0"/>
        <w:snapToGrid w:val="0"/>
        <w:spacing w:line="360" w:lineRule="auto"/>
        <w:ind w:firstLine="482"/>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e.需承包人办理的有关施工场地交通、环卫和施工噪音管理等手续：由承包人按杭州市建委、安监、环保、行政执法、创建办等部门的相关规定实施标化施工管理，并承担相关费用。</w:t>
      </w:r>
    </w:p>
    <w:p w14:paraId="023599DF">
      <w:pPr>
        <w:pageBreakBefore w:val="0"/>
        <w:widowControl w:val="0"/>
        <w:kinsoku/>
        <w:wordWrap/>
        <w:overflowPunct/>
        <w:topLinePunct w:val="0"/>
        <w:bidi w:val="0"/>
        <w:snapToGrid w:val="0"/>
        <w:spacing w:line="360" w:lineRule="auto"/>
        <w:ind w:firstLine="482"/>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f.已完工程成品保护的特殊要求及费用承担：承包人承担总包范围内工程成品保护与维修的责任及相关费用。</w:t>
      </w:r>
    </w:p>
    <w:p w14:paraId="52A72B5E">
      <w:pPr>
        <w:pageBreakBefore w:val="0"/>
        <w:widowControl w:val="0"/>
        <w:kinsoku/>
        <w:wordWrap/>
        <w:overflowPunct/>
        <w:topLinePunct w:val="0"/>
        <w:bidi w:val="0"/>
        <w:snapToGrid w:val="0"/>
        <w:spacing w:line="360" w:lineRule="auto"/>
        <w:ind w:firstLine="482"/>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g.施工场地周围地下管线和邻近建筑物、构筑物（含文物保护建筑）、古树名木的保护要求及费用承担：承包人应做好施工场地周围地下管线和邻近建筑物、构筑物的保护工作并承担费用，除文物、古树名木保护外经发包人认可发生的费用，由发包人承担，其余因施工不当等承包人原因，发生的法律责任和经济损失由承包人承担。</w:t>
      </w:r>
    </w:p>
    <w:p w14:paraId="4CA11193">
      <w:pPr>
        <w:pageBreakBefore w:val="0"/>
        <w:widowControl w:val="0"/>
        <w:kinsoku/>
        <w:wordWrap/>
        <w:overflowPunct/>
        <w:topLinePunct w:val="0"/>
        <w:bidi w:val="0"/>
        <w:snapToGrid w:val="0"/>
        <w:spacing w:line="360" w:lineRule="auto"/>
        <w:ind w:firstLine="482"/>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h.施工场地清洁卫生的要求：每天清扫一次，现场公共部位的清洁工作，工程完工交付3天内现场应清除所有不再需要的临时工程，承包人的设备和多余材料，全部建筑和生活垃圾。</w:t>
      </w:r>
    </w:p>
    <w:p w14:paraId="583221B4">
      <w:pPr>
        <w:pageBreakBefore w:val="0"/>
        <w:widowControl w:val="0"/>
        <w:kinsoku/>
        <w:wordWrap/>
        <w:overflowPunct/>
        <w:topLinePunct w:val="0"/>
        <w:bidi w:val="0"/>
        <w:snapToGrid w:val="0"/>
        <w:spacing w:line="360" w:lineRule="auto"/>
        <w:ind w:firstLine="482"/>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i.双方约定承包人应做的其他工作：施工期间，休息时段（早、中、晚）施工场地应不影响周边相关人员正常通行。积极配合发包人要求的其他工作。</w:t>
      </w:r>
    </w:p>
    <w:p w14:paraId="635745EF">
      <w:pPr>
        <w:pageBreakBefore w:val="0"/>
        <w:widowControl w:val="0"/>
        <w:kinsoku/>
        <w:wordWrap/>
        <w:overflowPunct/>
        <w:topLinePunct w:val="0"/>
        <w:bidi w:val="0"/>
        <w:snapToGrid w:val="0"/>
        <w:spacing w:line="360" w:lineRule="auto"/>
        <w:ind w:firstLine="422" w:firstLineChars="200"/>
        <w:textAlignment w:val="auto"/>
        <w:rPr>
          <w:rFonts w:ascii="宋体" w:hAnsi="宋体" w:cs="宋体"/>
          <w:color w:val="auto"/>
          <w:szCs w:val="21"/>
          <w:highlight w:val="none"/>
        </w:rPr>
      </w:pPr>
      <w:r>
        <w:rPr>
          <w:rFonts w:hint="eastAsia" w:ascii="宋体" w:hAnsi="宋体" w:cs="宋体"/>
          <w:b/>
          <w:bCs/>
          <w:color w:val="auto"/>
          <w:szCs w:val="21"/>
          <w:highlight w:val="none"/>
          <w:u w:val="single" w:color="000000"/>
        </w:rPr>
        <w:t>j.其他：本项目部分施工现场与其他项目施工单位现场重合，承包人能积极配合其他施工单位施工需求。</w:t>
      </w:r>
    </w:p>
    <w:p w14:paraId="35AC6A32">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3.2 项目经理</w:t>
      </w:r>
    </w:p>
    <w:p w14:paraId="0AC476C8">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14:paraId="650DBC17">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6392F934">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2F343875">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E11FF57">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784CBF14">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331BA276">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4E0B2A6F">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05FA32C0">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06D8DD1">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C0B69BA">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承包人对项目经理的授权范围如下：</w:t>
      </w:r>
      <w:r>
        <w:rPr>
          <w:rFonts w:hint="eastAsia" w:ascii="宋体" w:hAnsi="宋体" w:cs="宋体"/>
          <w:color w:val="auto"/>
          <w:szCs w:val="21"/>
          <w:highlight w:val="none"/>
          <w:u w:val="single"/>
        </w:rPr>
        <w:t></w:t>
      </w:r>
      <w:r>
        <w:rPr>
          <w:rFonts w:hint="eastAsia" w:ascii="宋体" w:hAnsi="宋体" w:cs="宋体"/>
          <w:b/>
          <w:bCs/>
          <w:color w:val="auto"/>
          <w:szCs w:val="21"/>
          <w:highlight w:val="none"/>
          <w:u w:val="single" w:color="000000"/>
        </w:rPr>
        <w:t>全面负责本工程的质量、安全、工期及成本控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20A1695">
      <w:pPr>
        <w:pageBreakBefore w:val="0"/>
        <w:widowControl w:val="0"/>
        <w:kinsoku/>
        <w:wordWrap/>
        <w:overflowPunct/>
        <w:topLinePunct w:val="0"/>
        <w:bidi w:val="0"/>
        <w:snapToGrid w:val="0"/>
        <w:spacing w:line="360" w:lineRule="auto"/>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color="000000"/>
        </w:rPr>
        <w:t>派驻本工程的项目经理承诺不得低于（</w:t>
      </w:r>
      <w:r>
        <w:rPr>
          <w:rFonts w:hint="eastAsia" w:ascii="宋体" w:hAnsi="宋体" w:cs="宋体"/>
          <w:b/>
          <w:bCs/>
          <w:color w:val="auto"/>
          <w:szCs w:val="21"/>
          <w:highlight w:val="none"/>
          <w:u w:val="single" w:color="000000"/>
          <w:lang w:val="en-US" w:eastAsia="zh-CN"/>
        </w:rPr>
        <w:t xml:space="preserve">      </w:t>
      </w:r>
      <w:r>
        <w:rPr>
          <w:rFonts w:hint="eastAsia" w:ascii="宋体" w:hAnsi="宋体" w:cs="宋体"/>
          <w:b/>
          <w:bCs/>
          <w:color w:val="auto"/>
          <w:szCs w:val="21"/>
          <w:highlight w:val="none"/>
          <w:u w:val="single" w:color="000000"/>
        </w:rPr>
        <w:t>）%(以合同工期为准)，其他项目管理班子人员100%到位，并必须严格按照投标文件项目班子成员全部到位。若在工程实施过程中到岗、到位率达不到承诺，由发包人没收相应履约保证金，同时按下列标准向发包人支付违约金：承诺项目经理到位率不足时按人民币2000元/天支付违约金；承诺技术负责人、施工负责人到位率不足时按人民币2000元/天支付违约金；承诺施工员、质量员、安全员等管理人员到位率不足时按人民币1000元/天支付违约金，上述扣款在支付工程进度款中逐期扣除</w:t>
      </w:r>
      <w:r>
        <w:rPr>
          <w:rFonts w:hint="eastAsia" w:ascii="宋体" w:hAnsi="宋体" w:cs="宋体"/>
          <w:color w:val="auto"/>
          <w:szCs w:val="21"/>
          <w:highlight w:val="none"/>
        </w:rPr>
        <w:t>。</w:t>
      </w:r>
    </w:p>
    <w:p w14:paraId="47452CA2">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承包人未提交劳动合同，以及没有为项目经理缴纳社会保险证明的违约责任：</w:t>
      </w:r>
      <w:r>
        <w:rPr>
          <w:rFonts w:hint="eastAsia" w:ascii="宋体" w:hAnsi="宋体" w:cs="宋体"/>
          <w:b/>
          <w:bCs/>
          <w:color w:val="auto"/>
          <w:szCs w:val="21"/>
          <w:highlight w:val="none"/>
          <w:u w:val="single" w:color="000000"/>
        </w:rPr>
        <w:t>责令承包人改正，并从结算款中扣除 5000元的违约金。</w:t>
      </w:r>
    </w:p>
    <w:p w14:paraId="376A47DC">
      <w:pPr>
        <w:pageBreakBefore w:val="0"/>
        <w:widowControl w:val="0"/>
        <w:kinsoku/>
        <w:wordWrap/>
        <w:overflowPunct/>
        <w:topLinePunct w:val="0"/>
        <w:bidi w:val="0"/>
        <w:snapToGrid w:val="0"/>
        <w:spacing w:line="360" w:lineRule="auto"/>
        <w:ind w:firstLine="420" w:firstLineChars="200"/>
        <w:textAlignment w:val="auto"/>
        <w:rPr>
          <w:rFonts w:ascii="宋体" w:hAnsi="宋体" w:cs="宋体"/>
          <w:b/>
          <w:bCs/>
          <w:color w:val="auto"/>
          <w:szCs w:val="21"/>
          <w:highlight w:val="none"/>
          <w:u w:color="000000"/>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b/>
          <w:bCs/>
          <w:color w:val="auto"/>
          <w:szCs w:val="21"/>
          <w:highlight w:val="none"/>
          <w:u w:val="single" w:color="000000"/>
        </w:rPr>
        <w:t>承包人中标</w:t>
      </w:r>
      <w:r>
        <w:rPr>
          <w:rFonts w:hint="eastAsia" w:ascii="宋体" w:hAnsi="宋体" w:cs="宋体"/>
          <w:b/>
          <w:bCs/>
          <w:color w:val="auto"/>
          <w:szCs w:val="21"/>
          <w:highlight w:val="none"/>
          <w:u w:val="single" w:color="000000"/>
          <w:lang w:eastAsia="zh-CN"/>
        </w:rPr>
        <w:t>项目经理</w:t>
      </w:r>
      <w:r>
        <w:rPr>
          <w:rFonts w:hint="eastAsia" w:ascii="宋体" w:hAnsi="宋体" w:cs="宋体"/>
          <w:b/>
          <w:bCs/>
          <w:color w:val="auto"/>
          <w:szCs w:val="21"/>
          <w:highlight w:val="none"/>
          <w:u w:val="single" w:color="000000"/>
        </w:rPr>
        <w:t>施工期间离岗二天以上必须经发包人同意，如发现</w:t>
      </w:r>
      <w:r>
        <w:rPr>
          <w:rFonts w:hint="eastAsia" w:ascii="宋体" w:hAnsi="宋体" w:cs="宋体"/>
          <w:b/>
          <w:bCs/>
          <w:color w:val="auto"/>
          <w:szCs w:val="21"/>
          <w:highlight w:val="none"/>
          <w:u w:val="single" w:color="000000"/>
          <w:lang w:eastAsia="zh-CN"/>
        </w:rPr>
        <w:t>项目经理</w:t>
      </w:r>
      <w:r>
        <w:rPr>
          <w:rFonts w:hint="eastAsia" w:ascii="宋体" w:hAnsi="宋体" w:cs="宋体"/>
          <w:b/>
          <w:bCs/>
          <w:color w:val="auto"/>
          <w:szCs w:val="21"/>
          <w:highlight w:val="none"/>
          <w:u w:val="single" w:color="000000"/>
        </w:rPr>
        <w:t>不在现场组织施工，发包人有权按违约处理，并有权单方中止合同，后果由承包人负责</w:t>
      </w:r>
      <w:r>
        <w:rPr>
          <w:rFonts w:hint="eastAsia" w:ascii="宋体" w:hAnsi="宋体" w:cs="宋体"/>
          <w:b/>
          <w:bCs/>
          <w:color w:val="auto"/>
          <w:szCs w:val="21"/>
          <w:highlight w:val="none"/>
          <w:u w:color="000000"/>
        </w:rPr>
        <w:t>。</w:t>
      </w:r>
    </w:p>
    <w:p w14:paraId="73F3EBFB">
      <w:pPr>
        <w:pageBreakBefore w:val="0"/>
        <w:widowControl w:val="0"/>
        <w:kinsoku/>
        <w:wordWrap/>
        <w:overflowPunct/>
        <w:topLinePunct w:val="0"/>
        <w:bidi w:val="0"/>
        <w:snapToGrid w:val="0"/>
        <w:spacing w:line="360" w:lineRule="auto"/>
        <w:ind w:firstLine="482"/>
        <w:textAlignment w:val="auto"/>
        <w:rPr>
          <w:rFonts w:ascii="宋体" w:hAnsi="宋体" w:cs="宋体"/>
          <w:color w:val="auto"/>
          <w:szCs w:val="21"/>
          <w:highlight w:val="none"/>
        </w:rPr>
      </w:pPr>
      <w:r>
        <w:rPr>
          <w:rFonts w:hint="eastAsia" w:ascii="宋体" w:hAnsi="宋体" w:cs="宋体"/>
          <w:color w:val="auto"/>
          <w:szCs w:val="21"/>
          <w:highlight w:val="none"/>
        </w:rPr>
        <w:t>3.2.3 承包人擅自更换项目经理的违约责任：</w:t>
      </w:r>
    </w:p>
    <w:p w14:paraId="32D12BCB">
      <w:pPr>
        <w:pageBreakBefore w:val="0"/>
        <w:widowControl w:val="0"/>
        <w:kinsoku/>
        <w:wordWrap/>
        <w:overflowPunct/>
        <w:topLinePunct w:val="0"/>
        <w:bidi w:val="0"/>
        <w:snapToGrid w:val="0"/>
        <w:spacing w:line="360" w:lineRule="auto"/>
        <w:ind w:firstLine="482"/>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（1）承包人确需更换项目经理的，继任项目经理注册执业资格、管理经验的约定：</w:t>
      </w:r>
      <w:r>
        <w:rPr>
          <w:rFonts w:hint="eastAsia" w:ascii="宋体" w:hAnsi="宋体" w:cs="宋体"/>
          <w:b/>
          <w:bCs/>
          <w:color w:val="auto"/>
          <w:szCs w:val="21"/>
          <w:highlight w:val="none"/>
          <w:u w:val="single" w:color="000000"/>
        </w:rPr>
        <w:t xml:space="preserve">不得低于原项目经理的注册执业资格、管理经验   </w:t>
      </w:r>
      <w:r>
        <w:rPr>
          <w:rFonts w:hint="eastAsia" w:ascii="宋体" w:hAnsi="宋体" w:cs="宋体"/>
          <w:b/>
          <w:bCs/>
          <w:color w:val="auto"/>
          <w:szCs w:val="21"/>
          <w:highlight w:val="none"/>
          <w:u w:color="000000"/>
        </w:rPr>
        <w:t>。</w:t>
      </w:r>
    </w:p>
    <w:p w14:paraId="3AB9C1D4">
      <w:pPr>
        <w:pageBreakBefore w:val="0"/>
        <w:widowControl w:val="0"/>
        <w:kinsoku/>
        <w:wordWrap/>
        <w:overflowPunct/>
        <w:topLinePunct w:val="0"/>
        <w:bidi w:val="0"/>
        <w:snapToGrid w:val="0"/>
        <w:spacing w:line="360" w:lineRule="auto"/>
        <w:ind w:firstLine="482"/>
        <w:textAlignment w:val="auto"/>
        <w:rPr>
          <w:rFonts w:ascii="宋体" w:hAnsi="宋体" w:cs="宋体"/>
          <w:color w:val="auto"/>
          <w:szCs w:val="21"/>
          <w:highlight w:val="none"/>
        </w:rPr>
      </w:pPr>
      <w:r>
        <w:rPr>
          <w:rFonts w:hint="eastAsia" w:ascii="宋体" w:hAnsi="宋体" w:cs="宋体"/>
          <w:b/>
          <w:bCs/>
          <w:color w:val="auto"/>
          <w:szCs w:val="21"/>
          <w:highlight w:val="none"/>
          <w:u w:color="000000"/>
        </w:rPr>
        <w:t>（</w:t>
      </w:r>
      <w:r>
        <w:rPr>
          <w:rFonts w:hint="eastAsia" w:ascii="宋体" w:hAnsi="宋体" w:cs="宋体"/>
          <w:color w:val="auto"/>
          <w:szCs w:val="21"/>
          <w:highlight w:val="none"/>
          <w:u w:color="000000"/>
        </w:rPr>
        <w:t>2</w:t>
      </w:r>
      <w:r>
        <w:rPr>
          <w:rFonts w:hint="eastAsia" w:ascii="宋体" w:hAnsi="宋体" w:cs="宋体"/>
          <w:b/>
          <w:bCs/>
          <w:color w:val="auto"/>
          <w:szCs w:val="21"/>
          <w:highlight w:val="none"/>
          <w:u w:color="000000"/>
        </w:rPr>
        <w:t>）</w:t>
      </w:r>
      <w:r>
        <w:rPr>
          <w:rFonts w:hint="eastAsia" w:ascii="宋体" w:hAnsi="宋体" w:cs="宋体"/>
          <w:color w:val="auto"/>
          <w:szCs w:val="21"/>
          <w:highlight w:val="none"/>
          <w:u w:color="000000"/>
        </w:rPr>
        <w:t>承包人擅自更换项目经理的违约责任：</w:t>
      </w:r>
      <w:r>
        <w:rPr>
          <w:rFonts w:hint="eastAsia" w:ascii="宋体" w:hAnsi="宋体" w:cs="宋体"/>
          <w:b/>
          <w:bCs/>
          <w:color w:val="auto"/>
          <w:szCs w:val="21"/>
          <w:highlight w:val="none"/>
          <w:u w:val="single" w:color="000000"/>
        </w:rPr>
        <w:t>在施工期间不准更换，特殊情况要求更换的项目经理的，须经发包人同意。承包人更换项目经理的将被视为承包人违约，并按照 5000元/人·次付给发包人违约金</w:t>
      </w:r>
      <w:r>
        <w:rPr>
          <w:rFonts w:hint="eastAsia" w:ascii="宋体" w:hAnsi="宋体" w:cs="宋体"/>
          <w:color w:val="auto"/>
          <w:szCs w:val="21"/>
          <w:highlight w:val="none"/>
          <w:u w:color="000000"/>
        </w:rPr>
        <w:t>。</w:t>
      </w:r>
    </w:p>
    <w:p w14:paraId="3F7613F9">
      <w:pPr>
        <w:pageBreakBefore w:val="0"/>
        <w:widowControl w:val="0"/>
        <w:kinsoku/>
        <w:wordWrap/>
        <w:overflowPunct/>
        <w:topLinePunct w:val="0"/>
        <w:bidi w:val="0"/>
        <w:snapToGrid w:val="0"/>
        <w:spacing w:line="360" w:lineRule="auto"/>
        <w:ind w:firstLine="482"/>
        <w:textAlignment w:val="auto"/>
        <w:rPr>
          <w:rFonts w:ascii="宋体" w:hAnsi="宋体" w:cs="宋体"/>
          <w:color w:val="auto"/>
          <w:szCs w:val="21"/>
          <w:highlight w:val="none"/>
        </w:rPr>
      </w:pPr>
      <w:r>
        <w:rPr>
          <w:rFonts w:hint="eastAsia" w:ascii="宋体" w:hAnsi="宋体" w:cs="宋体"/>
          <w:color w:val="auto"/>
          <w:szCs w:val="21"/>
          <w:highlight w:val="none"/>
        </w:rPr>
        <w:t>3.2.4 承包人无正当理由拒绝更换项目经理的违约责任：</w:t>
      </w:r>
      <w:r>
        <w:rPr>
          <w:rFonts w:hint="eastAsia" w:ascii="宋体" w:hAnsi="宋体" w:cs="宋体"/>
          <w:b/>
          <w:bCs/>
          <w:color w:val="auto"/>
          <w:szCs w:val="21"/>
          <w:highlight w:val="none"/>
          <w:u w:val="single" w:color="000000"/>
        </w:rPr>
        <w:t>扣除全部履约保证金，情节严重的发包人有权单方解除合同</w:t>
      </w:r>
      <w:r>
        <w:rPr>
          <w:rFonts w:hint="eastAsia" w:ascii="宋体" w:hAnsi="宋体" w:cs="宋体"/>
          <w:color w:val="auto"/>
          <w:szCs w:val="21"/>
          <w:highlight w:val="none"/>
          <w:u w:color="000000"/>
        </w:rPr>
        <w:t>。</w:t>
      </w:r>
    </w:p>
    <w:p w14:paraId="604C2B0A">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3.3 承包人人员</w:t>
      </w:r>
    </w:p>
    <w:p w14:paraId="28192359">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3.3.1 承包人提交项目管理机构及施工现场管理人员安排报告的期限：</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 xml:space="preserve">开工后3天内  </w:t>
      </w:r>
      <w:r>
        <w:rPr>
          <w:rFonts w:hint="eastAsia" w:ascii="宋体" w:hAnsi="宋体" w:cs="宋体"/>
          <w:b/>
          <w:bCs/>
          <w:color w:val="auto"/>
          <w:szCs w:val="21"/>
          <w:highlight w:val="none"/>
          <w:u w:color="000000"/>
        </w:rPr>
        <w:t>。</w:t>
      </w:r>
    </w:p>
    <w:p w14:paraId="44185E1C">
      <w:pPr>
        <w:pageBreakBefore w:val="0"/>
        <w:widowControl w:val="0"/>
        <w:kinsoku/>
        <w:wordWrap/>
        <w:overflowPunct/>
        <w:topLinePunct w:val="0"/>
        <w:bidi w:val="0"/>
        <w:snapToGrid w:val="0"/>
        <w:spacing w:line="360" w:lineRule="auto"/>
        <w:ind w:firstLine="482"/>
        <w:jc w:val="left"/>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3.3.2 承包人需更换主要施工管理人员的，继任人员的数量、注册执业资格、管理经验的约定：</w:t>
      </w:r>
      <w:r>
        <w:rPr>
          <w:rFonts w:hint="eastAsia" w:ascii="宋体" w:hAnsi="宋体" w:cs="宋体"/>
          <w:b/>
          <w:bCs/>
          <w:color w:val="auto"/>
          <w:szCs w:val="21"/>
          <w:highlight w:val="none"/>
          <w:u w:val="single" w:color="000000"/>
        </w:rPr>
        <w:t>不得低于原项目经理的注册执业资格、管理经验。</w:t>
      </w:r>
    </w:p>
    <w:p w14:paraId="02B33AB2">
      <w:pPr>
        <w:pageBreakBefore w:val="0"/>
        <w:widowControl w:val="0"/>
        <w:kinsoku/>
        <w:wordWrap/>
        <w:overflowPunct/>
        <w:topLinePunct w:val="0"/>
        <w:bidi w:val="0"/>
        <w:snapToGrid w:val="0"/>
        <w:spacing w:line="360" w:lineRule="auto"/>
        <w:ind w:firstLine="480"/>
        <w:textAlignment w:val="auto"/>
        <w:rPr>
          <w:rFonts w:ascii="宋体" w:hAnsi="宋体" w:cs="宋体"/>
          <w:b/>
          <w:bCs/>
          <w:color w:val="auto"/>
          <w:szCs w:val="21"/>
          <w:highlight w:val="none"/>
          <w:u w:val="single" w:color="000000"/>
        </w:rPr>
      </w:pPr>
      <w:r>
        <w:rPr>
          <w:rFonts w:hint="eastAsia" w:ascii="宋体" w:hAnsi="宋体" w:cs="宋体"/>
          <w:color w:val="auto"/>
          <w:szCs w:val="21"/>
          <w:highlight w:val="none"/>
          <w:u w:color="000000"/>
        </w:rPr>
        <w:t>3.3.3 承包人无正当理由拒绝撤换主要施工管理人员的违约责任：</w:t>
      </w:r>
      <w:r>
        <w:rPr>
          <w:rFonts w:hint="eastAsia" w:ascii="宋体" w:hAnsi="宋体" w:cs="宋体"/>
          <w:b/>
          <w:bCs/>
          <w:color w:val="auto"/>
          <w:szCs w:val="21"/>
          <w:highlight w:val="none"/>
          <w:u w:val="single" w:color="000000"/>
        </w:rPr>
        <w:t>从结算款中扣除 2 万元/人/次的违约金。</w:t>
      </w:r>
    </w:p>
    <w:p w14:paraId="356DC5E1">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 xml:space="preserve">3.3.4 承包人主要施工管理人员离开施工现场的批准要求： </w:t>
      </w:r>
      <w:r>
        <w:rPr>
          <w:rFonts w:hint="eastAsia" w:ascii="宋体" w:hAnsi="宋体" w:cs="宋体"/>
          <w:color w:val="auto"/>
          <w:szCs w:val="21"/>
          <w:highlight w:val="none"/>
          <w:u w:val="single" w:color="000000"/>
        </w:rPr>
        <w:t>按通用条款执行</w:t>
      </w:r>
      <w:r>
        <w:rPr>
          <w:rFonts w:hint="eastAsia" w:ascii="宋体" w:hAnsi="宋体" w:cs="宋体"/>
          <w:color w:val="auto"/>
          <w:szCs w:val="21"/>
          <w:highlight w:val="none"/>
          <w:u w:color="000000"/>
        </w:rPr>
        <w:t>。</w:t>
      </w:r>
    </w:p>
    <w:p w14:paraId="55904EFE">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3.3.5承包人擅自更换主要施工管理人员的违约责任：</w:t>
      </w:r>
      <w:r>
        <w:rPr>
          <w:rFonts w:hint="eastAsia" w:ascii="宋体" w:hAnsi="宋体" w:cs="宋体"/>
          <w:color w:val="auto"/>
          <w:szCs w:val="21"/>
          <w:highlight w:val="none"/>
          <w:u w:val="single" w:color="000000"/>
        </w:rPr>
        <w:t>扣除全部履约保证金</w:t>
      </w:r>
      <w:r>
        <w:rPr>
          <w:rFonts w:hint="eastAsia" w:ascii="宋体" w:hAnsi="宋体" w:cs="宋体"/>
          <w:color w:val="auto"/>
          <w:szCs w:val="21"/>
          <w:highlight w:val="none"/>
          <w:u w:color="000000"/>
        </w:rPr>
        <w:t xml:space="preserve">     </w:t>
      </w:r>
    </w:p>
    <w:p w14:paraId="3F6EE82E">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包人主要施工管理人员擅自离开施工现场的违约责任：</w:t>
      </w:r>
      <w:r>
        <w:rPr>
          <w:rFonts w:hint="eastAsia" w:ascii="宋体" w:hAnsi="宋体" w:cs="宋体"/>
          <w:b/>
          <w:bCs/>
          <w:color w:val="auto"/>
          <w:szCs w:val="21"/>
          <w:highlight w:val="none"/>
          <w:u w:val="single" w:color="000000"/>
        </w:rPr>
        <w:t>若技术负责人、施工员出勤率不足投标承诺，支付违约金2000 元人民币/天/人；安全员、质检员、材料员出勤率不足投标承诺，支付违约金1000元人民币/天/人</w:t>
      </w:r>
      <w:r>
        <w:rPr>
          <w:rFonts w:hint="eastAsia" w:ascii="宋体" w:hAnsi="宋体" w:cs="宋体"/>
          <w:b/>
          <w:bCs/>
          <w:color w:val="auto"/>
          <w:szCs w:val="21"/>
          <w:highlight w:val="none"/>
          <w:u w:color="000000"/>
        </w:rPr>
        <w:t>。</w:t>
      </w:r>
    </w:p>
    <w:p w14:paraId="2FC7109E">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w:t>
      </w:r>
      <w:bookmarkStart w:id="505" w:name="_Toc297048345"/>
      <w:bookmarkStart w:id="506" w:name="_Toc296503159"/>
      <w:bookmarkStart w:id="507" w:name="_Toc296347158"/>
      <w:bookmarkStart w:id="508" w:name="_Toc303539102"/>
      <w:bookmarkStart w:id="509" w:name="_Toc296944498"/>
      <w:bookmarkStart w:id="510" w:name="_Toc300934945"/>
      <w:bookmarkStart w:id="511" w:name="_Toc292559869"/>
      <w:bookmarkStart w:id="512" w:name="_Toc296891199"/>
      <w:bookmarkStart w:id="513" w:name="_Toc312677988"/>
      <w:bookmarkStart w:id="514" w:name="_Toc304295523"/>
      <w:bookmarkStart w:id="515" w:name="_Toc292559364"/>
      <w:bookmarkStart w:id="516" w:name="_Toc296890987"/>
      <w:bookmarkStart w:id="517" w:name="_Toc296346660"/>
      <w:bookmarkStart w:id="518" w:name="_Toc297120459"/>
      <w:bookmarkStart w:id="519" w:name="_Toc297123492"/>
      <w:bookmarkStart w:id="520" w:name="_Toc297216151"/>
      <w:r>
        <w:rPr>
          <w:rFonts w:hint="eastAsia" w:ascii="宋体" w:hAnsi="宋体" w:cs="宋体"/>
          <w:color w:val="auto"/>
          <w:szCs w:val="21"/>
          <w:highlight w:val="none"/>
        </w:rPr>
        <w:t>.5 分包</w:t>
      </w:r>
    </w:p>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14:paraId="7A5EAD76">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w:t>
      </w:r>
      <w:bookmarkStart w:id="521" w:name="_Toc296944499"/>
      <w:bookmarkStart w:id="522" w:name="_Toc296503160"/>
      <w:bookmarkStart w:id="523" w:name="_Toc292559365"/>
      <w:bookmarkStart w:id="524" w:name="_Toc296891200"/>
      <w:bookmarkStart w:id="525" w:name="_Toc304295524"/>
      <w:bookmarkStart w:id="526" w:name="_Toc297048346"/>
      <w:bookmarkStart w:id="527" w:name="_Toc297216152"/>
      <w:bookmarkStart w:id="528" w:name="_Toc296347159"/>
      <w:bookmarkStart w:id="529" w:name="_Toc297123493"/>
      <w:bookmarkStart w:id="530" w:name="_Toc296346661"/>
      <w:bookmarkStart w:id="531" w:name="_Toc300934946"/>
      <w:bookmarkStart w:id="532" w:name="_Toc297120460"/>
      <w:bookmarkStart w:id="533" w:name="_Toc292559870"/>
      <w:bookmarkStart w:id="534" w:name="_Toc296890988"/>
      <w:bookmarkStart w:id="535" w:name="_Toc303539103"/>
      <w:bookmarkStart w:id="536" w:name="_Toc312677989"/>
      <w:bookmarkStart w:id="537" w:name="_Toc318581158"/>
      <w:r>
        <w:rPr>
          <w:rFonts w:hint="eastAsia" w:ascii="宋体" w:hAnsi="宋体" w:cs="宋体"/>
          <w:color w:val="auto"/>
          <w:szCs w:val="21"/>
          <w:highlight w:val="none"/>
        </w:rPr>
        <w:t>.5.1 分包的一般约定</w:t>
      </w:r>
    </w:p>
    <w:p w14:paraId="40BC4A80">
      <w:pPr>
        <w:pageBreakBefore w:val="0"/>
        <w:widowControl w:val="0"/>
        <w:kinsoku/>
        <w:wordWrap/>
        <w:overflowPunct/>
        <w:topLinePunct w:val="0"/>
        <w:bidi w:val="0"/>
        <w:snapToGrid w:val="0"/>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726E726">
      <w:pPr>
        <w:pageBreakBefore w:val="0"/>
        <w:widowControl w:val="0"/>
        <w:kinsoku/>
        <w:wordWrap/>
        <w:overflowPunct/>
        <w:topLinePunct w:val="0"/>
        <w:bidi w:val="0"/>
        <w:snapToGrid w:val="0"/>
        <w:spacing w:line="360" w:lineRule="auto"/>
        <w:jc w:val="left"/>
        <w:textAlignment w:val="auto"/>
        <w:rPr>
          <w:rFonts w:ascii="宋体" w:hAnsi="宋体" w:cs="宋体"/>
          <w:color w:val="auto"/>
          <w:szCs w:val="21"/>
          <w:highlight w:val="none"/>
          <w:u w:val="single"/>
        </w:rPr>
      </w:pPr>
      <w:r>
        <w:rPr>
          <w:rFonts w:hint="eastAsia" w:ascii="宋体" w:hAnsi="宋体" w:cs="宋体"/>
          <w:color w:val="auto"/>
          <w:szCs w:val="21"/>
          <w:highlight w:val="none"/>
        </w:rPr>
        <w:t>主体结构、关键性工作的范围：</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Start w:id="538" w:name="_Toc297216153"/>
      <w:bookmarkStart w:id="539" w:name="_Toc297048347"/>
      <w:bookmarkStart w:id="540" w:name="_Toc300934947"/>
      <w:bookmarkStart w:id="541" w:name="_Toc296890989"/>
      <w:bookmarkStart w:id="542" w:name="_Toc296503161"/>
      <w:bookmarkStart w:id="543" w:name="_Toc304295525"/>
      <w:bookmarkStart w:id="544" w:name="_Toc296944500"/>
      <w:bookmarkStart w:id="545" w:name="_Toc296346662"/>
      <w:bookmarkStart w:id="546" w:name="_Toc297120461"/>
      <w:bookmarkStart w:id="547" w:name="_Toc297123494"/>
      <w:bookmarkStart w:id="548" w:name="_Toc296891201"/>
      <w:bookmarkStart w:id="549" w:name="_Toc303539104"/>
      <w:bookmarkStart w:id="550" w:name="_Toc296347160"/>
    </w:p>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14:paraId="1B407448">
      <w:pPr>
        <w:pageBreakBefore w:val="0"/>
        <w:widowControl w:val="0"/>
        <w:kinsoku/>
        <w:wordWrap/>
        <w:overflowPunct/>
        <w:topLinePunct w:val="0"/>
        <w:bidi w:val="0"/>
        <w:snapToGrid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 xml:space="preserve">    3</w:t>
      </w:r>
      <w:bookmarkStart w:id="551" w:name="_Toc318581159"/>
      <w:bookmarkStart w:id="552" w:name="_Toc312677990"/>
      <w:r>
        <w:rPr>
          <w:rFonts w:hint="eastAsia" w:ascii="宋体" w:hAnsi="宋体" w:cs="宋体"/>
          <w:color w:val="auto"/>
          <w:szCs w:val="21"/>
          <w:highlight w:val="none"/>
        </w:rPr>
        <w:t>.5.2分包的确定</w:t>
      </w:r>
    </w:p>
    <w:p w14:paraId="2BBF9230">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color w:val="auto"/>
          <w:szCs w:val="21"/>
          <w:highlight w:val="none"/>
          <w:u w:val="single"/>
        </w:rPr>
        <w:t></w:t>
      </w:r>
      <w:r>
        <w:rPr>
          <w:rFonts w:hint="eastAsia" w:ascii="宋体" w:hAnsi="宋体" w:cs="宋体"/>
          <w:b/>
          <w:bCs/>
          <w:color w:val="auto"/>
          <w:szCs w:val="21"/>
          <w:highlight w:val="none"/>
          <w:u w:val="single" w:color="000000"/>
        </w:rPr>
        <w:t>未经发包人同意，承包人不得将承包工程的任何部分分包，如发现擅自分包，除立即取消分包人的分包资格外，承包人还应按合同价的1%向发包人支付违约金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5286B12">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其他关于分包的约定：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2E321B59">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3.5.4 分包合同价款</w:t>
      </w:r>
    </w:p>
    <w:p w14:paraId="35DD79E5">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color="000000"/>
        </w:rPr>
        <w:t xml:space="preserve"> </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551"/>
    <w:bookmarkEnd w:id="552"/>
    <w:p w14:paraId="39597406">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3.6 工程照管与成品、半成品保护</w:t>
      </w:r>
    </w:p>
    <w:p w14:paraId="0C970FC5">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kern w:val="0"/>
          <w:szCs w:val="21"/>
          <w:highlight w:val="none"/>
          <w:u w:val="singl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color="000000"/>
        </w:rPr>
        <w:t>按通用合同条款执行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2CEEBD4">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3.7 履约担保</w:t>
      </w:r>
    </w:p>
    <w:p w14:paraId="26D82BC0">
      <w:pPr>
        <w:pageBreakBefore w:val="0"/>
        <w:widowControl w:val="0"/>
        <w:kinsoku/>
        <w:wordWrap/>
        <w:overflowPunct/>
        <w:topLinePunct w:val="0"/>
        <w:bidi w:val="0"/>
        <w:snapToGrid w:val="0"/>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承包人是否提供履约担保：</w:t>
      </w:r>
      <w:r>
        <w:rPr>
          <w:rFonts w:hint="eastAsia" w:ascii="宋体" w:hAnsi="宋体" w:cs="宋体"/>
          <w:color w:val="auto"/>
          <w:szCs w:val="21"/>
          <w:highlight w:val="none"/>
          <w:u w:val="single"/>
        </w:rPr>
        <w:t xml:space="preserve">   是      </w:t>
      </w:r>
      <w:r>
        <w:rPr>
          <w:rFonts w:hint="eastAsia" w:ascii="宋体" w:hAnsi="宋体" w:cs="宋体"/>
          <w:color w:val="auto"/>
          <w:szCs w:val="21"/>
          <w:highlight w:val="none"/>
        </w:rPr>
        <w:t>。</w:t>
      </w:r>
    </w:p>
    <w:p w14:paraId="056303E6">
      <w:pPr>
        <w:pageBreakBefore w:val="0"/>
        <w:widowControl w:val="0"/>
        <w:kinsoku/>
        <w:wordWrap/>
        <w:overflowPunct/>
        <w:topLinePunct w:val="0"/>
        <w:bidi w:val="0"/>
        <w:snapToGrid w:val="0"/>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承包人提供履约担保的形式、金额及期限的：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在合同签订后5日内，承包人向发包人支付合同价的1%的履约保证金，计    元；缴纳方式：转账、银行保函、商业保函等非现金形式缴纳，履约保证金待工程竣工验收合格后30天内归还，不计利息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9CCE6AD">
      <w:pPr>
        <w:pStyle w:val="6"/>
        <w:pageBreakBefore w:val="0"/>
        <w:widowControl w:val="0"/>
        <w:kinsoku/>
        <w:wordWrap/>
        <w:overflowPunct/>
        <w:topLinePunct w:val="0"/>
        <w:bidi w:val="0"/>
        <w:snapToGrid w:val="0"/>
        <w:spacing w:before="0" w:after="0" w:line="360" w:lineRule="auto"/>
        <w:textAlignment w:val="auto"/>
        <w:rPr>
          <w:rFonts w:ascii="宋体" w:hAnsi="宋体" w:eastAsia="宋体" w:cs="宋体"/>
          <w:b w:val="0"/>
          <w:color w:val="auto"/>
          <w:sz w:val="21"/>
          <w:szCs w:val="21"/>
          <w:highlight w:val="none"/>
        </w:rPr>
      </w:pPr>
      <w:bookmarkStart w:id="553" w:name="_Toc351203636"/>
      <w:r>
        <w:rPr>
          <w:rFonts w:hint="eastAsia" w:ascii="宋体" w:hAnsi="宋体" w:eastAsia="宋体" w:cs="宋体"/>
          <w:b w:val="0"/>
          <w:color w:val="auto"/>
          <w:sz w:val="21"/>
          <w:szCs w:val="21"/>
          <w:highlight w:val="none"/>
        </w:rPr>
        <w:t>4</w:t>
      </w:r>
      <w:bookmarkStart w:id="554" w:name="_Toc296346663"/>
      <w:bookmarkStart w:id="555" w:name="_Toc296944501"/>
      <w:bookmarkStart w:id="556" w:name="_Toc292559871"/>
      <w:bookmarkStart w:id="557" w:name="_Toc296347161"/>
      <w:bookmarkStart w:id="558" w:name="_Toc292559366"/>
      <w:bookmarkStart w:id="559" w:name="_Toc297120462"/>
      <w:bookmarkStart w:id="560" w:name="_Toc296890990"/>
      <w:bookmarkStart w:id="561" w:name="_Toc296891202"/>
      <w:bookmarkStart w:id="562" w:name="_Toc296503162"/>
      <w:bookmarkStart w:id="563" w:name="_Toc267251413"/>
      <w:bookmarkStart w:id="564" w:name="_Toc297048348"/>
      <w:r>
        <w:rPr>
          <w:rFonts w:hint="eastAsia" w:ascii="宋体" w:hAnsi="宋体" w:eastAsia="宋体" w:cs="宋体"/>
          <w:b w:val="0"/>
          <w:color w:val="auto"/>
          <w:sz w:val="21"/>
          <w:szCs w:val="21"/>
          <w:highlight w:val="none"/>
        </w:rPr>
        <w:t>. 监</w:t>
      </w:r>
      <w:bookmarkEnd w:id="554"/>
      <w:bookmarkEnd w:id="555"/>
      <w:bookmarkEnd w:id="556"/>
      <w:bookmarkEnd w:id="557"/>
      <w:bookmarkEnd w:id="558"/>
      <w:bookmarkEnd w:id="559"/>
      <w:bookmarkEnd w:id="560"/>
      <w:bookmarkEnd w:id="561"/>
      <w:bookmarkEnd w:id="562"/>
      <w:bookmarkEnd w:id="563"/>
      <w:bookmarkEnd w:id="564"/>
      <w:r>
        <w:rPr>
          <w:rFonts w:hint="eastAsia" w:ascii="宋体" w:hAnsi="宋体" w:eastAsia="宋体" w:cs="宋体"/>
          <w:b w:val="0"/>
          <w:color w:val="auto"/>
          <w:sz w:val="21"/>
          <w:szCs w:val="21"/>
          <w:highlight w:val="none"/>
        </w:rPr>
        <w:t>理人</w:t>
      </w:r>
      <w:bookmarkEnd w:id="553"/>
    </w:p>
    <w:p w14:paraId="2967E554">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4.1监理人的一般规定</w:t>
      </w:r>
    </w:p>
    <w:p w14:paraId="7D9BD0EC">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关于监理人的监理内容：</w:t>
      </w:r>
      <w:r>
        <w:rPr>
          <w:rFonts w:hint="eastAsia" w:ascii="宋体" w:hAnsi="宋体" w:cs="宋体"/>
          <w:color w:val="auto"/>
          <w:szCs w:val="21"/>
          <w:highlight w:val="none"/>
          <w:u w:val="single" w:color="000000"/>
        </w:rPr>
        <w:t xml:space="preserve">  本工程实施范围内的所有内容       </w:t>
      </w:r>
      <w:r>
        <w:rPr>
          <w:rFonts w:hint="eastAsia" w:ascii="宋体" w:hAnsi="宋体" w:cs="宋体"/>
          <w:color w:val="auto"/>
          <w:szCs w:val="21"/>
          <w:highlight w:val="none"/>
          <w:u w:color="000000"/>
        </w:rPr>
        <w:t>。</w:t>
      </w:r>
    </w:p>
    <w:p w14:paraId="778AAD4C">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关于监理人的监理权限：</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根据监理合同、施工承包合同和法律法规规定的事项代表发包人进行工程前期协调、施工现场协调、工程监理</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 xml:space="preserve">。 </w:t>
      </w:r>
    </w:p>
    <w:p w14:paraId="1371C9A0">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关于监理人在施工现场的办公场所、生活场所的提供和费用承担的约定：</w:t>
      </w:r>
      <w:r>
        <w:rPr>
          <w:rFonts w:hint="eastAsia" w:ascii="宋体" w:hAnsi="宋体" w:cs="宋体"/>
          <w:b/>
          <w:bCs/>
          <w:color w:val="auto"/>
          <w:szCs w:val="21"/>
          <w:highlight w:val="none"/>
          <w:u w:val="single"/>
        </w:rPr>
        <w:t>监</w:t>
      </w:r>
      <w:r>
        <w:rPr>
          <w:rFonts w:hint="eastAsia" w:ascii="宋体" w:hAnsi="宋体" w:cs="宋体"/>
          <w:b/>
          <w:bCs/>
          <w:color w:val="auto"/>
          <w:szCs w:val="21"/>
          <w:highlight w:val="none"/>
          <w:u w:val="single" w:color="000000"/>
        </w:rPr>
        <w:t>理人在施工现场的办公场所、生活场所由承包人提供，所发生的费用由承包人承担。如有其它费用由监理人自行承担</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6F9B5D06">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4.2 监理人员</w:t>
      </w:r>
    </w:p>
    <w:p w14:paraId="126684DA">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总监理工程师：</w:t>
      </w:r>
    </w:p>
    <w:p w14:paraId="41D84C35">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716A74E">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6144390">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296C8663">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BBDD747">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92C2317">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1E99513">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55C8F62">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4.4 商定或确定</w:t>
      </w:r>
    </w:p>
    <w:p w14:paraId="0A340824">
      <w:pPr>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rPr>
      </w:pPr>
      <w:bookmarkStart w:id="565" w:name="_Toc267251418"/>
      <w:r>
        <w:rPr>
          <w:rFonts w:hint="eastAsia" w:ascii="宋体" w:hAnsi="宋体" w:cs="宋体"/>
          <w:color w:val="auto"/>
          <w:szCs w:val="21"/>
          <w:highlight w:val="none"/>
        </w:rPr>
        <w:t>在发包人和承包人不能通过协商达成一致意见时，发包人授权监理人对以下事项进行确定：</w:t>
      </w:r>
    </w:p>
    <w:p w14:paraId="2289DD7F">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71E8172">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DC0C9E8">
      <w:pPr>
        <w:pageBreakBefore w:val="0"/>
        <w:widowControl w:val="0"/>
        <w:kinsoku/>
        <w:wordWrap/>
        <w:overflowPunct/>
        <w:topLinePunct w:val="0"/>
        <w:autoSpaceDE w:val="0"/>
        <w:autoSpaceDN w:val="0"/>
        <w:bidi w:val="0"/>
        <w:snapToGrid w:val="0"/>
        <w:spacing w:line="360" w:lineRule="auto"/>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E905668">
      <w:pPr>
        <w:pStyle w:val="6"/>
        <w:pageBreakBefore w:val="0"/>
        <w:widowControl w:val="0"/>
        <w:kinsoku/>
        <w:wordWrap/>
        <w:overflowPunct/>
        <w:topLinePunct w:val="0"/>
        <w:bidi w:val="0"/>
        <w:snapToGrid w:val="0"/>
        <w:spacing w:before="0" w:after="0" w:line="360" w:lineRule="auto"/>
        <w:textAlignment w:val="auto"/>
        <w:rPr>
          <w:rFonts w:ascii="宋体" w:hAnsi="宋体" w:eastAsia="宋体" w:cs="宋体"/>
          <w:b w:val="0"/>
          <w:color w:val="auto"/>
          <w:sz w:val="21"/>
          <w:szCs w:val="21"/>
          <w:highlight w:val="none"/>
        </w:rPr>
      </w:pPr>
      <w:bookmarkStart w:id="566" w:name="_Toc351203637"/>
      <w:r>
        <w:rPr>
          <w:rFonts w:hint="eastAsia" w:ascii="宋体" w:hAnsi="宋体" w:eastAsia="宋体" w:cs="宋体"/>
          <w:b w:val="0"/>
          <w:color w:val="auto"/>
          <w:sz w:val="21"/>
          <w:szCs w:val="21"/>
          <w:highlight w:val="none"/>
        </w:rPr>
        <w:t>5</w:t>
      </w:r>
      <w:bookmarkEnd w:id="565"/>
      <w:bookmarkStart w:id="567" w:name="_Toc296346664"/>
      <w:bookmarkStart w:id="568" w:name="_Toc296944502"/>
      <w:bookmarkStart w:id="569" w:name="_Toc297120463"/>
      <w:bookmarkStart w:id="570" w:name="_Toc292559872"/>
      <w:bookmarkStart w:id="571" w:name="_Toc297048349"/>
      <w:bookmarkStart w:id="572" w:name="_Toc296503163"/>
      <w:bookmarkStart w:id="573" w:name="_Toc296891203"/>
      <w:bookmarkStart w:id="574" w:name="_Toc292559367"/>
      <w:bookmarkStart w:id="575" w:name="_Toc296890991"/>
      <w:bookmarkStart w:id="576" w:name="_Toc296347162"/>
      <w:r>
        <w:rPr>
          <w:rFonts w:hint="eastAsia" w:ascii="宋体" w:hAnsi="宋体" w:eastAsia="宋体" w:cs="宋体"/>
          <w:b w:val="0"/>
          <w:color w:val="auto"/>
          <w:sz w:val="21"/>
          <w:szCs w:val="21"/>
          <w:highlight w:val="none"/>
        </w:rPr>
        <w:t>. 工程质量</w:t>
      </w:r>
      <w:bookmarkEnd w:id="566"/>
    </w:p>
    <w:bookmarkEnd w:id="567"/>
    <w:bookmarkEnd w:id="568"/>
    <w:bookmarkEnd w:id="569"/>
    <w:bookmarkEnd w:id="570"/>
    <w:bookmarkEnd w:id="571"/>
    <w:bookmarkEnd w:id="572"/>
    <w:bookmarkEnd w:id="573"/>
    <w:bookmarkEnd w:id="574"/>
    <w:bookmarkEnd w:id="575"/>
    <w:bookmarkEnd w:id="576"/>
    <w:p w14:paraId="13F0B167">
      <w:pPr>
        <w:pageBreakBefore w:val="0"/>
        <w:widowControl w:val="0"/>
        <w:kinsoku/>
        <w:wordWrap/>
        <w:overflowPunct/>
        <w:topLinePunct w:val="0"/>
        <w:bidi w:val="0"/>
        <w:snapToGrid w:val="0"/>
        <w:spacing w:line="360" w:lineRule="auto"/>
        <w:ind w:firstLine="478"/>
        <w:textAlignment w:val="auto"/>
        <w:rPr>
          <w:rFonts w:hint="eastAsia" w:ascii="宋体" w:hAnsi="宋体" w:cs="宋体"/>
          <w:color w:val="auto"/>
          <w:szCs w:val="21"/>
          <w:highlight w:val="none"/>
          <w:u w:color="000000"/>
        </w:rPr>
      </w:pPr>
      <w:r>
        <w:rPr>
          <w:rFonts w:hint="eastAsia" w:ascii="宋体" w:hAnsi="宋体" w:cs="宋体"/>
          <w:color w:val="auto"/>
          <w:szCs w:val="21"/>
          <w:highlight w:val="none"/>
          <w:u w:color="000000"/>
        </w:rPr>
        <w:t>5.1.1 特殊质量标准和要求：</w:t>
      </w:r>
    </w:p>
    <w:p w14:paraId="6E556777">
      <w:pPr>
        <w:pageBreakBefore w:val="0"/>
        <w:widowControl w:val="0"/>
        <w:kinsoku/>
        <w:wordWrap/>
        <w:overflowPunct/>
        <w:topLinePunct w:val="0"/>
        <w:bidi w:val="0"/>
        <w:snapToGrid w:val="0"/>
        <w:spacing w:line="360" w:lineRule="auto"/>
        <w:ind w:firstLine="478"/>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（1）满足国家或行业的现行的质量检验评定标准。</w:t>
      </w:r>
    </w:p>
    <w:p w14:paraId="5B78D8F4">
      <w:pPr>
        <w:pageBreakBefore w:val="0"/>
        <w:widowControl w:val="0"/>
        <w:kinsoku/>
        <w:wordWrap/>
        <w:overflowPunct/>
        <w:topLinePunct w:val="0"/>
        <w:bidi w:val="0"/>
        <w:snapToGrid w:val="0"/>
        <w:spacing w:line="360" w:lineRule="auto"/>
        <w:ind w:firstLine="472"/>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（2）如</w:t>
      </w:r>
      <w:r>
        <w:rPr>
          <w:rFonts w:hint="eastAsia" w:ascii="宋体" w:hAnsi="宋体" w:cs="宋体"/>
          <w:b/>
          <w:bCs/>
          <w:color w:val="auto"/>
          <w:szCs w:val="21"/>
          <w:highlight w:val="none"/>
          <w:u w:color="000000"/>
          <w:lang w:eastAsia="zh-CN"/>
        </w:rPr>
        <w:t>承包方</w:t>
      </w:r>
      <w:r>
        <w:rPr>
          <w:rFonts w:hint="eastAsia" w:ascii="宋体" w:hAnsi="宋体" w:cs="宋体"/>
          <w:b/>
          <w:bCs/>
          <w:color w:val="auto"/>
          <w:szCs w:val="21"/>
          <w:highlight w:val="none"/>
          <w:u w:color="000000"/>
        </w:rPr>
        <w:t>工程实体质量屡次发生质量事故，或有证据表明有偷工减料的事实发生、</w:t>
      </w:r>
      <w:r>
        <w:rPr>
          <w:rFonts w:hint="eastAsia" w:ascii="宋体" w:hAnsi="宋体" w:cs="宋体"/>
          <w:b/>
          <w:bCs/>
          <w:color w:val="auto"/>
          <w:szCs w:val="21"/>
          <w:highlight w:val="none"/>
          <w:u w:color="000000"/>
          <w:lang w:eastAsia="zh-CN"/>
        </w:rPr>
        <w:t>承包方</w:t>
      </w:r>
      <w:r>
        <w:rPr>
          <w:rFonts w:hint="eastAsia" w:ascii="宋体" w:hAnsi="宋体" w:cs="宋体"/>
          <w:b/>
          <w:bCs/>
          <w:color w:val="auto"/>
          <w:szCs w:val="21"/>
          <w:highlight w:val="none"/>
          <w:u w:color="000000"/>
        </w:rPr>
        <w:t>对</w:t>
      </w:r>
      <w:r>
        <w:rPr>
          <w:rFonts w:hint="eastAsia" w:ascii="宋体" w:hAnsi="宋体" w:cs="宋体"/>
          <w:b/>
          <w:bCs/>
          <w:color w:val="auto"/>
          <w:szCs w:val="21"/>
          <w:highlight w:val="none"/>
          <w:u w:color="000000"/>
          <w:lang w:eastAsia="zh-CN"/>
        </w:rPr>
        <w:t>发包方</w:t>
      </w:r>
      <w:r>
        <w:rPr>
          <w:rFonts w:hint="eastAsia" w:ascii="宋体" w:hAnsi="宋体" w:cs="宋体"/>
          <w:b/>
          <w:bCs/>
          <w:color w:val="auto"/>
          <w:szCs w:val="21"/>
          <w:highlight w:val="none"/>
          <w:u w:color="000000"/>
        </w:rPr>
        <w:t>、监理的合理指令及质量要求拒不执行等，</w:t>
      </w:r>
      <w:r>
        <w:rPr>
          <w:rFonts w:hint="eastAsia" w:ascii="宋体" w:hAnsi="宋体" w:cs="宋体"/>
          <w:b/>
          <w:bCs/>
          <w:color w:val="auto"/>
          <w:szCs w:val="21"/>
          <w:highlight w:val="none"/>
          <w:u w:color="000000"/>
          <w:lang w:eastAsia="zh-CN"/>
        </w:rPr>
        <w:t>承包方</w:t>
      </w:r>
      <w:r>
        <w:rPr>
          <w:rFonts w:hint="eastAsia" w:ascii="宋体" w:hAnsi="宋体" w:cs="宋体"/>
          <w:b/>
          <w:bCs/>
          <w:color w:val="auto"/>
          <w:szCs w:val="21"/>
          <w:highlight w:val="none"/>
          <w:u w:color="000000"/>
        </w:rPr>
        <w:t>向</w:t>
      </w:r>
      <w:r>
        <w:rPr>
          <w:rFonts w:hint="eastAsia" w:ascii="宋体" w:hAnsi="宋体" w:cs="宋体"/>
          <w:b/>
          <w:bCs/>
          <w:color w:val="auto"/>
          <w:szCs w:val="21"/>
          <w:highlight w:val="none"/>
          <w:u w:color="000000"/>
          <w:lang w:eastAsia="zh-CN"/>
        </w:rPr>
        <w:t>发包方</w:t>
      </w:r>
      <w:r>
        <w:rPr>
          <w:rFonts w:hint="eastAsia" w:ascii="宋体" w:hAnsi="宋体" w:cs="宋体"/>
          <w:b/>
          <w:bCs/>
          <w:color w:val="auto"/>
          <w:szCs w:val="21"/>
          <w:highlight w:val="none"/>
          <w:u w:color="000000"/>
        </w:rPr>
        <w:t>支付人民币2000－5000元/次的违约金。</w:t>
      </w:r>
    </w:p>
    <w:p w14:paraId="1B1B5C79">
      <w:pPr>
        <w:pageBreakBefore w:val="0"/>
        <w:widowControl w:val="0"/>
        <w:kinsoku/>
        <w:wordWrap/>
        <w:overflowPunct/>
        <w:topLinePunct w:val="0"/>
        <w:bidi w:val="0"/>
        <w:snapToGrid w:val="0"/>
        <w:spacing w:line="360" w:lineRule="auto"/>
        <w:ind w:firstLine="472"/>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（3）双方对工程质量有争议，由</w:t>
      </w:r>
      <w:r>
        <w:rPr>
          <w:rFonts w:hint="eastAsia" w:ascii="宋体" w:hAnsi="宋体" w:cs="宋体"/>
          <w:b/>
          <w:bCs/>
          <w:color w:val="auto"/>
          <w:szCs w:val="21"/>
          <w:highlight w:val="none"/>
          <w:u w:color="000000"/>
          <w:lang w:eastAsia="zh-CN"/>
        </w:rPr>
        <w:t>发包方</w:t>
      </w:r>
      <w:r>
        <w:rPr>
          <w:rFonts w:hint="eastAsia" w:ascii="宋体" w:hAnsi="宋体" w:cs="宋体"/>
          <w:b/>
          <w:bCs/>
          <w:color w:val="auto"/>
          <w:szCs w:val="21"/>
          <w:highlight w:val="none"/>
          <w:u w:color="000000"/>
        </w:rPr>
        <w:t>委托的具备资质的工程质量检测机构鉴定，所需费用及因此造成的损失，由责任方承担。双方均有责任，由双方根据其责任分别承担。</w:t>
      </w:r>
    </w:p>
    <w:p w14:paraId="083B7ECA">
      <w:pPr>
        <w:pageBreakBefore w:val="0"/>
        <w:widowControl w:val="0"/>
        <w:kinsoku/>
        <w:wordWrap/>
        <w:overflowPunct/>
        <w:topLinePunct w:val="0"/>
        <w:bidi w:val="0"/>
        <w:snapToGrid w:val="0"/>
        <w:spacing w:line="360" w:lineRule="auto"/>
        <w:ind w:firstLine="482"/>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（4）安全文明施工目标：无伤亡事故，并满足安全环保文明施工现场管理要求质量。</w:t>
      </w:r>
    </w:p>
    <w:p w14:paraId="3B233C1F">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关于工程奖项的约定：</w:t>
      </w:r>
      <w:r>
        <w:rPr>
          <w:rFonts w:hint="eastAsia" w:ascii="宋体" w:hAnsi="宋体" w:cs="宋体"/>
          <w:color w:val="auto"/>
          <w:szCs w:val="21"/>
          <w:highlight w:val="none"/>
          <w:u w:val="single" w:color="000000"/>
        </w:rPr>
        <w:t xml:space="preserve">            /                   </w:t>
      </w:r>
    </w:p>
    <w:p w14:paraId="6363914C">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5.3 隐蔽工程检查</w:t>
      </w:r>
    </w:p>
    <w:p w14:paraId="4983FCFF">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5.3.2承包人提前通知监理人隐蔽工程检查的期限的约定：</w:t>
      </w:r>
      <w:r>
        <w:rPr>
          <w:rFonts w:hint="eastAsia" w:ascii="宋体" w:hAnsi="宋体" w:cs="宋体"/>
          <w:b/>
          <w:bCs/>
          <w:color w:val="auto"/>
          <w:szCs w:val="21"/>
          <w:highlight w:val="none"/>
          <w:u w:val="single" w:color="000000"/>
        </w:rPr>
        <w:t>承包人应在共同检查前48小时书面通知监理人检查，通知中应载明隐蔽检查的内容、时间和地点，并应附有自检记录和必要的检查资料</w:t>
      </w:r>
      <w:r>
        <w:rPr>
          <w:rFonts w:hint="eastAsia" w:ascii="宋体" w:hAnsi="宋体" w:cs="宋体"/>
          <w:b/>
          <w:bCs/>
          <w:color w:val="auto"/>
          <w:szCs w:val="21"/>
          <w:highlight w:val="none"/>
          <w:u w:color="000000"/>
        </w:rPr>
        <w:t>。</w:t>
      </w:r>
    </w:p>
    <w:p w14:paraId="6CBADA67">
      <w:pPr>
        <w:pageBreakBefore w:val="0"/>
        <w:widowControl w:val="0"/>
        <w:kinsoku/>
        <w:wordWrap/>
        <w:overflowPunct/>
        <w:topLinePunct w:val="0"/>
        <w:bidi w:val="0"/>
        <w:snapToGrid w:val="0"/>
        <w:spacing w:line="360" w:lineRule="auto"/>
        <w:ind w:firstLine="504"/>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监理人不能按时进行检查时，应提前</w:t>
      </w:r>
      <w:r>
        <w:rPr>
          <w:rFonts w:hint="eastAsia" w:ascii="宋体" w:hAnsi="宋体" w:cs="宋体"/>
          <w:color w:val="auto"/>
          <w:szCs w:val="21"/>
          <w:highlight w:val="none"/>
          <w:u w:val="single" w:color="000000"/>
        </w:rPr>
        <w:t xml:space="preserve">   24  </w:t>
      </w:r>
      <w:r>
        <w:rPr>
          <w:rFonts w:hint="eastAsia" w:ascii="宋体" w:hAnsi="宋体" w:cs="宋体"/>
          <w:color w:val="auto"/>
          <w:szCs w:val="21"/>
          <w:highlight w:val="none"/>
          <w:u w:color="000000"/>
        </w:rPr>
        <w:t>小时提交书面延期要求。</w:t>
      </w:r>
    </w:p>
    <w:p w14:paraId="26F8DE08">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关于延期最长不得超过：</w:t>
      </w:r>
      <w:r>
        <w:rPr>
          <w:rFonts w:hint="eastAsia" w:ascii="宋体" w:hAnsi="宋体" w:cs="宋体"/>
          <w:color w:val="auto"/>
          <w:szCs w:val="21"/>
          <w:highlight w:val="none"/>
          <w:u w:val="single" w:color="000000"/>
        </w:rPr>
        <w:t xml:space="preserve"> 48 </w:t>
      </w:r>
      <w:r>
        <w:rPr>
          <w:rFonts w:hint="eastAsia" w:ascii="宋体" w:hAnsi="宋体" w:cs="宋体"/>
          <w:color w:val="auto"/>
          <w:szCs w:val="21"/>
          <w:highlight w:val="none"/>
          <w:u w:color="000000"/>
        </w:rPr>
        <w:t>小时。</w:t>
      </w:r>
    </w:p>
    <w:p w14:paraId="7571E8F8">
      <w:pPr>
        <w:keepNext/>
        <w:keepLines/>
        <w:pageBreakBefore w:val="0"/>
        <w:widowControl w:val="0"/>
        <w:kinsoku/>
        <w:wordWrap/>
        <w:overflowPunct/>
        <w:topLinePunct w:val="0"/>
        <w:bidi w:val="0"/>
        <w:snapToGrid w:val="0"/>
        <w:spacing w:line="360" w:lineRule="auto"/>
        <w:ind w:firstLine="480"/>
        <w:textAlignment w:val="auto"/>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6. 安全文明施工与环境保护</w:t>
      </w:r>
    </w:p>
    <w:p w14:paraId="35C0020D">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6.1安全文明施工</w:t>
      </w:r>
    </w:p>
    <w:p w14:paraId="0C5C8F6B">
      <w:pPr>
        <w:pageBreakBefore w:val="0"/>
        <w:widowControl w:val="0"/>
        <w:kinsoku/>
        <w:wordWrap/>
        <w:overflowPunct/>
        <w:topLinePunct w:val="0"/>
        <w:bidi w:val="0"/>
        <w:snapToGrid w:val="0"/>
        <w:spacing w:line="360" w:lineRule="auto"/>
        <w:ind w:firstLine="480"/>
        <w:jc w:val="left"/>
        <w:textAlignment w:val="auto"/>
        <w:rPr>
          <w:rFonts w:ascii="宋体" w:hAnsi="宋体" w:cs="宋体"/>
          <w:b/>
          <w:bCs/>
          <w:color w:val="auto"/>
          <w:szCs w:val="21"/>
          <w:highlight w:val="none"/>
          <w:u w:val="single" w:color="000000"/>
        </w:rPr>
      </w:pPr>
      <w:r>
        <w:rPr>
          <w:rFonts w:hint="eastAsia" w:ascii="宋体" w:hAnsi="宋体" w:cs="宋体"/>
          <w:color w:val="auto"/>
          <w:szCs w:val="21"/>
          <w:highlight w:val="none"/>
          <w:u w:color="000000"/>
        </w:rPr>
        <w:t>6.1.1 项目安全生产的达标目标及相应事项的约定：</w:t>
      </w:r>
      <w:r>
        <w:rPr>
          <w:rFonts w:hint="eastAsia" w:ascii="宋体" w:hAnsi="宋体" w:cs="宋体"/>
          <w:b/>
          <w:bCs/>
          <w:color w:val="auto"/>
          <w:szCs w:val="21"/>
          <w:highlight w:val="none"/>
          <w:u w:val="single" w:color="000000"/>
        </w:rPr>
        <w:t>施工现场按照《建筑施工安全检查标准》（JGJ59-2011）评定达到“合格”标准。</w:t>
      </w:r>
    </w:p>
    <w:p w14:paraId="3184CE60">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6.1.4 关于治安保卫的特别约定：</w:t>
      </w:r>
      <w:r>
        <w:rPr>
          <w:rFonts w:hint="eastAsia" w:ascii="宋体" w:hAnsi="宋体" w:cs="宋体"/>
          <w:color w:val="auto"/>
          <w:szCs w:val="21"/>
          <w:highlight w:val="none"/>
          <w:u w:val="single" w:color="000000"/>
        </w:rPr>
        <w:t xml:space="preserve">按《通用合同条款》6.1.4条执行  </w:t>
      </w:r>
      <w:r>
        <w:rPr>
          <w:rFonts w:hint="eastAsia" w:ascii="宋体" w:hAnsi="宋体" w:cs="宋体"/>
          <w:color w:val="auto"/>
          <w:szCs w:val="21"/>
          <w:highlight w:val="none"/>
          <w:u w:color="000000"/>
        </w:rPr>
        <w:t>。</w:t>
      </w:r>
    </w:p>
    <w:p w14:paraId="540B2B14">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关于编制施工场地治安管理计划的约定：</w:t>
      </w:r>
      <w:r>
        <w:rPr>
          <w:rFonts w:hint="eastAsia" w:ascii="宋体" w:hAnsi="宋体" w:cs="宋体"/>
          <w:b/>
          <w:bCs/>
          <w:color w:val="auto"/>
          <w:szCs w:val="21"/>
          <w:highlight w:val="none"/>
          <w:u w:val="single" w:color="000000"/>
        </w:rPr>
        <w:t>承包人应在工程开工后3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ascii="宋体" w:hAnsi="宋体" w:cs="宋体"/>
          <w:b/>
          <w:bCs/>
          <w:color w:val="auto"/>
          <w:szCs w:val="21"/>
          <w:highlight w:val="none"/>
          <w:u w:color="000000"/>
        </w:rPr>
        <w:t>。</w:t>
      </w:r>
    </w:p>
    <w:p w14:paraId="4E9CCA70">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6.1.5 文明施工</w:t>
      </w:r>
    </w:p>
    <w:p w14:paraId="3DCC0AEC">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合同当事人对文明施工的要求：</w:t>
      </w:r>
    </w:p>
    <w:p w14:paraId="4BFF9E2D">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（1）遵守地方政府和有关部门对施工场地交通、环卫、安全和施工噪音等管理规定，并办理相关审批手续</w:t>
      </w:r>
      <w:r>
        <w:rPr>
          <w:rFonts w:hint="eastAsia" w:ascii="宋体" w:hAnsi="宋体" w:cs="宋体"/>
          <w:b/>
          <w:bCs/>
          <w:color w:val="auto"/>
          <w:szCs w:val="21"/>
          <w:highlight w:val="none"/>
          <w:u w:color="000000"/>
        </w:rPr>
        <w:t>。</w:t>
      </w:r>
    </w:p>
    <w:p w14:paraId="474BB53F">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val="single" w:color="000000"/>
        </w:rPr>
        <w:t>（2）承包人应采取有效措施尽量减小尘土和噪音污染，需要进行夜间作业时应经有关部门批准</w:t>
      </w:r>
      <w:r>
        <w:rPr>
          <w:rFonts w:hint="eastAsia" w:ascii="宋体" w:hAnsi="宋体" w:cs="宋体"/>
          <w:b/>
          <w:bCs/>
          <w:color w:val="auto"/>
          <w:szCs w:val="21"/>
          <w:highlight w:val="none"/>
          <w:u w:color="000000"/>
        </w:rPr>
        <w:t>。</w:t>
      </w:r>
    </w:p>
    <w:p w14:paraId="6891CE76">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（3）上述手续办理费用约定如下：   由承包人支付。         </w:t>
      </w:r>
    </w:p>
    <w:p w14:paraId="2B59B1FA">
      <w:pPr>
        <w:pageBreakBefore w:val="0"/>
        <w:widowControl w:val="0"/>
        <w:kinsoku/>
        <w:wordWrap/>
        <w:overflowPunct/>
        <w:topLinePunct w:val="0"/>
        <w:bidi w:val="0"/>
        <w:snapToGrid w:val="0"/>
        <w:spacing w:line="360" w:lineRule="auto"/>
        <w:ind w:left="199" w:firstLine="36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6.1.6 关于安全文明施工费支付比例和支付期限的约定，按以下</w:t>
      </w:r>
      <w:r>
        <w:rPr>
          <w:rFonts w:hint="eastAsia" w:ascii="宋体" w:hAnsi="宋体" w:cs="宋体"/>
          <w:color w:val="auto"/>
          <w:szCs w:val="21"/>
          <w:highlight w:val="none"/>
          <w:u w:val="single" w:color="000000"/>
        </w:rPr>
        <w:t>第（</w:t>
      </w:r>
      <w:r>
        <w:rPr>
          <w:rFonts w:hint="eastAsia" w:ascii="宋体" w:hAnsi="宋体" w:cs="宋体"/>
          <w:color w:val="auto"/>
          <w:szCs w:val="21"/>
          <w:highlight w:val="none"/>
          <w:u w:val="single" w:color="000000"/>
          <w:lang w:val="en-US" w:eastAsia="zh-CN"/>
        </w:rPr>
        <w:t>2</w:t>
      </w:r>
      <w:r>
        <w:rPr>
          <w:rFonts w:hint="eastAsia" w:ascii="宋体" w:hAnsi="宋体" w:cs="宋体"/>
          <w:color w:val="auto"/>
          <w:szCs w:val="21"/>
          <w:highlight w:val="none"/>
          <w:u w:val="single" w:color="000000"/>
        </w:rPr>
        <w:t>）种方式</w:t>
      </w:r>
      <w:r>
        <w:rPr>
          <w:rFonts w:hint="eastAsia" w:ascii="宋体" w:hAnsi="宋体" w:cs="宋体"/>
          <w:color w:val="auto"/>
          <w:szCs w:val="21"/>
          <w:highlight w:val="none"/>
          <w:u w:color="000000"/>
        </w:rPr>
        <w:t>约定：</w:t>
      </w:r>
    </w:p>
    <w:p w14:paraId="7072D029">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（1）发包人应在开工后28天内预付安全文明施工费总额的60%，剩余部分支付按以下第（</w:t>
      </w:r>
      <w:r>
        <w:rPr>
          <w:rFonts w:hint="eastAsia" w:ascii="宋体" w:hAnsi="宋体" w:cs="宋体"/>
          <w:b/>
          <w:bCs/>
          <w:color w:val="auto"/>
          <w:szCs w:val="21"/>
          <w:highlight w:val="none"/>
          <w:u w:color="000000"/>
        </w:rPr>
        <w:t>①</w:t>
      </w:r>
      <w:r>
        <w:rPr>
          <w:rFonts w:hint="eastAsia" w:ascii="宋体" w:hAnsi="宋体" w:cs="宋体"/>
          <w:b/>
          <w:bCs/>
          <w:color w:val="auto"/>
          <w:szCs w:val="21"/>
          <w:highlight w:val="none"/>
          <w:u w:val="single" w:color="000000"/>
        </w:rPr>
        <w:t xml:space="preserve">）种方式约定：                           </w:t>
      </w:r>
    </w:p>
    <w:p w14:paraId="22C59522">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①</w:t>
      </w:r>
      <w:r>
        <w:rPr>
          <w:rFonts w:hint="eastAsia" w:ascii="宋体" w:hAnsi="宋体" w:cs="宋体"/>
          <w:b/>
          <w:bCs/>
          <w:color w:val="auto"/>
          <w:szCs w:val="21"/>
          <w:highlight w:val="none"/>
          <w:u w:val="single" w:color="000000"/>
        </w:rPr>
        <w:t xml:space="preserve">  视相关措施的落实情况与进度款同期支付</w:t>
      </w:r>
      <w:r>
        <w:rPr>
          <w:rFonts w:hint="eastAsia" w:ascii="宋体" w:hAnsi="宋体" w:cs="宋体"/>
          <w:b/>
          <w:bCs/>
          <w:color w:val="auto"/>
          <w:szCs w:val="21"/>
          <w:highlight w:val="none"/>
          <w:u w:color="000000"/>
        </w:rPr>
        <w:t>。</w:t>
      </w:r>
    </w:p>
    <w:p w14:paraId="53DAFD4F">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color="000000"/>
        </w:rPr>
      </w:pPr>
      <w:r>
        <w:rPr>
          <w:rFonts w:hint="eastAsia" w:ascii="宋体" w:hAnsi="宋体" w:cs="宋体"/>
          <w:b/>
          <w:bCs/>
          <w:color w:val="auto"/>
          <w:szCs w:val="21"/>
          <w:highlight w:val="none"/>
          <w:u w:color="000000"/>
        </w:rPr>
        <w:t>②</w:t>
      </w:r>
      <w:r>
        <w:rPr>
          <w:rFonts w:hint="eastAsia" w:ascii="宋体" w:hAnsi="宋体" w:cs="宋体"/>
          <w:b/>
          <w:bCs/>
          <w:color w:val="auto"/>
          <w:szCs w:val="21"/>
          <w:highlight w:val="none"/>
          <w:u w:val="single" w:color="000000"/>
        </w:rPr>
        <w:t xml:space="preserve">  其他：           /                  </w:t>
      </w:r>
      <w:r>
        <w:rPr>
          <w:rFonts w:hint="eastAsia" w:ascii="宋体" w:hAnsi="宋体" w:cs="宋体"/>
          <w:b/>
          <w:bCs/>
          <w:color w:val="auto"/>
          <w:szCs w:val="21"/>
          <w:highlight w:val="none"/>
          <w:u w:color="000000"/>
        </w:rPr>
        <w:t>。</w:t>
      </w:r>
    </w:p>
    <w:p w14:paraId="0AD0E498">
      <w:pPr>
        <w:pageBreakBefore w:val="0"/>
        <w:widowControl w:val="0"/>
        <w:kinsoku/>
        <w:wordWrap/>
        <w:overflowPunct/>
        <w:topLinePunct w:val="0"/>
        <w:bidi w:val="0"/>
        <w:snapToGrid w:val="0"/>
        <w:spacing w:line="360" w:lineRule="auto"/>
        <w:ind w:firstLine="422" w:firstLineChars="200"/>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（2）其他：/     。</w:t>
      </w:r>
    </w:p>
    <w:p w14:paraId="46D352B2">
      <w:pPr>
        <w:keepNext/>
        <w:keepLines/>
        <w:pageBreakBefore w:val="0"/>
        <w:widowControl w:val="0"/>
        <w:kinsoku/>
        <w:wordWrap/>
        <w:overflowPunct/>
        <w:topLinePunct w:val="0"/>
        <w:bidi w:val="0"/>
        <w:snapToGrid w:val="0"/>
        <w:spacing w:line="360" w:lineRule="auto"/>
        <w:ind w:firstLine="420" w:firstLineChars="200"/>
        <w:textAlignment w:val="auto"/>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7. 工期和进度</w:t>
      </w:r>
    </w:p>
    <w:p w14:paraId="74864FD4">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7.1 施工组织设计</w:t>
      </w:r>
    </w:p>
    <w:p w14:paraId="40CBC452">
      <w:pPr>
        <w:pageBreakBefore w:val="0"/>
        <w:widowControl w:val="0"/>
        <w:kinsoku/>
        <w:wordWrap/>
        <w:overflowPunct/>
        <w:topLinePunct w:val="0"/>
        <w:bidi w:val="0"/>
        <w:snapToGrid w:val="0"/>
        <w:spacing w:line="360" w:lineRule="auto"/>
        <w:ind w:firstLine="504"/>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承包人提交详细施工组织设计的期限的约定：</w:t>
      </w:r>
      <w:r>
        <w:rPr>
          <w:rFonts w:hint="eastAsia" w:ascii="宋体" w:hAnsi="宋体" w:cs="宋体"/>
          <w:b/>
          <w:bCs/>
          <w:color w:val="auto"/>
          <w:szCs w:val="21"/>
          <w:highlight w:val="none"/>
          <w:u w:val="single" w:color="000000"/>
        </w:rPr>
        <w:t xml:space="preserve">合同签订后（ 5 ）天内提供详细施工组织设计（施工方案）和进度计划   </w:t>
      </w:r>
      <w:r>
        <w:rPr>
          <w:rFonts w:hint="eastAsia" w:ascii="宋体" w:hAnsi="宋体" w:cs="宋体"/>
          <w:b/>
          <w:bCs/>
          <w:color w:val="auto"/>
          <w:szCs w:val="21"/>
          <w:highlight w:val="none"/>
          <w:u w:color="000000"/>
        </w:rPr>
        <w:t>。</w:t>
      </w:r>
    </w:p>
    <w:p w14:paraId="172145B8">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发包人和监理人在收到详细的施工组织设计后确认或提出修改意见的期：</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5天内</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 xml:space="preserve">     </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7AB7DB74">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7.2 施工进度计划</w:t>
      </w:r>
    </w:p>
    <w:p w14:paraId="1F3AD97B">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7.2.2 施工进度计划的修订</w:t>
      </w:r>
    </w:p>
    <w:p w14:paraId="307ED509">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发包人和监理人在收到修订的施工进度计划后确认或提出修改意见的期限：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5天内</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5E5D1F91">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7.3 开工</w:t>
      </w:r>
    </w:p>
    <w:p w14:paraId="3E9CBDBE">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7.3.1 开工准备</w:t>
      </w:r>
    </w:p>
    <w:p w14:paraId="3D73C4D5">
      <w:pPr>
        <w:pageBreakBefore w:val="0"/>
        <w:widowControl w:val="0"/>
        <w:kinsoku/>
        <w:wordWrap/>
        <w:overflowPunct/>
        <w:topLinePunct w:val="0"/>
        <w:bidi w:val="0"/>
        <w:snapToGrid w:val="0"/>
        <w:spacing w:line="360" w:lineRule="auto"/>
        <w:ind w:firstLine="645"/>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关于承包人提交工程开工报审表的期限：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合同签订生效后30天内</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6DFB8471">
      <w:pPr>
        <w:pageBreakBefore w:val="0"/>
        <w:widowControl w:val="0"/>
        <w:kinsoku/>
        <w:wordWrap/>
        <w:overflowPunct/>
        <w:topLinePunct w:val="0"/>
        <w:bidi w:val="0"/>
        <w:snapToGrid w:val="0"/>
        <w:spacing w:line="360" w:lineRule="auto"/>
        <w:ind w:firstLine="645"/>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关于发包人应完成的其他开工准备工作及期限：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合同签订生效后30天内</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74F95631">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关于承包人应完成的其他开工准备工作及期限：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合同签订生效后30天内</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496007C0">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7.3.2开工通知</w:t>
      </w:r>
    </w:p>
    <w:p w14:paraId="5E05902B">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因发包人原因造成监理人未能在计划开工日期之日起</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天内发出开工通知的，承包人有权提出价格调整要求，或者解除合同。</w:t>
      </w:r>
    </w:p>
    <w:p w14:paraId="4A5B025F">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7.4 测量放线</w:t>
      </w:r>
    </w:p>
    <w:p w14:paraId="7C1459BA">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7.4.1发包人通过监理人向承包人提供测量基准点、基准线和水准点及其书面资料的期限：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619E2794">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7.5 工期延误</w:t>
      </w:r>
    </w:p>
    <w:p w14:paraId="2CCBD4D1">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7.5.1 因发包人原因导致工期延误</w:t>
      </w:r>
    </w:p>
    <w:p w14:paraId="724F1DB7">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（7）因发包人原因导致工期延误的其他情形：</w:t>
      </w:r>
    </w:p>
    <w:p w14:paraId="33A9AB38">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①重大设计变更引起的工期延误                        </w:t>
      </w:r>
      <w:r>
        <w:rPr>
          <w:rFonts w:hint="eastAsia" w:ascii="宋体" w:hAnsi="宋体" w:cs="宋体"/>
          <w:b/>
          <w:bCs/>
          <w:color w:val="auto"/>
          <w:szCs w:val="21"/>
          <w:highlight w:val="none"/>
          <w:u w:color="000000"/>
        </w:rPr>
        <w:t>；</w:t>
      </w:r>
    </w:p>
    <w:p w14:paraId="17ADAD60">
      <w:pPr>
        <w:pageBreakBefore w:val="0"/>
        <w:widowControl w:val="0"/>
        <w:kinsoku/>
        <w:wordWrap/>
        <w:overflowPunct/>
        <w:topLinePunct w:val="0"/>
        <w:bidi w:val="0"/>
        <w:snapToGrid w:val="0"/>
        <w:spacing w:line="360" w:lineRule="auto"/>
        <w:ind w:firstLine="504"/>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②其他：                                           </w:t>
      </w:r>
      <w:r>
        <w:rPr>
          <w:rFonts w:hint="eastAsia" w:ascii="宋体" w:hAnsi="宋体" w:cs="宋体"/>
          <w:b/>
          <w:bCs/>
          <w:color w:val="auto"/>
          <w:szCs w:val="21"/>
          <w:highlight w:val="none"/>
          <w:u w:color="000000"/>
        </w:rPr>
        <w:t>。</w:t>
      </w:r>
    </w:p>
    <w:p w14:paraId="1F3CCE5C">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7.5.2 因承包人原因导致工期延误</w:t>
      </w:r>
    </w:p>
    <w:p w14:paraId="721EC6B8">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因承包人原因造成工期延误，逾期竣工违约金的计算方法为：</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逾期每日按合同的万分之五</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6B38674E">
      <w:pPr>
        <w:pageBreakBefore w:val="0"/>
        <w:widowControl w:val="0"/>
        <w:kinsoku/>
        <w:wordWrap/>
        <w:overflowPunct/>
        <w:topLinePunct w:val="0"/>
        <w:bidi w:val="0"/>
        <w:snapToGrid w:val="0"/>
        <w:spacing w:line="360" w:lineRule="auto"/>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因承包人原因造成工期延误，逾期竣工违约金的上限：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 xml:space="preserve">扣完为止 </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778A87D9">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7.6 不利物质条件</w:t>
      </w:r>
    </w:p>
    <w:p w14:paraId="570B6397">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不利物质条件的其他情形和有关约定：</w:t>
      </w:r>
    </w:p>
    <w:p w14:paraId="79EF8966">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（1）施工场地周围地下管线                            </w:t>
      </w:r>
      <w:r>
        <w:rPr>
          <w:rFonts w:hint="eastAsia" w:ascii="宋体" w:hAnsi="宋体" w:cs="宋体"/>
          <w:b/>
          <w:bCs/>
          <w:color w:val="auto"/>
          <w:szCs w:val="21"/>
          <w:highlight w:val="none"/>
          <w:u w:color="000000"/>
        </w:rPr>
        <w:t>；</w:t>
      </w:r>
    </w:p>
    <w:p w14:paraId="37C5BCF7">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（2）地下障碍物和污染物                              </w:t>
      </w:r>
      <w:r>
        <w:rPr>
          <w:rFonts w:hint="eastAsia" w:ascii="宋体" w:hAnsi="宋体" w:cs="宋体"/>
          <w:b/>
          <w:bCs/>
          <w:color w:val="auto"/>
          <w:szCs w:val="21"/>
          <w:highlight w:val="none"/>
          <w:u w:color="000000"/>
        </w:rPr>
        <w:t>；</w:t>
      </w:r>
    </w:p>
    <w:p w14:paraId="364CA2E7">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（3）邻近建筑物、构筑物的保护要求                    </w:t>
      </w:r>
      <w:r>
        <w:rPr>
          <w:rFonts w:hint="eastAsia" w:ascii="宋体" w:hAnsi="宋体" w:cs="宋体"/>
          <w:b/>
          <w:bCs/>
          <w:color w:val="auto"/>
          <w:szCs w:val="21"/>
          <w:highlight w:val="none"/>
          <w:u w:color="000000"/>
        </w:rPr>
        <w:t>；</w:t>
      </w:r>
    </w:p>
    <w:p w14:paraId="656B1553">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（4）其他                                            </w:t>
      </w:r>
      <w:r>
        <w:rPr>
          <w:rFonts w:hint="eastAsia" w:ascii="宋体" w:hAnsi="宋体" w:cs="宋体"/>
          <w:b/>
          <w:bCs/>
          <w:color w:val="auto"/>
          <w:szCs w:val="21"/>
          <w:highlight w:val="none"/>
          <w:u w:color="000000"/>
        </w:rPr>
        <w:t>。</w:t>
      </w:r>
    </w:p>
    <w:p w14:paraId="4B4DD7B8">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7.7异常恶劣的气候条件</w:t>
      </w:r>
    </w:p>
    <w:p w14:paraId="792B63B3">
      <w:pPr>
        <w:pageBreakBefore w:val="0"/>
        <w:widowControl w:val="0"/>
        <w:kinsoku/>
        <w:wordWrap/>
        <w:overflowPunct/>
        <w:topLinePunct w:val="0"/>
        <w:bidi w:val="0"/>
        <w:snapToGrid w:val="0"/>
        <w:spacing w:line="360" w:lineRule="auto"/>
        <w:ind w:firstLine="480"/>
        <w:jc w:val="left"/>
        <w:textAlignment w:val="auto"/>
        <w:rPr>
          <w:rFonts w:ascii="宋体" w:hAnsi="宋体" w:cs="宋体"/>
          <w:b/>
          <w:bCs/>
          <w:color w:val="auto"/>
          <w:szCs w:val="21"/>
          <w:highlight w:val="none"/>
          <w:u w:color="000000"/>
        </w:rPr>
      </w:pPr>
      <w:r>
        <w:rPr>
          <w:rFonts w:hint="eastAsia" w:ascii="宋体" w:hAnsi="宋体" w:cs="宋体"/>
          <w:color w:val="auto"/>
          <w:szCs w:val="21"/>
          <w:highlight w:val="none"/>
          <w:u w:color="000000"/>
        </w:rPr>
        <w:t>发包人和承包人同意以下情形视为异常恶劣的气候条件：</w:t>
      </w:r>
    </w:p>
    <w:p w14:paraId="0095C37F">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（1）日最高气温达到40 度及以上的天气；</w:t>
      </w:r>
    </w:p>
    <w:p w14:paraId="5D31E1F9">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（2）启动台风橙色及以上预警的天气；</w:t>
      </w:r>
    </w:p>
    <w:p w14:paraId="14D8214A">
      <w:pPr>
        <w:pageBreakBefore w:val="0"/>
        <w:widowControl w:val="0"/>
        <w:tabs>
          <w:tab w:val="left" w:pos="4646"/>
        </w:tabs>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（3）启动防汛预案一级响应的天气；</w:t>
      </w:r>
    </w:p>
    <w:p w14:paraId="2FA30D59">
      <w:pPr>
        <w:pageBreakBefore w:val="0"/>
        <w:widowControl w:val="0"/>
        <w:kinsoku/>
        <w:wordWrap/>
        <w:overflowPunct/>
        <w:topLinePunct w:val="0"/>
        <w:bidi w:val="0"/>
        <w:snapToGrid w:val="0"/>
        <w:spacing w:line="360" w:lineRule="auto"/>
        <w:ind w:firstLine="477"/>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（4）启动防冻预案一级响应的天气；</w:t>
      </w:r>
    </w:p>
    <w:p w14:paraId="7A87FA51">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7.9 提前竣工的奖励</w:t>
      </w:r>
    </w:p>
    <w:p w14:paraId="6AE8BCC0">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7.9.2提前竣工的奖励：</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6ABFB2E8">
      <w:pPr>
        <w:keepNext/>
        <w:keepLines/>
        <w:pageBreakBefore w:val="0"/>
        <w:widowControl w:val="0"/>
        <w:kinsoku/>
        <w:wordWrap/>
        <w:overflowPunct/>
        <w:topLinePunct w:val="0"/>
        <w:bidi w:val="0"/>
        <w:snapToGrid w:val="0"/>
        <w:spacing w:line="360" w:lineRule="auto"/>
        <w:ind w:firstLine="470"/>
        <w:textAlignment w:val="auto"/>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8. 材料与设备</w:t>
      </w:r>
    </w:p>
    <w:p w14:paraId="2C4284F7">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8.4材料与工程设备的保管与使用</w:t>
      </w:r>
    </w:p>
    <w:p w14:paraId="2BF4EC3E">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8.4.1发包人供应的材料设备的保管费用的承担：</w:t>
      </w:r>
      <w:r>
        <w:rPr>
          <w:rFonts w:hint="eastAsia" w:ascii="宋体" w:hAnsi="宋体" w:cs="宋体"/>
          <w:color w:val="auto"/>
          <w:szCs w:val="21"/>
          <w:highlight w:val="none"/>
          <w:u w:val="single" w:color="000000"/>
        </w:rPr>
        <w:t>由承包人在报价中考虑并承担相应费用</w:t>
      </w:r>
      <w:r>
        <w:rPr>
          <w:rFonts w:hint="eastAsia" w:ascii="宋体" w:hAnsi="宋体" w:cs="宋体"/>
          <w:color w:val="auto"/>
          <w:szCs w:val="21"/>
          <w:highlight w:val="none"/>
          <w:u w:color="000000"/>
        </w:rPr>
        <w:t>。</w:t>
      </w:r>
    </w:p>
    <w:p w14:paraId="2B6A99B3">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8.6 样品</w:t>
      </w:r>
    </w:p>
    <w:p w14:paraId="3E5449EE">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8.6.1样品的报送与封存</w:t>
      </w:r>
    </w:p>
    <w:p w14:paraId="58076AAA">
      <w:pPr>
        <w:pageBreakBefore w:val="0"/>
        <w:widowControl w:val="0"/>
        <w:kinsoku/>
        <w:wordWrap/>
        <w:overflowPunct/>
        <w:topLinePunct w:val="0"/>
        <w:bidi w:val="0"/>
        <w:snapToGrid w:val="0"/>
        <w:spacing w:line="360" w:lineRule="auto"/>
        <w:ind w:left="560" w:firstLine="454"/>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需要承包人报送样品的材料或工程设备，样品的种类、名称、规格、数量要求：</w:t>
      </w:r>
    </w:p>
    <w:p w14:paraId="739C187E">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承包人采购材料设备的约定：根据施工图、招标文件及招标答疑纪要提供相应的合格样品，严格按照招投标书中明确的品牌、规格、质量等级等要求进行采购，采购的材料的质量、品牌等不符合招标文件、招标补充说明、工程量清单规定的要求，必须无条件更换并承担相关费用，采购的材料样品必须经监理和发包人验收后方能用于本工程，且必须符合施工图纸设计要求及国家有关标准。</w:t>
      </w:r>
    </w:p>
    <w:p w14:paraId="56FD54F2">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承包人等自行报价的材料设备，承包人必须确保符合国家技术标准和技术规范，均有质检部门的质量保证书，并满足相关主管部门的检查和竣工验收要求；否则，发包人将有权要求更换或拆除返工，直到合格为止，引起的损失由承包人承担，并每发生一次扣除履约保证的10%。</w:t>
      </w:r>
    </w:p>
    <w:p w14:paraId="3405FD05">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在材料用于工程之前，承包人必须按发包人的选择和要求，提交有关的材料样品，以供检验，在采购前7天向发包人提供材料采购计划、材料资料和生产厂商资料，根据发包人和监理意见进行封样，经发包人、监理书面签证予以认可后，方可采购。</w:t>
      </w:r>
    </w:p>
    <w:p w14:paraId="43D54068">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（4）在材料用于工程前，承包人必须向发包人、监理工程师提交制造厂家出具的材料质量证明，部分重要材料还必须提供市级或以上质检部门的有关检验报告原件或复印件，以证明该材料质量是合格的。</w:t>
      </w:r>
    </w:p>
    <w:p w14:paraId="6E6388B9">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（5）承包人随时按监理和发包人的要求，在制造和加工的地点、或合同规定的其他地方进行检查。</w:t>
      </w:r>
    </w:p>
    <w:p w14:paraId="48D24973">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（6）承包人必须将他与合格的材料供应单位签订的材料供应协议副本提交发包人备案。</w:t>
      </w:r>
    </w:p>
    <w:p w14:paraId="60844FDD">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（7）</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按照</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或规范要求采购供工程需要的材料设备、成品、半成品，并提供产品合格证明和质量保证书。在材料设备到货前24小时通知</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及监理验收。</w:t>
      </w:r>
    </w:p>
    <w:p w14:paraId="7EDD1934">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（8）</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采购的材料设备与设计或标准、及合同约定的品牌要求不符时，</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应按</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要求的时间运出施工场地，重新采购符合要求的产品，承担由此发生的费用，由此延误的工期不予顺延。</w:t>
      </w:r>
    </w:p>
    <w:p w14:paraId="71935854">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（9）</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采购的材料设备在使用前，</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应按有关规定的要求进行检验或试验，不合格的不得使用，检验或试验费用由</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承担。</w:t>
      </w:r>
    </w:p>
    <w:p w14:paraId="7A41E2A3">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（10）</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、监理发现</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采购并使用不符合设计或标准、及合同约定的品牌要求的材料设备时，应要求由</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负责修复、拆除或重新采购，并由</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承担发生的费用，由此延误的工期不予顺延。</w:t>
      </w:r>
    </w:p>
    <w:p w14:paraId="3596B398">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（11）</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需要使用代用材料时，应经</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认可后才能使用，由此增减的合同价款双方以书面形式议定。</w:t>
      </w:r>
    </w:p>
    <w:p w14:paraId="4DC9557C">
      <w:pPr>
        <w:pageBreakBefore w:val="0"/>
        <w:widowControl w:val="0"/>
        <w:kinsoku/>
        <w:wordWrap/>
        <w:overflowPunct/>
        <w:topLinePunct w:val="0"/>
        <w:bidi w:val="0"/>
        <w:snapToGrid w:val="0"/>
        <w:spacing w:line="360" w:lineRule="auto"/>
        <w:ind w:left="560" w:firstLine="454"/>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（12）验收时参照实物封样，以</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对已封样材料的技术要求及国家有关规范作为验收标准。</w:t>
      </w:r>
    </w:p>
    <w:p w14:paraId="0F69BC1D">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8.8 施工设备和临时设施</w:t>
      </w:r>
    </w:p>
    <w:p w14:paraId="393E0C24">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8.8.1 承包人提供的施工设备和临时设施</w:t>
      </w:r>
    </w:p>
    <w:p w14:paraId="276A6557">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关于修建临时设施费用承担的约定：</w:t>
      </w:r>
      <w:r>
        <w:rPr>
          <w:rFonts w:hint="eastAsia" w:ascii="宋体" w:hAnsi="宋体" w:cs="宋体"/>
          <w:color w:val="auto"/>
          <w:szCs w:val="21"/>
          <w:highlight w:val="none"/>
          <w:u w:val="single" w:color="000000"/>
        </w:rPr>
        <w:t xml:space="preserve">由承包人承担相应费用   </w:t>
      </w:r>
    </w:p>
    <w:p w14:paraId="47A9A1E9">
      <w:pPr>
        <w:keepNext/>
        <w:keepLines/>
        <w:pageBreakBefore w:val="0"/>
        <w:widowControl w:val="0"/>
        <w:kinsoku/>
        <w:wordWrap/>
        <w:overflowPunct/>
        <w:topLinePunct w:val="0"/>
        <w:bidi w:val="0"/>
        <w:snapToGrid w:val="0"/>
        <w:spacing w:line="360" w:lineRule="auto"/>
        <w:ind w:firstLine="480"/>
        <w:textAlignment w:val="auto"/>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9. 试验与检验</w:t>
      </w:r>
    </w:p>
    <w:p w14:paraId="79074C1E">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9.1试验设备与试验人员</w:t>
      </w:r>
    </w:p>
    <w:p w14:paraId="3A3E8E93">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9.1.2 试验设备</w:t>
      </w:r>
    </w:p>
    <w:p w14:paraId="656799FD">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施工现场需要配置的试验场所：</w:t>
      </w:r>
      <w:r>
        <w:rPr>
          <w:rFonts w:hint="eastAsia" w:ascii="宋体" w:hAnsi="宋体" w:cs="宋体"/>
          <w:color w:val="auto"/>
          <w:szCs w:val="21"/>
          <w:highlight w:val="none"/>
          <w:u w:val="single" w:color="000000"/>
        </w:rPr>
        <w:t xml:space="preserve">  按有关规定和监理人要求执行  </w:t>
      </w:r>
      <w:r>
        <w:rPr>
          <w:rFonts w:hint="eastAsia" w:ascii="宋体" w:hAnsi="宋体" w:cs="宋体"/>
          <w:color w:val="auto"/>
          <w:szCs w:val="21"/>
          <w:highlight w:val="none"/>
          <w:u w:color="000000"/>
        </w:rPr>
        <w:t xml:space="preserve">。 </w:t>
      </w:r>
    </w:p>
    <w:p w14:paraId="143D6E3B">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施工现场需要配备的试验设备：</w:t>
      </w:r>
      <w:r>
        <w:rPr>
          <w:rFonts w:hint="eastAsia" w:ascii="宋体" w:hAnsi="宋体" w:cs="宋体"/>
          <w:color w:val="auto"/>
          <w:szCs w:val="21"/>
          <w:highlight w:val="none"/>
          <w:u w:val="single" w:color="000000"/>
        </w:rPr>
        <w:t xml:space="preserve">  按有关规定和监理人要求执行  </w:t>
      </w:r>
      <w:r>
        <w:rPr>
          <w:rFonts w:hint="eastAsia" w:ascii="宋体" w:hAnsi="宋体" w:cs="宋体"/>
          <w:color w:val="auto"/>
          <w:szCs w:val="21"/>
          <w:highlight w:val="none"/>
          <w:u w:color="000000"/>
        </w:rPr>
        <w:t>。</w:t>
      </w:r>
    </w:p>
    <w:p w14:paraId="188FCD5E">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施工现场需要具备的其他试验条件：</w:t>
      </w:r>
      <w:r>
        <w:rPr>
          <w:rFonts w:hint="eastAsia" w:ascii="宋体" w:hAnsi="宋体" w:cs="宋体"/>
          <w:color w:val="auto"/>
          <w:szCs w:val="21"/>
          <w:highlight w:val="none"/>
          <w:u w:val="single" w:color="000000"/>
        </w:rPr>
        <w:t xml:space="preserve">  按有关规定和监理人要求执行  </w:t>
      </w:r>
      <w:r>
        <w:rPr>
          <w:rFonts w:hint="eastAsia" w:ascii="宋体" w:hAnsi="宋体" w:cs="宋体"/>
          <w:color w:val="auto"/>
          <w:szCs w:val="21"/>
          <w:highlight w:val="none"/>
          <w:u w:color="000000"/>
        </w:rPr>
        <w:t>。</w:t>
      </w:r>
    </w:p>
    <w:p w14:paraId="15CB1EC7">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 xml:space="preserve">9.4 现场工艺试验 </w:t>
      </w:r>
    </w:p>
    <w:p w14:paraId="7A04C865">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现场工艺试验的有关约定：</w:t>
      </w:r>
      <w:r>
        <w:rPr>
          <w:rFonts w:hint="eastAsia" w:ascii="宋体" w:hAnsi="宋体" w:cs="宋体"/>
          <w:color w:val="auto"/>
          <w:szCs w:val="21"/>
          <w:highlight w:val="none"/>
          <w:u w:val="single" w:color="000000"/>
        </w:rPr>
        <w:t xml:space="preserve">  按有关规定和监理人要求执行</w:t>
      </w:r>
      <w:r>
        <w:rPr>
          <w:rFonts w:hint="eastAsia" w:ascii="宋体" w:hAnsi="宋体" w:cs="宋体"/>
          <w:color w:val="auto"/>
          <w:szCs w:val="21"/>
          <w:highlight w:val="none"/>
          <w:u w:color="000000"/>
        </w:rPr>
        <w:t>。</w:t>
      </w:r>
    </w:p>
    <w:p w14:paraId="08783572">
      <w:pPr>
        <w:keepNext/>
        <w:keepLines/>
        <w:pageBreakBefore w:val="0"/>
        <w:widowControl w:val="0"/>
        <w:kinsoku/>
        <w:wordWrap/>
        <w:overflowPunct/>
        <w:topLinePunct w:val="0"/>
        <w:bidi w:val="0"/>
        <w:snapToGrid w:val="0"/>
        <w:spacing w:line="360" w:lineRule="auto"/>
        <w:ind w:firstLine="480"/>
        <w:textAlignment w:val="auto"/>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10. 变更</w:t>
      </w:r>
    </w:p>
    <w:p w14:paraId="74ABC8EE">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10.1变更的范围</w:t>
      </w:r>
    </w:p>
    <w:p w14:paraId="71AFE1D6">
      <w:pPr>
        <w:pageBreakBefore w:val="0"/>
        <w:widowControl w:val="0"/>
        <w:kinsoku/>
        <w:wordWrap/>
        <w:overflowPunct/>
        <w:topLinePunct w:val="0"/>
        <w:bidi w:val="0"/>
        <w:snapToGrid w:val="0"/>
        <w:spacing w:line="360" w:lineRule="auto"/>
        <w:ind w:firstLine="60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关于变更范围的约定：</w:t>
      </w:r>
      <w:r>
        <w:rPr>
          <w:rFonts w:hint="eastAsia" w:ascii="宋体" w:hAnsi="宋体" w:cs="宋体"/>
          <w:b/>
          <w:bCs/>
          <w:color w:val="auto"/>
          <w:szCs w:val="21"/>
          <w:highlight w:val="none"/>
          <w:u w:color="000000"/>
        </w:rPr>
        <w:t>施工图范围</w:t>
      </w:r>
      <w:r>
        <w:rPr>
          <w:rFonts w:hint="eastAsia" w:ascii="宋体" w:hAnsi="宋体" w:cs="宋体"/>
          <w:b/>
          <w:bCs/>
          <w:color w:val="auto"/>
          <w:szCs w:val="21"/>
          <w:highlight w:val="none"/>
          <w:u w:val="single" w:color="000000"/>
        </w:rPr>
        <w:t>投标人报价时综合单价不予调整。</w:t>
      </w:r>
      <w:r>
        <w:rPr>
          <w:rFonts w:hint="eastAsia" w:ascii="宋体" w:hAnsi="宋体" w:cs="宋体"/>
          <w:b/>
          <w:bCs/>
          <w:color w:val="auto"/>
          <w:szCs w:val="21"/>
          <w:highlight w:val="none"/>
          <w:u w:color="000000"/>
        </w:rPr>
        <w:t>。</w:t>
      </w:r>
    </w:p>
    <w:p w14:paraId="60150B22">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10.4 变更估价</w:t>
      </w:r>
    </w:p>
    <w:p w14:paraId="0D879B08">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10.4.1 变更估价原则</w:t>
      </w:r>
    </w:p>
    <w:p w14:paraId="2E19506E">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关于变更估价的约定: 施工图范围</w:t>
      </w:r>
      <w:r>
        <w:rPr>
          <w:rFonts w:hint="eastAsia" w:ascii="宋体" w:hAnsi="宋体" w:cs="宋体"/>
          <w:b/>
          <w:bCs/>
          <w:color w:val="auto"/>
          <w:szCs w:val="21"/>
          <w:highlight w:val="none"/>
          <w:u w:val="single" w:color="000000"/>
        </w:rPr>
        <w:t>投标人报价时一次性包死，不予调整。</w:t>
      </w:r>
    </w:p>
    <w:p w14:paraId="1151F117">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10.5承包人的合理化建议</w:t>
      </w:r>
    </w:p>
    <w:p w14:paraId="62DEEDD8">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监理人审查承包人合理化建议的期限：</w:t>
      </w:r>
      <w:r>
        <w:rPr>
          <w:rFonts w:hint="eastAsia" w:ascii="宋体" w:hAnsi="宋体" w:cs="宋体"/>
          <w:color w:val="auto"/>
          <w:szCs w:val="21"/>
          <w:highlight w:val="none"/>
          <w:u w:val="single" w:color="000000"/>
        </w:rPr>
        <w:t xml:space="preserve">3天内审查完毕并报发包人  </w:t>
      </w:r>
      <w:r>
        <w:rPr>
          <w:rFonts w:hint="eastAsia" w:ascii="宋体" w:hAnsi="宋体" w:cs="宋体"/>
          <w:color w:val="auto"/>
          <w:szCs w:val="21"/>
          <w:highlight w:val="none"/>
          <w:u w:color="000000"/>
        </w:rPr>
        <w:t>。</w:t>
      </w:r>
    </w:p>
    <w:p w14:paraId="11C23DDE">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发包人审批承包人合理化建议的期限：</w:t>
      </w:r>
      <w:r>
        <w:rPr>
          <w:rFonts w:hint="eastAsia" w:ascii="宋体" w:hAnsi="宋体" w:cs="宋体"/>
          <w:color w:val="auto"/>
          <w:szCs w:val="21"/>
          <w:highlight w:val="none"/>
          <w:u w:val="single" w:color="000000"/>
        </w:rPr>
        <w:t>收到监理人报送的合理化建议后3天内审批完毕</w:t>
      </w:r>
      <w:r>
        <w:rPr>
          <w:rFonts w:hint="eastAsia" w:ascii="宋体" w:hAnsi="宋体" w:cs="宋体"/>
          <w:color w:val="auto"/>
          <w:szCs w:val="21"/>
          <w:highlight w:val="none"/>
          <w:u w:color="000000"/>
        </w:rPr>
        <w:t>。</w:t>
      </w:r>
    </w:p>
    <w:p w14:paraId="6DFEA37E">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承包人提出的合理化建议降低了合同价格或者提高了工程经济效益的奖励的方法和金额为：</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3C36742A">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10.7暂估价</w:t>
      </w:r>
    </w:p>
    <w:p w14:paraId="7CF8D814">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暂估价材料和工程设备的明细详见附件11：《暂估价一览表》。</w:t>
      </w:r>
    </w:p>
    <w:p w14:paraId="4B7E5969">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10.7.1 依法必须招标的暂估价项目</w:t>
      </w:r>
    </w:p>
    <w:p w14:paraId="75B6FB39">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对于依法必须招标的暂估价项目的确认和批准采取第</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种方式确定。</w:t>
      </w:r>
    </w:p>
    <w:p w14:paraId="3D3AD7FB">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10.7.2 不属于依法必须招标的暂估价项目</w:t>
      </w:r>
    </w:p>
    <w:p w14:paraId="6D6C0933">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对于不属于依法必须招标的暂估价项目的确认和批准采取第</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 xml:space="preserve"> 种方式确定。</w:t>
      </w:r>
    </w:p>
    <w:p w14:paraId="1BA68F98">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第3种方式：承包人直接实施的暂估价项目</w:t>
      </w:r>
    </w:p>
    <w:p w14:paraId="2C9FBF75">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承包人直接实施的暂估价项目的约定：</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631859D6">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10.8 暂列金额</w:t>
      </w:r>
    </w:p>
    <w:p w14:paraId="19512738">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合同当事人关于暂列金额使用的约定：</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08FDA3D6">
      <w:pPr>
        <w:keepNext/>
        <w:keepLines/>
        <w:pageBreakBefore w:val="0"/>
        <w:widowControl w:val="0"/>
        <w:kinsoku/>
        <w:wordWrap/>
        <w:overflowPunct/>
        <w:topLinePunct w:val="0"/>
        <w:bidi w:val="0"/>
        <w:snapToGrid w:val="0"/>
        <w:spacing w:line="360" w:lineRule="auto"/>
        <w:ind w:firstLine="480"/>
        <w:textAlignment w:val="auto"/>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11. 价格调整</w:t>
      </w:r>
    </w:p>
    <w:p w14:paraId="1220C4F4">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11.1 市场价格波动引起的调整</w:t>
      </w:r>
    </w:p>
    <w:p w14:paraId="1CDAD0CC">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市场价格波动是否调整合同价格的约定：</w:t>
      </w:r>
      <w:r>
        <w:rPr>
          <w:rFonts w:hint="eastAsia" w:ascii="宋体" w:hAnsi="宋体" w:cs="宋体"/>
          <w:color w:val="auto"/>
          <w:szCs w:val="21"/>
          <w:highlight w:val="none"/>
          <w:u w:val="single" w:color="000000"/>
        </w:rPr>
        <w:t xml:space="preserve">   不予调整         </w:t>
      </w:r>
      <w:r>
        <w:rPr>
          <w:rFonts w:hint="eastAsia" w:ascii="宋体" w:hAnsi="宋体" w:cs="宋体"/>
          <w:color w:val="auto"/>
          <w:szCs w:val="21"/>
          <w:highlight w:val="none"/>
          <w:u w:color="000000"/>
        </w:rPr>
        <w:t>。</w:t>
      </w:r>
    </w:p>
    <w:p w14:paraId="7BDF13CF">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因市场价格波动调整合同价格，采用以下第</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种方式对合同价格进行调整：</w:t>
      </w:r>
    </w:p>
    <w:p w14:paraId="4D1A0334">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第1种方式：采用价格指数进行价格调整。</w:t>
      </w:r>
    </w:p>
    <w:p w14:paraId="373A723B">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关于各可调因子、定值和变值权重，以及基本价格指数及其来源的约定：</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 xml:space="preserve">；  </w:t>
      </w:r>
    </w:p>
    <w:p w14:paraId="00915738">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第2种方式：采用造价信息进行价格调整。</w:t>
      </w:r>
    </w:p>
    <w:p w14:paraId="45E01A50">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（2）关于基准价格的约定：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20B62CF6">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%时，或材料单价跌幅以已标价工程量清单或预算书中载明材料单价为基础超过</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%时，其超过部分据实调整。</w:t>
      </w:r>
    </w:p>
    <w:p w14:paraId="1418BB01">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②承包人在已标价工程量清单或预算书中载明的材料单价高于基准价格的：专用合同条款合同履行期间材料单价跌幅以基准价格为基础超过</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%时，材料单价涨幅以已标价工程量清单或预算书中载明材料单价为基础超过</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%时，其超过部分据实调整。</w:t>
      </w:r>
    </w:p>
    <w:p w14:paraId="4DF54EBF">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%时，其超过部分据实调整。</w:t>
      </w:r>
    </w:p>
    <w:p w14:paraId="023ED3DF">
      <w:pPr>
        <w:keepNext/>
        <w:keepLines/>
        <w:pageBreakBefore w:val="0"/>
        <w:widowControl w:val="0"/>
        <w:kinsoku/>
        <w:wordWrap/>
        <w:overflowPunct/>
        <w:topLinePunct w:val="0"/>
        <w:bidi w:val="0"/>
        <w:snapToGrid w:val="0"/>
        <w:spacing w:line="360" w:lineRule="auto"/>
        <w:textAlignment w:val="auto"/>
        <w:outlineLvl w:val="3"/>
        <w:rPr>
          <w:rFonts w:ascii="宋体" w:hAnsi="宋体" w:cs="宋体"/>
          <w:b/>
          <w:bCs/>
          <w:color w:val="auto"/>
          <w:szCs w:val="21"/>
          <w:highlight w:val="none"/>
          <w:u w:color="000000"/>
        </w:rPr>
      </w:pPr>
      <w:r>
        <w:rPr>
          <w:rFonts w:hint="eastAsia" w:ascii="宋体" w:hAnsi="宋体" w:cs="宋体"/>
          <w:b/>
          <w:bCs/>
          <w:color w:val="auto"/>
          <w:szCs w:val="21"/>
          <w:highlight w:val="none"/>
          <w:u w:color="000000"/>
        </w:rPr>
        <w:t>12. 合同价格、计量与支付</w:t>
      </w:r>
    </w:p>
    <w:p w14:paraId="65CF1547">
      <w:pPr>
        <w:keepNext/>
        <w:keepLines/>
        <w:pageBreakBefore w:val="0"/>
        <w:widowControl w:val="0"/>
        <w:kinsoku/>
        <w:wordWrap/>
        <w:overflowPunct/>
        <w:topLinePunct w:val="0"/>
        <w:bidi w:val="0"/>
        <w:snapToGrid w:val="0"/>
        <w:spacing w:line="360" w:lineRule="auto"/>
        <w:ind w:firstLine="482"/>
        <w:textAlignment w:val="auto"/>
        <w:outlineLvl w:val="3"/>
        <w:rPr>
          <w:rFonts w:ascii="宋体" w:hAnsi="宋体" w:cs="宋体"/>
          <w:color w:val="auto"/>
          <w:szCs w:val="21"/>
          <w:highlight w:val="none"/>
          <w:u w:color="000000"/>
        </w:rPr>
      </w:pPr>
      <w:r>
        <w:rPr>
          <w:rFonts w:hint="eastAsia" w:ascii="宋体" w:hAnsi="宋体" w:cs="宋体"/>
          <w:b/>
          <w:bCs/>
          <w:color w:val="auto"/>
          <w:szCs w:val="21"/>
          <w:highlight w:val="none"/>
          <w:u w:color="000000"/>
        </w:rPr>
        <w:t>12.1 合同价格形式</w:t>
      </w:r>
    </w:p>
    <w:p w14:paraId="0AE2608B">
      <w:pPr>
        <w:pageBreakBefore w:val="0"/>
        <w:widowControl w:val="0"/>
        <w:kinsoku/>
        <w:wordWrap/>
        <w:overflowPunct/>
        <w:topLinePunct w:val="0"/>
        <w:bidi w:val="0"/>
        <w:snapToGrid w:val="0"/>
        <w:spacing w:line="360" w:lineRule="auto"/>
        <w:ind w:firstLine="504"/>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1、综合单价合同。</w:t>
      </w:r>
    </w:p>
    <w:p w14:paraId="578CBD38">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包含的风险范围：</w:t>
      </w:r>
      <w:r>
        <w:rPr>
          <w:rFonts w:hint="eastAsia" w:ascii="宋体" w:hAnsi="宋体" w:cs="宋体"/>
          <w:color w:val="auto"/>
          <w:szCs w:val="21"/>
          <w:highlight w:val="none"/>
          <w:u w:val="single" w:color="000000"/>
        </w:rPr>
        <w:t xml:space="preserve">   综合单价不作调整                     </w:t>
      </w:r>
      <w:r>
        <w:rPr>
          <w:rFonts w:hint="eastAsia" w:ascii="宋体" w:hAnsi="宋体" w:cs="宋体"/>
          <w:color w:val="auto"/>
          <w:szCs w:val="21"/>
          <w:highlight w:val="none"/>
          <w:u w:color="000000"/>
        </w:rPr>
        <w:t xml:space="preserve"> </w:t>
      </w:r>
    </w:p>
    <w:p w14:paraId="37EA1597">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风险费用的计算方法：</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 xml:space="preserve">         /</w:t>
      </w:r>
      <w:r>
        <w:rPr>
          <w:rFonts w:hint="eastAsia" w:ascii="宋体" w:hAnsi="宋体" w:cs="宋体"/>
          <w:color w:val="auto"/>
          <w:szCs w:val="21"/>
          <w:highlight w:val="none"/>
          <w:u w:val="single" w:color="000000"/>
        </w:rPr>
        <w:t xml:space="preserve">                      </w:t>
      </w:r>
    </w:p>
    <w:p w14:paraId="431B29FF">
      <w:pPr>
        <w:pageBreakBefore w:val="0"/>
        <w:widowControl w:val="0"/>
        <w:kinsoku/>
        <w:wordWrap/>
        <w:overflowPunct/>
        <w:topLinePunct w:val="0"/>
        <w:bidi w:val="0"/>
        <w:snapToGrid w:val="0"/>
        <w:spacing w:line="360" w:lineRule="auto"/>
        <w:ind w:firstLine="480"/>
        <w:jc w:val="left"/>
        <w:textAlignment w:val="auto"/>
        <w:rPr>
          <w:rFonts w:ascii="宋体" w:hAnsi="宋体" w:cs="宋体"/>
          <w:b/>
          <w:bCs/>
          <w:color w:val="auto"/>
          <w:szCs w:val="21"/>
          <w:highlight w:val="none"/>
          <w:u w:val="single" w:color="000000"/>
        </w:rPr>
      </w:pPr>
      <w:r>
        <w:rPr>
          <w:rFonts w:hint="eastAsia" w:ascii="宋体" w:hAnsi="宋体" w:cs="宋体"/>
          <w:color w:val="auto"/>
          <w:szCs w:val="21"/>
          <w:highlight w:val="none"/>
          <w:u w:color="000000"/>
        </w:rPr>
        <w:t>风险范围以外合同价格的调整方法：</w:t>
      </w:r>
      <w:r>
        <w:rPr>
          <w:rFonts w:hint="eastAsia" w:ascii="宋体" w:hAnsi="宋体" w:cs="宋体"/>
          <w:b/>
          <w:bCs/>
          <w:color w:val="auto"/>
          <w:szCs w:val="21"/>
          <w:highlight w:val="none"/>
          <w:u w:val="single" w:color="000000"/>
        </w:rPr>
        <w:t xml:space="preserve">           /</w:t>
      </w:r>
      <w:r>
        <w:rPr>
          <w:rFonts w:hint="eastAsia" w:ascii="宋体" w:hAnsi="宋体" w:cs="宋体"/>
          <w:color w:val="auto"/>
          <w:szCs w:val="21"/>
          <w:highlight w:val="none"/>
          <w:u w:val="single" w:color="000000"/>
        </w:rPr>
        <w:t xml:space="preserve">                 </w:t>
      </w:r>
    </w:p>
    <w:p w14:paraId="1BD637E3">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2、其他价格方式：</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 xml:space="preserve">/ </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4360CB34">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12.2 预付款</w:t>
      </w:r>
    </w:p>
    <w:p w14:paraId="316752F1">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12.2.1 预付款的支付</w:t>
      </w:r>
    </w:p>
    <w:p w14:paraId="4CC4AEDC">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预付款支付比例或金额：</w:t>
      </w:r>
      <w:r>
        <w:rPr>
          <w:rFonts w:hint="eastAsia" w:ascii="宋体" w:hAnsi="宋体" w:cs="宋体"/>
          <w:color w:val="auto"/>
          <w:szCs w:val="21"/>
          <w:highlight w:val="none"/>
          <w:u w:val="single" w:color="000000"/>
        </w:rPr>
        <w:t xml:space="preserve">  预付款为中标合同价的</w:t>
      </w:r>
      <w:r>
        <w:rPr>
          <w:rFonts w:hint="eastAsia" w:ascii="宋体" w:hAnsi="宋体" w:cs="宋体"/>
          <w:color w:val="auto"/>
          <w:szCs w:val="21"/>
          <w:highlight w:val="none"/>
          <w:u w:val="single" w:color="000000"/>
          <w:lang w:val="en-US" w:eastAsia="zh-CN"/>
        </w:rPr>
        <w:t>4</w:t>
      </w:r>
      <w:r>
        <w:rPr>
          <w:rFonts w:hint="eastAsia" w:ascii="宋体" w:hAnsi="宋体" w:cs="宋体"/>
          <w:color w:val="auto"/>
          <w:szCs w:val="21"/>
          <w:highlight w:val="none"/>
          <w:u w:val="single" w:color="000000"/>
        </w:rPr>
        <w:t xml:space="preserve">0% </w:t>
      </w:r>
      <w:r>
        <w:rPr>
          <w:rFonts w:hint="eastAsia" w:ascii="宋体" w:hAnsi="宋体" w:cs="宋体"/>
          <w:color w:val="auto"/>
          <w:szCs w:val="21"/>
          <w:highlight w:val="none"/>
          <w:u w:color="000000"/>
        </w:rPr>
        <w:t>。</w:t>
      </w:r>
    </w:p>
    <w:p w14:paraId="0FE00C18">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预付款支付期限：</w:t>
      </w:r>
      <w:r>
        <w:rPr>
          <w:rFonts w:hint="eastAsia" w:ascii="宋体" w:hAnsi="宋体" w:cs="宋体"/>
          <w:color w:val="auto"/>
          <w:szCs w:val="21"/>
          <w:highlight w:val="none"/>
          <w:u w:val="single"/>
        </w:rPr>
        <w:t xml:space="preserve"> 项目合同签订且具备实施条件后5个工作日内。</w:t>
      </w:r>
    </w:p>
    <w:p w14:paraId="7ADF6C1D">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预付款扣回的方式：</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 xml:space="preserve">/ </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4126F7E7">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12.2.2 预付款担保</w:t>
      </w:r>
    </w:p>
    <w:p w14:paraId="3AEF3555">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承包人提交预付款担保的期限：</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 xml:space="preserve">/ </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7DB88AD5">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预付款担保的形式为：</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 xml:space="preserve">/ </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24804421">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12.3 计量</w:t>
      </w:r>
    </w:p>
    <w:p w14:paraId="5CB1F35F">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12.3.1 计量原则</w:t>
      </w:r>
    </w:p>
    <w:p w14:paraId="41BE03BC">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工程量计算规则：</w:t>
      </w:r>
    </w:p>
    <w:p w14:paraId="37E3A93E">
      <w:pPr>
        <w:pageBreakBefore w:val="0"/>
        <w:widowControl w:val="0"/>
        <w:kinsoku/>
        <w:wordWrap/>
        <w:overflowPunct/>
        <w:topLinePunct w:val="0"/>
        <w:bidi w:val="0"/>
        <w:snapToGrid w:val="0"/>
        <w:spacing w:line="360" w:lineRule="auto"/>
        <w:ind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color="000000"/>
        </w:rPr>
        <w:t>（1）</w:t>
      </w:r>
      <w:r>
        <w:rPr>
          <w:rFonts w:hint="eastAsia" w:ascii="宋体" w:hAnsi="宋体" w:cs="宋体"/>
          <w:b/>
          <w:bCs/>
          <w:color w:val="auto"/>
          <w:szCs w:val="21"/>
          <w:highlight w:val="none"/>
          <w:u w:val="single" w:color="000000"/>
        </w:rPr>
        <w:t>实行工程量清单计价的工程项目，其工程量的计算规则应按国家标准工程量计算规范及省级行业主管部门颁布的补充规定执行。</w:t>
      </w:r>
    </w:p>
    <w:p w14:paraId="1183E5D3">
      <w:pPr>
        <w:pageBreakBefore w:val="0"/>
        <w:widowControl w:val="0"/>
        <w:kinsoku/>
        <w:wordWrap/>
        <w:overflowPunct/>
        <w:topLinePunct w:val="0"/>
        <w:bidi w:val="0"/>
        <w:snapToGrid w:val="0"/>
        <w:spacing w:line="360" w:lineRule="auto"/>
        <w:ind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color="000000"/>
        </w:rPr>
        <w:t>（2）</w:t>
      </w:r>
      <w:r>
        <w:rPr>
          <w:rFonts w:hint="eastAsia" w:ascii="宋体" w:hAnsi="宋体" w:cs="宋体"/>
          <w:b/>
          <w:bCs/>
          <w:color w:val="auto"/>
          <w:szCs w:val="21"/>
          <w:highlight w:val="none"/>
          <w:u w:val="single" w:color="000000"/>
        </w:rPr>
        <w:t>不实行工程量清单计价的工程项目，工程量的计算规则应按省、市行业主管部门颁布的各专业工程定额的工程量计算规则执行。</w:t>
      </w:r>
    </w:p>
    <w:p w14:paraId="23FA6702">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12.3.2 计量周期</w:t>
      </w:r>
    </w:p>
    <w:p w14:paraId="0D6D2E15">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关于计量周期的约定：</w:t>
      </w:r>
      <w:r>
        <w:rPr>
          <w:rFonts w:hint="eastAsia" w:ascii="宋体" w:hAnsi="宋体" w:cs="宋体"/>
          <w:color w:val="auto"/>
          <w:szCs w:val="21"/>
          <w:highlight w:val="none"/>
          <w:u w:val="single" w:color="000000"/>
        </w:rPr>
        <w:t xml:space="preserve"> 按完成合同产值</w:t>
      </w:r>
      <w:r>
        <w:rPr>
          <w:rFonts w:hint="eastAsia" w:ascii="宋体" w:hAnsi="宋体" w:cs="宋体"/>
          <w:color w:val="auto"/>
          <w:szCs w:val="21"/>
          <w:highlight w:val="none"/>
          <w:u w:color="000000"/>
        </w:rPr>
        <w:t>。</w:t>
      </w:r>
    </w:p>
    <w:p w14:paraId="1195B9F9">
      <w:pPr>
        <w:pageBreakBefore w:val="0"/>
        <w:widowControl w:val="0"/>
        <w:kinsoku/>
        <w:wordWrap/>
        <w:overflowPunct/>
        <w:topLinePunct w:val="0"/>
        <w:bidi w:val="0"/>
        <w:snapToGrid w:val="0"/>
        <w:spacing w:line="360" w:lineRule="auto"/>
        <w:ind w:firstLine="42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12.3.3 单价合同的计量</w:t>
      </w:r>
    </w:p>
    <w:p w14:paraId="44DDE0CB">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关于单价合同计量的约定：</w:t>
      </w:r>
      <w:r>
        <w:rPr>
          <w:rFonts w:hint="eastAsia" w:ascii="宋体" w:hAnsi="宋体" w:cs="宋体"/>
          <w:color w:val="auto"/>
          <w:szCs w:val="21"/>
          <w:highlight w:val="none"/>
          <w:u w:val="single" w:color="000000"/>
        </w:rPr>
        <w:t xml:space="preserve">  按完成合同产值</w:t>
      </w:r>
      <w:r>
        <w:rPr>
          <w:rFonts w:hint="eastAsia" w:ascii="宋体" w:hAnsi="宋体" w:cs="宋体"/>
          <w:color w:val="auto"/>
          <w:szCs w:val="21"/>
          <w:highlight w:val="none"/>
          <w:u w:color="000000"/>
        </w:rPr>
        <w:t>。</w:t>
      </w:r>
    </w:p>
    <w:p w14:paraId="2E0C4298">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12.3.4 总价合同的计量</w:t>
      </w:r>
    </w:p>
    <w:p w14:paraId="04B27BA3">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关于总价合同计量的约定：</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61F5541F">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12.3.5总价合同采用支付分解表计量支付的，是否适用第12.3.4 项〔总价合同的计量〕约定进行计量：</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59DA534F">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12.3.6 其他价格形式合同的计量</w:t>
      </w:r>
    </w:p>
    <w:p w14:paraId="51220910">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其他价格形式的计量方式和程序：</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385D9C0F">
      <w:pPr>
        <w:pageBreakBefore w:val="0"/>
        <w:widowControl w:val="0"/>
        <w:kinsoku/>
        <w:wordWrap/>
        <w:overflowPunct/>
        <w:topLinePunct w:val="0"/>
        <w:bidi w:val="0"/>
        <w:snapToGrid w:val="0"/>
        <w:spacing w:line="360" w:lineRule="auto"/>
        <w:ind w:firstLine="482"/>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12.4 工程进度款支付</w:t>
      </w:r>
    </w:p>
    <w:p w14:paraId="56757BEA">
      <w:pPr>
        <w:pageBreakBefore w:val="0"/>
        <w:widowControl w:val="0"/>
        <w:kinsoku/>
        <w:wordWrap/>
        <w:overflowPunct/>
        <w:topLinePunct w:val="0"/>
        <w:bidi w:val="0"/>
        <w:snapToGrid w:val="0"/>
        <w:spacing w:line="360" w:lineRule="auto"/>
        <w:ind w:firstLine="482"/>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12.4.1 付款周期</w:t>
      </w:r>
    </w:p>
    <w:p w14:paraId="16342D7B">
      <w:pPr>
        <w:pageBreakBefore w:val="0"/>
        <w:widowControl w:val="0"/>
        <w:tabs>
          <w:tab w:val="left" w:pos="8640"/>
        </w:tabs>
        <w:kinsoku/>
        <w:wordWrap/>
        <w:overflowPunct/>
        <w:topLinePunct w:val="0"/>
        <w:bidi w:val="0"/>
        <w:snapToGrid w:val="0"/>
        <w:spacing w:line="360" w:lineRule="auto"/>
        <w:ind w:left="417" w:leftChars="170" w:hanging="60" w:hangingChars="29"/>
        <w:textAlignment w:val="auto"/>
        <w:rPr>
          <w:rFonts w:ascii="宋体" w:hAnsi="宋体" w:cs="宋体"/>
          <w:color w:val="auto"/>
          <w:szCs w:val="21"/>
          <w:highlight w:val="none"/>
          <w:u w:val="single"/>
        </w:rPr>
      </w:pPr>
      <w:r>
        <w:rPr>
          <w:rFonts w:hint="eastAsia" w:ascii="宋体" w:hAnsi="宋体" w:cs="宋体"/>
          <w:color w:val="auto"/>
          <w:szCs w:val="21"/>
          <w:highlight w:val="none"/>
          <w:u w:color="000000"/>
        </w:rPr>
        <w:t>关于付款周期的约定：</w:t>
      </w:r>
    </w:p>
    <w:p w14:paraId="42687976">
      <w:pPr>
        <w:pageBreakBefore w:val="0"/>
        <w:widowControl w:val="0"/>
        <w:tabs>
          <w:tab w:val="left" w:pos="8640"/>
        </w:tabs>
        <w:kinsoku/>
        <w:wordWrap/>
        <w:overflowPunct/>
        <w:topLinePunct w:val="0"/>
        <w:bidi w:val="0"/>
        <w:snapToGrid w:val="0"/>
        <w:spacing w:line="360" w:lineRule="auto"/>
        <w:ind w:left="417" w:leftChars="170" w:hanging="60" w:hangingChars="29"/>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（1）项目合同签订且具备付款条件后5个工作日内，支付合同总价的</w:t>
      </w:r>
      <w:r>
        <w:rPr>
          <w:rFonts w:hint="eastAsia" w:ascii="宋体" w:hAnsi="宋体" w:cs="宋体"/>
          <w:color w:val="auto"/>
          <w:szCs w:val="21"/>
          <w:highlight w:val="none"/>
          <w:u w:color="000000"/>
          <w:lang w:val="en-US" w:eastAsia="zh-CN"/>
        </w:rPr>
        <w:t>4</w:t>
      </w:r>
      <w:r>
        <w:rPr>
          <w:rFonts w:hint="eastAsia" w:ascii="宋体" w:hAnsi="宋体" w:cs="宋体"/>
          <w:color w:val="auto"/>
          <w:szCs w:val="21"/>
          <w:highlight w:val="none"/>
          <w:u w:color="000000"/>
        </w:rPr>
        <w:t>0%预付款，计   元；</w:t>
      </w:r>
    </w:p>
    <w:p w14:paraId="66BB78C9">
      <w:pPr>
        <w:pageBreakBefore w:val="0"/>
        <w:widowControl w:val="0"/>
        <w:tabs>
          <w:tab w:val="left" w:pos="8640"/>
        </w:tabs>
        <w:kinsoku/>
        <w:wordWrap/>
        <w:overflowPunct/>
        <w:topLinePunct w:val="0"/>
        <w:bidi w:val="0"/>
        <w:snapToGrid w:val="0"/>
        <w:spacing w:line="360" w:lineRule="auto"/>
        <w:ind w:left="417" w:leftChars="170" w:hanging="60" w:hangingChars="29"/>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（2）项目完工交付验收且具备付款条件后5个工作日内，支付合同总价的</w:t>
      </w:r>
      <w:r>
        <w:rPr>
          <w:rFonts w:hint="eastAsia" w:ascii="宋体" w:hAnsi="宋体" w:cs="宋体"/>
          <w:color w:val="auto"/>
          <w:szCs w:val="21"/>
          <w:highlight w:val="none"/>
          <w:u w:color="000000"/>
          <w:lang w:val="en-US" w:eastAsia="zh-CN"/>
        </w:rPr>
        <w:t>40</w:t>
      </w:r>
      <w:r>
        <w:rPr>
          <w:rFonts w:hint="eastAsia" w:ascii="宋体" w:hAnsi="宋体" w:cs="宋体"/>
          <w:color w:val="auto"/>
          <w:szCs w:val="21"/>
          <w:highlight w:val="none"/>
          <w:u w:color="000000"/>
        </w:rPr>
        <w:t>%，计   元；</w:t>
      </w:r>
    </w:p>
    <w:p w14:paraId="2BC7FFCF">
      <w:pPr>
        <w:pageBreakBefore w:val="0"/>
        <w:widowControl w:val="0"/>
        <w:tabs>
          <w:tab w:val="left" w:pos="8640"/>
        </w:tabs>
        <w:kinsoku/>
        <w:wordWrap/>
        <w:overflowPunct/>
        <w:topLinePunct w:val="0"/>
        <w:bidi w:val="0"/>
        <w:snapToGrid w:val="0"/>
        <w:spacing w:line="360" w:lineRule="auto"/>
        <w:ind w:left="417" w:leftChars="170" w:hanging="60" w:hangingChars="29"/>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（3）项目验收合格经有审价资质的中介审价后，且具备付款条件后5个工作日内，支付合同剩余尾款。</w:t>
      </w:r>
    </w:p>
    <w:p w14:paraId="524130DB">
      <w:pPr>
        <w:pStyle w:val="44"/>
        <w:pageBreakBefore w:val="0"/>
        <w:widowControl w:val="0"/>
        <w:kinsoku/>
        <w:wordWrap/>
        <w:overflowPunct/>
        <w:topLinePunct w:val="0"/>
        <w:bidi w:val="0"/>
        <w:snapToGrid w:val="0"/>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在承包人领取工程款前，应当向发包人交付相应的正规发票，并按本合同合格的履行了义务，否则发包人可暂缓支付。</w:t>
      </w:r>
    </w:p>
    <w:p w14:paraId="2EC96D89">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12.4.2 进度付款申请单的编制</w:t>
      </w:r>
    </w:p>
    <w:p w14:paraId="1DE9045B">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关于进度付款申请单编制的约定：</w:t>
      </w:r>
      <w:r>
        <w:rPr>
          <w:rFonts w:hint="eastAsia" w:ascii="宋体" w:hAnsi="宋体" w:cs="宋体"/>
          <w:color w:val="auto"/>
          <w:szCs w:val="21"/>
          <w:highlight w:val="none"/>
          <w:u w:val="single" w:color="000000"/>
        </w:rPr>
        <w:t>按《通用合同条款》12.4.2条执行</w:t>
      </w:r>
    </w:p>
    <w:p w14:paraId="5FEFE8E9">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12.4.3 进度付款申请单的提交</w:t>
      </w:r>
    </w:p>
    <w:p w14:paraId="23DF8D50">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（1）单价合同进度付款申请单提交的约定：</w:t>
      </w:r>
      <w:r>
        <w:rPr>
          <w:rFonts w:hint="eastAsia" w:ascii="宋体" w:hAnsi="宋体" w:cs="宋体"/>
          <w:color w:val="auto"/>
          <w:szCs w:val="21"/>
          <w:highlight w:val="none"/>
          <w:u w:val="single" w:color="000000"/>
        </w:rPr>
        <w:t>按《通用合同条款》12.3.3条执行</w:t>
      </w:r>
      <w:r>
        <w:rPr>
          <w:rFonts w:hint="eastAsia" w:ascii="宋体" w:hAnsi="宋体" w:cs="宋体"/>
          <w:color w:val="auto"/>
          <w:szCs w:val="21"/>
          <w:highlight w:val="none"/>
          <w:u w:color="000000"/>
        </w:rPr>
        <w:t>。</w:t>
      </w:r>
    </w:p>
    <w:p w14:paraId="12166AA7">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（2）总价合同进度付款申请单提交的约定：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5F37D38E">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（3）其他价格形式合同进度付款申请单提交的约定：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6F8348E0">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12.4.4 进度款审核和支付</w:t>
      </w:r>
    </w:p>
    <w:p w14:paraId="7EC9E0BA">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（1）监理人审查并报送发包人的期限：</w:t>
      </w:r>
      <w:r>
        <w:rPr>
          <w:rFonts w:hint="eastAsia" w:ascii="宋体" w:hAnsi="宋体" w:cs="宋体"/>
          <w:b/>
          <w:bCs/>
          <w:color w:val="auto"/>
          <w:szCs w:val="21"/>
          <w:highlight w:val="none"/>
          <w:u w:val="single" w:color="000000"/>
        </w:rPr>
        <w:t>监理人应在收到承包人进度付款申请单以及相关资料后5天内完成审查并报送发包人</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17850049">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发包人完成审批并签发进度款支付证书的期限：</w:t>
      </w:r>
      <w:r>
        <w:rPr>
          <w:rFonts w:hint="eastAsia" w:ascii="宋体" w:hAnsi="宋体" w:cs="宋体"/>
          <w:color w:val="auto"/>
          <w:szCs w:val="21"/>
          <w:highlight w:val="none"/>
          <w:u w:val="single" w:color="000000"/>
        </w:rPr>
        <w:t>发包人应在收到后7天内完成审批并签发进度款支付证书</w:t>
      </w:r>
      <w:r>
        <w:rPr>
          <w:rFonts w:hint="eastAsia" w:ascii="宋体" w:hAnsi="宋体" w:cs="宋体"/>
          <w:color w:val="auto"/>
          <w:szCs w:val="21"/>
          <w:highlight w:val="none"/>
          <w:u w:color="000000"/>
        </w:rPr>
        <w:t>。</w:t>
      </w:r>
    </w:p>
    <w:p w14:paraId="111654F0">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（2）发包人支付进度款的期限：</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0A2F9C66">
      <w:pPr>
        <w:pageBreakBefore w:val="0"/>
        <w:widowControl w:val="0"/>
        <w:kinsoku/>
        <w:wordWrap/>
        <w:overflowPunct/>
        <w:topLinePunct w:val="0"/>
        <w:bidi w:val="0"/>
        <w:snapToGrid w:val="0"/>
        <w:spacing w:line="360" w:lineRule="auto"/>
        <w:ind w:firstLine="60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发包人逾期支付进度款的违约金的计算方式：</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696F194E">
      <w:pPr>
        <w:pageBreakBefore w:val="0"/>
        <w:widowControl w:val="0"/>
        <w:kinsoku/>
        <w:wordWrap/>
        <w:overflowPunct/>
        <w:topLinePunct w:val="0"/>
        <w:bidi w:val="0"/>
        <w:snapToGrid w:val="0"/>
        <w:spacing w:line="360" w:lineRule="auto"/>
        <w:ind w:firstLine="60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12.4.5支付分解表的编制</w:t>
      </w:r>
    </w:p>
    <w:p w14:paraId="574159A0">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1、总价合同支付分解表的编制与审批：</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029FA459">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2、单价合同的总价项目支付分解表的编制与审批：</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 xml:space="preserve"> </w:t>
      </w:r>
    </w:p>
    <w:p w14:paraId="4849EEEB">
      <w:pPr>
        <w:keepNext/>
        <w:keepLines/>
        <w:pageBreakBefore w:val="0"/>
        <w:widowControl w:val="0"/>
        <w:kinsoku/>
        <w:wordWrap/>
        <w:overflowPunct/>
        <w:topLinePunct w:val="0"/>
        <w:bidi w:val="0"/>
        <w:snapToGrid w:val="0"/>
        <w:spacing w:line="360" w:lineRule="auto"/>
        <w:ind w:firstLine="480"/>
        <w:textAlignment w:val="auto"/>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13. 验收和工程试车</w:t>
      </w:r>
    </w:p>
    <w:p w14:paraId="0637EBCB">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13.1 分部分项工程验收</w:t>
      </w:r>
    </w:p>
    <w:p w14:paraId="5FD4BD11">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13.1.2监理人不能按时进行验收时，应提前</w:t>
      </w:r>
      <w:r>
        <w:rPr>
          <w:rFonts w:hint="eastAsia" w:ascii="宋体" w:hAnsi="宋体" w:cs="宋体"/>
          <w:color w:val="auto"/>
          <w:szCs w:val="21"/>
          <w:highlight w:val="none"/>
          <w:u w:val="single" w:color="000000"/>
        </w:rPr>
        <w:t xml:space="preserve">  24   </w:t>
      </w:r>
      <w:r>
        <w:rPr>
          <w:rFonts w:hint="eastAsia" w:ascii="宋体" w:hAnsi="宋体" w:cs="宋体"/>
          <w:color w:val="auto"/>
          <w:szCs w:val="21"/>
          <w:highlight w:val="none"/>
          <w:u w:color="000000"/>
        </w:rPr>
        <w:t>小时提交书面延期要求。</w:t>
      </w:r>
    </w:p>
    <w:p w14:paraId="3218A4AB">
      <w:pPr>
        <w:pageBreakBefore w:val="0"/>
        <w:widowControl w:val="0"/>
        <w:kinsoku/>
        <w:wordWrap/>
        <w:overflowPunct/>
        <w:topLinePunct w:val="0"/>
        <w:bidi w:val="0"/>
        <w:snapToGrid w:val="0"/>
        <w:spacing w:line="360" w:lineRule="auto"/>
        <w:ind w:firstLine="480"/>
        <w:jc w:val="left"/>
        <w:textAlignment w:val="auto"/>
        <w:rPr>
          <w:rFonts w:ascii="宋体" w:hAnsi="宋体" w:cs="宋体"/>
          <w:b/>
          <w:bCs/>
          <w:color w:val="auto"/>
          <w:szCs w:val="21"/>
          <w:highlight w:val="none"/>
          <w:u w:color="000000"/>
        </w:rPr>
      </w:pPr>
      <w:r>
        <w:rPr>
          <w:rFonts w:hint="eastAsia" w:ascii="宋体" w:hAnsi="宋体" w:cs="宋体"/>
          <w:color w:val="auto"/>
          <w:szCs w:val="21"/>
          <w:highlight w:val="none"/>
          <w:u w:color="000000"/>
        </w:rPr>
        <w:t>关于延期最长不得超过：</w:t>
      </w:r>
      <w:r>
        <w:rPr>
          <w:rFonts w:hint="eastAsia" w:ascii="宋体" w:hAnsi="宋体" w:cs="宋体"/>
          <w:color w:val="auto"/>
          <w:szCs w:val="21"/>
          <w:highlight w:val="none"/>
          <w:u w:val="single" w:color="000000"/>
        </w:rPr>
        <w:t xml:space="preserve">   48    </w:t>
      </w:r>
      <w:r>
        <w:rPr>
          <w:rFonts w:hint="eastAsia" w:ascii="宋体" w:hAnsi="宋体" w:cs="宋体"/>
          <w:color w:val="auto"/>
          <w:szCs w:val="21"/>
          <w:highlight w:val="none"/>
          <w:u w:color="000000"/>
        </w:rPr>
        <w:t>小时。</w:t>
      </w:r>
    </w:p>
    <w:p w14:paraId="2A2D1B35">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13.2 竣工验收</w:t>
      </w:r>
    </w:p>
    <w:p w14:paraId="07345D70">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13.2.1竣工验收程序</w:t>
      </w:r>
    </w:p>
    <w:p w14:paraId="48D6097F">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关于竣工验收程序的约定：</w:t>
      </w:r>
      <w:r>
        <w:rPr>
          <w:rFonts w:hint="eastAsia" w:ascii="宋体" w:hAnsi="宋体" w:cs="宋体"/>
          <w:color w:val="auto"/>
          <w:szCs w:val="21"/>
          <w:highlight w:val="none"/>
          <w:u w:val="single" w:color="000000"/>
        </w:rPr>
        <w:t xml:space="preserve">   按《通用合同条款》13.2.2条执行       </w:t>
      </w:r>
      <w:r>
        <w:rPr>
          <w:rFonts w:hint="eastAsia" w:ascii="宋体" w:hAnsi="宋体" w:cs="宋体"/>
          <w:color w:val="auto"/>
          <w:szCs w:val="21"/>
          <w:highlight w:val="none"/>
          <w:u w:color="000000"/>
        </w:rPr>
        <w:t>。</w:t>
      </w:r>
    </w:p>
    <w:p w14:paraId="3D5107D6">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发包人不按照本项约定组织竣工验收、颁发工程接收证书的违约金的计算方法：</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6399D3C2">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13.2.2移交、接收全部与部分工程</w:t>
      </w:r>
    </w:p>
    <w:p w14:paraId="450C9FB4">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承包人向发包人移交工程的期限：</w:t>
      </w:r>
      <w:r>
        <w:rPr>
          <w:rFonts w:hint="eastAsia" w:ascii="宋体" w:hAnsi="宋体" w:cs="宋体"/>
          <w:color w:val="auto"/>
          <w:szCs w:val="21"/>
          <w:highlight w:val="none"/>
          <w:u w:val="single" w:color="000000"/>
        </w:rPr>
        <w:t xml:space="preserve">   保修期满后30天内  </w:t>
      </w:r>
      <w:r>
        <w:rPr>
          <w:rFonts w:hint="eastAsia" w:ascii="宋体" w:hAnsi="宋体" w:cs="宋体"/>
          <w:color w:val="auto"/>
          <w:szCs w:val="21"/>
          <w:highlight w:val="none"/>
          <w:u w:color="000000"/>
        </w:rPr>
        <w:t>。</w:t>
      </w:r>
    </w:p>
    <w:p w14:paraId="1992BF37">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发包人未按本合同约定接收全部或部分工程的，违约金的计算方法为：</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6E0ECE48">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承包人未按时移交工程的，违约金的计算方法为：</w:t>
      </w:r>
      <w:r>
        <w:rPr>
          <w:rFonts w:hint="eastAsia" w:ascii="宋体" w:hAnsi="宋体" w:cs="宋体"/>
          <w:color w:val="auto"/>
          <w:szCs w:val="21"/>
          <w:highlight w:val="none"/>
          <w:u w:val="single" w:color="000000"/>
        </w:rPr>
        <w:t>因承包人原因未按时移交工程的，每延误一天，扣除150元/天的履约保证金</w:t>
      </w:r>
      <w:r>
        <w:rPr>
          <w:rFonts w:hint="eastAsia" w:ascii="宋体" w:hAnsi="宋体" w:cs="宋体"/>
          <w:color w:val="auto"/>
          <w:szCs w:val="21"/>
          <w:highlight w:val="none"/>
          <w:u w:color="000000"/>
        </w:rPr>
        <w:t>。</w:t>
      </w:r>
    </w:p>
    <w:p w14:paraId="7C700068">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13.3 工程试车</w:t>
      </w:r>
    </w:p>
    <w:p w14:paraId="1BED579E">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13.3.1 试车程序</w:t>
      </w:r>
    </w:p>
    <w:p w14:paraId="21C89510">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工程试车内容：</w:t>
      </w:r>
      <w:r>
        <w:rPr>
          <w:rFonts w:hint="eastAsia" w:ascii="宋体" w:hAnsi="宋体" w:cs="宋体"/>
          <w:color w:val="auto"/>
          <w:szCs w:val="21"/>
          <w:highlight w:val="none"/>
          <w:u w:val="single" w:color="000000"/>
        </w:rPr>
        <w:t xml:space="preserve">  所有试车费用承包人已在投标报价中包干</w:t>
      </w:r>
      <w:r>
        <w:rPr>
          <w:rFonts w:hint="eastAsia" w:ascii="宋体" w:hAnsi="宋体" w:cs="宋体"/>
          <w:color w:val="auto"/>
          <w:szCs w:val="21"/>
          <w:highlight w:val="none"/>
          <w:u w:color="000000"/>
        </w:rPr>
        <w:t>。</w:t>
      </w:r>
    </w:p>
    <w:p w14:paraId="0E0BE603">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（1）单机无负荷试车费用由</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承担；</w:t>
      </w:r>
    </w:p>
    <w:p w14:paraId="03682383">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（2）无负荷联动试车费用由</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承担。</w:t>
      </w:r>
    </w:p>
    <w:p w14:paraId="05D893A4">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13.3.3 投料试车</w:t>
      </w:r>
    </w:p>
    <w:p w14:paraId="55247646">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关于投料试车相关事项的约定：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7CFC2DE7">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13.4 竣工退场</w:t>
      </w:r>
    </w:p>
    <w:p w14:paraId="1882D8BD">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13.4.1 竣工退场</w:t>
      </w:r>
    </w:p>
    <w:p w14:paraId="0C6F2958">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承包人完成竣工退场的期限：</w:t>
      </w:r>
      <w:r>
        <w:rPr>
          <w:rFonts w:hint="eastAsia" w:ascii="宋体" w:hAnsi="宋体" w:cs="宋体"/>
          <w:color w:val="auto"/>
          <w:szCs w:val="21"/>
          <w:highlight w:val="none"/>
          <w:u w:val="single" w:color="000000"/>
        </w:rPr>
        <w:t xml:space="preserve">       7天内                </w:t>
      </w:r>
      <w:r>
        <w:rPr>
          <w:rFonts w:hint="eastAsia" w:ascii="宋体" w:hAnsi="宋体" w:cs="宋体"/>
          <w:color w:val="auto"/>
          <w:szCs w:val="21"/>
          <w:highlight w:val="none"/>
          <w:u w:color="000000"/>
        </w:rPr>
        <w:t>。</w:t>
      </w:r>
    </w:p>
    <w:p w14:paraId="64722C80">
      <w:pPr>
        <w:keepNext/>
        <w:keepLines/>
        <w:pageBreakBefore w:val="0"/>
        <w:widowControl w:val="0"/>
        <w:kinsoku/>
        <w:wordWrap/>
        <w:overflowPunct/>
        <w:topLinePunct w:val="0"/>
        <w:bidi w:val="0"/>
        <w:snapToGrid w:val="0"/>
        <w:spacing w:line="360" w:lineRule="auto"/>
        <w:ind w:firstLine="480"/>
        <w:textAlignment w:val="auto"/>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14. 竣工结算</w:t>
      </w:r>
    </w:p>
    <w:p w14:paraId="107EC2B6">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14.1 竣工付款申请</w:t>
      </w:r>
    </w:p>
    <w:p w14:paraId="06D5165D">
      <w:pPr>
        <w:pageBreakBefore w:val="0"/>
        <w:widowControl w:val="0"/>
        <w:kinsoku/>
        <w:wordWrap/>
        <w:overflowPunct/>
        <w:topLinePunct w:val="0"/>
        <w:bidi w:val="0"/>
        <w:snapToGrid w:val="0"/>
        <w:spacing w:line="360" w:lineRule="auto"/>
        <w:ind w:left="560" w:firstLine="540"/>
        <w:textAlignment w:val="auto"/>
        <w:rPr>
          <w:rFonts w:ascii="宋体" w:hAnsi="宋体" w:cs="宋体"/>
          <w:b/>
          <w:bCs/>
          <w:color w:val="auto"/>
          <w:szCs w:val="21"/>
          <w:highlight w:val="none"/>
          <w:u w:val="single" w:color="000000"/>
        </w:rPr>
      </w:pPr>
      <w:r>
        <w:rPr>
          <w:rFonts w:hint="eastAsia" w:ascii="宋体" w:hAnsi="宋体" w:cs="宋体"/>
          <w:color w:val="auto"/>
          <w:szCs w:val="21"/>
          <w:highlight w:val="none"/>
          <w:u w:color="000000"/>
        </w:rPr>
        <w:t>承包人提交竣工付款申请单的期限：</w:t>
      </w:r>
      <w:r>
        <w:rPr>
          <w:rFonts w:hint="eastAsia" w:ascii="宋体" w:hAnsi="宋体" w:cs="宋体"/>
          <w:b/>
          <w:bCs/>
          <w:color w:val="auto"/>
          <w:szCs w:val="21"/>
          <w:highlight w:val="none"/>
          <w:u w:val="single"/>
        </w:rPr>
        <w:t>工</w:t>
      </w:r>
      <w:r>
        <w:rPr>
          <w:rFonts w:hint="eastAsia" w:ascii="宋体" w:hAnsi="宋体" w:cs="宋体"/>
          <w:b/>
          <w:bCs/>
          <w:color w:val="auto"/>
          <w:szCs w:val="21"/>
          <w:highlight w:val="none"/>
          <w:u w:val="single" w:color="000000"/>
        </w:rPr>
        <w:t>程竣工验收达到合格标准后，承包人应在28天内向发包人递交竣工结算报告及完整的结算资料。发包人收到完整的结算资料后应及时审计（或委托咨询公司审计），如发包人在56天内不进行审计或90天内因发包人（包括委托的咨询单位）原因未完成审计，视发包人已同意承包人的结算书，并按此结算工程款。若因承包人不来对账、无故拖延等承包人原因，造成90天内不能完成审计，则视承包人已同意审计意见，并按此结算工程款。发生双方对结算有争议的情况，另行协商处理。</w:t>
      </w:r>
    </w:p>
    <w:p w14:paraId="6C5F2CC1">
      <w:pPr>
        <w:pageBreakBefore w:val="0"/>
        <w:widowControl w:val="0"/>
        <w:kinsoku/>
        <w:wordWrap/>
        <w:overflowPunct/>
        <w:topLinePunct w:val="0"/>
        <w:bidi w:val="0"/>
        <w:snapToGrid w:val="0"/>
        <w:spacing w:line="360" w:lineRule="auto"/>
        <w:ind w:left="560" w:firstLine="542"/>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发包人根据国家造价管理的有关规定以及审定的工程结算额，与承包人办理最终价款结算手续。施工单位在工程竣工验收后，应如实向发包人报送该工程的结算，发包人有权委托审计代理单位对承包人上报的工程结算造价进行初审。内部审计报告经承发包人认可后，承包人必须依据内部审计报告意见相应调整结算造价后重新上报发包人，由发包人在规定的时间内做竣工结算审计。内部审计费用原则上由发包人支付，但如承包人上报的工程结算造价经内部审计后，工程送审造价净核减额超过5%（不含5%），则超过部分按5%向承包人收取审计追加费用。</w:t>
      </w:r>
    </w:p>
    <w:p w14:paraId="55F20E93">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竣工付款申请单应包括的内容：</w:t>
      </w:r>
      <w:r>
        <w:rPr>
          <w:rFonts w:hint="eastAsia" w:ascii="宋体" w:hAnsi="宋体" w:cs="宋体"/>
          <w:color w:val="auto"/>
          <w:szCs w:val="21"/>
          <w:highlight w:val="none"/>
          <w:u w:val="single" w:color="000000"/>
        </w:rPr>
        <w:t>按《通用合同条款》14.1条执行</w:t>
      </w:r>
      <w:r>
        <w:rPr>
          <w:rFonts w:hint="eastAsia" w:ascii="宋体" w:hAnsi="宋体" w:cs="宋体"/>
          <w:color w:val="auto"/>
          <w:szCs w:val="21"/>
          <w:highlight w:val="none"/>
          <w:u w:color="000000"/>
        </w:rPr>
        <w:t>。</w:t>
      </w:r>
    </w:p>
    <w:p w14:paraId="40D8945E">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14.2 竣工结算审核</w:t>
      </w:r>
    </w:p>
    <w:p w14:paraId="1CAEC640">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发包人审批竣工付款申请单的期限：</w:t>
      </w:r>
      <w:r>
        <w:rPr>
          <w:rFonts w:hint="eastAsia" w:ascii="宋体" w:hAnsi="宋体" w:cs="宋体"/>
          <w:color w:val="auto"/>
          <w:szCs w:val="21"/>
          <w:highlight w:val="none"/>
          <w:u w:val="single" w:color="000000"/>
        </w:rPr>
        <w:t xml:space="preserve">  收到竣工结算申请单后14天内</w:t>
      </w:r>
      <w:r>
        <w:rPr>
          <w:rFonts w:hint="eastAsia" w:ascii="宋体" w:hAnsi="宋体" w:cs="宋体"/>
          <w:color w:val="auto"/>
          <w:szCs w:val="21"/>
          <w:highlight w:val="none"/>
          <w:u w:color="000000"/>
        </w:rPr>
        <w:t>。</w:t>
      </w:r>
    </w:p>
    <w:p w14:paraId="308C3425">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发包人完成竣工付款的期限：</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7ADE4B77">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关于竣工付款证书异议部分复核的方式和程序：</w:t>
      </w:r>
      <w:r>
        <w:rPr>
          <w:rFonts w:hint="eastAsia" w:ascii="宋体" w:hAnsi="宋体" w:cs="宋体"/>
          <w:color w:val="auto"/>
          <w:szCs w:val="21"/>
          <w:highlight w:val="none"/>
          <w:u w:val="single" w:color="000000"/>
        </w:rPr>
        <w:t>按《通用合同条款》14.2条执行</w:t>
      </w:r>
      <w:r>
        <w:rPr>
          <w:rFonts w:hint="eastAsia" w:ascii="宋体" w:hAnsi="宋体" w:cs="宋体"/>
          <w:color w:val="auto"/>
          <w:szCs w:val="21"/>
          <w:highlight w:val="none"/>
          <w:u w:color="000000"/>
        </w:rPr>
        <w:t>。</w:t>
      </w:r>
    </w:p>
    <w:p w14:paraId="7E7CE6EE">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14.3最终结清</w:t>
      </w:r>
    </w:p>
    <w:p w14:paraId="44C1B245">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14.3.1 最终结清申请单</w:t>
      </w:r>
    </w:p>
    <w:p w14:paraId="57EB607A">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承包人提交最终结清申请单的份数：</w:t>
      </w:r>
      <w:r>
        <w:rPr>
          <w:rFonts w:hint="eastAsia" w:ascii="宋体" w:hAnsi="宋体" w:cs="宋体"/>
          <w:color w:val="auto"/>
          <w:szCs w:val="21"/>
          <w:highlight w:val="none"/>
          <w:u w:val="single" w:color="000000"/>
        </w:rPr>
        <w:t xml:space="preserve">    两份           </w:t>
      </w:r>
      <w:r>
        <w:rPr>
          <w:rFonts w:hint="eastAsia" w:ascii="宋体" w:hAnsi="宋体" w:cs="宋体"/>
          <w:color w:val="auto"/>
          <w:szCs w:val="21"/>
          <w:highlight w:val="none"/>
          <w:u w:color="000000"/>
        </w:rPr>
        <w:t>。</w:t>
      </w:r>
    </w:p>
    <w:p w14:paraId="60086191">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承包人提交最终结算申请单的期限：</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竣工验收合格后28天内</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 xml:space="preserve">。 </w:t>
      </w:r>
    </w:p>
    <w:p w14:paraId="26BA86D1">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14.3.2 最终结清证书和支付</w:t>
      </w:r>
    </w:p>
    <w:p w14:paraId="4A438AEC">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（1）发包人完成最终结清申请单的审批并颁发最终结清证书的期限：</w:t>
      </w:r>
      <w:r>
        <w:rPr>
          <w:rFonts w:hint="eastAsia" w:ascii="宋体" w:hAnsi="宋体" w:cs="宋体"/>
          <w:color w:val="auto"/>
          <w:szCs w:val="21"/>
          <w:highlight w:val="none"/>
          <w:u w:val="single" w:color="000000"/>
        </w:rPr>
        <w:t xml:space="preserve">收到最终结清申请单后30天内 </w:t>
      </w:r>
      <w:r>
        <w:rPr>
          <w:rFonts w:hint="eastAsia" w:ascii="宋体" w:hAnsi="宋体" w:cs="宋体"/>
          <w:color w:val="auto"/>
          <w:szCs w:val="21"/>
          <w:highlight w:val="none"/>
          <w:u w:color="000000"/>
        </w:rPr>
        <w:t>。</w:t>
      </w:r>
    </w:p>
    <w:p w14:paraId="695A523D">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（2）发包人完成支付的期限：</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7177500E">
      <w:pPr>
        <w:keepNext/>
        <w:keepLines/>
        <w:pageBreakBefore w:val="0"/>
        <w:widowControl w:val="0"/>
        <w:kinsoku/>
        <w:wordWrap/>
        <w:overflowPunct/>
        <w:topLinePunct w:val="0"/>
        <w:bidi w:val="0"/>
        <w:snapToGrid w:val="0"/>
        <w:spacing w:line="360" w:lineRule="auto"/>
        <w:ind w:firstLine="480"/>
        <w:textAlignment w:val="auto"/>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15. 缺陷责任期与保修</w:t>
      </w:r>
    </w:p>
    <w:p w14:paraId="7A660FAB">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15.1缺陷责任期</w:t>
      </w:r>
    </w:p>
    <w:p w14:paraId="6C1C14A8">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缺陷责任期的具体期限：</w:t>
      </w:r>
      <w:r>
        <w:rPr>
          <w:rFonts w:hint="eastAsia" w:ascii="宋体" w:hAnsi="宋体" w:cs="宋体"/>
          <w:color w:val="auto"/>
          <w:szCs w:val="21"/>
          <w:highlight w:val="none"/>
          <w:u w:val="single" w:color="000000"/>
        </w:rPr>
        <w:t xml:space="preserve">  24个月 </w:t>
      </w:r>
      <w:r>
        <w:rPr>
          <w:rFonts w:hint="eastAsia" w:ascii="宋体" w:hAnsi="宋体" w:cs="宋体"/>
          <w:b/>
          <w:bCs/>
          <w:color w:val="auto"/>
          <w:szCs w:val="21"/>
          <w:highlight w:val="none"/>
          <w:u w:color="000000"/>
        </w:rPr>
        <w:t>。</w:t>
      </w:r>
    </w:p>
    <w:p w14:paraId="5E17B7D6">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15.2 质量保证金</w:t>
      </w:r>
    </w:p>
    <w:p w14:paraId="2FFA3C14">
      <w:pPr>
        <w:pageBreakBefore w:val="0"/>
        <w:widowControl w:val="0"/>
        <w:kinsoku/>
        <w:wordWrap/>
        <w:overflowPunct/>
        <w:topLinePunct w:val="0"/>
        <w:bidi w:val="0"/>
        <w:snapToGrid w:val="0"/>
        <w:spacing w:line="360" w:lineRule="auto"/>
        <w:ind w:firstLine="420" w:firstLineChars="200"/>
        <w:jc w:val="left"/>
        <w:textAlignment w:val="auto"/>
        <w:rPr>
          <w:rFonts w:ascii="宋体" w:hAnsi="宋体" w:cs="宋体"/>
          <w:color w:val="auto"/>
          <w:szCs w:val="21"/>
          <w:highlight w:val="none"/>
          <w:u w:color="000000"/>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 xml:space="preserve"> 不扣留  </w:t>
      </w:r>
      <w:r>
        <w:rPr>
          <w:rFonts w:hint="eastAsia" w:ascii="宋体" w:hAnsi="宋体" w:cs="宋体"/>
          <w:color w:val="auto"/>
          <w:szCs w:val="21"/>
          <w:highlight w:val="none"/>
        </w:rPr>
        <w:t>。在工程项目竣工前，承包人按专用合同条款第3.7条提供履约担保的，发包人不得同时预留工程质量保证金。</w:t>
      </w:r>
    </w:p>
    <w:p w14:paraId="3D5852E3">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15.3.1 承包人提供质量保证金的方式</w:t>
      </w:r>
    </w:p>
    <w:p w14:paraId="71E0A9FE">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质量保证金采用以下第</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种方式：</w:t>
      </w:r>
    </w:p>
    <w:p w14:paraId="1E00A25D">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（1）质量保证金保函，保证金额为：</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 xml:space="preserve">； </w:t>
      </w:r>
    </w:p>
    <w:p w14:paraId="49A048B5">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（2）</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%的工程款；</w:t>
      </w:r>
    </w:p>
    <w:p w14:paraId="2379F455">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（3）其他方式:</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04AD69A6">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 xml:space="preserve">15.3.2 质量保证金的扣留 </w:t>
      </w:r>
    </w:p>
    <w:p w14:paraId="5677EF45">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质量保证金的扣留采取以下第</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种方式：</w:t>
      </w:r>
    </w:p>
    <w:p w14:paraId="6045BD34">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（1）在支付工程进度款时逐次扣留，在此情形下，质量保证金的计算基数不包括预付款的支付、扣回以及价格调整的金额；</w:t>
      </w:r>
    </w:p>
    <w:p w14:paraId="74CA4E85">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（2）工程竣工结算时一次性扣留质量保证金；</w:t>
      </w:r>
    </w:p>
    <w:p w14:paraId="09B10A53">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（3）其他扣留方式:</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3A945D1C">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关于质量保证金的补充约定：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556C475F">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15.4保修</w:t>
      </w:r>
    </w:p>
    <w:p w14:paraId="5811261D">
      <w:pPr>
        <w:pageBreakBefore w:val="0"/>
        <w:widowControl w:val="0"/>
        <w:kinsoku/>
        <w:wordWrap/>
        <w:overflowPunct/>
        <w:topLinePunct w:val="0"/>
        <w:bidi w:val="0"/>
        <w:snapToGrid w:val="0"/>
        <w:spacing w:line="360" w:lineRule="auto"/>
        <w:ind w:firstLine="468"/>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15.4.1 保修责任</w:t>
      </w:r>
    </w:p>
    <w:p w14:paraId="09B4298E">
      <w:pPr>
        <w:pageBreakBefore w:val="0"/>
        <w:widowControl w:val="0"/>
        <w:kinsoku/>
        <w:wordWrap/>
        <w:overflowPunct/>
        <w:topLinePunct w:val="0"/>
        <w:bidi w:val="0"/>
        <w:snapToGrid w:val="0"/>
        <w:spacing w:line="360" w:lineRule="auto"/>
        <w:ind w:firstLine="468"/>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工程保修期为：</w:t>
      </w:r>
      <w:r>
        <w:rPr>
          <w:rFonts w:hint="eastAsia" w:ascii="宋体" w:hAnsi="宋体" w:cs="宋体"/>
          <w:color w:val="auto"/>
          <w:szCs w:val="21"/>
          <w:highlight w:val="none"/>
          <w:u w:val="single" w:color="000000"/>
        </w:rPr>
        <w:t xml:space="preserve">  按附件3工程质量保修书规定执行</w:t>
      </w:r>
      <w:r>
        <w:rPr>
          <w:rFonts w:hint="eastAsia" w:ascii="宋体" w:hAnsi="宋体" w:cs="宋体"/>
          <w:color w:val="auto"/>
          <w:szCs w:val="21"/>
          <w:highlight w:val="none"/>
          <w:u w:color="000000"/>
        </w:rPr>
        <w:t>。</w:t>
      </w:r>
    </w:p>
    <w:p w14:paraId="7AFD8AC8">
      <w:pPr>
        <w:pageBreakBefore w:val="0"/>
        <w:widowControl w:val="0"/>
        <w:kinsoku/>
        <w:wordWrap/>
        <w:overflowPunct/>
        <w:topLinePunct w:val="0"/>
        <w:bidi w:val="0"/>
        <w:snapToGrid w:val="0"/>
        <w:spacing w:line="360" w:lineRule="auto"/>
        <w:ind w:firstLine="468"/>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15.4.3 修复通知</w:t>
      </w:r>
    </w:p>
    <w:p w14:paraId="1D2305FA">
      <w:pPr>
        <w:pageBreakBefore w:val="0"/>
        <w:widowControl w:val="0"/>
        <w:kinsoku/>
        <w:wordWrap/>
        <w:overflowPunct/>
        <w:topLinePunct w:val="0"/>
        <w:bidi w:val="0"/>
        <w:snapToGrid w:val="0"/>
        <w:spacing w:line="360" w:lineRule="auto"/>
        <w:ind w:firstLine="468"/>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承包人收到保修通知并到达工程现场的合理时间：</w:t>
      </w:r>
      <w:r>
        <w:rPr>
          <w:rFonts w:hint="eastAsia" w:ascii="宋体" w:hAnsi="宋体" w:cs="宋体"/>
          <w:color w:val="auto"/>
          <w:szCs w:val="21"/>
          <w:highlight w:val="none"/>
          <w:u w:val="single" w:color="000000"/>
        </w:rPr>
        <w:t xml:space="preserve">   48 小时</w:t>
      </w:r>
      <w:r>
        <w:rPr>
          <w:rFonts w:hint="eastAsia" w:ascii="宋体" w:hAnsi="宋体" w:cs="宋体"/>
          <w:color w:val="auto"/>
          <w:szCs w:val="21"/>
          <w:highlight w:val="none"/>
          <w:u w:color="000000"/>
        </w:rPr>
        <w:t>。</w:t>
      </w:r>
    </w:p>
    <w:p w14:paraId="0E89901F">
      <w:pPr>
        <w:keepNext/>
        <w:keepLines/>
        <w:pageBreakBefore w:val="0"/>
        <w:widowControl w:val="0"/>
        <w:kinsoku/>
        <w:wordWrap/>
        <w:overflowPunct/>
        <w:topLinePunct w:val="0"/>
        <w:bidi w:val="0"/>
        <w:snapToGrid w:val="0"/>
        <w:spacing w:line="360" w:lineRule="auto"/>
        <w:ind w:firstLine="480"/>
        <w:textAlignment w:val="auto"/>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16. 违约</w:t>
      </w:r>
    </w:p>
    <w:p w14:paraId="55D10481">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16.1 发包人违约</w:t>
      </w:r>
    </w:p>
    <w:p w14:paraId="3046C336">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16.1.1发包人违约的情形</w:t>
      </w:r>
    </w:p>
    <w:p w14:paraId="2C86BC88">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发包人违约的其他情形：</w:t>
      </w:r>
      <w:r>
        <w:rPr>
          <w:rFonts w:hint="eastAsia" w:ascii="宋体" w:hAnsi="宋体" w:cs="宋体"/>
          <w:color w:val="auto"/>
          <w:szCs w:val="21"/>
          <w:highlight w:val="none"/>
          <w:u w:val="single" w:color="000000"/>
        </w:rPr>
        <w:t xml:space="preserve">  按通用条款约定     </w:t>
      </w:r>
      <w:r>
        <w:rPr>
          <w:rFonts w:hint="eastAsia" w:ascii="宋体" w:hAnsi="宋体" w:cs="宋体"/>
          <w:color w:val="auto"/>
          <w:szCs w:val="21"/>
          <w:highlight w:val="none"/>
          <w:u w:color="000000"/>
        </w:rPr>
        <w:t>。</w:t>
      </w:r>
    </w:p>
    <w:p w14:paraId="24DAF1B4">
      <w:pPr>
        <w:pageBreakBefore w:val="0"/>
        <w:widowControl w:val="0"/>
        <w:kinsoku/>
        <w:wordWrap/>
        <w:overflowPunct/>
        <w:topLinePunct w:val="0"/>
        <w:bidi w:val="0"/>
        <w:snapToGrid w:val="0"/>
        <w:spacing w:line="360" w:lineRule="auto"/>
        <w:ind w:left="1200" w:hanging="120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 xml:space="preserve">    16.1.2 发包人违约的责任</w:t>
      </w:r>
    </w:p>
    <w:p w14:paraId="4CE7106F">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发包人违约责任的承担方式和计算方法：</w:t>
      </w:r>
    </w:p>
    <w:p w14:paraId="146C7BF1">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（1）因发包人原因未能在计划开工日期前7天内下达开工通知的违约责任：</w:t>
      </w:r>
      <w:r>
        <w:rPr>
          <w:rFonts w:hint="eastAsia" w:ascii="宋体" w:hAnsi="宋体" w:cs="宋体"/>
          <w:color w:val="auto"/>
          <w:szCs w:val="21"/>
          <w:highlight w:val="none"/>
          <w:u w:val="single" w:color="000000"/>
        </w:rPr>
        <w:t xml:space="preserve">   双方另行约定     </w:t>
      </w:r>
      <w:r>
        <w:rPr>
          <w:rFonts w:hint="eastAsia" w:ascii="宋体" w:hAnsi="宋体" w:cs="宋体"/>
          <w:color w:val="auto"/>
          <w:szCs w:val="21"/>
          <w:highlight w:val="none"/>
          <w:u w:color="000000"/>
        </w:rPr>
        <w:t>。</w:t>
      </w:r>
    </w:p>
    <w:p w14:paraId="3C653AB1">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（2）因发包人原因未能按合同约定支付合同价款的违约责任：</w:t>
      </w:r>
      <w:r>
        <w:rPr>
          <w:rFonts w:hint="eastAsia" w:ascii="宋体" w:hAnsi="宋体" w:cs="宋体"/>
          <w:color w:val="auto"/>
          <w:szCs w:val="21"/>
          <w:highlight w:val="none"/>
          <w:u w:val="single" w:color="000000"/>
        </w:rPr>
        <w:t xml:space="preserve"> 双方另行约定</w:t>
      </w:r>
      <w:r>
        <w:rPr>
          <w:rFonts w:hint="eastAsia" w:ascii="宋体" w:hAnsi="宋体" w:cs="宋体"/>
          <w:color w:val="auto"/>
          <w:szCs w:val="21"/>
          <w:highlight w:val="none"/>
          <w:u w:color="000000"/>
        </w:rPr>
        <w:t>。</w:t>
      </w:r>
    </w:p>
    <w:p w14:paraId="6DF2F711">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（3）发包人违反第10.1款〔变更的范围〕第（2）项约定，自行实施被取消的工作或转由他人实施的违约责任：</w:t>
      </w:r>
      <w:r>
        <w:rPr>
          <w:rFonts w:hint="eastAsia" w:ascii="宋体" w:hAnsi="宋体" w:cs="宋体"/>
          <w:color w:val="auto"/>
          <w:szCs w:val="21"/>
          <w:highlight w:val="none"/>
          <w:u w:val="single" w:color="000000"/>
        </w:rPr>
        <w:t xml:space="preserve"> 双方另行约定   </w:t>
      </w:r>
      <w:r>
        <w:rPr>
          <w:rFonts w:hint="eastAsia" w:ascii="宋体" w:hAnsi="宋体" w:cs="宋体"/>
          <w:color w:val="auto"/>
          <w:szCs w:val="21"/>
          <w:highlight w:val="none"/>
          <w:u w:color="000000"/>
        </w:rPr>
        <w:t>。</w:t>
      </w:r>
    </w:p>
    <w:p w14:paraId="0DAB7094">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（4）发包人提供的材料、工程设备的规格、数量或质量不符合合同约定，或因发包人原因导致交货日期延误或交货地点变更等情况的违约责任：</w:t>
      </w:r>
      <w:r>
        <w:rPr>
          <w:rFonts w:hint="eastAsia" w:ascii="宋体" w:hAnsi="宋体" w:cs="宋体"/>
          <w:color w:val="auto"/>
          <w:szCs w:val="21"/>
          <w:highlight w:val="none"/>
          <w:u w:val="single" w:color="000000"/>
        </w:rPr>
        <w:t xml:space="preserve">     双方另行约定  </w:t>
      </w:r>
      <w:r>
        <w:rPr>
          <w:rFonts w:hint="eastAsia" w:ascii="宋体" w:hAnsi="宋体" w:cs="宋体"/>
          <w:color w:val="auto"/>
          <w:szCs w:val="21"/>
          <w:highlight w:val="none"/>
          <w:u w:color="000000"/>
        </w:rPr>
        <w:t>。</w:t>
      </w:r>
    </w:p>
    <w:p w14:paraId="63B001F2">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（5）因发包人违反合同约定造成暂停施工的违约责任：</w:t>
      </w:r>
      <w:r>
        <w:rPr>
          <w:rFonts w:hint="eastAsia" w:ascii="宋体" w:hAnsi="宋体" w:cs="宋体"/>
          <w:color w:val="auto"/>
          <w:szCs w:val="21"/>
          <w:highlight w:val="none"/>
          <w:u w:val="single" w:color="000000"/>
        </w:rPr>
        <w:t xml:space="preserve">双方另行约定  </w:t>
      </w:r>
      <w:r>
        <w:rPr>
          <w:rFonts w:hint="eastAsia" w:ascii="宋体" w:hAnsi="宋体" w:cs="宋体"/>
          <w:color w:val="auto"/>
          <w:szCs w:val="21"/>
          <w:highlight w:val="none"/>
          <w:u w:color="000000"/>
        </w:rPr>
        <w:t>。</w:t>
      </w:r>
    </w:p>
    <w:p w14:paraId="75C489F3">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（6）发包人无正当理由没有在约定期限内发出复工指示，导致承包人无法复工的违约责任：</w:t>
      </w:r>
      <w:r>
        <w:rPr>
          <w:rFonts w:hint="eastAsia" w:ascii="宋体" w:hAnsi="宋体" w:cs="宋体"/>
          <w:color w:val="auto"/>
          <w:szCs w:val="21"/>
          <w:highlight w:val="none"/>
          <w:u w:val="single" w:color="000000"/>
        </w:rPr>
        <w:t xml:space="preserve"> 双方另行约定 </w:t>
      </w:r>
      <w:r>
        <w:rPr>
          <w:rFonts w:hint="eastAsia" w:ascii="宋体" w:hAnsi="宋体" w:cs="宋体"/>
          <w:color w:val="auto"/>
          <w:szCs w:val="21"/>
          <w:highlight w:val="none"/>
          <w:u w:color="000000"/>
        </w:rPr>
        <w:t>。</w:t>
      </w:r>
    </w:p>
    <w:p w14:paraId="76389B81">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（7）其他：</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07D060E1">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16.1.3 因发包人违约解除合同</w:t>
      </w:r>
    </w:p>
    <w:p w14:paraId="0A21922B">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承包人按16.1.1项〔发包人违约的情形〕约定暂停施工满</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天后发包人仍不纠正其违约行为并致使合同目的不能实现的，承包人有权解除合同。</w:t>
      </w:r>
    </w:p>
    <w:p w14:paraId="6D5A9F0E">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16.2 承包人违约</w:t>
      </w:r>
    </w:p>
    <w:p w14:paraId="692C58AB">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16.2.1 承包人违约的情形</w:t>
      </w:r>
    </w:p>
    <w:p w14:paraId="77256FBB">
      <w:pPr>
        <w:pageBreakBefore w:val="0"/>
        <w:widowControl w:val="0"/>
        <w:kinsoku/>
        <w:wordWrap/>
        <w:overflowPunct/>
        <w:topLinePunct w:val="0"/>
        <w:bidi w:val="0"/>
        <w:snapToGrid w:val="0"/>
        <w:spacing w:line="360" w:lineRule="auto"/>
        <w:ind w:left="560" w:firstLine="480"/>
        <w:jc w:val="left"/>
        <w:textAlignment w:val="auto"/>
        <w:rPr>
          <w:rFonts w:ascii="宋体" w:hAnsi="宋体" w:cs="宋体"/>
          <w:b/>
          <w:bCs/>
          <w:color w:val="auto"/>
          <w:szCs w:val="21"/>
          <w:highlight w:val="none"/>
          <w:u w:val="single" w:color="000000"/>
        </w:rPr>
      </w:pPr>
      <w:r>
        <w:rPr>
          <w:rFonts w:hint="eastAsia" w:ascii="宋体" w:hAnsi="宋体" w:cs="宋体"/>
          <w:color w:val="auto"/>
          <w:szCs w:val="21"/>
          <w:highlight w:val="none"/>
          <w:u w:color="000000"/>
        </w:rPr>
        <w:t>承包人违约的其他情形：</w:t>
      </w:r>
      <w:r>
        <w:rPr>
          <w:rFonts w:hint="eastAsia" w:ascii="宋体" w:hAnsi="宋体" w:cs="宋体"/>
          <w:b/>
          <w:bCs/>
          <w:color w:val="auto"/>
          <w:szCs w:val="21"/>
          <w:highlight w:val="none"/>
          <w:u w:val="single" w:color="000000"/>
        </w:rPr>
        <w:t>（1）承包人应在施工合同签订后5日内按有关规定交纳民工工资保障金，决不影响发包人办理施工许可证等证件，否则发包人将扣除承包人的其它全部履约保证金；</w:t>
      </w:r>
    </w:p>
    <w:p w14:paraId="5C6FA14C">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本合同在实施中，如承包人的施工队伍素质、力量、机械配备不符合工程施工需要，造成现场管理混乱，工程质量和进度明显达不到预定计划时，发包人有权要求其整改并充实施工力量，承包人必须接受，否则作违约处理，直至终止合同，并赔偿发包人损失；</w:t>
      </w:r>
    </w:p>
    <w:p w14:paraId="688A6263">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承包人不得将本工程转包。如将工程转包，发包人有权终止施工合同，由此所发生的一切损失均由承包人承担。特殊专业辅助工程分包，未经发包人同意的，不得分包。否则发包人有权终止合同，由此所发生的一切损失均由承包人承担，并处以转包（分包）项目金额5‰以上10‰以下违约金；</w:t>
      </w:r>
    </w:p>
    <w:p w14:paraId="26BCC32D">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在合同执行过程中，承包人如果用行贿、送礼或其他不正当手段企图影响或已经影响了发包人代表或监理人员行为和欲获得超出合同规定以外的额外费用，则发包人除按有关规定严肃处理当事人（含发包人人员和监理人员）外，承包人对上述行为造成的工程损害、发包人的经济损失等，承包人应负一切责任，并予赔偿。情节严重者，发包人有权终止承包人在本合同项下的承包；</w:t>
      </w:r>
    </w:p>
    <w:p w14:paraId="4561FF07">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5）本工程若有风险控制金的，中标后，若中标人未能在合同签订前提交风险控制金的，将废除中标人资格并扣罚其投标保证金；如承包人未能完成本工程施工的，除双方合同条款约定外，其风险控制金也将扣除。风险控制金的退还同履约保证金 </w:t>
      </w:r>
      <w:r>
        <w:rPr>
          <w:rFonts w:hint="eastAsia" w:ascii="宋体" w:hAnsi="宋体" w:cs="宋体"/>
          <w:b/>
          <w:bCs/>
          <w:color w:val="auto"/>
          <w:szCs w:val="21"/>
          <w:highlight w:val="none"/>
          <w:u w:color="000000"/>
        </w:rPr>
        <w:t>。</w:t>
      </w:r>
    </w:p>
    <w:p w14:paraId="33E3ADAB">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16.2.2承包人违约的责任</w:t>
      </w:r>
    </w:p>
    <w:p w14:paraId="1EC5291D">
      <w:pPr>
        <w:pageBreakBefore w:val="0"/>
        <w:widowControl w:val="0"/>
        <w:kinsoku/>
        <w:wordWrap/>
        <w:overflowPunct/>
        <w:topLinePunct w:val="0"/>
        <w:bidi w:val="0"/>
        <w:snapToGrid w:val="0"/>
        <w:spacing w:line="360" w:lineRule="auto"/>
        <w:ind w:left="560"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承包人违约责任的承担方式和计算方法：</w:t>
      </w:r>
      <w:r>
        <w:rPr>
          <w:rFonts w:hint="eastAsia" w:ascii="宋体" w:hAnsi="宋体" w:cs="宋体"/>
          <w:b/>
          <w:bCs/>
          <w:color w:val="auto"/>
          <w:szCs w:val="21"/>
          <w:highlight w:val="none"/>
          <w:u w:val="single" w:color="000000"/>
        </w:rPr>
        <w:t>承包人工期每延误一天按结算总价的1％进行处罚，并扣除履约保证金。</w:t>
      </w:r>
      <w:r>
        <w:rPr>
          <w:rFonts w:hint="eastAsia" w:ascii="宋体" w:hAnsi="宋体" w:cs="宋体"/>
          <w:color w:val="auto"/>
          <w:szCs w:val="21"/>
          <w:highlight w:val="none"/>
          <w:u w:color="000000"/>
        </w:rPr>
        <w:t xml:space="preserve">    </w:t>
      </w:r>
    </w:p>
    <w:p w14:paraId="68952BBC">
      <w:pPr>
        <w:pageBreakBefore w:val="0"/>
        <w:widowControl w:val="0"/>
        <w:kinsoku/>
        <w:wordWrap/>
        <w:overflowPunct/>
        <w:topLinePunct w:val="0"/>
        <w:bidi w:val="0"/>
        <w:snapToGrid w:val="0"/>
        <w:spacing w:line="360" w:lineRule="auto"/>
        <w:ind w:left="560" w:firstLine="482"/>
        <w:jc w:val="left"/>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本合同通用条款约定承包人违约应承担的违约责任：因承包人原因造成工程质量问题，由承包人负责整改工作及相关费用，直至达到合格标准。因此造成的工期延误和损失，由承包人承担一切后果。承包人不修复或无法修复的,发包人有权自行委托有资质单位修复,修复费用及造成的损失由承包人承担。同时由发包人没收履约保证金。赔偿因工程质量原因而引起的一切损失，并向发包人支付不超过合同总价20%的违约金，同时由发包人没收质量履约保证金。</w:t>
      </w:r>
    </w:p>
    <w:p w14:paraId="7BD610BC">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16.2.3 因承包人违约解除合同</w:t>
      </w:r>
    </w:p>
    <w:p w14:paraId="458B18D3">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关于承包人违约解除合同的特别约定：</w:t>
      </w:r>
      <w:r>
        <w:rPr>
          <w:rFonts w:hint="eastAsia" w:ascii="宋体" w:hAnsi="宋体" w:cs="宋体"/>
          <w:color w:val="auto"/>
          <w:szCs w:val="21"/>
          <w:highlight w:val="none"/>
          <w:u w:val="single" w:color="000000"/>
        </w:rPr>
        <w:t>《通用合同条款》16.2.3条执行和《专用合同条款》16.2.1款执行</w:t>
      </w:r>
      <w:r>
        <w:rPr>
          <w:rFonts w:hint="eastAsia" w:ascii="宋体" w:hAnsi="宋体" w:cs="宋体"/>
          <w:color w:val="auto"/>
          <w:szCs w:val="21"/>
          <w:highlight w:val="none"/>
          <w:u w:color="000000"/>
        </w:rPr>
        <w:t>。</w:t>
      </w:r>
    </w:p>
    <w:p w14:paraId="78875101">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发包人继续使用承包人在施工现场的材料、设备、临时工程、承包人文件和由承包人或以其名义编制的其他文件的费用承担方式：</w:t>
      </w:r>
      <w:r>
        <w:rPr>
          <w:rFonts w:hint="eastAsia" w:ascii="宋体" w:hAnsi="宋体" w:cs="宋体"/>
          <w:color w:val="auto"/>
          <w:szCs w:val="21"/>
          <w:highlight w:val="none"/>
          <w:u w:val="single" w:color="000000"/>
        </w:rPr>
        <w:t xml:space="preserve">  由承包人承担相应费用             </w:t>
      </w:r>
      <w:r>
        <w:rPr>
          <w:rFonts w:hint="eastAsia" w:ascii="宋体" w:hAnsi="宋体" w:cs="宋体"/>
          <w:color w:val="auto"/>
          <w:szCs w:val="21"/>
          <w:highlight w:val="none"/>
          <w:u w:color="000000"/>
        </w:rPr>
        <w:t>。</w:t>
      </w:r>
    </w:p>
    <w:p w14:paraId="4D6CCDEA">
      <w:pPr>
        <w:keepNext/>
        <w:keepLines/>
        <w:pageBreakBefore w:val="0"/>
        <w:widowControl w:val="0"/>
        <w:tabs>
          <w:tab w:val="left" w:pos="630"/>
        </w:tabs>
        <w:kinsoku/>
        <w:wordWrap/>
        <w:overflowPunct/>
        <w:topLinePunct w:val="0"/>
        <w:bidi w:val="0"/>
        <w:snapToGrid w:val="0"/>
        <w:spacing w:line="360" w:lineRule="auto"/>
        <w:ind w:firstLine="480"/>
        <w:textAlignment w:val="auto"/>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 xml:space="preserve">17. 不可抗力 </w:t>
      </w:r>
    </w:p>
    <w:p w14:paraId="33EC4FBD">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17.1 不可抗力的确认</w:t>
      </w:r>
    </w:p>
    <w:p w14:paraId="72D1BDA6">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 xml:space="preserve">除通用合同条款约定的不可抗力事件之外，视为不可抗力的其他情形： </w:t>
      </w:r>
      <w:r>
        <w:rPr>
          <w:rFonts w:hint="eastAsia" w:ascii="宋体" w:hAnsi="宋体" w:cs="宋体"/>
          <w:color w:val="auto"/>
          <w:szCs w:val="21"/>
          <w:highlight w:val="none"/>
          <w:u w:val="single" w:color="000000"/>
        </w:rPr>
        <w:t xml:space="preserve">   按通用条款执行    </w:t>
      </w:r>
      <w:r>
        <w:rPr>
          <w:rFonts w:hint="eastAsia" w:ascii="宋体" w:hAnsi="宋体" w:cs="宋体"/>
          <w:color w:val="auto"/>
          <w:szCs w:val="21"/>
          <w:highlight w:val="none"/>
          <w:u w:color="000000"/>
        </w:rPr>
        <w:t>。</w:t>
      </w:r>
    </w:p>
    <w:p w14:paraId="2D0D2323">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17.2因不可抗力解除合同</w:t>
      </w:r>
    </w:p>
    <w:p w14:paraId="5F89E8A3">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合同解除后，发包人应在商定或确定发包人应支付款项后</w:t>
      </w:r>
      <w:r>
        <w:rPr>
          <w:rFonts w:hint="eastAsia" w:ascii="宋体" w:hAnsi="宋体" w:cs="宋体"/>
          <w:color w:val="auto"/>
          <w:szCs w:val="21"/>
          <w:highlight w:val="none"/>
          <w:u w:val="single" w:color="000000"/>
        </w:rPr>
        <w:t xml:space="preserve"> 28 </w:t>
      </w:r>
      <w:r>
        <w:rPr>
          <w:rFonts w:hint="eastAsia" w:ascii="宋体" w:hAnsi="宋体" w:cs="宋体"/>
          <w:color w:val="auto"/>
          <w:szCs w:val="21"/>
          <w:highlight w:val="none"/>
          <w:u w:color="000000"/>
        </w:rPr>
        <w:t>天内完成款项的支付。</w:t>
      </w:r>
    </w:p>
    <w:p w14:paraId="09C8D56C">
      <w:pPr>
        <w:keepNext/>
        <w:keepLines/>
        <w:pageBreakBefore w:val="0"/>
        <w:widowControl w:val="0"/>
        <w:kinsoku/>
        <w:wordWrap/>
        <w:overflowPunct/>
        <w:topLinePunct w:val="0"/>
        <w:bidi w:val="0"/>
        <w:snapToGrid w:val="0"/>
        <w:spacing w:line="360" w:lineRule="auto"/>
        <w:ind w:firstLine="480"/>
        <w:textAlignment w:val="auto"/>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18. 保险</w:t>
      </w:r>
    </w:p>
    <w:p w14:paraId="665811C6">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18.1 工程保险</w:t>
      </w:r>
    </w:p>
    <w:p w14:paraId="575C109E">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关于工程保险的特别约定：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4FD12BE9">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18.2 其他保险</w:t>
      </w:r>
    </w:p>
    <w:p w14:paraId="7B51E03B">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关于其他保险的约定：</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eastAsia="zh-CN"/>
        </w:rPr>
        <w:t>承包方</w:t>
      </w:r>
      <w:r>
        <w:rPr>
          <w:rFonts w:hint="eastAsia" w:ascii="宋体" w:hAnsi="宋体" w:cs="宋体"/>
          <w:color w:val="auto"/>
          <w:szCs w:val="21"/>
          <w:highlight w:val="none"/>
          <w:u w:val="single" w:color="000000"/>
        </w:rPr>
        <w:t>在本工程中参与施工的所有工作人员和工人的人身意外保险由</w:t>
      </w:r>
      <w:r>
        <w:rPr>
          <w:rFonts w:hint="eastAsia" w:ascii="宋体" w:hAnsi="宋体" w:cs="宋体"/>
          <w:color w:val="auto"/>
          <w:szCs w:val="21"/>
          <w:highlight w:val="none"/>
          <w:u w:val="single" w:color="000000"/>
          <w:lang w:eastAsia="zh-CN"/>
        </w:rPr>
        <w:t>承包方</w:t>
      </w:r>
      <w:r>
        <w:rPr>
          <w:rFonts w:hint="eastAsia" w:ascii="宋体" w:hAnsi="宋体" w:cs="宋体"/>
          <w:color w:val="auto"/>
          <w:szCs w:val="21"/>
          <w:highlight w:val="none"/>
          <w:u w:val="single" w:color="000000"/>
        </w:rPr>
        <w:t>投保,因</w:t>
      </w:r>
      <w:r>
        <w:rPr>
          <w:rFonts w:hint="eastAsia" w:ascii="宋体" w:hAnsi="宋体" w:cs="宋体"/>
          <w:color w:val="auto"/>
          <w:szCs w:val="21"/>
          <w:highlight w:val="none"/>
          <w:u w:val="single" w:color="000000"/>
          <w:lang w:eastAsia="zh-CN"/>
        </w:rPr>
        <w:t>承包方</w:t>
      </w:r>
      <w:r>
        <w:rPr>
          <w:rFonts w:hint="eastAsia" w:ascii="宋体" w:hAnsi="宋体" w:cs="宋体"/>
          <w:color w:val="auto"/>
          <w:szCs w:val="21"/>
          <w:highlight w:val="none"/>
          <w:u w:val="single" w:color="000000"/>
        </w:rPr>
        <w:t>原因造成的任何事故(包括第三者人员在内)所发生的依法应该支付的损失赔偿费, 抚恤费和法律责任均应由</w:t>
      </w:r>
      <w:r>
        <w:rPr>
          <w:rFonts w:hint="eastAsia" w:ascii="宋体" w:hAnsi="宋体" w:cs="宋体"/>
          <w:color w:val="auto"/>
          <w:szCs w:val="21"/>
          <w:highlight w:val="none"/>
          <w:u w:val="single" w:color="000000"/>
          <w:lang w:eastAsia="zh-CN"/>
        </w:rPr>
        <w:t>承包方</w:t>
      </w:r>
      <w:r>
        <w:rPr>
          <w:rFonts w:hint="eastAsia" w:ascii="宋体" w:hAnsi="宋体" w:cs="宋体"/>
          <w:color w:val="auto"/>
          <w:szCs w:val="21"/>
          <w:highlight w:val="none"/>
          <w:u w:val="single" w:color="000000"/>
        </w:rPr>
        <w:t xml:space="preserve">负责, </w:t>
      </w:r>
      <w:r>
        <w:rPr>
          <w:rFonts w:hint="eastAsia" w:ascii="宋体" w:hAnsi="宋体" w:cs="宋体"/>
          <w:color w:val="auto"/>
          <w:szCs w:val="21"/>
          <w:highlight w:val="none"/>
          <w:u w:val="single" w:color="000000"/>
          <w:lang w:eastAsia="zh-CN"/>
        </w:rPr>
        <w:t>发包方</w:t>
      </w:r>
      <w:r>
        <w:rPr>
          <w:rFonts w:hint="eastAsia" w:ascii="宋体" w:hAnsi="宋体" w:cs="宋体"/>
          <w:color w:val="auto"/>
          <w:szCs w:val="21"/>
          <w:highlight w:val="none"/>
          <w:u w:val="single" w:color="000000"/>
        </w:rPr>
        <w:t xml:space="preserve">不承担此等责任   </w:t>
      </w:r>
      <w:r>
        <w:rPr>
          <w:rFonts w:hint="eastAsia" w:ascii="宋体" w:hAnsi="宋体" w:cs="宋体"/>
          <w:color w:val="auto"/>
          <w:szCs w:val="21"/>
          <w:highlight w:val="none"/>
          <w:u w:color="000000"/>
        </w:rPr>
        <w:t>。</w:t>
      </w:r>
    </w:p>
    <w:p w14:paraId="704F240D">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承包人是否应为其施工设备等办理财产保险：</w:t>
      </w:r>
      <w:r>
        <w:rPr>
          <w:rFonts w:hint="eastAsia" w:ascii="宋体" w:hAnsi="宋体" w:cs="宋体"/>
          <w:color w:val="auto"/>
          <w:szCs w:val="21"/>
          <w:highlight w:val="none"/>
          <w:u w:val="single" w:color="000000"/>
        </w:rPr>
        <w:t xml:space="preserve">    是        </w:t>
      </w:r>
      <w:r>
        <w:rPr>
          <w:rFonts w:hint="eastAsia" w:ascii="宋体" w:hAnsi="宋体" w:cs="宋体"/>
          <w:color w:val="auto"/>
          <w:szCs w:val="21"/>
          <w:highlight w:val="none"/>
          <w:u w:color="000000"/>
        </w:rPr>
        <w:t>。</w:t>
      </w:r>
    </w:p>
    <w:p w14:paraId="62FEA16C">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18.3 通知义务</w:t>
      </w:r>
    </w:p>
    <w:p w14:paraId="4DAC2C74">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关于变更保险合同时的通知义务的约定：</w:t>
      </w:r>
      <w:r>
        <w:rPr>
          <w:rFonts w:hint="eastAsia" w:ascii="宋体" w:hAnsi="宋体" w:cs="宋体"/>
          <w:color w:val="auto"/>
          <w:szCs w:val="21"/>
          <w:highlight w:val="none"/>
          <w:u w:val="single" w:color="000000"/>
        </w:rPr>
        <w:t xml:space="preserve">    按通用条款执行   </w:t>
      </w:r>
      <w:r>
        <w:rPr>
          <w:rFonts w:hint="eastAsia" w:ascii="宋体" w:hAnsi="宋体" w:cs="宋体"/>
          <w:color w:val="auto"/>
          <w:szCs w:val="21"/>
          <w:highlight w:val="none"/>
          <w:u w:color="000000"/>
        </w:rPr>
        <w:t>。</w:t>
      </w:r>
    </w:p>
    <w:p w14:paraId="312D4D8A">
      <w:pPr>
        <w:keepNext/>
        <w:keepLines/>
        <w:pageBreakBefore w:val="0"/>
        <w:widowControl w:val="0"/>
        <w:kinsoku/>
        <w:wordWrap/>
        <w:overflowPunct/>
        <w:topLinePunct w:val="0"/>
        <w:bidi w:val="0"/>
        <w:snapToGrid w:val="0"/>
        <w:spacing w:line="360" w:lineRule="auto"/>
        <w:ind w:firstLine="480"/>
        <w:textAlignment w:val="auto"/>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20. 争议解决</w:t>
      </w:r>
    </w:p>
    <w:p w14:paraId="779FF896">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20.3 争议评审</w:t>
      </w:r>
    </w:p>
    <w:p w14:paraId="69277EA5">
      <w:pPr>
        <w:pageBreakBefore w:val="0"/>
        <w:widowControl w:val="0"/>
        <w:kinsoku/>
        <w:wordWrap/>
        <w:overflowPunct/>
        <w:topLinePunct w:val="0"/>
        <w:bidi w:val="0"/>
        <w:snapToGrid w:val="0"/>
        <w:spacing w:line="360" w:lineRule="auto"/>
        <w:ind w:left="199" w:firstLine="36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合同当事人是否同意将工程争议提交争议评审小组决定：</w:t>
      </w:r>
      <w:r>
        <w:rPr>
          <w:rFonts w:hint="eastAsia" w:ascii="宋体" w:hAnsi="宋体" w:cs="宋体"/>
          <w:color w:val="auto"/>
          <w:szCs w:val="21"/>
          <w:highlight w:val="none"/>
          <w:u w:val="single" w:color="000000"/>
        </w:rPr>
        <w:t xml:space="preserve">否  </w:t>
      </w:r>
      <w:r>
        <w:rPr>
          <w:rFonts w:hint="eastAsia" w:ascii="宋体" w:hAnsi="宋体" w:cs="宋体"/>
          <w:color w:val="auto"/>
          <w:szCs w:val="21"/>
          <w:highlight w:val="none"/>
          <w:u w:color="000000"/>
        </w:rPr>
        <w:t xml:space="preserve">。  </w:t>
      </w:r>
    </w:p>
    <w:p w14:paraId="46722F4F">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20.3.1 争议评审小组的确定</w:t>
      </w:r>
    </w:p>
    <w:p w14:paraId="5B86ED84">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争议评审小组成员的确定：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1DD69670">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选定争议评审员的期限：</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3392F9A2">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争议评审小组成员的报酬承担方式：</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38B9FA29">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其他事项的约定：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2C5B46A7">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val="single" w:color="000000"/>
        </w:rPr>
      </w:pPr>
      <w:r>
        <w:rPr>
          <w:rFonts w:hint="eastAsia" w:ascii="宋体" w:hAnsi="宋体" w:cs="宋体"/>
          <w:color w:val="auto"/>
          <w:szCs w:val="21"/>
          <w:highlight w:val="none"/>
          <w:u w:color="000000"/>
        </w:rPr>
        <w:t>20.3.2 争议评审小组的决定</w:t>
      </w:r>
    </w:p>
    <w:p w14:paraId="7B376DA5">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合同当事人关于本项的约定：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332A817C">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20.4仲裁或诉讼</w:t>
      </w:r>
    </w:p>
    <w:p w14:paraId="04387A2D">
      <w:pPr>
        <w:pageBreakBefore w:val="0"/>
        <w:widowControl w:val="0"/>
        <w:kinsoku/>
        <w:wordWrap/>
        <w:overflowPunct/>
        <w:topLinePunct w:val="0"/>
        <w:bidi w:val="0"/>
        <w:snapToGrid w:val="0"/>
        <w:spacing w:line="360" w:lineRule="auto"/>
        <w:ind w:firstLine="480"/>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因合同及合同有关事项发生的争议，双方当事人一致同意提交</w:t>
      </w:r>
      <w:r>
        <w:rPr>
          <w:rFonts w:hint="eastAsia" w:ascii="宋体" w:hAnsi="宋体" w:cs="宋体"/>
          <w:b/>
          <w:bCs/>
          <w:color w:val="auto"/>
          <w:szCs w:val="21"/>
          <w:highlight w:val="none"/>
          <w:u w:color="000000"/>
        </w:rPr>
        <w:t>杭州仲裁委员会申请仲裁</w:t>
      </w:r>
      <w:r>
        <w:rPr>
          <w:rFonts w:hint="eastAsia" w:ascii="宋体" w:hAnsi="宋体" w:cs="宋体"/>
          <w:color w:val="auto"/>
          <w:szCs w:val="21"/>
          <w:highlight w:val="none"/>
          <w:u w:color="000000"/>
        </w:rPr>
        <w:t>；但双方当事人特别约定下列解决方式中第</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val="single" w:color="000000"/>
          <w:lang w:val="en-US" w:eastAsia="zh-CN"/>
        </w:rPr>
        <w:t>2</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种方式解决争议的除外：</w:t>
      </w:r>
    </w:p>
    <w:p w14:paraId="4745C348">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（1）向</w:t>
      </w:r>
      <w:r>
        <w:rPr>
          <w:rFonts w:hint="eastAsia" w:ascii="宋体" w:hAnsi="宋体" w:cs="宋体"/>
          <w:color w:val="auto"/>
          <w:szCs w:val="21"/>
          <w:highlight w:val="none"/>
          <w:u w:val="single" w:color="000000"/>
        </w:rPr>
        <w:t xml:space="preserve">     杭州     </w:t>
      </w:r>
      <w:r>
        <w:rPr>
          <w:rFonts w:hint="eastAsia" w:ascii="宋体" w:hAnsi="宋体" w:cs="宋体"/>
          <w:color w:val="auto"/>
          <w:szCs w:val="21"/>
          <w:highlight w:val="none"/>
          <w:u w:color="000000"/>
        </w:rPr>
        <w:t>仲裁委员会申请仲裁；</w:t>
      </w:r>
    </w:p>
    <w:p w14:paraId="2DB677E3">
      <w:pPr>
        <w:pageBreakBefore w:val="0"/>
        <w:widowControl w:val="0"/>
        <w:kinsoku/>
        <w:wordWrap/>
        <w:overflowPunct/>
        <w:topLinePunct w:val="0"/>
        <w:bidi w:val="0"/>
        <w:snapToGrid w:val="0"/>
        <w:spacing w:line="360" w:lineRule="auto"/>
        <w:ind w:firstLine="480"/>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（2）依法向</w:t>
      </w:r>
      <w:r>
        <w:rPr>
          <w:rFonts w:hint="eastAsia" w:ascii="宋体" w:hAnsi="宋体" w:cs="宋体"/>
          <w:color w:val="auto"/>
          <w:szCs w:val="21"/>
          <w:highlight w:val="none"/>
          <w:u w:val="single" w:color="000000"/>
        </w:rPr>
        <w:t xml:space="preserve">      工程所在地     </w:t>
      </w:r>
      <w:r>
        <w:rPr>
          <w:rFonts w:hint="eastAsia" w:ascii="宋体" w:hAnsi="宋体" w:cs="宋体"/>
          <w:color w:val="auto"/>
          <w:szCs w:val="21"/>
          <w:highlight w:val="none"/>
          <w:u w:color="000000"/>
        </w:rPr>
        <w:t>人民法院起诉。</w:t>
      </w:r>
    </w:p>
    <w:p w14:paraId="39B92C23">
      <w:pPr>
        <w:pageBreakBefore w:val="0"/>
        <w:widowControl w:val="0"/>
        <w:kinsoku/>
        <w:wordWrap/>
        <w:overflowPunct/>
        <w:topLinePunct w:val="0"/>
        <w:bidi w:val="0"/>
        <w:snapToGrid w:val="0"/>
        <w:spacing w:line="360" w:lineRule="auto"/>
        <w:ind w:firstLine="475"/>
        <w:jc w:val="left"/>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21．其他补充事项的约定</w:t>
      </w:r>
    </w:p>
    <w:p w14:paraId="14391E71">
      <w:pPr>
        <w:pageBreakBefore w:val="0"/>
        <w:widowControl w:val="0"/>
        <w:numPr>
          <w:ilvl w:val="0"/>
          <w:numId w:val="3"/>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应确保无任何重大安全事故发生，安全文明施工符合省市建设行政主管部门的有关规定。如发生安全事故，或者违反文明施工管理的规定，受到地方行业管理部门的处罚或新闻媒体的曝光的,每发生一次，承包人向发包人支付5万元的违约金, 违约金直接从应付工程款中扣除。</w:t>
      </w:r>
    </w:p>
    <w:p w14:paraId="24AD9872">
      <w:pPr>
        <w:pageBreakBefore w:val="0"/>
        <w:widowControl w:val="0"/>
        <w:numPr>
          <w:ilvl w:val="0"/>
          <w:numId w:val="3"/>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承包人在施工时必须对现场的工程设施进行保护，如果因承包人的原因导致现场的工程设施损毁，则由此发生的一切损失由承包人承担。</w:t>
      </w:r>
    </w:p>
    <w:p w14:paraId="565599B1">
      <w:pPr>
        <w:pageBreakBefore w:val="0"/>
        <w:widowControl w:val="0"/>
        <w:numPr>
          <w:ilvl w:val="0"/>
          <w:numId w:val="3"/>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承包人应确保民工工资的及时支付，如不及时支付，视作违约，发包人有权代承包人支付民工工资，并在工程款或履约保证金中扣除。</w:t>
      </w:r>
    </w:p>
    <w:p w14:paraId="1B6B1555">
      <w:pPr>
        <w:pageBreakBefore w:val="0"/>
        <w:widowControl w:val="0"/>
        <w:numPr>
          <w:ilvl w:val="0"/>
          <w:numId w:val="3"/>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承包人将直接与招标人签订工程承包合同。承包人对本次招标范围内的工程内容中标人必须自行完成，不得转包。</w:t>
      </w:r>
    </w:p>
    <w:p w14:paraId="5D92BB37">
      <w:pPr>
        <w:pageBreakBefore w:val="0"/>
        <w:widowControl w:val="0"/>
        <w:numPr>
          <w:ilvl w:val="0"/>
          <w:numId w:val="3"/>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非上述原因，工程不能按合同工期竣工，</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应向</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支付违约金，每延误1天，违约金为合同结算总价的0.5‰。误期时间从规定竣工日期起直到全部工程或相应部分工程的移交竣工报告的批准日期之间的天数（不足一天的按一天计算）。其它关键节点（如管道安装完成、调试完成等）若不能按时完成，</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应向</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支付违约金为每天1000元。</w:t>
      </w:r>
      <w:r>
        <w:rPr>
          <w:rFonts w:hint="eastAsia" w:ascii="宋体" w:hAnsi="宋体" w:cs="宋体"/>
          <w:b/>
          <w:bCs/>
          <w:color w:val="auto"/>
          <w:szCs w:val="21"/>
          <w:highlight w:val="none"/>
          <w:u w:val="single" w:color="000000"/>
          <w:lang w:eastAsia="zh-CN"/>
        </w:rPr>
        <w:t>发包方</w:t>
      </w:r>
      <w:r>
        <w:rPr>
          <w:rFonts w:hint="eastAsia" w:ascii="宋体" w:hAnsi="宋体" w:cs="宋体"/>
          <w:b/>
          <w:bCs/>
          <w:color w:val="auto"/>
          <w:szCs w:val="21"/>
          <w:highlight w:val="none"/>
          <w:u w:val="single" w:color="000000"/>
        </w:rPr>
        <w:t>可从应向</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支付的任何金额中扣除此项赔偿费或以其他的方式收回此款，此赔偿费的支付并不能解除</w:t>
      </w:r>
      <w:r>
        <w:rPr>
          <w:rFonts w:hint="eastAsia" w:ascii="宋体" w:hAnsi="宋体" w:cs="宋体"/>
          <w:b/>
          <w:bCs/>
          <w:color w:val="auto"/>
          <w:szCs w:val="21"/>
          <w:highlight w:val="none"/>
          <w:u w:val="single" w:color="000000"/>
          <w:lang w:eastAsia="zh-CN"/>
        </w:rPr>
        <w:t>承包方</w:t>
      </w:r>
      <w:r>
        <w:rPr>
          <w:rFonts w:hint="eastAsia" w:ascii="宋体" w:hAnsi="宋体" w:cs="宋体"/>
          <w:b/>
          <w:bCs/>
          <w:color w:val="auto"/>
          <w:szCs w:val="21"/>
          <w:highlight w:val="none"/>
          <w:u w:val="single" w:color="000000"/>
        </w:rPr>
        <w:t>应完成工程的责任或本合同规定的其他责任。</w:t>
      </w:r>
    </w:p>
    <w:p w14:paraId="54A07550">
      <w:pPr>
        <w:pageBreakBefore w:val="0"/>
        <w:widowControl w:val="0"/>
        <w:numPr>
          <w:ilvl w:val="0"/>
          <w:numId w:val="3"/>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本工程材料采用市场中高档主流品牌/厂家。所有材料必须符合设计及发包人要求,由投标人在投标时根据招标文件及施工图、材料封样要求明确规格型号和报价。</w:t>
      </w:r>
    </w:p>
    <w:p w14:paraId="785F6701">
      <w:pPr>
        <w:pageBreakBefore w:val="0"/>
        <w:widowControl w:val="0"/>
        <w:numPr>
          <w:ilvl w:val="0"/>
          <w:numId w:val="3"/>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各设备按规范或本招标文件要求需设置支架、基础、配置电源或防雷接地（除工程量清单有单列外），该项费用应包含在该设备的投标报价中。所有的系统检测、调试、培训费用均包含在投标价中。</w:t>
      </w:r>
    </w:p>
    <w:p w14:paraId="572AA0B6">
      <w:pPr>
        <w:pageBreakBefore w:val="0"/>
        <w:widowControl w:val="0"/>
        <w:numPr>
          <w:ilvl w:val="0"/>
          <w:numId w:val="3"/>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施工过程中若发现材料品牌的供应厂家有垄断现象，发包人有权进行调整。在合同执行过程中，如果有比推荐品牌质量更好价格更低的品牌，发包人有权另行选择。</w:t>
      </w:r>
    </w:p>
    <w:p w14:paraId="12955665">
      <w:pPr>
        <w:pageBreakBefore w:val="0"/>
        <w:widowControl w:val="0"/>
        <w:numPr>
          <w:ilvl w:val="0"/>
          <w:numId w:val="3"/>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在发包人使用投标人的投标所有产品时不会因知识产权或产品所有权等问题引起第三方索赔或其他要求，否则由此给发包人造成的一切损失都应由投标人承担。</w:t>
      </w:r>
    </w:p>
    <w:p w14:paraId="0B9E116B">
      <w:pPr>
        <w:pageBreakBefore w:val="0"/>
        <w:widowControl w:val="0"/>
        <w:numPr>
          <w:ilvl w:val="0"/>
          <w:numId w:val="3"/>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除招标文件要求外，本工程选用的材料必须达到国家质量标准及环保要求，若承包人未达到该要求，发包人有权要求承包人进行改正，而不予费用补偿。</w:t>
      </w:r>
    </w:p>
    <w:p w14:paraId="4D6D12AC">
      <w:pPr>
        <w:pageBreakBefore w:val="0"/>
        <w:widowControl w:val="0"/>
        <w:numPr>
          <w:ilvl w:val="0"/>
          <w:numId w:val="3"/>
        </w:numPr>
        <w:kinsoku/>
        <w:wordWrap/>
        <w:overflowPunct/>
        <w:topLinePunct w:val="0"/>
        <w:bidi w:val="0"/>
        <w:snapToGrid w:val="0"/>
        <w:spacing w:line="360" w:lineRule="auto"/>
        <w:ind w:left="5" w:firstLine="415"/>
        <w:textAlignment w:val="auto"/>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4AA3126F">
      <w:pPr>
        <w:pageBreakBefore w:val="0"/>
        <w:widowControl w:val="0"/>
        <w:kinsoku/>
        <w:wordWrap/>
        <w:overflowPunct/>
        <w:topLinePunct w:val="0"/>
        <w:bidi w:val="0"/>
        <w:snapToGrid w:val="0"/>
        <w:spacing w:line="360" w:lineRule="auto"/>
        <w:textAlignment w:val="auto"/>
        <w:rPr>
          <w:rFonts w:ascii="宋体" w:hAnsi="宋体" w:cs="宋体"/>
          <w:b/>
          <w:bCs/>
          <w:color w:val="auto"/>
          <w:szCs w:val="21"/>
          <w:highlight w:val="none"/>
          <w:u w:val="single" w:color="000000"/>
        </w:rPr>
      </w:pPr>
    </w:p>
    <w:p w14:paraId="070AA35F">
      <w:pPr>
        <w:pageBreakBefore w:val="0"/>
        <w:widowControl w:val="0"/>
        <w:kinsoku/>
        <w:wordWrap/>
        <w:overflowPunct/>
        <w:topLinePunct w:val="0"/>
        <w:bidi w:val="0"/>
        <w:snapToGrid w:val="0"/>
        <w:spacing w:line="360" w:lineRule="auto"/>
        <w:textAlignment w:val="auto"/>
        <w:rPr>
          <w:rFonts w:ascii="宋体" w:hAnsi="宋体" w:cs="宋体"/>
          <w:b/>
          <w:bCs/>
          <w:color w:val="auto"/>
          <w:highlight w:val="none"/>
        </w:rPr>
      </w:pPr>
      <w:r>
        <w:rPr>
          <w:rFonts w:hint="eastAsia" w:ascii="宋体" w:hAnsi="宋体" w:cs="宋体"/>
          <w:b/>
          <w:bCs/>
          <w:color w:val="auto"/>
          <w:highlight w:val="none"/>
        </w:rPr>
        <w:t xml:space="preserve">注：本合同作为示范文本，具体以采购人与中标供应商所签定正式合同为准。 </w:t>
      </w:r>
    </w:p>
    <w:p w14:paraId="5BE9C38A">
      <w:pPr>
        <w:pageBreakBefore w:val="0"/>
        <w:widowControl w:val="0"/>
        <w:kinsoku/>
        <w:wordWrap/>
        <w:overflowPunct/>
        <w:topLinePunct w:val="0"/>
        <w:bidi w:val="0"/>
        <w:snapToGrid w:val="0"/>
        <w:spacing w:line="360" w:lineRule="auto"/>
        <w:ind w:firstLine="482"/>
        <w:textAlignment w:val="auto"/>
        <w:rPr>
          <w:rFonts w:ascii="宋体" w:hAnsi="宋体" w:cs="宋体"/>
          <w:color w:val="auto"/>
          <w:sz w:val="18"/>
          <w:szCs w:val="21"/>
          <w:highlight w:val="none"/>
        </w:rPr>
      </w:pPr>
      <w:r>
        <w:rPr>
          <w:rFonts w:hint="eastAsia" w:ascii="宋体" w:hAnsi="宋体" w:cs="宋体"/>
          <w:b/>
          <w:color w:val="auto"/>
          <w:sz w:val="18"/>
          <w:szCs w:val="21"/>
          <w:highlight w:val="none"/>
        </w:rPr>
        <w:t>附件：</w:t>
      </w:r>
    </w:p>
    <w:p w14:paraId="0FF58D53">
      <w:pPr>
        <w:pageBreakBefore w:val="0"/>
        <w:widowControl w:val="0"/>
        <w:kinsoku/>
        <w:wordWrap/>
        <w:overflowPunct/>
        <w:topLinePunct w:val="0"/>
        <w:bidi w:val="0"/>
        <w:adjustRightInd/>
        <w:snapToGrid w:val="0"/>
        <w:spacing w:line="360" w:lineRule="auto"/>
        <w:ind w:firstLine="371" w:firstLineChars="177"/>
        <w:jc w:val="left"/>
        <w:textAlignment w:val="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附件1：建筑工程质量保修书</w:t>
      </w:r>
    </w:p>
    <w:p w14:paraId="32E220FF">
      <w:pPr>
        <w:adjustRightInd/>
        <w:ind w:firstLine="371" w:firstLineChars="177"/>
        <w:jc w:val="left"/>
        <w:rPr>
          <w:rFonts w:ascii="宋体" w:hAnsi="宋体" w:cs="宋体"/>
          <w:snapToGrid w:val="0"/>
          <w:color w:val="auto"/>
          <w:kern w:val="0"/>
          <w:szCs w:val="21"/>
          <w:highlight w:val="none"/>
        </w:rPr>
      </w:pPr>
    </w:p>
    <w:p w14:paraId="49554E43">
      <w:pPr>
        <w:spacing w:before="162" w:line="440" w:lineRule="exact"/>
        <w:ind w:firstLine="480"/>
        <w:rPr>
          <w:rFonts w:hint="eastAsia" w:ascii="宋体" w:hAnsi="宋体" w:eastAsia="宋体" w:cs="宋体"/>
          <w:b/>
          <w:bCs/>
          <w:color w:val="auto"/>
          <w:sz w:val="24"/>
          <w:highlight w:val="none"/>
          <w:lang w:eastAsia="zh-CN"/>
        </w:rPr>
      </w:pPr>
      <w:r>
        <w:rPr>
          <w:rFonts w:hint="eastAsia" w:ascii="宋体" w:hAnsi="宋体" w:cs="宋体"/>
          <w:color w:val="auto"/>
          <w:sz w:val="24"/>
          <w:highlight w:val="none"/>
          <w:u w:val="single"/>
        </w:rPr>
        <w:br w:type="page"/>
      </w:r>
      <w:bookmarkStart w:id="577" w:name="_Toc534620509"/>
      <w:bookmarkStart w:id="578" w:name="_Toc249091536"/>
      <w:r>
        <w:rPr>
          <w:rFonts w:hint="eastAsia" w:ascii="宋体" w:hAnsi="宋体" w:cs="宋体"/>
          <w:b/>
          <w:bCs/>
          <w:color w:val="auto"/>
          <w:sz w:val="24"/>
          <w:highlight w:val="none"/>
        </w:rPr>
        <w:t>附件1</w:t>
      </w:r>
      <w:r>
        <w:rPr>
          <w:rFonts w:hint="eastAsia" w:ascii="宋体" w:hAnsi="宋体" w:cs="宋体"/>
          <w:b/>
          <w:bCs/>
          <w:color w:val="auto"/>
          <w:sz w:val="24"/>
          <w:highlight w:val="none"/>
          <w:lang w:eastAsia="zh-CN"/>
        </w:rPr>
        <w:t>：</w:t>
      </w:r>
    </w:p>
    <w:bookmarkEnd w:id="577"/>
    <w:bookmarkEnd w:id="578"/>
    <w:p w14:paraId="6E26960E">
      <w:pPr>
        <w:adjustRightInd/>
        <w:spacing w:before="120" w:beforeLines="50" w:after="120" w:afterLines="50" w:line="288" w:lineRule="auto"/>
        <w:jc w:val="center"/>
        <w:rPr>
          <w:rFonts w:ascii="宋体" w:hAnsi="宋体" w:cs="宋体"/>
          <w:b/>
          <w:bCs/>
          <w:snapToGrid w:val="0"/>
          <w:color w:val="auto"/>
          <w:kern w:val="0"/>
          <w:sz w:val="28"/>
          <w:szCs w:val="28"/>
          <w:highlight w:val="none"/>
        </w:rPr>
      </w:pPr>
      <w:r>
        <w:rPr>
          <w:rFonts w:hint="eastAsia" w:ascii="宋体" w:hAnsi="宋体" w:cs="宋体"/>
          <w:b/>
          <w:bCs/>
          <w:snapToGrid w:val="0"/>
          <w:color w:val="auto"/>
          <w:kern w:val="0"/>
          <w:sz w:val="28"/>
          <w:szCs w:val="28"/>
          <w:highlight w:val="none"/>
        </w:rPr>
        <w:t>工程质量保修书</w:t>
      </w:r>
    </w:p>
    <w:p w14:paraId="16B1A872">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发包人（全称）：</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浙江省杭州第二中学</w:t>
      </w:r>
      <w:bookmarkStart w:id="579" w:name="SOA_zyht_zlbxfbr"/>
      <w:r>
        <w:rPr>
          <w:rFonts w:hint="eastAsia" w:ascii="宋体" w:hAnsi="宋体" w:cs="宋体"/>
          <w:snapToGrid w:val="0"/>
          <w:color w:val="auto"/>
          <w:kern w:val="0"/>
          <w:szCs w:val="21"/>
          <w:highlight w:val="none"/>
          <w:u w:val="single"/>
        </w:rPr>
        <w:t xml:space="preserve">  </w:t>
      </w:r>
      <w:bookmarkEnd w:id="579"/>
      <w:r>
        <w:rPr>
          <w:rFonts w:hint="eastAsia" w:ascii="宋体" w:hAnsi="宋体" w:cs="宋体"/>
          <w:snapToGrid w:val="0"/>
          <w:color w:val="auto"/>
          <w:kern w:val="0"/>
          <w:szCs w:val="21"/>
          <w:highlight w:val="none"/>
          <w:u w:val="single"/>
        </w:rPr>
        <w:t xml:space="preserve">   </w:t>
      </w:r>
    </w:p>
    <w:p w14:paraId="7F66F50E">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承包人（全称）：</w:t>
      </w:r>
      <w:r>
        <w:rPr>
          <w:rFonts w:hint="eastAsia" w:ascii="宋体" w:hAnsi="宋体" w:cs="宋体"/>
          <w:snapToGrid w:val="0"/>
          <w:color w:val="auto"/>
          <w:kern w:val="0"/>
          <w:szCs w:val="21"/>
          <w:highlight w:val="none"/>
          <w:u w:val="single"/>
        </w:rPr>
        <w:t xml:space="preserve">  </w:t>
      </w:r>
      <w:bookmarkStart w:id="580" w:name="SOA_zyht_zlbxcbr"/>
      <w:r>
        <w:rPr>
          <w:rFonts w:hint="eastAsia" w:ascii="宋体" w:hAnsi="宋体" w:cs="宋体"/>
          <w:snapToGrid w:val="0"/>
          <w:color w:val="auto"/>
          <w:kern w:val="0"/>
          <w:szCs w:val="21"/>
          <w:highlight w:val="none"/>
          <w:u w:val="single"/>
        </w:rPr>
        <w:t xml:space="preserve"> </w:t>
      </w:r>
      <w:bookmarkEnd w:id="580"/>
      <w:r>
        <w:rPr>
          <w:rFonts w:hint="eastAsia" w:ascii="宋体" w:hAnsi="宋体" w:cs="宋体"/>
          <w:snapToGrid w:val="0"/>
          <w:color w:val="auto"/>
          <w:kern w:val="0"/>
          <w:szCs w:val="21"/>
          <w:highlight w:val="none"/>
          <w:u w:val="single"/>
        </w:rPr>
        <w:t xml:space="preserve">                     </w:t>
      </w:r>
    </w:p>
    <w:p w14:paraId="1CBBE7A4">
      <w:pPr>
        <w:wordWrap w:val="0"/>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发包人和承包人根据《中华人民共和国建筑法》和《建设工程质量管理条例》，经协商一致就</w:t>
      </w:r>
      <w:r>
        <w:rPr>
          <w:rFonts w:hint="eastAsia" w:ascii="宋体" w:hAnsi="宋体" w:cs="宋体"/>
          <w:snapToGrid w:val="0"/>
          <w:color w:val="auto"/>
          <w:kern w:val="0"/>
          <w:szCs w:val="21"/>
          <w:highlight w:val="none"/>
          <w:u w:val="single"/>
        </w:rPr>
        <w:t>杭州二中东河校区校舍维修与环境提升项目</w:t>
      </w:r>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rPr>
        <w:t>签订工程质量保修书。</w:t>
      </w:r>
    </w:p>
    <w:p w14:paraId="36EA2918">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一、工程质量保修范围和内容</w:t>
      </w:r>
    </w:p>
    <w:p w14:paraId="7B1166BC">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承包人在质量保修期内，按照有关法律规定和合同约定，承担工程质量保修责任。</w:t>
      </w:r>
    </w:p>
    <w:p w14:paraId="0B243AE8">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F1007C5">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bookmarkStart w:id="581" w:name="SOA_zyht_gczlbxfw"/>
      <w:r>
        <w:rPr>
          <w:rFonts w:hint="eastAsia" w:ascii="宋体" w:hAnsi="宋体" w:cs="宋体"/>
          <w:snapToGrid w:val="0"/>
          <w:color w:val="auto"/>
          <w:kern w:val="0"/>
          <w:szCs w:val="21"/>
          <w:highlight w:val="none"/>
          <w:u w:val="single"/>
        </w:rPr>
        <w:t xml:space="preserve">   双方约定对施工承包范围内的所有内容实行保修   </w:t>
      </w:r>
      <w:bookmarkEnd w:id="581"/>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w:t>
      </w:r>
    </w:p>
    <w:p w14:paraId="28C8B1CC">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二、质量保修期</w:t>
      </w:r>
    </w:p>
    <w:p w14:paraId="601D6719">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根据《建设工程质量管理条例》及有关规定，工程的质量保修期如下：</w:t>
      </w:r>
    </w:p>
    <w:p w14:paraId="13013AAC">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1．地基基础工程和主体结构工程为设计文件规定的工程合理使用年限；</w:t>
      </w:r>
    </w:p>
    <w:p w14:paraId="777BA528">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2．屋面防水工程、有防水要求的卫生间、房间和外墙面的防渗为</w:t>
      </w:r>
      <w:r>
        <w:rPr>
          <w:rFonts w:hint="eastAsia" w:ascii="宋体" w:hAnsi="宋体" w:cs="宋体"/>
          <w:snapToGrid w:val="0"/>
          <w:color w:val="auto"/>
          <w:kern w:val="0"/>
          <w:szCs w:val="21"/>
          <w:highlight w:val="none"/>
          <w:u w:val="single"/>
        </w:rPr>
        <w:t xml:space="preserve"> 5 </w:t>
      </w:r>
      <w:r>
        <w:rPr>
          <w:rFonts w:hint="eastAsia" w:ascii="宋体" w:hAnsi="宋体" w:cs="宋体"/>
          <w:snapToGrid w:val="0"/>
          <w:color w:val="auto"/>
          <w:kern w:val="0"/>
          <w:szCs w:val="21"/>
          <w:highlight w:val="none"/>
        </w:rPr>
        <w:t>年；</w:t>
      </w:r>
    </w:p>
    <w:p w14:paraId="7AE299BE">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3．装修工程为</w:t>
      </w:r>
      <w:r>
        <w:rPr>
          <w:rFonts w:hint="eastAsia" w:ascii="宋体" w:hAnsi="宋体" w:cs="宋体"/>
          <w:snapToGrid w:val="0"/>
          <w:color w:val="auto"/>
          <w:kern w:val="0"/>
          <w:szCs w:val="21"/>
          <w:highlight w:val="none"/>
          <w:u w:val="single"/>
        </w:rPr>
        <w:t xml:space="preserve">  2  </w:t>
      </w:r>
      <w:r>
        <w:rPr>
          <w:rFonts w:hint="eastAsia" w:ascii="宋体" w:hAnsi="宋体" w:cs="宋体"/>
          <w:snapToGrid w:val="0"/>
          <w:color w:val="auto"/>
          <w:kern w:val="0"/>
          <w:szCs w:val="21"/>
          <w:highlight w:val="none"/>
        </w:rPr>
        <w:t>年；</w:t>
      </w:r>
    </w:p>
    <w:p w14:paraId="4AC5187C">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4．电气管线、给排水管道、设备安装工程为</w:t>
      </w:r>
      <w:bookmarkStart w:id="582" w:name="SOA_zyht_azbxnx"/>
      <w:r>
        <w:rPr>
          <w:rFonts w:hint="eastAsia" w:ascii="宋体" w:hAnsi="宋体" w:cs="宋体"/>
          <w:snapToGrid w:val="0"/>
          <w:color w:val="auto"/>
          <w:kern w:val="0"/>
          <w:szCs w:val="21"/>
          <w:highlight w:val="none"/>
          <w:u w:val="single"/>
        </w:rPr>
        <w:t xml:space="preserve"> </w:t>
      </w:r>
      <w:bookmarkEnd w:id="582"/>
      <w:r>
        <w:rPr>
          <w:rFonts w:hint="eastAsia" w:ascii="宋体" w:hAnsi="宋体" w:cs="宋体"/>
          <w:snapToGrid w:val="0"/>
          <w:color w:val="auto"/>
          <w:kern w:val="0"/>
          <w:szCs w:val="21"/>
          <w:highlight w:val="none"/>
          <w:u w:val="single"/>
        </w:rPr>
        <w:t xml:space="preserve">2  </w:t>
      </w:r>
      <w:r>
        <w:rPr>
          <w:rFonts w:hint="eastAsia" w:ascii="宋体" w:hAnsi="宋体" w:cs="宋体"/>
          <w:snapToGrid w:val="0"/>
          <w:color w:val="auto"/>
          <w:kern w:val="0"/>
          <w:szCs w:val="21"/>
          <w:highlight w:val="none"/>
        </w:rPr>
        <w:t>年；</w:t>
      </w:r>
    </w:p>
    <w:p w14:paraId="1B8D2BA5">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5．供热与供冷系统为</w:t>
      </w:r>
      <w:r>
        <w:rPr>
          <w:rFonts w:hint="eastAsia" w:ascii="宋体" w:hAnsi="宋体" w:cs="宋体"/>
          <w:snapToGrid w:val="0"/>
          <w:color w:val="auto"/>
          <w:kern w:val="0"/>
          <w:szCs w:val="21"/>
          <w:highlight w:val="none"/>
          <w:u w:val="single"/>
        </w:rPr>
        <w:t xml:space="preserve"> 2 </w:t>
      </w:r>
      <w:r>
        <w:rPr>
          <w:rFonts w:hint="eastAsia" w:ascii="宋体" w:hAnsi="宋体" w:cs="宋体"/>
          <w:snapToGrid w:val="0"/>
          <w:color w:val="auto"/>
          <w:kern w:val="0"/>
          <w:szCs w:val="21"/>
          <w:highlight w:val="none"/>
        </w:rPr>
        <w:t>个采暖期、供冷期；</w:t>
      </w:r>
    </w:p>
    <w:p w14:paraId="228C1D7A">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6．住宅小区内的给排水设施、道路等配套工程为</w:t>
      </w:r>
      <w:r>
        <w:rPr>
          <w:rFonts w:hint="eastAsia" w:ascii="宋体" w:hAnsi="宋体" w:cs="宋体"/>
          <w:snapToGrid w:val="0"/>
          <w:color w:val="auto"/>
          <w:kern w:val="0"/>
          <w:szCs w:val="21"/>
          <w:highlight w:val="none"/>
          <w:u w:val="single"/>
        </w:rPr>
        <w:t xml:space="preserve">2 </w:t>
      </w:r>
      <w:r>
        <w:rPr>
          <w:rFonts w:hint="eastAsia" w:ascii="宋体" w:hAnsi="宋体" w:cs="宋体"/>
          <w:snapToGrid w:val="0"/>
          <w:color w:val="auto"/>
          <w:kern w:val="0"/>
          <w:szCs w:val="21"/>
          <w:highlight w:val="none"/>
        </w:rPr>
        <w:t>年；</w:t>
      </w:r>
    </w:p>
    <w:p w14:paraId="1BB96EB7">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7．其他项目保修期限约定如下：</w:t>
      </w:r>
      <w:r>
        <w:rPr>
          <w:rFonts w:hint="eastAsia" w:ascii="宋体" w:hAnsi="宋体" w:cs="宋体"/>
          <w:snapToGrid w:val="0"/>
          <w:color w:val="auto"/>
          <w:kern w:val="0"/>
          <w:szCs w:val="21"/>
          <w:highlight w:val="none"/>
          <w:u w:val="single"/>
        </w:rPr>
        <w:t xml:space="preserve"> 防水不少于5年  </w:t>
      </w:r>
      <w:r>
        <w:rPr>
          <w:rFonts w:hint="eastAsia" w:ascii="宋体" w:hAnsi="宋体" w:cs="宋体"/>
          <w:snapToGrid w:val="0"/>
          <w:color w:val="auto"/>
          <w:kern w:val="0"/>
          <w:szCs w:val="21"/>
          <w:highlight w:val="none"/>
        </w:rPr>
        <w:t>。</w:t>
      </w:r>
    </w:p>
    <w:p w14:paraId="78A9FF7A">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质量保修期自工程竣工验收合格之日起计算。</w:t>
      </w:r>
    </w:p>
    <w:p w14:paraId="095EF88A">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三、缺陷责任期</w:t>
      </w:r>
    </w:p>
    <w:p w14:paraId="6A871567">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工程缺陷责任期为</w:t>
      </w:r>
      <w:bookmarkStart w:id="583" w:name="SOA_zyht_gcqxq"/>
      <w:r>
        <w:rPr>
          <w:rFonts w:hint="eastAsia" w:ascii="宋体" w:hAnsi="宋体" w:cs="宋体"/>
          <w:snapToGrid w:val="0"/>
          <w:color w:val="auto"/>
          <w:kern w:val="0"/>
          <w:szCs w:val="21"/>
          <w:highlight w:val="none"/>
          <w:u w:val="single"/>
        </w:rPr>
        <w:t xml:space="preserve"> 24 </w:t>
      </w:r>
      <w:bookmarkEnd w:id="583"/>
      <w:r>
        <w:rPr>
          <w:rFonts w:hint="eastAsia" w:ascii="宋体" w:hAnsi="宋体" w:cs="宋体"/>
          <w:snapToGrid w:val="0"/>
          <w:color w:val="auto"/>
          <w:kern w:val="0"/>
          <w:szCs w:val="21"/>
          <w:highlight w:val="none"/>
        </w:rPr>
        <w:t>个月，缺陷责任期自工程通过竣工验收合格之日起计算。单位工程先于全部工程进行验收，单位工程缺陷责任期自单位工程验收合格之日起计算。</w:t>
      </w:r>
    </w:p>
    <w:p w14:paraId="656C76FE">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缺陷责任期终止后，发包人应退还剩余的质量保证金。</w:t>
      </w:r>
    </w:p>
    <w:p w14:paraId="3B1513AB">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四、质量保修责任</w:t>
      </w:r>
    </w:p>
    <w:p w14:paraId="61A77712">
      <w:pPr>
        <w:adjustRightInd/>
        <w:spacing w:line="360" w:lineRule="auto"/>
        <w:ind w:left="105" w:leftChars="50" w:firstLine="430" w:firstLineChars="205"/>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1．属于保修范围、内容的项目，承包人应当在接到保修通知之日起7天内派人保修。承包人不在约定期限内派人保修的，发包人可以委托他人修理。</w:t>
      </w:r>
    </w:p>
    <w:p w14:paraId="188EE339">
      <w:pPr>
        <w:adjustRightInd/>
        <w:spacing w:line="360" w:lineRule="auto"/>
        <w:ind w:left="105" w:leftChars="50" w:firstLine="430" w:firstLineChars="205"/>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2．发生紧急事故需抢修的，承包人在接到事故通知后，应当立即到达事故现场抢修。</w:t>
      </w:r>
    </w:p>
    <w:p w14:paraId="208F2012">
      <w:pPr>
        <w:adjustRightInd/>
        <w:spacing w:line="360" w:lineRule="auto"/>
        <w:ind w:left="105" w:leftChars="50" w:firstLine="430" w:firstLineChars="205"/>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4583767">
      <w:pPr>
        <w:adjustRightInd/>
        <w:spacing w:line="360" w:lineRule="auto"/>
        <w:ind w:left="420" w:leftChars="200" w:firstLine="105" w:firstLineChars="5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4．质量保修完成后，由发包人组织验收。</w:t>
      </w:r>
    </w:p>
    <w:p w14:paraId="39531C62">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五、保修费用</w:t>
      </w:r>
    </w:p>
    <w:p w14:paraId="2BE383B7">
      <w:pPr>
        <w:adjustRightInd/>
        <w:spacing w:line="360" w:lineRule="auto"/>
        <w:ind w:firstLine="48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保修费用由造成质量缺陷的责任方承担。</w:t>
      </w:r>
    </w:p>
    <w:p w14:paraId="66347B01">
      <w:pPr>
        <w:adjustRightInd/>
        <w:spacing w:line="360" w:lineRule="auto"/>
        <w:jc w:val="left"/>
        <w:rPr>
          <w:rFonts w:ascii="宋体" w:hAnsi="宋体" w:cs="宋体"/>
          <w:snapToGrid w:val="0"/>
          <w:color w:val="auto"/>
          <w:kern w:val="0"/>
          <w:szCs w:val="21"/>
          <w:highlight w:val="none"/>
          <w:u w:val="single"/>
        </w:rPr>
      </w:pPr>
      <w:r>
        <w:rPr>
          <w:rFonts w:hint="eastAsia" w:ascii="宋体" w:hAnsi="宋体" w:cs="宋体"/>
          <w:bCs/>
          <w:snapToGrid w:val="0"/>
          <w:color w:val="auto"/>
          <w:kern w:val="0"/>
          <w:szCs w:val="21"/>
          <w:highlight w:val="none"/>
        </w:rPr>
        <w:t>六</w:t>
      </w:r>
      <w:r>
        <w:rPr>
          <w:rFonts w:hint="eastAsia" w:ascii="宋体" w:hAnsi="宋体" w:cs="宋体"/>
          <w:snapToGrid w:val="0"/>
          <w:color w:val="auto"/>
          <w:kern w:val="0"/>
          <w:szCs w:val="21"/>
          <w:highlight w:val="none"/>
        </w:rPr>
        <w:t>、双方约定的其他工程质量保修事项：</w:t>
      </w:r>
      <w:r>
        <w:rPr>
          <w:rFonts w:hint="eastAsia" w:ascii="宋体" w:hAnsi="宋体" w:cs="宋体"/>
          <w:snapToGrid w:val="0"/>
          <w:color w:val="auto"/>
          <w:kern w:val="0"/>
          <w:szCs w:val="21"/>
          <w:highlight w:val="none"/>
          <w:u w:val="single"/>
        </w:rPr>
        <w:t>工程质量保证金在工程缺陷期满后，扣除相应的扣款（由于</w:t>
      </w:r>
      <w:r>
        <w:rPr>
          <w:rFonts w:hint="eastAsia" w:ascii="宋体" w:hAnsi="宋体" w:cs="宋体"/>
          <w:snapToGrid w:val="0"/>
          <w:color w:val="auto"/>
          <w:kern w:val="0"/>
          <w:szCs w:val="21"/>
          <w:highlight w:val="none"/>
          <w:u w:val="single"/>
          <w:lang w:eastAsia="zh-CN"/>
        </w:rPr>
        <w:t>承包方</w:t>
      </w:r>
      <w:r>
        <w:rPr>
          <w:rFonts w:hint="eastAsia" w:ascii="宋体" w:hAnsi="宋体" w:cs="宋体"/>
          <w:snapToGrid w:val="0"/>
          <w:color w:val="auto"/>
          <w:kern w:val="0"/>
          <w:szCs w:val="21"/>
          <w:highlight w:val="none"/>
          <w:u w:val="single"/>
        </w:rPr>
        <w:t>维修不及时而</w:t>
      </w:r>
      <w:r>
        <w:rPr>
          <w:rFonts w:hint="eastAsia" w:ascii="宋体" w:hAnsi="宋体" w:cs="宋体"/>
          <w:snapToGrid w:val="0"/>
          <w:color w:val="auto"/>
          <w:kern w:val="0"/>
          <w:szCs w:val="21"/>
          <w:highlight w:val="none"/>
          <w:u w:val="single"/>
          <w:lang w:eastAsia="zh-CN"/>
        </w:rPr>
        <w:t>发包方</w:t>
      </w:r>
      <w:r>
        <w:rPr>
          <w:rFonts w:hint="eastAsia" w:ascii="宋体" w:hAnsi="宋体" w:cs="宋体"/>
          <w:snapToGrid w:val="0"/>
          <w:color w:val="auto"/>
          <w:kern w:val="0"/>
          <w:szCs w:val="21"/>
          <w:highlight w:val="none"/>
          <w:u w:val="single"/>
        </w:rPr>
        <w:t>自行维修的费用）后，结清余款（无息）。</w:t>
      </w:r>
    </w:p>
    <w:p w14:paraId="3797A2FA">
      <w:pPr>
        <w:adjustRightInd/>
        <w:spacing w:line="360" w:lineRule="auto"/>
        <w:ind w:firstLine="6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lang w:eastAsia="zh-CN"/>
        </w:rPr>
        <w:t>发包方</w:t>
      </w:r>
      <w:r>
        <w:rPr>
          <w:rFonts w:hint="eastAsia" w:ascii="宋体" w:hAnsi="宋体" w:cs="宋体"/>
          <w:snapToGrid w:val="0"/>
          <w:color w:val="auto"/>
          <w:kern w:val="0"/>
          <w:szCs w:val="21"/>
          <w:highlight w:val="none"/>
          <w:u w:val="single"/>
        </w:rPr>
        <w:t>在保修期内发现质量问题并通知</w:t>
      </w:r>
      <w:r>
        <w:rPr>
          <w:rFonts w:hint="eastAsia" w:ascii="宋体" w:hAnsi="宋体" w:cs="宋体"/>
          <w:snapToGrid w:val="0"/>
          <w:color w:val="auto"/>
          <w:kern w:val="0"/>
          <w:szCs w:val="21"/>
          <w:highlight w:val="none"/>
          <w:u w:val="single"/>
          <w:lang w:eastAsia="zh-CN"/>
        </w:rPr>
        <w:t>承包方</w:t>
      </w:r>
      <w:r>
        <w:rPr>
          <w:rFonts w:hint="eastAsia" w:ascii="宋体" w:hAnsi="宋体" w:cs="宋体"/>
          <w:snapToGrid w:val="0"/>
          <w:color w:val="auto"/>
          <w:kern w:val="0"/>
          <w:szCs w:val="21"/>
          <w:highlight w:val="none"/>
          <w:u w:val="single"/>
        </w:rPr>
        <w:t>，</w:t>
      </w:r>
      <w:r>
        <w:rPr>
          <w:rFonts w:hint="eastAsia" w:ascii="宋体" w:hAnsi="宋体" w:cs="宋体"/>
          <w:snapToGrid w:val="0"/>
          <w:color w:val="auto"/>
          <w:kern w:val="0"/>
          <w:szCs w:val="21"/>
          <w:highlight w:val="none"/>
          <w:u w:val="single"/>
          <w:lang w:eastAsia="zh-CN"/>
        </w:rPr>
        <w:t>承包方</w:t>
      </w:r>
      <w:r>
        <w:rPr>
          <w:rFonts w:hint="eastAsia" w:ascii="宋体" w:hAnsi="宋体" w:cs="宋体"/>
          <w:snapToGrid w:val="0"/>
          <w:color w:val="auto"/>
          <w:kern w:val="0"/>
          <w:szCs w:val="21"/>
          <w:highlight w:val="none"/>
          <w:u w:val="single"/>
        </w:rPr>
        <w:t>应及时派专业人员进行维修，如</w:t>
      </w:r>
      <w:r>
        <w:rPr>
          <w:rFonts w:hint="eastAsia" w:ascii="宋体" w:hAnsi="宋体" w:cs="宋体"/>
          <w:snapToGrid w:val="0"/>
          <w:color w:val="auto"/>
          <w:kern w:val="0"/>
          <w:szCs w:val="21"/>
          <w:highlight w:val="none"/>
          <w:u w:val="single"/>
          <w:lang w:eastAsia="zh-CN"/>
        </w:rPr>
        <w:t>承包方</w:t>
      </w:r>
      <w:r>
        <w:rPr>
          <w:rFonts w:hint="eastAsia" w:ascii="宋体" w:hAnsi="宋体" w:cs="宋体"/>
          <w:snapToGrid w:val="0"/>
          <w:color w:val="auto"/>
          <w:kern w:val="0"/>
          <w:szCs w:val="21"/>
          <w:highlight w:val="none"/>
          <w:u w:val="single"/>
        </w:rPr>
        <w:t>未及时派专业人员进行维修，</w:t>
      </w:r>
      <w:r>
        <w:rPr>
          <w:rFonts w:hint="eastAsia" w:ascii="宋体" w:hAnsi="宋体" w:cs="宋体"/>
          <w:snapToGrid w:val="0"/>
          <w:color w:val="auto"/>
          <w:kern w:val="0"/>
          <w:szCs w:val="21"/>
          <w:highlight w:val="none"/>
          <w:u w:val="single"/>
          <w:lang w:eastAsia="zh-CN"/>
        </w:rPr>
        <w:t>发包方</w:t>
      </w:r>
      <w:r>
        <w:rPr>
          <w:rFonts w:hint="eastAsia" w:ascii="宋体" w:hAnsi="宋体" w:cs="宋体"/>
          <w:snapToGrid w:val="0"/>
          <w:color w:val="auto"/>
          <w:kern w:val="0"/>
          <w:szCs w:val="21"/>
          <w:highlight w:val="none"/>
          <w:u w:val="single"/>
        </w:rPr>
        <w:t>有权请其它人进行维修，由此产生的费用将从</w:t>
      </w:r>
      <w:r>
        <w:rPr>
          <w:rFonts w:hint="eastAsia" w:ascii="宋体" w:hAnsi="宋体" w:cs="宋体"/>
          <w:snapToGrid w:val="0"/>
          <w:color w:val="auto"/>
          <w:kern w:val="0"/>
          <w:szCs w:val="21"/>
          <w:highlight w:val="none"/>
          <w:u w:val="single"/>
          <w:lang w:eastAsia="zh-CN"/>
        </w:rPr>
        <w:t>承包方</w:t>
      </w:r>
      <w:r>
        <w:rPr>
          <w:rFonts w:hint="eastAsia" w:ascii="宋体" w:hAnsi="宋体" w:cs="宋体"/>
          <w:snapToGrid w:val="0"/>
          <w:color w:val="auto"/>
          <w:kern w:val="0"/>
          <w:szCs w:val="21"/>
          <w:highlight w:val="none"/>
          <w:u w:val="single"/>
        </w:rPr>
        <w:t>的质量保修金中予以扣除，同时</w:t>
      </w:r>
      <w:r>
        <w:rPr>
          <w:rFonts w:hint="eastAsia" w:ascii="宋体" w:hAnsi="宋体" w:cs="宋体"/>
          <w:snapToGrid w:val="0"/>
          <w:color w:val="auto"/>
          <w:kern w:val="0"/>
          <w:szCs w:val="21"/>
          <w:highlight w:val="none"/>
          <w:u w:val="single"/>
          <w:lang w:eastAsia="zh-CN"/>
        </w:rPr>
        <w:t>承包方</w:t>
      </w:r>
      <w:r>
        <w:rPr>
          <w:rFonts w:hint="eastAsia" w:ascii="宋体" w:hAnsi="宋体" w:cs="宋体"/>
          <w:snapToGrid w:val="0"/>
          <w:color w:val="auto"/>
          <w:kern w:val="0"/>
          <w:szCs w:val="21"/>
          <w:highlight w:val="none"/>
          <w:u w:val="single"/>
        </w:rPr>
        <w:t>将承担因维修延误给</w:t>
      </w:r>
      <w:r>
        <w:rPr>
          <w:rFonts w:hint="eastAsia" w:ascii="宋体" w:hAnsi="宋体" w:cs="宋体"/>
          <w:snapToGrid w:val="0"/>
          <w:color w:val="auto"/>
          <w:kern w:val="0"/>
          <w:szCs w:val="21"/>
          <w:highlight w:val="none"/>
          <w:u w:val="single"/>
          <w:lang w:eastAsia="zh-CN"/>
        </w:rPr>
        <w:t>发包方</w:t>
      </w:r>
      <w:r>
        <w:rPr>
          <w:rFonts w:hint="eastAsia" w:ascii="宋体" w:hAnsi="宋体" w:cs="宋体"/>
          <w:snapToGrid w:val="0"/>
          <w:color w:val="auto"/>
          <w:kern w:val="0"/>
          <w:szCs w:val="21"/>
          <w:highlight w:val="none"/>
          <w:u w:val="single"/>
        </w:rPr>
        <w:t>造成的一切损失</w:t>
      </w:r>
      <w:r>
        <w:rPr>
          <w:rFonts w:hint="eastAsia" w:ascii="宋体" w:hAnsi="宋体" w:cs="宋体"/>
          <w:snapToGrid w:val="0"/>
          <w:color w:val="auto"/>
          <w:kern w:val="0"/>
          <w:szCs w:val="21"/>
          <w:highlight w:val="none"/>
        </w:rPr>
        <w:t>。</w:t>
      </w:r>
    </w:p>
    <w:p w14:paraId="41339999">
      <w:pPr>
        <w:adjustRightInd/>
        <w:spacing w:line="360" w:lineRule="auto"/>
        <w:ind w:firstLine="399" w:firstLineChars="19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工程质量保修书由发包人、承包人在工程竣工验收前共同签署，作为施工合同附件，其有效期限至保修期满。</w:t>
      </w:r>
    </w:p>
    <w:p w14:paraId="4C809657">
      <w:pPr>
        <w:adjustRightInd/>
        <w:spacing w:line="360" w:lineRule="auto"/>
        <w:rPr>
          <w:rFonts w:hint="eastAsia" w:ascii="宋体" w:hAnsi="宋体" w:cs="宋体"/>
          <w:snapToGrid w:val="0"/>
          <w:color w:val="auto"/>
          <w:kern w:val="0"/>
          <w:szCs w:val="21"/>
          <w:highlight w:val="none"/>
        </w:rPr>
      </w:pPr>
    </w:p>
    <w:p w14:paraId="44F34857">
      <w:pPr>
        <w:adjustRightInd/>
        <w:spacing w:line="360" w:lineRule="auto"/>
        <w:rPr>
          <w:rFonts w:hint="eastAsia" w:ascii="宋体" w:hAnsi="宋体" w:cs="宋体"/>
          <w:snapToGrid w:val="0"/>
          <w:color w:val="auto"/>
          <w:kern w:val="0"/>
          <w:szCs w:val="21"/>
          <w:highlight w:val="none"/>
        </w:rPr>
      </w:pPr>
    </w:p>
    <w:p w14:paraId="63F026B3">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发包人(公章)：</w:t>
      </w:r>
      <w:r>
        <w:rPr>
          <w:rFonts w:hint="eastAsia" w:ascii="宋体" w:hAnsi="宋体" w:cs="宋体"/>
          <w:snapToGrid w:val="0"/>
          <w:color w:val="auto"/>
          <w:kern w:val="0"/>
          <w:szCs w:val="21"/>
          <w:highlight w:val="none"/>
          <w:u w:val="single"/>
        </w:rPr>
        <w:t xml:space="preserve"> </w:t>
      </w:r>
      <w:bookmarkStart w:id="584" w:name="SOA_zyht_fb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single"/>
        </w:rPr>
        <w:t xml:space="preserve"> </w:t>
      </w:r>
      <w:bookmarkEnd w:id="584"/>
      <w:r>
        <w:rPr>
          <w:rFonts w:hint="eastAsia" w:ascii="宋体" w:hAnsi="宋体" w:cs="宋体"/>
          <w:snapToGrid w:val="0"/>
          <w:color w:val="auto"/>
          <w:kern w:val="0"/>
          <w:szCs w:val="21"/>
          <w:highlight w:val="none"/>
          <w:u w:val="single"/>
        </w:rPr>
        <w:t></w:t>
      </w:r>
      <w:r>
        <w:rPr>
          <w:rFonts w:hint="eastAsia" w:ascii="宋体" w:hAnsi="宋体" w:cs="宋体"/>
          <w:snapToGrid w:val="0"/>
          <w:color w:val="auto"/>
          <w:kern w:val="0"/>
          <w:szCs w:val="21"/>
          <w:highlight w:val="none"/>
        </w:rPr>
        <w:t xml:space="preserve">           承包人(公章)：</w:t>
      </w:r>
      <w:r>
        <w:rPr>
          <w:rFonts w:hint="eastAsia" w:ascii="宋体" w:hAnsi="宋体" w:cs="宋体"/>
          <w:snapToGrid w:val="0"/>
          <w:color w:val="auto"/>
          <w:kern w:val="0"/>
          <w:szCs w:val="21"/>
          <w:highlight w:val="none"/>
          <w:u w:val="single"/>
        </w:rPr>
        <w:t></w:t>
      </w:r>
      <w:bookmarkStart w:id="585" w:name="SOA_zyht_cbr"/>
      <w:r>
        <w:rPr>
          <w:rFonts w:hint="eastAsia" w:ascii="宋体" w:hAnsi="宋体" w:cs="宋体"/>
          <w:snapToGrid w:val="0"/>
          <w:color w:val="auto"/>
          <w:kern w:val="0"/>
          <w:szCs w:val="21"/>
          <w:highlight w:val="none"/>
          <w:u w:val="single"/>
        </w:rPr>
        <w:t xml:space="preserve">       </w:t>
      </w:r>
      <w:bookmarkEnd w:id="585"/>
      <w:r>
        <w:rPr>
          <w:rFonts w:hint="eastAsia" w:ascii="宋体" w:hAnsi="宋体" w:cs="宋体"/>
          <w:snapToGrid w:val="0"/>
          <w:color w:val="auto"/>
          <w:kern w:val="0"/>
          <w:szCs w:val="21"/>
          <w:highlight w:val="none"/>
          <w:u w:val="single"/>
        </w:rPr>
        <w:t xml:space="preserve">  </w:t>
      </w:r>
    </w:p>
    <w:p w14:paraId="24E4383F">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地  址：</w:t>
      </w:r>
      <w:r>
        <w:rPr>
          <w:rFonts w:hint="eastAsia" w:ascii="宋体" w:hAnsi="宋体" w:cs="宋体"/>
          <w:snapToGrid w:val="0"/>
          <w:color w:val="auto"/>
          <w:kern w:val="0"/>
          <w:szCs w:val="21"/>
          <w:highlight w:val="none"/>
          <w:u w:val="single"/>
        </w:rPr>
        <w:t xml:space="preserve"> </w:t>
      </w:r>
      <w:bookmarkStart w:id="586" w:name="SOA_zyht_fbrdz"/>
      <w:r>
        <w:rPr>
          <w:rFonts w:hint="eastAsia" w:ascii="宋体" w:hAnsi="宋体" w:cs="宋体"/>
          <w:snapToGrid w:val="0"/>
          <w:color w:val="auto"/>
          <w:kern w:val="0"/>
          <w:szCs w:val="21"/>
          <w:highlight w:val="none"/>
          <w:u w:val="single"/>
        </w:rPr>
        <w:t xml:space="preserve">     </w:t>
      </w:r>
      <w:bookmarkEnd w:id="586"/>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single"/>
        </w:rPr>
        <w:t></w:t>
      </w:r>
      <w:r>
        <w:rPr>
          <w:rFonts w:hint="eastAsia" w:ascii="宋体" w:hAnsi="宋体" w:cs="宋体"/>
          <w:snapToGrid w:val="0"/>
          <w:color w:val="auto"/>
          <w:kern w:val="0"/>
          <w:szCs w:val="21"/>
          <w:highlight w:val="none"/>
        </w:rPr>
        <w:t xml:space="preserve">           地  址：</w:t>
      </w:r>
      <w:r>
        <w:rPr>
          <w:rFonts w:hint="eastAsia" w:ascii="宋体" w:hAnsi="宋体" w:cs="宋体"/>
          <w:snapToGrid w:val="0"/>
          <w:color w:val="auto"/>
          <w:kern w:val="0"/>
          <w:szCs w:val="21"/>
          <w:highlight w:val="none"/>
          <w:u w:val="single"/>
        </w:rPr>
        <w:t></w:t>
      </w:r>
      <w:bookmarkStart w:id="587" w:name="SOA_zyht_cbrdz"/>
      <w:r>
        <w:rPr>
          <w:rFonts w:hint="eastAsia" w:ascii="宋体" w:hAnsi="宋体" w:cs="宋体"/>
          <w:snapToGrid w:val="0"/>
          <w:color w:val="auto"/>
          <w:kern w:val="0"/>
          <w:szCs w:val="21"/>
          <w:highlight w:val="none"/>
          <w:u w:val="single"/>
        </w:rPr>
        <w:t xml:space="preserve">      </w:t>
      </w:r>
      <w:bookmarkEnd w:id="587"/>
      <w:r>
        <w:rPr>
          <w:rFonts w:hint="eastAsia" w:ascii="宋体" w:hAnsi="宋体" w:cs="宋体"/>
          <w:snapToGrid w:val="0"/>
          <w:color w:val="auto"/>
          <w:kern w:val="0"/>
          <w:szCs w:val="21"/>
          <w:highlight w:val="none"/>
          <w:u w:val="single"/>
        </w:rPr>
        <w:t></w:t>
      </w:r>
    </w:p>
    <w:p w14:paraId="6213A86B">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法定代表人(签字)：</w:t>
      </w:r>
      <w:bookmarkStart w:id="588" w:name="SOA_zyht_fddbr1"/>
      <w:r>
        <w:rPr>
          <w:rFonts w:hint="eastAsia" w:ascii="宋体" w:hAnsi="宋体" w:cs="宋体"/>
          <w:snapToGrid w:val="0"/>
          <w:color w:val="auto"/>
          <w:kern w:val="0"/>
          <w:szCs w:val="21"/>
          <w:highlight w:val="none"/>
          <w:u w:val="single"/>
        </w:rPr>
        <w:t xml:space="preserve">      </w:t>
      </w:r>
      <w:bookmarkEnd w:id="588"/>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           法定代表人(签字)：</w:t>
      </w:r>
      <w:bookmarkStart w:id="589" w:name="SOA_zyht_fddbr2"/>
      <w:r>
        <w:rPr>
          <w:rFonts w:hint="eastAsia" w:ascii="宋体" w:hAnsi="宋体" w:cs="宋体"/>
          <w:snapToGrid w:val="0"/>
          <w:color w:val="auto"/>
          <w:kern w:val="0"/>
          <w:szCs w:val="21"/>
          <w:highlight w:val="none"/>
          <w:u w:val="single"/>
        </w:rPr>
        <w:t xml:space="preserve">      </w:t>
      </w:r>
      <w:bookmarkEnd w:id="589"/>
      <w:r>
        <w:rPr>
          <w:rFonts w:hint="eastAsia" w:ascii="宋体" w:hAnsi="宋体" w:cs="宋体"/>
          <w:snapToGrid w:val="0"/>
          <w:color w:val="auto"/>
          <w:kern w:val="0"/>
          <w:szCs w:val="21"/>
          <w:highlight w:val="none"/>
          <w:u w:val="single"/>
        </w:rPr>
        <w:t xml:space="preserve">  </w:t>
      </w:r>
    </w:p>
    <w:p w14:paraId="6684BA65">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委托代理人(签字)：</w:t>
      </w:r>
      <w:bookmarkStart w:id="590" w:name="SOA_zyht_wtdlr1"/>
      <w:r>
        <w:rPr>
          <w:rFonts w:hint="eastAsia" w:ascii="宋体" w:hAnsi="宋体" w:cs="宋体"/>
          <w:snapToGrid w:val="0"/>
          <w:color w:val="auto"/>
          <w:kern w:val="0"/>
          <w:szCs w:val="21"/>
          <w:highlight w:val="none"/>
          <w:u w:val="single"/>
        </w:rPr>
        <w:t xml:space="preserve">     </w:t>
      </w:r>
      <w:bookmarkEnd w:id="590"/>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           委托代理人(签字)：</w:t>
      </w:r>
      <w:bookmarkStart w:id="591" w:name="SOA_zyht_wtdlr2"/>
      <w:r>
        <w:rPr>
          <w:rFonts w:hint="eastAsia" w:ascii="宋体" w:hAnsi="宋体" w:cs="宋体"/>
          <w:snapToGrid w:val="0"/>
          <w:color w:val="auto"/>
          <w:kern w:val="0"/>
          <w:szCs w:val="21"/>
          <w:highlight w:val="none"/>
          <w:u w:val="single"/>
        </w:rPr>
        <w:t xml:space="preserve">      </w:t>
      </w:r>
      <w:bookmarkEnd w:id="591"/>
      <w:r>
        <w:rPr>
          <w:rFonts w:hint="eastAsia" w:ascii="宋体" w:hAnsi="宋体" w:cs="宋体"/>
          <w:snapToGrid w:val="0"/>
          <w:color w:val="auto"/>
          <w:kern w:val="0"/>
          <w:szCs w:val="21"/>
          <w:highlight w:val="none"/>
          <w:u w:val="single"/>
        </w:rPr>
        <w:t xml:space="preserve">  </w:t>
      </w:r>
    </w:p>
    <w:p w14:paraId="269FB639">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  话：</w:t>
      </w:r>
      <w:r>
        <w:rPr>
          <w:rFonts w:hint="eastAsia" w:ascii="宋体" w:hAnsi="宋体" w:cs="宋体"/>
          <w:snapToGrid w:val="0"/>
          <w:color w:val="auto"/>
          <w:kern w:val="0"/>
          <w:szCs w:val="21"/>
          <w:highlight w:val="none"/>
          <w:u w:val="single"/>
        </w:rPr>
        <w:t></w:t>
      </w:r>
      <w:bookmarkStart w:id="592" w:name="SOA_zyht_fbrdh1"/>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single"/>
        </w:rPr>
        <w:t xml:space="preserve">  </w:t>
      </w:r>
      <w:bookmarkEnd w:id="592"/>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           电  话：</w:t>
      </w:r>
      <w:r>
        <w:rPr>
          <w:rFonts w:hint="eastAsia" w:ascii="宋体" w:hAnsi="宋体" w:cs="宋体"/>
          <w:snapToGrid w:val="0"/>
          <w:color w:val="auto"/>
          <w:kern w:val="0"/>
          <w:szCs w:val="21"/>
          <w:highlight w:val="none"/>
          <w:u w:val="single"/>
        </w:rPr>
        <w:t></w:t>
      </w:r>
      <w:bookmarkStart w:id="593" w:name="SOA_zyht_cbrdh"/>
      <w:r>
        <w:rPr>
          <w:rFonts w:hint="eastAsia" w:ascii="宋体" w:hAnsi="宋体" w:cs="宋体"/>
          <w:snapToGrid w:val="0"/>
          <w:color w:val="auto"/>
          <w:kern w:val="0"/>
          <w:szCs w:val="21"/>
          <w:highlight w:val="none"/>
          <w:u w:val="single"/>
        </w:rPr>
        <w:t xml:space="preserve">      </w:t>
      </w:r>
      <w:bookmarkEnd w:id="593"/>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single"/>
        </w:rPr>
        <w:t xml:space="preserve"> </w:t>
      </w:r>
    </w:p>
    <w:p w14:paraId="59597BD4">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传  真：</w:t>
      </w:r>
      <w:r>
        <w:rPr>
          <w:rFonts w:hint="eastAsia" w:ascii="宋体" w:hAnsi="宋体" w:cs="宋体"/>
          <w:snapToGrid w:val="0"/>
          <w:color w:val="auto"/>
          <w:kern w:val="0"/>
          <w:szCs w:val="21"/>
          <w:highlight w:val="none"/>
          <w:u w:val="single"/>
        </w:rPr>
        <w:t xml:space="preserve">  </w:t>
      </w:r>
      <w:bookmarkStart w:id="594" w:name="SOA_zyht_fbrcz"/>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single"/>
        </w:rPr>
        <w:t xml:space="preserve"> </w:t>
      </w:r>
      <w:bookmarkEnd w:id="594"/>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           传  真：</w:t>
      </w:r>
      <w:r>
        <w:rPr>
          <w:rFonts w:hint="eastAsia" w:ascii="宋体" w:hAnsi="宋体" w:cs="宋体"/>
          <w:snapToGrid w:val="0"/>
          <w:color w:val="auto"/>
          <w:kern w:val="0"/>
          <w:szCs w:val="21"/>
          <w:highlight w:val="none"/>
          <w:u w:val="single"/>
        </w:rPr>
        <w:t></w:t>
      </w:r>
      <w:bookmarkStart w:id="595" w:name="SOA_zyht_cbrcz"/>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 xml:space="preserve">        </w:t>
      </w:r>
      <w:bookmarkEnd w:id="595"/>
      <w:r>
        <w:rPr>
          <w:rFonts w:hint="eastAsia" w:ascii="宋体" w:hAnsi="宋体" w:cs="宋体"/>
          <w:snapToGrid w:val="0"/>
          <w:color w:val="auto"/>
          <w:kern w:val="0"/>
          <w:szCs w:val="21"/>
          <w:highlight w:val="none"/>
          <w:u w:val="single"/>
        </w:rPr>
        <w:t xml:space="preserve"> </w:t>
      </w:r>
    </w:p>
    <w:p w14:paraId="5A1E2372">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开户银行：</w:t>
      </w:r>
      <w:bookmarkStart w:id="596" w:name="SOA_zyht_fbrkhyh"/>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single"/>
        </w:rPr>
        <w:t xml:space="preserve"> </w:t>
      </w:r>
      <w:bookmarkEnd w:id="596"/>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           开户银行：</w:t>
      </w:r>
      <w:bookmarkStart w:id="597" w:name="SOA_zyht_cbrkhyh"/>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single"/>
        </w:rPr>
        <w:t xml:space="preserve"> </w:t>
      </w:r>
      <w:bookmarkEnd w:id="597"/>
      <w:r>
        <w:rPr>
          <w:rFonts w:hint="eastAsia" w:ascii="宋体" w:hAnsi="宋体" w:cs="宋体"/>
          <w:snapToGrid w:val="0"/>
          <w:color w:val="auto"/>
          <w:kern w:val="0"/>
          <w:szCs w:val="21"/>
          <w:highlight w:val="none"/>
          <w:u w:val="single"/>
        </w:rPr>
        <w:t xml:space="preserve">  </w:t>
      </w:r>
    </w:p>
    <w:p w14:paraId="5377D065">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账  号：</w:t>
      </w:r>
      <w:r>
        <w:rPr>
          <w:rFonts w:hint="eastAsia" w:ascii="宋体" w:hAnsi="宋体" w:cs="宋体"/>
          <w:snapToGrid w:val="0"/>
          <w:color w:val="auto"/>
          <w:kern w:val="0"/>
          <w:szCs w:val="21"/>
          <w:highlight w:val="none"/>
          <w:u w:val="single"/>
        </w:rPr>
        <w:t></w:t>
      </w:r>
      <w:bookmarkStart w:id="598" w:name="SOA_zyht_fbrzh"/>
      <w:r>
        <w:rPr>
          <w:rFonts w:hint="eastAsia" w:ascii="宋体" w:hAnsi="宋体" w:cs="宋体"/>
          <w:snapToGrid w:val="0"/>
          <w:color w:val="auto"/>
          <w:kern w:val="0"/>
          <w:szCs w:val="21"/>
          <w:highlight w:val="none"/>
          <w:u w:val="single"/>
        </w:rPr>
        <w:t xml:space="preserve">      </w:t>
      </w:r>
      <w:bookmarkEnd w:id="598"/>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single"/>
        </w:rPr>
        <w:t></w:t>
      </w:r>
      <w:r>
        <w:rPr>
          <w:rFonts w:hint="eastAsia" w:ascii="宋体" w:hAnsi="宋体" w:cs="宋体"/>
          <w:snapToGrid w:val="0"/>
          <w:color w:val="auto"/>
          <w:kern w:val="0"/>
          <w:szCs w:val="21"/>
          <w:highlight w:val="none"/>
        </w:rPr>
        <w:t xml:space="preserve">            账  号：</w:t>
      </w:r>
      <w:r>
        <w:rPr>
          <w:rFonts w:hint="eastAsia" w:ascii="宋体" w:hAnsi="宋体" w:cs="宋体"/>
          <w:snapToGrid w:val="0"/>
          <w:color w:val="auto"/>
          <w:kern w:val="0"/>
          <w:szCs w:val="21"/>
          <w:highlight w:val="none"/>
          <w:u w:val="single"/>
        </w:rPr>
        <w:t></w:t>
      </w:r>
      <w:bookmarkStart w:id="599" w:name="SOA_zyht_cbrzh"/>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single"/>
        </w:rPr>
        <w:t xml:space="preserve">  </w:t>
      </w:r>
      <w:bookmarkEnd w:id="599"/>
      <w:r>
        <w:rPr>
          <w:rFonts w:hint="eastAsia" w:ascii="宋体" w:hAnsi="宋体" w:cs="宋体"/>
          <w:snapToGrid w:val="0"/>
          <w:color w:val="auto"/>
          <w:kern w:val="0"/>
          <w:szCs w:val="21"/>
          <w:highlight w:val="none"/>
          <w:u w:val="single"/>
        </w:rPr>
        <w:t xml:space="preserve">  </w:t>
      </w:r>
    </w:p>
    <w:p w14:paraId="14BB8B72">
      <w:pPr>
        <w:adjustRightInd/>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邮政编码：</w:t>
      </w:r>
      <w:r>
        <w:rPr>
          <w:rFonts w:hint="eastAsia" w:ascii="宋体" w:hAnsi="宋体" w:cs="宋体"/>
          <w:snapToGrid w:val="0"/>
          <w:color w:val="auto"/>
          <w:kern w:val="0"/>
          <w:szCs w:val="21"/>
          <w:highlight w:val="none"/>
          <w:u w:val="single"/>
        </w:rPr>
        <w:t xml:space="preserve"> </w:t>
      </w:r>
      <w:bookmarkStart w:id="600" w:name="SOA_zyht_fbryb"/>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single"/>
        </w:rPr>
        <w:t xml:space="preserve"> </w:t>
      </w:r>
      <w:bookmarkEnd w:id="600"/>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            邮政编码：</w:t>
      </w:r>
      <w:r>
        <w:rPr>
          <w:rFonts w:hint="eastAsia" w:ascii="宋体" w:hAnsi="宋体" w:cs="宋体"/>
          <w:snapToGrid w:val="0"/>
          <w:color w:val="auto"/>
          <w:kern w:val="0"/>
          <w:szCs w:val="21"/>
          <w:highlight w:val="none"/>
          <w:u w:val="single"/>
        </w:rPr>
        <w:t></w:t>
      </w:r>
      <w:bookmarkStart w:id="601" w:name="SOA_zyht_cbryb"/>
      <w:r>
        <w:rPr>
          <w:rFonts w:hint="eastAsia" w:ascii="宋体" w:hAnsi="宋体" w:cs="宋体"/>
          <w:snapToGrid w:val="0"/>
          <w:color w:val="auto"/>
          <w:kern w:val="0"/>
          <w:szCs w:val="21"/>
          <w:highlight w:val="none"/>
          <w:u w:val="single"/>
        </w:rPr>
        <w:t xml:space="preserve">     </w:t>
      </w:r>
      <w:bookmarkEnd w:id="601"/>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              </w:t>
      </w:r>
    </w:p>
    <w:p w14:paraId="1A80CD26">
      <w:pPr>
        <w:spacing w:line="480" w:lineRule="auto"/>
        <w:jc w:val="center"/>
        <w:rPr>
          <w:rFonts w:ascii="宋体" w:hAnsi="宋体" w:cs="宋体"/>
          <w:b/>
          <w:color w:val="auto"/>
          <w:sz w:val="28"/>
          <w:szCs w:val="28"/>
          <w:highlight w:val="none"/>
        </w:rPr>
      </w:pPr>
    </w:p>
    <w:p w14:paraId="6FBCDE19">
      <w:pPr>
        <w:rPr>
          <w:color w:val="auto"/>
          <w:highlight w:val="none"/>
        </w:rPr>
      </w:pPr>
    </w:p>
    <w:p w14:paraId="361EF57D">
      <w:pPr>
        <w:pStyle w:val="58"/>
        <w:spacing w:before="0" w:beforeAutospacing="0" w:after="0" w:afterAutospacing="0" w:line="360" w:lineRule="auto"/>
        <w:rPr>
          <w:rFonts w:cs="宋体"/>
          <w:color w:val="auto"/>
          <w:sz w:val="21"/>
          <w:szCs w:val="21"/>
          <w:highlight w:val="none"/>
        </w:rPr>
      </w:pPr>
    </w:p>
    <w:p w14:paraId="13127625">
      <w:pPr>
        <w:adjustRightInd/>
        <w:spacing w:line="300" w:lineRule="auto"/>
        <w:rPr>
          <w:rFonts w:ascii="宋体" w:hAnsi="宋体"/>
          <w:snapToGrid w:val="0"/>
          <w:color w:val="auto"/>
          <w:kern w:val="0"/>
          <w:szCs w:val="21"/>
          <w:highlight w:val="none"/>
        </w:rPr>
      </w:pPr>
      <w:r>
        <w:rPr>
          <w:rFonts w:hint="eastAsia" w:cs="宋体"/>
          <w:color w:val="auto"/>
          <w:szCs w:val="21"/>
          <w:highlight w:val="none"/>
        </w:rPr>
        <w:br w:type="page"/>
      </w:r>
    </w:p>
    <w:p w14:paraId="6E317217">
      <w:pPr>
        <w:adjustRightInd/>
        <w:snapToGrid/>
        <w:spacing w:line="24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第六部分</w:t>
      </w:r>
      <w:bookmarkEnd w:id="397"/>
      <w:r>
        <w:rPr>
          <w:rFonts w:hint="eastAsia" w:ascii="宋体" w:hAnsi="宋体" w:eastAsia="宋体" w:cs="宋体"/>
          <w:b/>
          <w:color w:val="auto"/>
          <w:sz w:val="32"/>
          <w:szCs w:val="32"/>
          <w:highlight w:val="none"/>
        </w:rPr>
        <w:t xml:space="preserve"> </w:t>
      </w:r>
      <w:bookmarkEnd w:id="398"/>
      <w:r>
        <w:rPr>
          <w:rFonts w:hint="eastAsia" w:ascii="宋体" w:hAnsi="宋体" w:eastAsia="宋体" w:cs="宋体"/>
          <w:b/>
          <w:color w:val="auto"/>
          <w:sz w:val="32"/>
          <w:szCs w:val="32"/>
          <w:highlight w:val="none"/>
        </w:rPr>
        <w:t>应提交的有关格式范例</w:t>
      </w:r>
    </w:p>
    <w:p w14:paraId="2B5C3196">
      <w:pPr>
        <w:spacing w:line="360" w:lineRule="auto"/>
        <w:jc w:val="center"/>
        <w:outlineLvl w:val="9"/>
        <w:rPr>
          <w:rFonts w:ascii="宋体" w:hAnsi="宋体" w:cs="宋体"/>
          <w:b/>
          <w:color w:val="auto"/>
          <w:kern w:val="0"/>
          <w:sz w:val="36"/>
          <w:szCs w:val="36"/>
          <w:highlight w:val="none"/>
        </w:rPr>
      </w:pPr>
    </w:p>
    <w:p w14:paraId="1CD40474">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B11E895">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5F27729">
      <w:pPr>
        <w:spacing w:line="360" w:lineRule="auto"/>
        <w:jc w:val="center"/>
        <w:outlineLvl w:val="9"/>
        <w:rPr>
          <w:rFonts w:ascii="宋体" w:hAnsi="宋体" w:cs="宋体"/>
          <w:b/>
          <w:color w:val="auto"/>
          <w:kern w:val="0"/>
          <w:sz w:val="36"/>
          <w:szCs w:val="36"/>
          <w:highlight w:val="none"/>
        </w:rPr>
      </w:pPr>
    </w:p>
    <w:p w14:paraId="024F26B4">
      <w:pPr>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A2C7D0F">
      <w:pPr>
        <w:snapToGrid w:val="0"/>
        <w:spacing w:line="360" w:lineRule="auto"/>
        <w:outlineLvl w:val="9"/>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23F63FB">
      <w:pPr>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903248B">
      <w:pPr>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4079D58">
      <w:pPr>
        <w:snapToGrid w:val="0"/>
        <w:spacing w:line="360" w:lineRule="auto"/>
        <w:ind w:firstLine="480" w:firstLineChars="200"/>
        <w:rPr>
          <w:rFonts w:ascii="宋体" w:hAnsi="宋体" w:cs="宋体"/>
          <w:color w:val="auto"/>
          <w:sz w:val="24"/>
          <w:highlight w:val="none"/>
        </w:rPr>
      </w:pPr>
    </w:p>
    <w:p w14:paraId="537B51D2">
      <w:pPr>
        <w:spacing w:line="360" w:lineRule="auto"/>
        <w:ind w:firstLine="480" w:firstLineChars="200"/>
        <w:rPr>
          <w:rFonts w:ascii="宋体" w:hAnsi="宋体" w:cs="宋体"/>
          <w:color w:val="auto"/>
          <w:sz w:val="24"/>
          <w:highlight w:val="none"/>
        </w:rPr>
      </w:pPr>
    </w:p>
    <w:p w14:paraId="7E60D569">
      <w:pPr>
        <w:snapToGrid w:val="0"/>
        <w:spacing w:line="360" w:lineRule="auto"/>
        <w:ind w:right="480"/>
        <w:jc w:val="center"/>
        <w:outlineLvl w:val="2"/>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28"/>
          <w:szCs w:val="28"/>
          <w:highlight w:val="none"/>
        </w:rPr>
        <w:t>一、 符合参加政府采购活动应当具备的一般条件的承诺函</w:t>
      </w:r>
    </w:p>
    <w:p w14:paraId="5E34BF7B">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（采购人）、（采购代理机构）：</w:t>
      </w:r>
    </w:p>
    <w:p w14:paraId="72CC218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我方参与（项目名称）【项目编号：（采购编号）】政府采购活动，郑重承诺：</w:t>
      </w:r>
    </w:p>
    <w:p w14:paraId="7C609AD9">
      <w:pPr>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（一）具备《中华人民共和国政府采购法》第二十二条第一款规定的条件：</w:t>
      </w:r>
    </w:p>
    <w:p w14:paraId="2A61D94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7DCF7327">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2EEECA6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2502A50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7FED890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39F4066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6、具有法律、行政法规规定的其他条件。</w:t>
      </w:r>
    </w:p>
    <w:p w14:paraId="2797088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78C9D82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36C4890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1、单位负责人为同一人或者存在直接控股、管理关系的不同供应商参加同一合同项下的政府采购活动的；</w:t>
      </w:r>
    </w:p>
    <w:p w14:paraId="3CA094D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64FDDB04">
      <w:pPr>
        <w:snapToGrid w:val="0"/>
        <w:spacing w:line="360" w:lineRule="auto"/>
        <w:ind w:firstLine="4830" w:firstLineChars="23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供应商名称(电子签名)：</w:t>
      </w:r>
    </w:p>
    <w:p w14:paraId="2C3D3918">
      <w:pPr>
        <w:snapToGrid w:val="0"/>
        <w:spacing w:line="360" w:lineRule="auto"/>
        <w:rPr>
          <w:rFonts w:ascii="宋体" w:hAnsi="宋体" w:cs="宋体"/>
          <w:color w:val="auto"/>
          <w:kern w:val="0"/>
          <w:sz w:val="24"/>
          <w:highlight w:val="none"/>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6E0766D8">
      <w:pPr>
        <w:snapToGrid w:val="0"/>
        <w:spacing w:line="360" w:lineRule="auto"/>
        <w:ind w:right="480"/>
        <w:jc w:val="center"/>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5" w:h="16838"/>
          <w:pgMar w:top="1417" w:right="1417" w:bottom="1417" w:left="1417" w:header="850" w:footer="992" w:gutter="0"/>
          <w:cols w:space="0" w:num="1"/>
          <w:titlePg/>
          <w:rtlGutter w:val="0"/>
          <w:docGrid w:linePitch="312" w:charSpace="0"/>
        </w:sectPr>
      </w:pPr>
    </w:p>
    <w:p w14:paraId="6E2F1860">
      <w:pPr>
        <w:widowControl/>
        <w:spacing w:line="360" w:lineRule="auto"/>
        <w:ind w:firstLine="562" w:firstLineChars="20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二、联合协议（如果有）</w:t>
      </w:r>
    </w:p>
    <w:p w14:paraId="7842894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47AC8E1C">
      <w:pPr>
        <w:snapToGrid w:val="0"/>
        <w:spacing w:line="360" w:lineRule="auto"/>
        <w:ind w:right="480"/>
        <w:jc w:val="center"/>
        <w:rPr>
          <w:rFonts w:ascii="宋体" w:hAnsi="宋体" w:cs="宋体"/>
          <w:b/>
          <w:color w:val="auto"/>
          <w:kern w:val="0"/>
          <w:sz w:val="32"/>
          <w:szCs w:val="32"/>
          <w:highlight w:val="none"/>
        </w:rPr>
        <w:sectPr>
          <w:pgSz w:w="11905" w:h="16838"/>
          <w:pgMar w:top="1417" w:right="1417" w:bottom="1417" w:left="1417" w:header="850" w:footer="992" w:gutter="0"/>
          <w:cols w:space="0" w:num="1"/>
          <w:titlePg/>
          <w:rtlGutter w:val="0"/>
          <w:docGrid w:linePitch="312" w:charSpace="0"/>
        </w:sectPr>
      </w:pPr>
    </w:p>
    <w:p w14:paraId="01B0899C">
      <w:pPr>
        <w:snapToGrid w:val="0"/>
        <w:spacing w:line="360" w:lineRule="auto"/>
        <w:ind w:right="48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三、落实政府采购政策需满足的资格要求</w:t>
      </w:r>
    </w:p>
    <w:p w14:paraId="6AAF593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（根据竞争性磋商公告落实政府采购政策需满足的资格要求选择提供相应的材料；未要求的，无需提供）</w:t>
      </w:r>
    </w:p>
    <w:p w14:paraId="5DC7E954">
      <w:pPr>
        <w:snapToGrid w:val="0"/>
        <w:spacing w:before="50" w:after="50" w:line="360" w:lineRule="auto"/>
        <w:ind w:firstLine="413" w:firstLineChars="196"/>
        <w:jc w:val="left"/>
        <w:rPr>
          <w:rFonts w:ascii="宋体" w:hAnsi="宋体" w:cs="宋体"/>
          <w:color w:val="auto"/>
          <w:sz w:val="21"/>
          <w:szCs w:val="21"/>
          <w:highlight w:val="none"/>
        </w:rPr>
      </w:pPr>
      <w:r>
        <w:rPr>
          <w:rFonts w:hint="eastAsia" w:ascii="宋体" w:hAnsi="宋体" w:cs="宋体"/>
          <w:b/>
          <w:color w:val="auto"/>
          <w:sz w:val="21"/>
          <w:szCs w:val="21"/>
          <w:highlight w:val="none"/>
        </w:rPr>
        <w:t>A</w:t>
      </w:r>
      <w:r>
        <w:rPr>
          <w:rFonts w:hint="eastAsia" w:ascii="宋体" w:hAnsi="宋体" w:cs="宋体"/>
          <w:color w:val="auto"/>
          <w:sz w:val="21"/>
          <w:szCs w:val="21"/>
          <w:highlight w:val="none"/>
        </w:rPr>
        <w:t>.专门面向中小企业，工程全部由符合政策要求的中小企业（或小微企业）承建的，提供相应的中小企业声明函（附件</w:t>
      </w:r>
      <w:r>
        <w:rPr>
          <w:rFonts w:ascii="宋体" w:hAnsi="宋体" w:cs="宋体"/>
          <w:color w:val="auto"/>
          <w:sz w:val="21"/>
          <w:szCs w:val="21"/>
          <w:highlight w:val="none"/>
        </w:rPr>
        <w:t>7</w:t>
      </w:r>
      <w:r>
        <w:rPr>
          <w:rFonts w:hint="eastAsia" w:ascii="宋体" w:hAnsi="宋体" w:cs="宋体"/>
          <w:color w:val="auto"/>
          <w:sz w:val="21"/>
          <w:szCs w:val="21"/>
          <w:highlight w:val="none"/>
        </w:rPr>
        <w:t xml:space="preserve">）。 </w:t>
      </w:r>
    </w:p>
    <w:p w14:paraId="2E3B4F51">
      <w:pPr>
        <w:widowControl/>
        <w:spacing w:line="360" w:lineRule="auto"/>
        <w:ind w:firstLine="480"/>
        <w:jc w:val="left"/>
        <w:rPr>
          <w:rFonts w:ascii="宋体" w:hAnsi="宋体" w:cs="宋体"/>
          <w:color w:val="auto"/>
          <w:sz w:val="21"/>
          <w:szCs w:val="21"/>
          <w:highlight w:val="none"/>
        </w:rPr>
      </w:pPr>
    </w:p>
    <w:p w14:paraId="10DC3177">
      <w:pPr>
        <w:widowControl/>
        <w:spacing w:line="360" w:lineRule="auto"/>
        <w:ind w:firstLine="413" w:firstLineChars="196"/>
        <w:jc w:val="left"/>
        <w:rPr>
          <w:rFonts w:ascii="宋体" w:hAnsi="宋体" w:cs="宋体"/>
          <w:color w:val="auto"/>
          <w:sz w:val="21"/>
          <w:szCs w:val="21"/>
          <w:highlight w:val="none"/>
        </w:rPr>
      </w:pPr>
      <w:r>
        <w:rPr>
          <w:rFonts w:hint="eastAsia" w:ascii="宋体" w:hAnsi="宋体" w:cs="宋体"/>
          <w:b/>
          <w:color w:val="auto"/>
          <w:sz w:val="21"/>
          <w:szCs w:val="21"/>
          <w:highlight w:val="none"/>
        </w:rPr>
        <w:t>B.</w:t>
      </w:r>
      <w:r>
        <w:rPr>
          <w:rFonts w:hint="eastAsia" w:ascii="宋体" w:hAnsi="宋体" w:cs="宋体"/>
          <w:color w:val="auto"/>
          <w:sz w:val="21"/>
          <w:szCs w:val="21"/>
          <w:highlight w:val="none"/>
        </w:rPr>
        <w:t>要求以联合体形式参加的，提供联合协议（附件</w:t>
      </w:r>
      <w:r>
        <w:rPr>
          <w:rFonts w:ascii="宋体" w:hAnsi="宋体" w:cs="宋体"/>
          <w:color w:val="auto"/>
          <w:sz w:val="21"/>
          <w:szCs w:val="21"/>
          <w:highlight w:val="none"/>
        </w:rPr>
        <w:t>5</w:t>
      </w:r>
      <w:r>
        <w:rPr>
          <w:rFonts w:hint="eastAsia" w:ascii="宋体" w:hAnsi="宋体" w:cs="宋体"/>
          <w:color w:val="auto"/>
          <w:sz w:val="21"/>
          <w:szCs w:val="21"/>
          <w:highlight w:val="none"/>
        </w:rPr>
        <w:t>）和中小企业声明函（附件</w:t>
      </w:r>
      <w:r>
        <w:rPr>
          <w:rFonts w:ascii="宋体" w:hAnsi="宋体" w:cs="宋体"/>
          <w:color w:val="auto"/>
          <w:sz w:val="21"/>
          <w:szCs w:val="21"/>
          <w:highlight w:val="none"/>
        </w:rPr>
        <w:t>7</w:t>
      </w:r>
      <w:r>
        <w:rPr>
          <w:rFonts w:hint="eastAsia" w:ascii="宋体" w:hAnsi="宋体" w:cs="宋体"/>
          <w:color w:val="auto"/>
          <w:sz w:val="21"/>
          <w:szCs w:val="21"/>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1"/>
          <w:szCs w:val="21"/>
          <w:highlight w:val="none"/>
        </w:rPr>
        <w:t>并相应达到了前述比例要求，</w:t>
      </w:r>
      <w:r>
        <w:rPr>
          <w:rFonts w:hint="eastAsia" w:ascii="宋体" w:hAnsi="宋体" w:cs="宋体"/>
          <w:color w:val="auto"/>
          <w:sz w:val="21"/>
          <w:szCs w:val="21"/>
          <w:highlight w:val="none"/>
        </w:rPr>
        <w:t>视同符合了资格条件，无需再与其他中小企业组成联合体参加政府采购活动，无需提供联合协议。</w:t>
      </w:r>
    </w:p>
    <w:p w14:paraId="2BFABB4A">
      <w:pPr>
        <w:snapToGrid w:val="0"/>
        <w:spacing w:before="50" w:after="50" w:line="360" w:lineRule="auto"/>
        <w:jc w:val="center"/>
        <w:rPr>
          <w:rFonts w:ascii="宋体" w:hAnsi="宋体" w:cs="宋体"/>
          <w:color w:val="auto"/>
          <w:sz w:val="21"/>
          <w:szCs w:val="21"/>
          <w:highlight w:val="none"/>
        </w:rPr>
      </w:pPr>
      <w:r>
        <w:rPr>
          <w:rFonts w:hint="eastAsia" w:ascii="宋体" w:hAnsi="宋体" w:cs="宋体"/>
          <w:b/>
          <w:color w:val="auto"/>
          <w:sz w:val="21"/>
          <w:szCs w:val="21"/>
          <w:highlight w:val="none"/>
        </w:rPr>
        <w:t xml:space="preserve">    </w:t>
      </w:r>
    </w:p>
    <w:p w14:paraId="28B2FFE9">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C、</w:t>
      </w:r>
      <w:r>
        <w:rPr>
          <w:rFonts w:hint="eastAsia" w:ascii="宋体" w:hAnsi="宋体" w:cs="宋体"/>
          <w:color w:val="auto"/>
          <w:sz w:val="21"/>
          <w:szCs w:val="21"/>
          <w:highlight w:val="none"/>
        </w:rPr>
        <w:t>要求合同分包的，提供分包意向协议（附件6）和中小企业声明函（附件</w:t>
      </w:r>
      <w:r>
        <w:rPr>
          <w:rFonts w:ascii="宋体" w:hAnsi="宋体" w:cs="宋体"/>
          <w:color w:val="auto"/>
          <w:sz w:val="21"/>
          <w:szCs w:val="21"/>
          <w:highlight w:val="none"/>
        </w:rPr>
        <w:t>7</w:t>
      </w:r>
      <w:r>
        <w:rPr>
          <w:rFonts w:hint="eastAsia" w:ascii="宋体" w:hAnsi="宋体" w:cs="宋体"/>
          <w:color w:val="auto"/>
          <w:sz w:val="21"/>
          <w:szCs w:val="21"/>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1"/>
          <w:szCs w:val="21"/>
          <w:highlight w:val="none"/>
        </w:rPr>
        <w:t>并相应达到了前述比例要求，</w:t>
      </w:r>
      <w:r>
        <w:rPr>
          <w:rFonts w:hint="eastAsia" w:ascii="宋体" w:hAnsi="宋体" w:cs="宋体"/>
          <w:color w:val="auto"/>
          <w:sz w:val="21"/>
          <w:szCs w:val="21"/>
          <w:highlight w:val="none"/>
        </w:rPr>
        <w:t>视同符合了资格条件，无需再向中小企业分包，无需提供分包意向协议。</w:t>
      </w:r>
    </w:p>
    <w:p w14:paraId="5B6665D9">
      <w:pPr>
        <w:widowControl/>
        <w:spacing w:line="360" w:lineRule="auto"/>
        <w:ind w:left="150"/>
        <w:jc w:val="center"/>
        <w:rPr>
          <w:rFonts w:ascii="宋体" w:hAnsi="宋体" w:cs="宋体"/>
          <w:b/>
          <w:color w:val="auto"/>
          <w:kern w:val="0"/>
          <w:sz w:val="32"/>
          <w:szCs w:val="32"/>
          <w:highlight w:val="none"/>
        </w:rPr>
      </w:pPr>
    </w:p>
    <w:p w14:paraId="6153B220">
      <w:pPr>
        <w:widowControl/>
        <w:spacing w:line="360" w:lineRule="auto"/>
        <w:ind w:left="15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四、本项目的特定资格要求</w:t>
      </w:r>
    </w:p>
    <w:p w14:paraId="6D4AABCA">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（根据竞争性磋商公告本项目的特定资格要求提供相应的材料；未要求的，无需提供）</w:t>
      </w:r>
    </w:p>
    <w:p w14:paraId="44CD5199">
      <w:pPr>
        <w:rPr>
          <w:rFonts w:ascii="宋体" w:hAnsi="宋体" w:cs="宋体"/>
          <w:color w:val="auto"/>
          <w:highlight w:val="none"/>
        </w:rPr>
      </w:pPr>
    </w:p>
    <w:p w14:paraId="3C2A18D3">
      <w:pPr>
        <w:snapToGrid w:val="0"/>
        <w:spacing w:line="360" w:lineRule="auto"/>
        <w:ind w:right="480"/>
        <w:jc w:val="center"/>
        <w:rPr>
          <w:rFonts w:ascii="宋体" w:hAnsi="宋体" w:cs="宋体"/>
          <w:b/>
          <w:color w:val="auto"/>
          <w:kern w:val="0"/>
          <w:sz w:val="32"/>
          <w:szCs w:val="32"/>
          <w:highlight w:val="none"/>
        </w:rPr>
        <w:sectPr>
          <w:pgSz w:w="11905" w:h="16838"/>
          <w:pgMar w:top="1417" w:right="1417" w:bottom="1417" w:left="1417" w:header="850" w:footer="992" w:gutter="0"/>
          <w:cols w:space="0" w:num="1"/>
          <w:titlePg/>
          <w:rtlGutter w:val="0"/>
          <w:docGrid w:linePitch="312" w:charSpace="0"/>
        </w:sectPr>
      </w:pPr>
    </w:p>
    <w:p w14:paraId="464D3F7A">
      <w:pPr>
        <w:tabs>
          <w:tab w:val="left" w:pos="432"/>
        </w:tabs>
        <w:outlineLvl w:val="9"/>
        <w:rPr>
          <w:rFonts w:ascii="宋体" w:hAnsi="宋体" w:cs="宋体"/>
          <w:b w:val="0"/>
          <w:color w:val="auto"/>
          <w:kern w:val="0"/>
          <w:sz w:val="36"/>
          <w:szCs w:val="36"/>
          <w:highlight w:val="none"/>
        </w:rPr>
      </w:pPr>
    </w:p>
    <w:p w14:paraId="4D2AEACE">
      <w:pPr>
        <w:spacing w:line="360" w:lineRule="auto"/>
        <w:ind w:right="420" w:firstLine="3614" w:firstLineChars="1000"/>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DFD8903">
      <w:pPr>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942C817">
      <w:pPr>
        <w:keepNext w:val="0"/>
        <w:keepLines w:val="0"/>
        <w:pageBreakBefore w:val="0"/>
        <w:widowControl w:val="0"/>
        <w:numPr>
          <w:ilvl w:val="255"/>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响应函……………………………………………………………………………（页码）</w:t>
      </w:r>
    </w:p>
    <w:p w14:paraId="3323B749">
      <w:pPr>
        <w:keepNext w:val="0"/>
        <w:keepLines w:val="0"/>
        <w:pageBreakBefore w:val="0"/>
        <w:widowControl w:val="0"/>
        <w:numPr>
          <w:ilvl w:val="255"/>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2）授权委托书或法定代表人（单位负责人、自然人本人）身份证明</w:t>
      </w:r>
      <w:r>
        <w:rPr>
          <w:rFonts w:hint="eastAsia" w:ascii="宋体" w:hAnsi="宋体" w:cs="宋体"/>
          <w:color w:val="auto"/>
          <w:sz w:val="21"/>
          <w:szCs w:val="21"/>
          <w:highlight w:val="none"/>
        </w:rPr>
        <w:t>……………（页码）</w:t>
      </w:r>
    </w:p>
    <w:p w14:paraId="406FC06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）分包意向协议………………………………………………………………………（页码）</w:t>
      </w:r>
    </w:p>
    <w:p w14:paraId="7596E06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）符合性审查资料……………………………………………………………………（页码）</w:t>
      </w:r>
    </w:p>
    <w:p w14:paraId="0D7999B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）评审标准相应的商务技术资料……………………………………………………（页码）</w:t>
      </w:r>
    </w:p>
    <w:p w14:paraId="15BD61E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）商务技术偏离表……………………………………………………………………（页码）</w:t>
      </w:r>
    </w:p>
    <w:p w14:paraId="4366E16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zh-CN"/>
        </w:rPr>
        <w:t>（</w:t>
      </w:r>
      <w:r>
        <w:rPr>
          <w:rFonts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r>
        <w:rPr>
          <w:rFonts w:hint="eastAsia" w:ascii="宋体" w:hAnsi="宋体" w:cs="宋体"/>
          <w:color w:val="auto"/>
          <w:sz w:val="21"/>
          <w:szCs w:val="21"/>
          <w:highlight w:val="none"/>
        </w:rPr>
        <w:t>…………………………………………………（页码）</w:t>
      </w:r>
    </w:p>
    <w:p w14:paraId="3D0C0F47">
      <w:pPr>
        <w:snapToGrid w:val="0"/>
        <w:spacing w:line="360" w:lineRule="auto"/>
        <w:jc w:val="center"/>
        <w:rPr>
          <w:rFonts w:ascii="宋体" w:hAnsi="宋体" w:cs="宋体"/>
          <w:b/>
          <w:color w:val="auto"/>
          <w:kern w:val="0"/>
          <w:sz w:val="24"/>
          <w:szCs w:val="32"/>
          <w:highlight w:val="none"/>
          <w:lang w:val="zh-CN"/>
        </w:rPr>
        <w:sectPr>
          <w:pgSz w:w="11905" w:h="16838"/>
          <w:pgMar w:top="1417" w:right="1417" w:bottom="1417" w:left="1417" w:header="850" w:footer="992" w:gutter="0"/>
          <w:cols w:space="0" w:num="1"/>
          <w:titlePg/>
          <w:rtlGutter w:val="0"/>
          <w:docGrid w:linePitch="312" w:charSpace="0"/>
        </w:sectPr>
      </w:pPr>
    </w:p>
    <w:p w14:paraId="0AF999CB">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107C15D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BBE8F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我方参加你方组织的（项目名称）【项目编号：（采购编号）】采购的有关活动，并对此项目提交响应文件及报价。为此：</w:t>
      </w:r>
    </w:p>
    <w:p w14:paraId="0F5183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69855F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491A4CE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804AAE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D39A6A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6B29A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04C5A9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64C208A2">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59910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21F4CD2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D7B491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678638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2DD136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39AA7F6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1A46343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3811C5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6039C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4928759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0AA33B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44E5138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3、我方承诺除商务技术偏离表列出的偏离外，我方响应采购文件的全部要求。对响应文件中材料的真实性、合法性负责，积极配合采购人、采购代理机构复核响应文件中的资料。</w:t>
      </w:r>
    </w:p>
    <w:p w14:paraId="5F26450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70B79D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5839727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D75A7B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6726F93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9FDAF1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5、对通过</w:t>
      </w:r>
      <w:r>
        <w:rPr>
          <w:rFonts w:hint="eastAsia" w:ascii="宋体" w:hAnsi="宋体" w:cs="宋体"/>
          <w:color w:val="auto"/>
          <w:sz w:val="24"/>
          <w:highlight w:val="none"/>
          <w:lang w:eastAsia="zh-CN"/>
        </w:rPr>
        <w:t>乐采云平台</w:t>
      </w:r>
      <w:r>
        <w:rPr>
          <w:rFonts w:hint="eastAsia" w:ascii="宋体" w:hAnsi="宋体" w:cs="宋体"/>
          <w:color w:val="auto"/>
          <w:sz w:val="24"/>
          <w:highlight w:val="none"/>
        </w:rPr>
        <w:t>开展的质疑、投诉等活动，我方承诺并接受平台以电子送达的方式送达相关文书。我方认可电子送达与邮寄送达具有同等法律效力，以文书到达</w:t>
      </w:r>
      <w:r>
        <w:rPr>
          <w:rFonts w:hint="eastAsia" w:ascii="宋体" w:hAnsi="宋体" w:cs="宋体"/>
          <w:color w:val="auto"/>
          <w:sz w:val="24"/>
          <w:highlight w:val="none"/>
          <w:lang w:eastAsia="zh-CN"/>
        </w:rPr>
        <w:t>乐采云平台</w:t>
      </w:r>
      <w:r>
        <w:rPr>
          <w:rFonts w:hint="eastAsia" w:ascii="宋体" w:hAnsi="宋体" w:cs="宋体"/>
          <w:color w:val="auto"/>
          <w:sz w:val="24"/>
          <w:highlight w:val="none"/>
        </w:rPr>
        <w:t>日期为送达日期，本公司保证</w:t>
      </w:r>
      <w:r>
        <w:rPr>
          <w:rFonts w:hint="eastAsia" w:ascii="宋体" w:hAnsi="宋体" w:cs="宋体"/>
          <w:color w:val="auto"/>
          <w:sz w:val="24"/>
          <w:highlight w:val="none"/>
          <w:lang w:eastAsia="zh-CN"/>
        </w:rPr>
        <w:t>乐采云平台</w:t>
      </w:r>
      <w:r>
        <w:rPr>
          <w:rFonts w:hint="eastAsia" w:ascii="宋体" w:hAnsi="宋体" w:cs="宋体"/>
          <w:color w:val="auto"/>
          <w:sz w:val="24"/>
          <w:highlight w:val="none"/>
        </w:rPr>
        <w:t>账号真实有效。</w:t>
      </w:r>
    </w:p>
    <w:p w14:paraId="19CBD95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6、其他补充说明: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22BF708">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1577ACF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DD64B33">
      <w:pPr>
        <w:snapToGrid w:val="0"/>
        <w:spacing w:line="360" w:lineRule="auto"/>
        <w:ind w:left="420" w:leftChars="200" w:firstLine="4200" w:firstLineChars="1750"/>
        <w:rPr>
          <w:rFonts w:ascii="宋体" w:hAnsi="宋体" w:cs="宋体"/>
          <w:color w:val="auto"/>
          <w:kern w:val="0"/>
          <w:sz w:val="24"/>
          <w:highlight w:val="none"/>
          <w:u w:val="single"/>
        </w:rPr>
      </w:pPr>
    </w:p>
    <w:p w14:paraId="5216BAB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FCEF8E0">
      <w:pPr>
        <w:snapToGrid w:val="0"/>
        <w:spacing w:line="360" w:lineRule="auto"/>
        <w:jc w:val="center"/>
        <w:rPr>
          <w:rFonts w:ascii="宋体" w:hAnsi="宋体" w:cs="宋体"/>
          <w:b/>
          <w:color w:val="auto"/>
          <w:kern w:val="0"/>
          <w:sz w:val="32"/>
          <w:szCs w:val="32"/>
          <w:highlight w:val="none"/>
        </w:rPr>
      </w:pPr>
    </w:p>
    <w:p w14:paraId="7CDFB93D">
      <w:pPr>
        <w:snapToGrid w:val="0"/>
        <w:spacing w:line="360" w:lineRule="auto"/>
        <w:rPr>
          <w:rFonts w:ascii="宋体" w:hAnsi="宋体" w:cs="宋体"/>
          <w:color w:val="auto"/>
          <w:sz w:val="24"/>
          <w:highlight w:val="none"/>
        </w:rPr>
      </w:pPr>
    </w:p>
    <w:p w14:paraId="592619C0">
      <w:pPr>
        <w:jc w:val="center"/>
        <w:rPr>
          <w:rFonts w:ascii="宋体" w:hAnsi="宋体" w:cs="宋体"/>
          <w:b/>
          <w:color w:val="auto"/>
          <w:kern w:val="0"/>
          <w:sz w:val="32"/>
          <w:szCs w:val="32"/>
          <w:highlight w:val="none"/>
        </w:rPr>
      </w:pPr>
    </w:p>
    <w:p w14:paraId="7E255EC5">
      <w:pPr>
        <w:jc w:val="center"/>
        <w:rPr>
          <w:rFonts w:ascii="宋体" w:hAnsi="宋体" w:cs="宋体"/>
          <w:b/>
          <w:color w:val="auto"/>
          <w:kern w:val="0"/>
          <w:sz w:val="32"/>
          <w:szCs w:val="32"/>
          <w:highlight w:val="none"/>
        </w:rPr>
        <w:sectPr>
          <w:pgSz w:w="11905" w:h="16838"/>
          <w:pgMar w:top="1417" w:right="1417" w:bottom="1417" w:left="1417" w:header="850" w:footer="992" w:gutter="0"/>
          <w:cols w:space="0" w:num="1"/>
          <w:titlePg/>
          <w:rtlGutter w:val="0"/>
          <w:docGrid w:linePitch="312" w:charSpace="0"/>
        </w:sectPr>
      </w:pPr>
    </w:p>
    <w:p w14:paraId="3B15C237">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2735E56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96D8B2C">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521742D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62E710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2C1E2F8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F5DE4F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EE7F53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50D30FE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900726C">
      <w:pPr>
        <w:snapToGrid w:val="0"/>
        <w:spacing w:line="360" w:lineRule="auto"/>
        <w:rPr>
          <w:rFonts w:ascii="宋体" w:hAnsi="宋体" w:cs="宋体"/>
          <w:color w:val="auto"/>
          <w:sz w:val="24"/>
          <w:highlight w:val="none"/>
        </w:rPr>
      </w:pPr>
    </w:p>
    <w:p w14:paraId="51BED50C">
      <w:pPr>
        <w:snapToGrid w:val="0"/>
        <w:spacing w:line="360" w:lineRule="auto"/>
        <w:rPr>
          <w:rFonts w:ascii="宋体" w:hAnsi="宋体" w:cs="宋体"/>
          <w:color w:val="auto"/>
          <w:sz w:val="24"/>
          <w:highlight w:val="none"/>
        </w:rPr>
      </w:pPr>
    </w:p>
    <w:p w14:paraId="400D7A00">
      <w:pPr>
        <w:snapToGrid w:val="0"/>
        <w:spacing w:line="360" w:lineRule="auto"/>
        <w:rPr>
          <w:rFonts w:ascii="宋体" w:hAnsi="宋体" w:cs="宋体"/>
          <w:color w:val="auto"/>
          <w:sz w:val="24"/>
          <w:highlight w:val="none"/>
        </w:rPr>
      </w:pPr>
    </w:p>
    <w:p w14:paraId="4114C721">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22529B0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BA2F7E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0560FD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C15000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61749A2">
      <w:pPr>
        <w:jc w:val="center"/>
        <w:rPr>
          <w:rFonts w:ascii="宋体" w:hAnsi="宋体" w:cs="宋体"/>
          <w:b/>
          <w:color w:val="auto"/>
          <w:kern w:val="0"/>
          <w:sz w:val="32"/>
          <w:szCs w:val="32"/>
          <w:highlight w:val="none"/>
        </w:rPr>
      </w:pPr>
    </w:p>
    <w:p w14:paraId="6069FFE7">
      <w:pPr>
        <w:jc w:val="center"/>
        <w:rPr>
          <w:rFonts w:ascii="宋体" w:hAnsi="宋体" w:cs="宋体"/>
          <w:b/>
          <w:color w:val="auto"/>
          <w:kern w:val="0"/>
          <w:sz w:val="32"/>
          <w:szCs w:val="32"/>
          <w:highlight w:val="none"/>
        </w:rPr>
      </w:pPr>
    </w:p>
    <w:p w14:paraId="052E435E">
      <w:pPr>
        <w:jc w:val="center"/>
        <w:rPr>
          <w:rFonts w:ascii="宋体" w:hAnsi="宋体" w:cs="宋体"/>
          <w:b/>
          <w:color w:val="auto"/>
          <w:kern w:val="0"/>
          <w:sz w:val="32"/>
          <w:szCs w:val="32"/>
          <w:highlight w:val="none"/>
        </w:rPr>
      </w:pPr>
    </w:p>
    <w:p w14:paraId="4BF446A1">
      <w:pPr>
        <w:rPr>
          <w:rFonts w:ascii="宋体" w:hAnsi="宋体" w:cs="宋体"/>
          <w:color w:val="auto"/>
          <w:highlight w:val="none"/>
        </w:rPr>
      </w:pPr>
    </w:p>
    <w:p w14:paraId="7F47AFB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EF5D8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3EA9FA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8EA1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735FE2F">
      <w:pPr>
        <w:snapToGrid w:val="0"/>
        <w:jc w:val="center"/>
        <w:rPr>
          <w:rFonts w:ascii="宋体" w:hAnsi="宋体" w:cs="宋体"/>
          <w:b/>
          <w:bCs/>
          <w:color w:val="auto"/>
          <w:sz w:val="32"/>
          <w:szCs w:val="32"/>
          <w:highlight w:val="none"/>
          <w:lang w:val="zh-CN"/>
        </w:rPr>
      </w:pPr>
    </w:p>
    <w:p w14:paraId="5F7FA74E">
      <w:pPr>
        <w:snapToGrid w:val="0"/>
        <w:jc w:val="center"/>
        <w:rPr>
          <w:rFonts w:ascii="宋体" w:hAnsi="宋体" w:cs="宋体"/>
          <w:b/>
          <w:bCs/>
          <w:color w:val="auto"/>
          <w:sz w:val="32"/>
          <w:szCs w:val="32"/>
          <w:highlight w:val="none"/>
          <w:lang w:val="zh-CN"/>
        </w:rPr>
      </w:pPr>
    </w:p>
    <w:p w14:paraId="2FE9843B">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23161D91">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B0C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5164766">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6B52795">
            <w:pPr>
              <w:pStyle w:val="149"/>
              <w:adjustRightInd w:val="0"/>
              <w:spacing w:line="360" w:lineRule="auto"/>
              <w:rPr>
                <w:rFonts w:hAnsi="宋体" w:cs="宋体"/>
                <w:bCs/>
                <w:color w:val="auto"/>
                <w:sz w:val="24"/>
                <w:highlight w:val="none"/>
              </w:rPr>
            </w:pPr>
          </w:p>
        </w:tc>
      </w:tr>
    </w:tbl>
    <w:p w14:paraId="3F941E5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89D76A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0A65022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A90C656">
      <w:pPr>
        <w:jc w:val="center"/>
        <w:rPr>
          <w:rFonts w:ascii="宋体" w:hAnsi="宋体" w:cs="宋体"/>
          <w:b/>
          <w:color w:val="auto"/>
          <w:kern w:val="0"/>
          <w:sz w:val="32"/>
          <w:szCs w:val="32"/>
          <w:highlight w:val="none"/>
        </w:rPr>
      </w:pPr>
    </w:p>
    <w:p w14:paraId="43CE57D7">
      <w:pPr>
        <w:jc w:val="center"/>
        <w:rPr>
          <w:rFonts w:ascii="宋体" w:hAnsi="宋体" w:cs="宋体"/>
          <w:b/>
          <w:color w:val="auto"/>
          <w:kern w:val="0"/>
          <w:sz w:val="32"/>
          <w:szCs w:val="32"/>
          <w:highlight w:val="none"/>
        </w:rPr>
      </w:pPr>
    </w:p>
    <w:p w14:paraId="1331E9F0">
      <w:pPr>
        <w:jc w:val="center"/>
        <w:rPr>
          <w:rFonts w:ascii="宋体" w:hAnsi="宋体" w:cs="宋体"/>
          <w:b/>
          <w:color w:val="auto"/>
          <w:kern w:val="0"/>
          <w:sz w:val="32"/>
          <w:szCs w:val="32"/>
          <w:highlight w:val="none"/>
        </w:rPr>
      </w:pPr>
    </w:p>
    <w:p w14:paraId="2605F0ED">
      <w:pPr>
        <w:jc w:val="center"/>
        <w:rPr>
          <w:rFonts w:ascii="宋体" w:hAnsi="宋体" w:cs="宋体"/>
          <w:b/>
          <w:color w:val="auto"/>
          <w:kern w:val="0"/>
          <w:sz w:val="32"/>
          <w:szCs w:val="32"/>
          <w:highlight w:val="none"/>
        </w:rPr>
      </w:pPr>
    </w:p>
    <w:p w14:paraId="18E67443">
      <w:pPr>
        <w:jc w:val="center"/>
        <w:rPr>
          <w:rFonts w:ascii="宋体" w:hAnsi="宋体" w:cs="宋体"/>
          <w:b/>
          <w:color w:val="auto"/>
          <w:kern w:val="0"/>
          <w:sz w:val="32"/>
          <w:szCs w:val="32"/>
          <w:highlight w:val="none"/>
        </w:rPr>
      </w:pPr>
    </w:p>
    <w:p w14:paraId="07E380BA">
      <w:pPr>
        <w:jc w:val="center"/>
        <w:rPr>
          <w:rFonts w:ascii="宋体" w:hAnsi="宋体" w:cs="宋体"/>
          <w:b/>
          <w:color w:val="auto"/>
          <w:kern w:val="0"/>
          <w:sz w:val="32"/>
          <w:szCs w:val="32"/>
          <w:highlight w:val="none"/>
        </w:rPr>
      </w:pPr>
    </w:p>
    <w:p w14:paraId="3296DD9B">
      <w:pPr>
        <w:jc w:val="center"/>
        <w:rPr>
          <w:rFonts w:ascii="宋体" w:hAnsi="宋体" w:cs="宋体"/>
          <w:b/>
          <w:color w:val="auto"/>
          <w:kern w:val="0"/>
          <w:sz w:val="32"/>
          <w:szCs w:val="32"/>
          <w:highlight w:val="none"/>
        </w:rPr>
      </w:pPr>
    </w:p>
    <w:p w14:paraId="6F47CCC2">
      <w:pPr>
        <w:jc w:val="center"/>
        <w:rPr>
          <w:rFonts w:ascii="宋体" w:hAnsi="宋体" w:cs="宋体"/>
          <w:b/>
          <w:color w:val="auto"/>
          <w:kern w:val="0"/>
          <w:sz w:val="32"/>
          <w:szCs w:val="32"/>
          <w:highlight w:val="none"/>
        </w:rPr>
      </w:pPr>
    </w:p>
    <w:p w14:paraId="2429E771">
      <w:pPr>
        <w:jc w:val="center"/>
        <w:rPr>
          <w:rFonts w:ascii="宋体" w:hAnsi="宋体" w:cs="宋体"/>
          <w:b/>
          <w:color w:val="auto"/>
          <w:kern w:val="0"/>
          <w:sz w:val="32"/>
          <w:szCs w:val="32"/>
          <w:highlight w:val="none"/>
        </w:rPr>
      </w:pPr>
    </w:p>
    <w:p w14:paraId="3371A8DA">
      <w:pPr>
        <w:jc w:val="center"/>
        <w:rPr>
          <w:rFonts w:ascii="宋体" w:hAnsi="宋体" w:cs="宋体"/>
          <w:b/>
          <w:color w:val="auto"/>
          <w:kern w:val="0"/>
          <w:sz w:val="32"/>
          <w:szCs w:val="32"/>
          <w:highlight w:val="none"/>
        </w:rPr>
      </w:pPr>
    </w:p>
    <w:p w14:paraId="087AD1F0">
      <w:pPr>
        <w:snapToGrid w:val="0"/>
        <w:spacing w:line="360" w:lineRule="auto"/>
        <w:ind w:right="480"/>
        <w:rPr>
          <w:rFonts w:ascii="宋体" w:hAnsi="宋体" w:cs="宋体"/>
          <w:b/>
          <w:color w:val="auto"/>
          <w:kern w:val="0"/>
          <w:sz w:val="32"/>
          <w:szCs w:val="32"/>
          <w:highlight w:val="none"/>
        </w:rPr>
        <w:sectPr>
          <w:pgSz w:w="11905" w:h="16838"/>
          <w:pgMar w:top="1417" w:right="1417" w:bottom="1417" w:left="1417" w:header="850" w:footer="992" w:gutter="0"/>
          <w:cols w:space="0" w:num="1"/>
          <w:titlePg/>
          <w:rtlGutter w:val="0"/>
          <w:docGrid w:linePitch="312" w:charSpace="0"/>
        </w:sectPr>
      </w:pPr>
    </w:p>
    <w:p w14:paraId="760339E0">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510BA51D">
      <w:pPr>
        <w:widowControl/>
        <w:spacing w:line="360" w:lineRule="auto"/>
        <w:ind w:firstLine="120" w:firstLineChars="50"/>
        <w:jc w:val="left"/>
        <w:rPr>
          <w:rFonts w:ascii="宋体" w:hAnsi="宋体" w:cs="宋体"/>
          <w:color w:val="auto"/>
          <w:sz w:val="24"/>
          <w:highlight w:val="none"/>
        </w:rPr>
      </w:pPr>
      <w:bookmarkStart w:id="602"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602"/>
    <w:p w14:paraId="22592D1B">
      <w:pPr>
        <w:snapToGrid w:val="0"/>
        <w:spacing w:line="360" w:lineRule="auto"/>
        <w:rPr>
          <w:rFonts w:ascii="宋体" w:hAnsi="宋体" w:cs="宋体"/>
          <w:color w:val="auto"/>
          <w:kern w:val="0"/>
          <w:sz w:val="24"/>
          <w:highlight w:val="none"/>
        </w:rPr>
      </w:pPr>
    </w:p>
    <w:p w14:paraId="226ED00F">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34C16AC9">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002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6C30FE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116B17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AF16D1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84935A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0BF6155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E71F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91E19A">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7C5C7D6E">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3467F7F3">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1126E826">
            <w:pPr>
              <w:rPr>
                <w:rFonts w:ascii="宋体" w:hAnsi="宋体" w:cs="宋体"/>
                <w:color w:val="auto"/>
                <w:sz w:val="24"/>
                <w:highlight w:val="none"/>
              </w:rPr>
            </w:pPr>
            <w:r>
              <w:rPr>
                <w:rFonts w:hint="eastAsia" w:ascii="宋体" w:hAnsi="宋体" w:cs="宋体"/>
                <w:color w:val="auto"/>
                <w:sz w:val="24"/>
                <w:highlight w:val="none"/>
              </w:rPr>
              <w:t>见响应文件</w:t>
            </w:r>
          </w:p>
          <w:p w14:paraId="23214C2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BFA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645444">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3DC7C50F">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59F570FB">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7341E43A">
            <w:pPr>
              <w:rPr>
                <w:rFonts w:ascii="宋体" w:hAnsi="宋体" w:cs="宋体"/>
                <w:color w:val="auto"/>
                <w:sz w:val="24"/>
                <w:highlight w:val="none"/>
              </w:rPr>
            </w:pPr>
            <w:r>
              <w:rPr>
                <w:rFonts w:hint="eastAsia" w:ascii="宋体" w:hAnsi="宋体" w:cs="宋体"/>
                <w:color w:val="auto"/>
                <w:sz w:val="24"/>
                <w:highlight w:val="none"/>
              </w:rPr>
              <w:t>见响应文件</w:t>
            </w:r>
          </w:p>
          <w:p w14:paraId="657452EB">
            <w:pPr>
              <w:pStyle w:val="3"/>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0FE5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2FB3FA">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28DE0F0F">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583C562A">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0F2C96CC">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14C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5A10B2">
            <w:pPr>
              <w:jc w:val="center"/>
              <w:rPr>
                <w:rFonts w:ascii="宋体" w:hAnsi="宋体" w:cs="宋体"/>
                <w:color w:val="auto"/>
                <w:sz w:val="24"/>
                <w:highlight w:val="none"/>
              </w:rPr>
            </w:pPr>
            <w:r>
              <w:rPr>
                <w:rFonts w:hint="eastAsia" w:ascii="宋体" w:hAnsi="宋体" w:cs="宋体"/>
                <w:color w:val="auto"/>
                <w:sz w:val="24"/>
                <w:highlight w:val="none"/>
              </w:rPr>
              <w:t>4</w:t>
            </w:r>
          </w:p>
        </w:tc>
        <w:tc>
          <w:tcPr>
            <w:tcW w:w="4991" w:type="dxa"/>
          </w:tcPr>
          <w:p w14:paraId="3AA97C85">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26F5F23B">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3CE41FB1">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CE4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3B50A9">
            <w:pPr>
              <w:jc w:val="center"/>
              <w:rPr>
                <w:rFonts w:ascii="宋体" w:hAnsi="宋体" w:cs="宋体"/>
                <w:color w:val="auto"/>
                <w:sz w:val="24"/>
                <w:highlight w:val="none"/>
              </w:rPr>
            </w:pPr>
            <w:r>
              <w:rPr>
                <w:rFonts w:hint="eastAsia" w:ascii="宋体" w:hAnsi="宋体" w:cs="宋体"/>
                <w:color w:val="auto"/>
                <w:sz w:val="24"/>
                <w:highlight w:val="none"/>
              </w:rPr>
              <w:t>5</w:t>
            </w:r>
          </w:p>
        </w:tc>
        <w:tc>
          <w:tcPr>
            <w:tcW w:w="4991" w:type="dxa"/>
          </w:tcPr>
          <w:p w14:paraId="3FCDA503">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40691B80">
            <w:pPr>
              <w:rPr>
                <w:rFonts w:ascii="宋体" w:hAnsi="宋体" w:cs="宋体"/>
                <w:color w:val="auto"/>
                <w:kern w:val="0"/>
                <w:sz w:val="24"/>
                <w:highlight w:val="none"/>
              </w:rPr>
            </w:pPr>
          </w:p>
        </w:tc>
        <w:tc>
          <w:tcPr>
            <w:tcW w:w="1418" w:type="dxa"/>
            <w:vAlign w:val="center"/>
          </w:tcPr>
          <w:p w14:paraId="4AE9AF7C">
            <w:pPr>
              <w:rPr>
                <w:rFonts w:ascii="宋体" w:hAnsi="宋体" w:cs="宋体"/>
                <w:color w:val="auto"/>
                <w:sz w:val="24"/>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40F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2DA2CE">
            <w:pPr>
              <w:jc w:val="center"/>
              <w:rPr>
                <w:color w:val="auto"/>
                <w:highlight w:val="none"/>
              </w:rPr>
            </w:pPr>
            <w:r>
              <w:rPr>
                <w:rFonts w:hint="eastAsia" w:ascii="宋体" w:hAnsi="宋体" w:cs="宋体"/>
                <w:color w:val="auto"/>
                <w:kern w:val="0"/>
                <w:sz w:val="24"/>
                <w:highlight w:val="none"/>
              </w:rPr>
              <w:t>……</w:t>
            </w:r>
          </w:p>
        </w:tc>
        <w:tc>
          <w:tcPr>
            <w:tcW w:w="4991" w:type="dxa"/>
          </w:tcPr>
          <w:p w14:paraId="58C398DB">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57E17751">
            <w:pPr>
              <w:rPr>
                <w:rFonts w:ascii="宋体" w:hAnsi="宋体" w:cs="宋体"/>
                <w:color w:val="auto"/>
                <w:kern w:val="0"/>
                <w:sz w:val="24"/>
                <w:highlight w:val="none"/>
              </w:rPr>
            </w:pPr>
          </w:p>
        </w:tc>
        <w:tc>
          <w:tcPr>
            <w:tcW w:w="1418" w:type="dxa"/>
            <w:vAlign w:val="center"/>
          </w:tcPr>
          <w:p w14:paraId="4C5DE429">
            <w:pPr>
              <w:rPr>
                <w:rFonts w:ascii="宋体" w:hAnsi="宋体" w:cs="宋体"/>
                <w:color w:val="auto"/>
                <w:sz w:val="24"/>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6955F3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66631D6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2、采购文件中实质性要求必须明确响应。</w:t>
      </w:r>
    </w:p>
    <w:p w14:paraId="0D39812F">
      <w:pPr>
        <w:pStyle w:val="79"/>
        <w:rPr>
          <w:color w:val="auto"/>
          <w:highlight w:val="none"/>
        </w:rPr>
      </w:pPr>
    </w:p>
    <w:p w14:paraId="41D379D9">
      <w:pPr>
        <w:jc w:val="center"/>
        <w:rPr>
          <w:rFonts w:ascii="宋体" w:hAnsi="宋体" w:cs="宋体"/>
          <w:b/>
          <w:color w:val="auto"/>
          <w:kern w:val="0"/>
          <w:sz w:val="32"/>
          <w:szCs w:val="32"/>
          <w:highlight w:val="none"/>
        </w:rPr>
      </w:pPr>
    </w:p>
    <w:p w14:paraId="74BBF4C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791E35E">
      <w:pPr>
        <w:jc w:val="center"/>
        <w:rPr>
          <w:rFonts w:ascii="宋体" w:hAnsi="宋体" w:cs="宋体"/>
          <w:b/>
          <w:color w:val="auto"/>
          <w:kern w:val="0"/>
          <w:sz w:val="32"/>
          <w:szCs w:val="32"/>
          <w:highlight w:val="none"/>
        </w:rPr>
      </w:pPr>
    </w:p>
    <w:p w14:paraId="19BE2A98">
      <w:pPr>
        <w:jc w:val="center"/>
        <w:rPr>
          <w:rFonts w:ascii="宋体" w:hAnsi="宋体" w:cs="宋体"/>
          <w:b/>
          <w:color w:val="auto"/>
          <w:kern w:val="0"/>
          <w:sz w:val="32"/>
          <w:szCs w:val="32"/>
          <w:highlight w:val="none"/>
        </w:rPr>
      </w:pPr>
    </w:p>
    <w:p w14:paraId="4E21E16F">
      <w:pPr>
        <w:jc w:val="center"/>
        <w:rPr>
          <w:rFonts w:ascii="宋体" w:hAnsi="宋体" w:cs="宋体"/>
          <w:b/>
          <w:color w:val="auto"/>
          <w:kern w:val="0"/>
          <w:sz w:val="32"/>
          <w:szCs w:val="32"/>
          <w:highlight w:val="none"/>
        </w:rPr>
      </w:pPr>
    </w:p>
    <w:p w14:paraId="303FE7F1">
      <w:pPr>
        <w:rPr>
          <w:rFonts w:ascii="宋体" w:hAnsi="宋体" w:cs="宋体"/>
          <w:b/>
          <w:color w:val="auto"/>
          <w:kern w:val="0"/>
          <w:sz w:val="32"/>
          <w:szCs w:val="32"/>
          <w:highlight w:val="none"/>
        </w:rPr>
        <w:sectPr>
          <w:footerReference r:id="rId13" w:type="first"/>
          <w:footerReference r:id="rId12" w:type="default"/>
          <w:pgSz w:w="11905" w:h="16838"/>
          <w:pgMar w:top="1417" w:right="1417" w:bottom="1417" w:left="1417" w:header="850" w:footer="992" w:gutter="0"/>
          <w:cols w:space="0" w:num="1"/>
          <w:titlePg/>
          <w:rtlGutter w:val="0"/>
          <w:docGrid w:linePitch="312" w:charSpace="0"/>
        </w:sectPr>
      </w:pPr>
    </w:p>
    <w:p w14:paraId="6EBEBC50">
      <w:pPr>
        <w:pStyle w:val="5"/>
        <w:snapToGrid w:val="0"/>
        <w:spacing w:line="300" w:lineRule="auto"/>
        <w:jc w:val="center"/>
        <w:rPr>
          <w:rFonts w:cs="Calibri"/>
          <w:b/>
          <w:bCs/>
          <w:color w:val="auto"/>
          <w:sz w:val="32"/>
          <w:szCs w:val="32"/>
          <w:highlight w:val="none"/>
        </w:rPr>
      </w:pPr>
      <w:r>
        <w:rPr>
          <w:rFonts w:hint="eastAsia" w:cs="Calibri"/>
          <w:b/>
          <w:bCs/>
          <w:color w:val="auto"/>
          <w:sz w:val="32"/>
          <w:szCs w:val="32"/>
          <w:highlight w:val="none"/>
        </w:rPr>
        <w:t>项目经理无在建工程声明函</w:t>
      </w:r>
    </w:p>
    <w:p w14:paraId="26738F5B">
      <w:pPr>
        <w:pStyle w:val="5"/>
        <w:snapToGrid w:val="0"/>
        <w:spacing w:line="300" w:lineRule="auto"/>
        <w:jc w:val="center"/>
        <w:rPr>
          <w:rFonts w:cs="Calibri"/>
          <w:b/>
          <w:bCs/>
          <w:color w:val="auto"/>
          <w:sz w:val="32"/>
          <w:szCs w:val="32"/>
          <w:highlight w:val="none"/>
        </w:rPr>
      </w:pPr>
    </w:p>
    <w:p w14:paraId="5C67B04E">
      <w:pPr>
        <w:snapToGrid w:val="0"/>
        <w:spacing w:line="360" w:lineRule="auto"/>
        <w:ind w:firstLine="480" w:firstLineChars="200"/>
        <w:rPr>
          <w:rFonts w:ascii="宋体" w:hAnsi="宋体" w:cs="Calibri"/>
          <w:snapToGrid w:val="0"/>
          <w:color w:val="auto"/>
          <w:sz w:val="24"/>
          <w:highlight w:val="none"/>
          <w:u w:val="single"/>
        </w:rPr>
      </w:pPr>
      <w:r>
        <w:rPr>
          <w:rFonts w:hint="eastAsia" w:ascii="宋体" w:hAnsi="宋体" w:cs="Calibri"/>
          <w:snapToGrid w:val="0"/>
          <w:color w:val="auto"/>
          <w:sz w:val="24"/>
          <w:highlight w:val="none"/>
          <w:u w:val="single"/>
        </w:rPr>
        <w:t>（采购人）、（采购代理机构）：</w:t>
      </w:r>
    </w:p>
    <w:p w14:paraId="11D1B2A8">
      <w:pPr>
        <w:snapToGrid w:val="0"/>
        <w:spacing w:line="360" w:lineRule="auto"/>
        <w:ind w:firstLine="480" w:firstLineChars="200"/>
        <w:rPr>
          <w:rFonts w:ascii="宋体" w:hAnsi="宋体" w:cs="Calibri"/>
          <w:color w:val="auto"/>
          <w:sz w:val="24"/>
          <w:highlight w:val="none"/>
        </w:rPr>
      </w:pPr>
      <w:r>
        <w:rPr>
          <w:rFonts w:ascii="宋体" w:hAnsi="宋体" w:cs="Calibri"/>
          <w:color w:val="auto"/>
          <w:sz w:val="24"/>
          <w:highlight w:val="none"/>
        </w:rPr>
        <w:t>我方参加（采购人）（项目名称）（项目编号）采购活动，</w:t>
      </w:r>
      <w:r>
        <w:rPr>
          <w:rFonts w:hint="eastAsia" w:ascii="宋体" w:hAnsi="宋体" w:cs="Calibri"/>
          <w:color w:val="auto"/>
          <w:sz w:val="24"/>
          <w:highlight w:val="none"/>
          <w:lang w:val="en-US" w:eastAsia="zh-CN"/>
        </w:rPr>
        <w:t>截至该项目竞争性磋商截止日，</w:t>
      </w:r>
      <w:r>
        <w:rPr>
          <w:rFonts w:ascii="宋体" w:hAnsi="宋体" w:cs="Calibri"/>
          <w:color w:val="auto"/>
          <w:sz w:val="24"/>
          <w:highlight w:val="none"/>
        </w:rPr>
        <w:t>拟派</w:t>
      </w:r>
      <w:r>
        <w:rPr>
          <w:rFonts w:hint="eastAsia" w:ascii="宋体" w:hAnsi="宋体" w:cs="Calibri"/>
          <w:color w:val="auto"/>
          <w:sz w:val="24"/>
          <w:highlight w:val="none"/>
        </w:rPr>
        <w:t>本项目的</w:t>
      </w:r>
      <w:r>
        <w:rPr>
          <w:rFonts w:ascii="宋体" w:hAnsi="宋体" w:cs="Calibri"/>
          <w:color w:val="auto"/>
          <w:sz w:val="24"/>
          <w:highlight w:val="none"/>
        </w:rPr>
        <w:t>项目经理</w:t>
      </w:r>
      <w:r>
        <w:rPr>
          <w:rFonts w:hint="eastAsia" w:ascii="宋体" w:hAnsi="宋体" w:cs="Calibri"/>
          <w:color w:val="auto"/>
          <w:sz w:val="24"/>
          <w:highlight w:val="none"/>
        </w:rPr>
        <w:t>（</w:t>
      </w:r>
      <w:r>
        <w:rPr>
          <w:rFonts w:hint="eastAsia" w:ascii="宋体" w:hAnsi="宋体" w:cs="Calibri"/>
          <w:color w:val="auto"/>
          <w:sz w:val="24"/>
          <w:highlight w:val="none"/>
          <w:u w:val="single"/>
        </w:rPr>
        <w:t>姓名： 联系方式： ）</w:t>
      </w:r>
      <w:r>
        <w:rPr>
          <w:rFonts w:ascii="宋体" w:hAnsi="宋体" w:cs="Calibri"/>
          <w:color w:val="auto"/>
          <w:sz w:val="24"/>
          <w:highlight w:val="none"/>
        </w:rPr>
        <w:t>无在建工程。</w:t>
      </w:r>
    </w:p>
    <w:p w14:paraId="47A44B8C">
      <w:pPr>
        <w:snapToGrid w:val="0"/>
        <w:spacing w:line="360" w:lineRule="auto"/>
        <w:ind w:firstLine="480" w:firstLineChars="200"/>
        <w:rPr>
          <w:rFonts w:ascii="宋体" w:hAnsi="宋体" w:cs="Calibri"/>
          <w:color w:val="auto"/>
          <w:kern w:val="0"/>
          <w:sz w:val="24"/>
          <w:highlight w:val="none"/>
        </w:rPr>
      </w:pPr>
      <w:r>
        <w:rPr>
          <w:rFonts w:ascii="宋体" w:hAnsi="宋体" w:cs="Calibri"/>
          <w:color w:val="auto"/>
          <w:kern w:val="0"/>
          <w:sz w:val="24"/>
          <w:highlight w:val="none"/>
        </w:rPr>
        <w:t>本公司对上述声明的真实性负责。如有虚假，愿意承担相应责任，对此无任何异议。</w:t>
      </w:r>
    </w:p>
    <w:p w14:paraId="3A7C5A30">
      <w:pPr>
        <w:snapToGrid w:val="0"/>
        <w:spacing w:line="360" w:lineRule="auto"/>
        <w:ind w:firstLine="480" w:firstLineChars="200"/>
        <w:rPr>
          <w:rFonts w:ascii="宋体" w:hAnsi="宋体" w:cs="Calibri"/>
          <w:color w:val="auto"/>
          <w:sz w:val="24"/>
          <w:highlight w:val="none"/>
        </w:rPr>
      </w:pPr>
      <w:r>
        <w:rPr>
          <w:rFonts w:ascii="宋体" w:hAnsi="宋体" w:cs="Calibri"/>
          <w:color w:val="auto"/>
          <w:sz w:val="24"/>
          <w:highlight w:val="none"/>
        </w:rPr>
        <w:t>特此声明！</w:t>
      </w:r>
    </w:p>
    <w:p w14:paraId="0D7D823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1F9A04D2">
      <w:pPr>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签发日期：  年  月   日</w:t>
      </w:r>
    </w:p>
    <w:p w14:paraId="52735F41">
      <w:pPr>
        <w:rPr>
          <w:rFonts w:ascii="宋体" w:hAnsi="宋体" w:cs="宋体"/>
          <w:b/>
          <w:color w:val="auto"/>
          <w:kern w:val="0"/>
          <w:sz w:val="32"/>
          <w:szCs w:val="32"/>
          <w:highlight w:val="none"/>
        </w:rPr>
        <w:sectPr>
          <w:pgSz w:w="11905" w:h="16838"/>
          <w:pgMar w:top="1417" w:right="1417" w:bottom="1417" w:left="1417" w:header="850" w:footer="992" w:gutter="0"/>
          <w:cols w:space="0" w:num="1"/>
          <w:titlePg/>
          <w:rtlGutter w:val="0"/>
          <w:docGrid w:linePitch="312" w:charSpace="0"/>
        </w:sectPr>
      </w:pPr>
    </w:p>
    <w:p w14:paraId="28FEAF13">
      <w:pPr>
        <w:rPr>
          <w:rFonts w:ascii="宋体" w:hAnsi="宋体" w:cs="宋体"/>
          <w:b/>
          <w:color w:val="auto"/>
          <w:kern w:val="0"/>
          <w:sz w:val="32"/>
          <w:szCs w:val="32"/>
          <w:highlight w:val="none"/>
        </w:rPr>
      </w:pPr>
    </w:p>
    <w:p w14:paraId="3158FADD">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67E8068A">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3"/>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150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4" w:type="dxa"/>
            <w:vAlign w:val="center"/>
          </w:tcPr>
          <w:p w14:paraId="711A4CE7">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vAlign w:val="center"/>
          </w:tcPr>
          <w:p w14:paraId="6B6CABEB">
            <w:pPr>
              <w:snapToGrid w:val="0"/>
              <w:spacing w:line="360" w:lineRule="auto"/>
              <w:jc w:val="center"/>
              <w:rPr>
                <w:rFonts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响应文件中评标标准相应的商务技术资料目录*</w:t>
            </w:r>
          </w:p>
        </w:tc>
        <w:tc>
          <w:tcPr>
            <w:tcW w:w="3046" w:type="dxa"/>
            <w:vAlign w:val="center"/>
          </w:tcPr>
          <w:p w14:paraId="0399A307">
            <w:pPr>
              <w:snapToGrid w:val="0"/>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响应文件中的页码位置</w:t>
            </w:r>
          </w:p>
        </w:tc>
      </w:tr>
      <w:tr w14:paraId="43B3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16E60062">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5465" w:type="dxa"/>
            <w:vAlign w:val="center"/>
          </w:tcPr>
          <w:p w14:paraId="1FB12244">
            <w:pPr>
              <w:rPr>
                <w:rFonts w:ascii="宋体" w:hAnsi="宋体" w:cs="宋体"/>
                <w:bCs/>
                <w:color w:val="auto"/>
                <w:sz w:val="24"/>
                <w:highlight w:val="none"/>
              </w:rPr>
            </w:pPr>
          </w:p>
        </w:tc>
        <w:tc>
          <w:tcPr>
            <w:tcW w:w="3046" w:type="dxa"/>
            <w:vAlign w:val="center"/>
          </w:tcPr>
          <w:p w14:paraId="6B55C20B">
            <w:pPr>
              <w:jc w:val="center"/>
              <w:rPr>
                <w:rFonts w:ascii="宋体" w:hAnsi="宋体" w:cs="宋体"/>
                <w:bCs/>
                <w:color w:val="auto"/>
                <w:sz w:val="24"/>
                <w:highlight w:val="none"/>
              </w:rPr>
            </w:pPr>
            <w:r>
              <w:rPr>
                <w:rFonts w:hint="eastAsia" w:ascii="宋体" w:hAnsi="宋体" w:cs="宋体"/>
                <w:bCs/>
                <w:color w:val="auto"/>
                <w:sz w:val="24"/>
                <w:highlight w:val="none"/>
              </w:rPr>
              <w:t>见响应文件第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343E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45EAFBF4">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5465" w:type="dxa"/>
            <w:vAlign w:val="center"/>
          </w:tcPr>
          <w:p w14:paraId="3F1D0469">
            <w:pPr>
              <w:rPr>
                <w:rFonts w:ascii="宋体" w:hAnsi="宋体" w:cs="宋体"/>
                <w:bCs/>
                <w:color w:val="auto"/>
                <w:sz w:val="24"/>
                <w:highlight w:val="none"/>
              </w:rPr>
            </w:pPr>
          </w:p>
        </w:tc>
        <w:tc>
          <w:tcPr>
            <w:tcW w:w="3046" w:type="dxa"/>
            <w:vAlign w:val="center"/>
          </w:tcPr>
          <w:p w14:paraId="54D5D625">
            <w:pPr>
              <w:jc w:val="center"/>
              <w:rPr>
                <w:rFonts w:ascii="宋体" w:hAnsi="宋体" w:cs="宋体"/>
                <w:bCs/>
                <w:color w:val="auto"/>
                <w:sz w:val="24"/>
                <w:highlight w:val="none"/>
              </w:rPr>
            </w:pPr>
            <w:r>
              <w:rPr>
                <w:rFonts w:hint="eastAsia" w:ascii="宋体" w:hAnsi="宋体" w:cs="宋体"/>
                <w:bCs/>
                <w:color w:val="auto"/>
                <w:sz w:val="24"/>
                <w:highlight w:val="none"/>
              </w:rPr>
              <w:t>见响应文件第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64A5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21634876">
            <w:pPr>
              <w:snapToGrid w:val="0"/>
              <w:spacing w:line="360" w:lineRule="auto"/>
              <w:jc w:val="center"/>
              <w:rPr>
                <w:rFonts w:hint="eastAsia" w:ascii="宋体" w:hAnsi="宋体" w:eastAsia="宋体" w:cs="宋体"/>
                <w:bCs/>
                <w:color w:val="auto"/>
                <w:sz w:val="24"/>
                <w:highlight w:val="none"/>
                <w:lang w:eastAsia="zh-CN"/>
              </w:rPr>
            </w:pPr>
            <w:r>
              <w:rPr>
                <w:rFonts w:hint="eastAsia" w:ascii="宋体" w:hAnsi="宋体" w:cs="宋体"/>
                <w:color w:val="auto"/>
                <w:kern w:val="0"/>
                <w:sz w:val="24"/>
                <w:highlight w:val="none"/>
                <w:lang w:val="en-US" w:eastAsia="zh-CN"/>
              </w:rPr>
              <w:t>3</w:t>
            </w:r>
          </w:p>
        </w:tc>
        <w:tc>
          <w:tcPr>
            <w:tcW w:w="5465" w:type="dxa"/>
            <w:vAlign w:val="center"/>
          </w:tcPr>
          <w:p w14:paraId="2D34586A">
            <w:pPr>
              <w:rPr>
                <w:rFonts w:ascii="宋体" w:hAnsi="宋体" w:cs="宋体"/>
                <w:bCs/>
                <w:color w:val="auto"/>
                <w:sz w:val="24"/>
                <w:highlight w:val="none"/>
              </w:rPr>
            </w:pPr>
          </w:p>
        </w:tc>
        <w:tc>
          <w:tcPr>
            <w:tcW w:w="3046" w:type="dxa"/>
            <w:vAlign w:val="center"/>
          </w:tcPr>
          <w:p w14:paraId="2B73834A">
            <w:pPr>
              <w:jc w:val="center"/>
              <w:rPr>
                <w:rFonts w:ascii="宋体" w:hAnsi="宋体" w:cs="宋体"/>
                <w:bCs/>
                <w:color w:val="auto"/>
                <w:sz w:val="24"/>
                <w:highlight w:val="none"/>
              </w:rPr>
            </w:pPr>
            <w:r>
              <w:rPr>
                <w:rFonts w:hint="eastAsia" w:ascii="宋体" w:hAnsi="宋体" w:cs="宋体"/>
                <w:bCs/>
                <w:color w:val="auto"/>
                <w:sz w:val="24"/>
                <w:highlight w:val="none"/>
              </w:rPr>
              <w:t>见响应文件第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4C30E852">
      <w:pPr>
        <w:snapToGrid w:val="0"/>
        <w:jc w:val="center"/>
        <w:rPr>
          <w:rFonts w:hint="eastAsia" w:ascii="宋体" w:hAnsi="宋体" w:cs="宋体"/>
          <w:b/>
          <w:bCs/>
          <w:color w:val="auto"/>
          <w:sz w:val="32"/>
          <w:szCs w:val="32"/>
          <w:highlight w:val="none"/>
        </w:rPr>
      </w:pPr>
    </w:p>
    <w:p w14:paraId="64ABFF62">
      <w:pPr>
        <w:pStyle w:val="79"/>
        <w:rPr>
          <w:rFonts w:hint="eastAsia" w:ascii="宋体" w:hAnsi="宋体" w:cs="宋体"/>
          <w:b/>
          <w:bCs/>
          <w:color w:val="auto"/>
          <w:sz w:val="32"/>
          <w:szCs w:val="32"/>
          <w:highlight w:val="none"/>
        </w:rPr>
      </w:pPr>
    </w:p>
    <w:p w14:paraId="625B12B4">
      <w:pPr>
        <w:pStyle w:val="79"/>
        <w:rPr>
          <w:rFonts w:hint="eastAsia" w:ascii="宋体" w:hAnsi="宋体" w:cs="宋体"/>
          <w:b/>
          <w:bCs/>
          <w:color w:val="auto"/>
          <w:sz w:val="32"/>
          <w:szCs w:val="32"/>
          <w:highlight w:val="none"/>
        </w:rPr>
      </w:pPr>
    </w:p>
    <w:p w14:paraId="06974E7B">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01C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CD64A8">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621A7A7">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51828A54">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5C9ECDF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A5E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C7CEDD">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F36FB72">
            <w:pPr>
              <w:jc w:val="center"/>
              <w:rPr>
                <w:rFonts w:ascii="宋体" w:hAnsi="宋体" w:cs="宋体"/>
                <w:b/>
                <w:color w:val="auto"/>
                <w:kern w:val="0"/>
                <w:sz w:val="32"/>
                <w:szCs w:val="32"/>
                <w:highlight w:val="none"/>
              </w:rPr>
            </w:pPr>
          </w:p>
        </w:tc>
        <w:tc>
          <w:tcPr>
            <w:tcW w:w="3546" w:type="dxa"/>
          </w:tcPr>
          <w:p w14:paraId="3F3ACFF8">
            <w:pPr>
              <w:jc w:val="center"/>
              <w:rPr>
                <w:rFonts w:ascii="宋体" w:hAnsi="宋体" w:cs="宋体"/>
                <w:b/>
                <w:color w:val="auto"/>
                <w:kern w:val="0"/>
                <w:sz w:val="32"/>
                <w:szCs w:val="32"/>
                <w:highlight w:val="none"/>
              </w:rPr>
            </w:pPr>
          </w:p>
        </w:tc>
        <w:tc>
          <w:tcPr>
            <w:tcW w:w="1276" w:type="dxa"/>
          </w:tcPr>
          <w:p w14:paraId="70C50AC9">
            <w:pPr>
              <w:jc w:val="center"/>
              <w:rPr>
                <w:rFonts w:ascii="宋体" w:hAnsi="宋体" w:cs="宋体"/>
                <w:b/>
                <w:color w:val="auto"/>
                <w:kern w:val="0"/>
                <w:sz w:val="32"/>
                <w:szCs w:val="32"/>
                <w:highlight w:val="none"/>
              </w:rPr>
            </w:pPr>
          </w:p>
        </w:tc>
      </w:tr>
      <w:tr w14:paraId="6C46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717F7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0FD7B5D">
            <w:pPr>
              <w:jc w:val="center"/>
              <w:rPr>
                <w:rFonts w:ascii="宋体" w:hAnsi="宋体" w:cs="宋体"/>
                <w:b/>
                <w:color w:val="auto"/>
                <w:kern w:val="0"/>
                <w:sz w:val="32"/>
                <w:szCs w:val="32"/>
                <w:highlight w:val="none"/>
              </w:rPr>
            </w:pPr>
          </w:p>
        </w:tc>
        <w:tc>
          <w:tcPr>
            <w:tcW w:w="3546" w:type="dxa"/>
          </w:tcPr>
          <w:p w14:paraId="2BE05CB1">
            <w:pPr>
              <w:jc w:val="center"/>
              <w:rPr>
                <w:rFonts w:ascii="宋体" w:hAnsi="宋体" w:cs="宋体"/>
                <w:b/>
                <w:color w:val="auto"/>
                <w:kern w:val="0"/>
                <w:sz w:val="32"/>
                <w:szCs w:val="32"/>
                <w:highlight w:val="none"/>
              </w:rPr>
            </w:pPr>
          </w:p>
        </w:tc>
        <w:tc>
          <w:tcPr>
            <w:tcW w:w="1276" w:type="dxa"/>
          </w:tcPr>
          <w:p w14:paraId="158F28B8">
            <w:pPr>
              <w:jc w:val="center"/>
              <w:rPr>
                <w:rFonts w:ascii="宋体" w:hAnsi="宋体" w:cs="宋体"/>
                <w:b/>
                <w:color w:val="auto"/>
                <w:kern w:val="0"/>
                <w:sz w:val="32"/>
                <w:szCs w:val="32"/>
                <w:highlight w:val="none"/>
              </w:rPr>
            </w:pPr>
          </w:p>
        </w:tc>
      </w:tr>
      <w:tr w14:paraId="2051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F08739">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5755A14B">
            <w:pPr>
              <w:jc w:val="center"/>
              <w:rPr>
                <w:rFonts w:ascii="宋体" w:hAnsi="宋体" w:cs="宋体"/>
                <w:b/>
                <w:color w:val="auto"/>
                <w:kern w:val="0"/>
                <w:sz w:val="32"/>
                <w:szCs w:val="32"/>
                <w:highlight w:val="none"/>
              </w:rPr>
            </w:pPr>
          </w:p>
        </w:tc>
        <w:tc>
          <w:tcPr>
            <w:tcW w:w="3546" w:type="dxa"/>
          </w:tcPr>
          <w:p w14:paraId="06836C6F">
            <w:pPr>
              <w:jc w:val="center"/>
              <w:rPr>
                <w:rFonts w:ascii="宋体" w:hAnsi="宋体" w:cs="宋体"/>
                <w:b/>
                <w:color w:val="auto"/>
                <w:kern w:val="0"/>
                <w:sz w:val="32"/>
                <w:szCs w:val="32"/>
                <w:highlight w:val="none"/>
              </w:rPr>
            </w:pPr>
          </w:p>
        </w:tc>
        <w:tc>
          <w:tcPr>
            <w:tcW w:w="1276" w:type="dxa"/>
          </w:tcPr>
          <w:p w14:paraId="311090CB">
            <w:pPr>
              <w:jc w:val="center"/>
              <w:rPr>
                <w:rFonts w:ascii="宋体" w:hAnsi="宋体" w:cs="宋体"/>
                <w:b/>
                <w:color w:val="auto"/>
                <w:kern w:val="0"/>
                <w:sz w:val="32"/>
                <w:szCs w:val="32"/>
                <w:highlight w:val="none"/>
              </w:rPr>
            </w:pPr>
          </w:p>
        </w:tc>
      </w:tr>
    </w:tbl>
    <w:p w14:paraId="6C65FD49">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04BEA267">
      <w:pPr>
        <w:jc w:val="center"/>
        <w:rPr>
          <w:rFonts w:ascii="宋体" w:hAnsi="宋体" w:cs="宋体"/>
          <w:b/>
          <w:color w:val="auto"/>
          <w:kern w:val="0"/>
          <w:sz w:val="32"/>
          <w:szCs w:val="32"/>
          <w:highlight w:val="none"/>
        </w:rPr>
      </w:pPr>
    </w:p>
    <w:p w14:paraId="761532E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07F0B377">
      <w:pPr>
        <w:pStyle w:val="79"/>
        <w:ind w:firstLine="48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2.本表格所反映的偏离情况与“符合性审查资料”、“评标标准相应的商务技术资料”不一致的，以“符合性审查资料”、“评标标准相应的商务技术资料”为准。</w:t>
      </w:r>
    </w:p>
    <w:p w14:paraId="37E65F8A">
      <w:pPr>
        <w:pStyle w:val="79"/>
        <w:ind w:firstLine="48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3.投标人须保证：除商务技术偏离表列出的偏离外，投标人响应招标文件的全部非实质性要求。</w:t>
      </w:r>
    </w:p>
    <w:p w14:paraId="2B6B0FC6">
      <w:pPr>
        <w:spacing w:line="360" w:lineRule="auto"/>
        <w:ind w:right="420"/>
        <w:rPr>
          <w:rFonts w:ascii="宋体" w:hAnsi="宋体" w:cs="宋体"/>
          <w:color w:val="auto"/>
          <w:sz w:val="24"/>
          <w:highlight w:val="none"/>
        </w:rPr>
      </w:pPr>
    </w:p>
    <w:p w14:paraId="1A60222D">
      <w:pPr>
        <w:ind w:firstLine="1911" w:firstLineChars="595"/>
        <w:rPr>
          <w:rFonts w:ascii="宋体" w:hAnsi="宋体" w:cs="宋体"/>
          <w:b/>
          <w:bCs/>
          <w:color w:val="auto"/>
          <w:sz w:val="32"/>
          <w:szCs w:val="32"/>
          <w:highlight w:val="none"/>
        </w:rPr>
        <w:sectPr>
          <w:pgSz w:w="11905" w:h="16838"/>
          <w:pgMar w:top="1417" w:right="1417" w:bottom="1417" w:left="1417" w:header="850" w:footer="992" w:gutter="0"/>
          <w:cols w:space="0" w:num="1"/>
          <w:titlePg/>
          <w:rtlGutter w:val="0"/>
          <w:docGrid w:linePitch="312" w:charSpace="0"/>
        </w:sectPr>
      </w:pPr>
    </w:p>
    <w:p w14:paraId="1960892C">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7AE9D4B">
      <w:pPr>
        <w:snapToGrid w:val="0"/>
        <w:spacing w:line="360" w:lineRule="auto"/>
        <w:rPr>
          <w:rFonts w:ascii="宋体" w:hAnsi="宋体" w:cs="宋体"/>
          <w:color w:val="auto"/>
          <w:sz w:val="24"/>
          <w:highlight w:val="none"/>
        </w:rPr>
      </w:pPr>
    </w:p>
    <w:p w14:paraId="004DEEA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99E416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55F68C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25D91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BA134D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51C6FC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42BF9F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60F7869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482960C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0EB19E5">
      <w:pPr>
        <w:autoSpaceDE w:val="0"/>
        <w:autoSpaceDN w:val="0"/>
        <w:spacing w:line="360" w:lineRule="auto"/>
        <w:ind w:left="2"/>
        <w:jc w:val="left"/>
        <w:rPr>
          <w:rFonts w:ascii="宋体" w:hAnsi="宋体" w:cs="宋体"/>
          <w:color w:val="auto"/>
          <w:kern w:val="0"/>
          <w:sz w:val="24"/>
          <w:highlight w:val="none"/>
          <w:lang w:val="zh-CN"/>
        </w:rPr>
      </w:pPr>
    </w:p>
    <w:p w14:paraId="0559C7F5">
      <w:pPr>
        <w:autoSpaceDE w:val="0"/>
        <w:autoSpaceDN w:val="0"/>
        <w:spacing w:line="360" w:lineRule="auto"/>
        <w:ind w:left="2"/>
        <w:jc w:val="left"/>
        <w:rPr>
          <w:rFonts w:ascii="宋体" w:hAnsi="宋体" w:cs="宋体"/>
          <w:color w:val="auto"/>
          <w:kern w:val="0"/>
          <w:sz w:val="24"/>
          <w:highlight w:val="none"/>
          <w:lang w:val="zh-CN"/>
        </w:rPr>
      </w:pPr>
    </w:p>
    <w:p w14:paraId="6172635F">
      <w:pPr>
        <w:autoSpaceDE w:val="0"/>
        <w:autoSpaceDN w:val="0"/>
        <w:spacing w:line="360" w:lineRule="auto"/>
        <w:ind w:left="2"/>
        <w:jc w:val="left"/>
        <w:rPr>
          <w:rFonts w:ascii="宋体" w:hAnsi="宋体" w:cs="宋体"/>
          <w:color w:val="auto"/>
          <w:kern w:val="0"/>
          <w:sz w:val="24"/>
          <w:highlight w:val="none"/>
          <w:lang w:val="zh-CN"/>
        </w:rPr>
      </w:pPr>
    </w:p>
    <w:p w14:paraId="164B2747">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FE40765">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00C392B">
      <w:pPr>
        <w:spacing w:line="360" w:lineRule="auto"/>
        <w:jc w:val="center"/>
        <w:rPr>
          <w:rFonts w:ascii="宋体" w:hAnsi="宋体" w:cs="宋体"/>
          <w:b/>
          <w:bCs/>
          <w:color w:val="auto"/>
          <w:sz w:val="24"/>
          <w:highlight w:val="none"/>
        </w:rPr>
      </w:pPr>
    </w:p>
    <w:p w14:paraId="34CF75E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9FC2319">
      <w:pPr>
        <w:spacing w:line="360" w:lineRule="auto"/>
        <w:jc w:val="center"/>
        <w:rPr>
          <w:rFonts w:ascii="宋体" w:hAnsi="宋体" w:cs="宋体"/>
          <w:b/>
          <w:bCs/>
          <w:color w:val="auto"/>
          <w:sz w:val="24"/>
          <w:highlight w:val="none"/>
        </w:rPr>
        <w:sectPr>
          <w:pgSz w:w="11905" w:h="16838"/>
          <w:pgMar w:top="1417" w:right="1417" w:bottom="1417" w:left="1417" w:header="850" w:footer="992" w:gutter="0"/>
          <w:cols w:space="0" w:num="1"/>
          <w:titlePg/>
          <w:rtlGutter w:val="0"/>
          <w:docGrid w:linePitch="312" w:charSpace="0"/>
        </w:sectPr>
      </w:pPr>
    </w:p>
    <w:p w14:paraId="39E13BE4">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52F0412">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8173F7F">
      <w:pPr>
        <w:spacing w:line="360" w:lineRule="auto"/>
        <w:jc w:val="center"/>
        <w:outlineLvl w:val="9"/>
        <w:rPr>
          <w:rFonts w:ascii="宋体" w:hAnsi="宋体" w:cs="宋体"/>
          <w:b/>
          <w:color w:val="auto"/>
          <w:kern w:val="0"/>
          <w:sz w:val="36"/>
          <w:szCs w:val="36"/>
          <w:highlight w:val="none"/>
        </w:rPr>
      </w:pPr>
    </w:p>
    <w:p w14:paraId="3FABA839">
      <w:pPr>
        <w:numPr>
          <w:ilvl w:val="0"/>
          <w:numId w:val="4"/>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报价单…………………………………………………………………………（页码）</w:t>
      </w:r>
    </w:p>
    <w:p w14:paraId="11E6187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（2）已标价工程量清单……………………………………………………………（页码）</w:t>
      </w:r>
    </w:p>
    <w:p w14:paraId="74442FD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14:paraId="408A605C">
      <w:pPr>
        <w:pStyle w:val="80"/>
        <w:rPr>
          <w:color w:val="auto"/>
          <w:highlight w:val="none"/>
        </w:rPr>
      </w:pPr>
    </w:p>
    <w:p w14:paraId="66E70715">
      <w:pPr>
        <w:snapToGrid w:val="0"/>
        <w:spacing w:line="360" w:lineRule="auto"/>
        <w:ind w:right="480"/>
        <w:jc w:val="center"/>
        <w:rPr>
          <w:rFonts w:ascii="宋体" w:hAnsi="宋体" w:cs="宋体"/>
          <w:b/>
          <w:color w:val="auto"/>
          <w:kern w:val="0"/>
          <w:sz w:val="32"/>
          <w:szCs w:val="32"/>
          <w:highlight w:val="none"/>
        </w:rPr>
      </w:pPr>
    </w:p>
    <w:p w14:paraId="3E43FCBF">
      <w:pPr>
        <w:snapToGrid w:val="0"/>
        <w:spacing w:line="360" w:lineRule="auto"/>
        <w:ind w:right="480"/>
        <w:jc w:val="center"/>
        <w:rPr>
          <w:rFonts w:ascii="宋体" w:hAnsi="宋体" w:cs="宋体"/>
          <w:b/>
          <w:color w:val="auto"/>
          <w:kern w:val="0"/>
          <w:sz w:val="32"/>
          <w:szCs w:val="32"/>
          <w:highlight w:val="none"/>
        </w:rPr>
      </w:pPr>
    </w:p>
    <w:p w14:paraId="7ECC73B4">
      <w:pPr>
        <w:snapToGrid w:val="0"/>
        <w:spacing w:line="360" w:lineRule="auto"/>
        <w:ind w:right="480"/>
        <w:jc w:val="center"/>
        <w:rPr>
          <w:rFonts w:ascii="宋体" w:hAnsi="宋体" w:cs="宋体"/>
          <w:b/>
          <w:color w:val="auto"/>
          <w:kern w:val="0"/>
          <w:sz w:val="32"/>
          <w:szCs w:val="32"/>
          <w:highlight w:val="none"/>
        </w:rPr>
      </w:pPr>
    </w:p>
    <w:p w14:paraId="70EE6509">
      <w:pPr>
        <w:snapToGrid w:val="0"/>
        <w:spacing w:line="360" w:lineRule="auto"/>
        <w:ind w:right="480"/>
        <w:jc w:val="center"/>
        <w:rPr>
          <w:rFonts w:ascii="宋体" w:hAnsi="宋体" w:cs="宋体"/>
          <w:b/>
          <w:color w:val="auto"/>
          <w:kern w:val="0"/>
          <w:sz w:val="32"/>
          <w:szCs w:val="32"/>
          <w:highlight w:val="none"/>
        </w:rPr>
      </w:pPr>
    </w:p>
    <w:p w14:paraId="3942F91B">
      <w:pPr>
        <w:snapToGrid w:val="0"/>
        <w:spacing w:line="360" w:lineRule="auto"/>
        <w:ind w:right="480"/>
        <w:jc w:val="center"/>
        <w:rPr>
          <w:rFonts w:ascii="宋体" w:hAnsi="宋体" w:cs="宋体"/>
          <w:b/>
          <w:color w:val="auto"/>
          <w:kern w:val="0"/>
          <w:sz w:val="32"/>
          <w:szCs w:val="32"/>
          <w:highlight w:val="none"/>
        </w:rPr>
      </w:pPr>
    </w:p>
    <w:p w14:paraId="7FAD3E02">
      <w:pPr>
        <w:snapToGrid w:val="0"/>
        <w:spacing w:line="360" w:lineRule="auto"/>
        <w:ind w:right="480"/>
        <w:jc w:val="center"/>
        <w:rPr>
          <w:rFonts w:ascii="宋体" w:hAnsi="宋体" w:cs="宋体"/>
          <w:b/>
          <w:color w:val="auto"/>
          <w:kern w:val="0"/>
          <w:sz w:val="32"/>
          <w:szCs w:val="32"/>
          <w:highlight w:val="none"/>
        </w:rPr>
      </w:pPr>
    </w:p>
    <w:p w14:paraId="00F5D1AF">
      <w:pPr>
        <w:snapToGrid w:val="0"/>
        <w:spacing w:line="360" w:lineRule="auto"/>
        <w:ind w:right="480"/>
        <w:jc w:val="center"/>
        <w:rPr>
          <w:rFonts w:ascii="宋体" w:hAnsi="宋体" w:cs="宋体"/>
          <w:b/>
          <w:color w:val="auto"/>
          <w:kern w:val="0"/>
          <w:sz w:val="32"/>
          <w:szCs w:val="32"/>
          <w:highlight w:val="none"/>
        </w:rPr>
      </w:pPr>
    </w:p>
    <w:p w14:paraId="019515A4">
      <w:pPr>
        <w:snapToGrid w:val="0"/>
        <w:spacing w:line="360" w:lineRule="auto"/>
        <w:ind w:right="480"/>
        <w:jc w:val="center"/>
        <w:rPr>
          <w:rFonts w:ascii="宋体" w:hAnsi="宋体" w:cs="宋体"/>
          <w:b/>
          <w:color w:val="auto"/>
          <w:kern w:val="0"/>
          <w:sz w:val="32"/>
          <w:szCs w:val="32"/>
          <w:highlight w:val="none"/>
        </w:rPr>
      </w:pPr>
    </w:p>
    <w:p w14:paraId="46318FCA">
      <w:pPr>
        <w:snapToGrid w:val="0"/>
        <w:spacing w:line="360" w:lineRule="auto"/>
        <w:ind w:right="480"/>
        <w:jc w:val="center"/>
        <w:rPr>
          <w:rFonts w:ascii="宋体" w:hAnsi="宋体" w:cs="宋体"/>
          <w:b/>
          <w:color w:val="auto"/>
          <w:kern w:val="0"/>
          <w:sz w:val="32"/>
          <w:szCs w:val="32"/>
          <w:highlight w:val="none"/>
        </w:rPr>
      </w:pPr>
    </w:p>
    <w:p w14:paraId="0BA4CE0E">
      <w:pPr>
        <w:snapToGrid w:val="0"/>
        <w:spacing w:line="360" w:lineRule="auto"/>
        <w:ind w:right="480"/>
        <w:jc w:val="center"/>
        <w:rPr>
          <w:rFonts w:ascii="宋体" w:hAnsi="宋体" w:cs="宋体"/>
          <w:b/>
          <w:color w:val="auto"/>
          <w:kern w:val="0"/>
          <w:sz w:val="32"/>
          <w:szCs w:val="32"/>
          <w:highlight w:val="none"/>
        </w:rPr>
      </w:pPr>
    </w:p>
    <w:p w14:paraId="36B06666">
      <w:pPr>
        <w:snapToGrid w:val="0"/>
        <w:spacing w:line="360" w:lineRule="auto"/>
        <w:ind w:right="480"/>
        <w:jc w:val="center"/>
        <w:rPr>
          <w:rFonts w:ascii="宋体" w:hAnsi="宋体" w:cs="宋体"/>
          <w:b/>
          <w:color w:val="auto"/>
          <w:kern w:val="0"/>
          <w:sz w:val="32"/>
          <w:szCs w:val="32"/>
          <w:highlight w:val="none"/>
        </w:rPr>
      </w:pPr>
    </w:p>
    <w:p w14:paraId="738B016E">
      <w:pPr>
        <w:snapToGrid w:val="0"/>
        <w:spacing w:line="360" w:lineRule="auto"/>
        <w:ind w:right="480"/>
        <w:jc w:val="center"/>
        <w:rPr>
          <w:rFonts w:ascii="宋体" w:hAnsi="宋体" w:cs="宋体"/>
          <w:b/>
          <w:color w:val="auto"/>
          <w:kern w:val="0"/>
          <w:sz w:val="32"/>
          <w:szCs w:val="32"/>
          <w:highlight w:val="none"/>
        </w:rPr>
      </w:pPr>
    </w:p>
    <w:p w14:paraId="251C7BAE">
      <w:pPr>
        <w:snapToGrid w:val="0"/>
        <w:spacing w:line="360" w:lineRule="auto"/>
        <w:ind w:right="480"/>
        <w:jc w:val="center"/>
        <w:rPr>
          <w:rFonts w:ascii="宋体" w:hAnsi="宋体" w:cs="宋体"/>
          <w:b/>
          <w:color w:val="auto"/>
          <w:kern w:val="0"/>
          <w:sz w:val="32"/>
          <w:szCs w:val="32"/>
          <w:highlight w:val="none"/>
        </w:rPr>
      </w:pPr>
    </w:p>
    <w:p w14:paraId="5828B0E7">
      <w:pPr>
        <w:snapToGrid w:val="0"/>
        <w:spacing w:line="360" w:lineRule="auto"/>
        <w:ind w:right="480"/>
        <w:jc w:val="center"/>
        <w:rPr>
          <w:rFonts w:ascii="宋体" w:hAnsi="宋体" w:cs="宋体"/>
          <w:b/>
          <w:color w:val="auto"/>
          <w:kern w:val="0"/>
          <w:sz w:val="32"/>
          <w:szCs w:val="32"/>
          <w:highlight w:val="none"/>
        </w:rPr>
      </w:pPr>
    </w:p>
    <w:p w14:paraId="5BFEC67A">
      <w:pPr>
        <w:snapToGrid w:val="0"/>
        <w:spacing w:line="360" w:lineRule="auto"/>
        <w:ind w:right="480"/>
        <w:jc w:val="center"/>
        <w:rPr>
          <w:rFonts w:ascii="宋体" w:hAnsi="宋体" w:cs="宋体"/>
          <w:b/>
          <w:color w:val="auto"/>
          <w:kern w:val="0"/>
          <w:sz w:val="32"/>
          <w:szCs w:val="32"/>
          <w:highlight w:val="none"/>
        </w:rPr>
      </w:pPr>
    </w:p>
    <w:p w14:paraId="32CEF485">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6" w:type="first"/>
          <w:headerReference r:id="rId14" w:type="default"/>
          <w:footerReference r:id="rId15" w:type="default"/>
          <w:pgSz w:w="11905" w:h="16838"/>
          <w:pgMar w:top="1417" w:right="1417" w:bottom="1417" w:left="1417" w:header="850" w:footer="992" w:gutter="0"/>
          <w:cols w:space="0" w:num="1"/>
          <w:titlePg/>
          <w:rtlGutter w:val="0"/>
          <w:docGrid w:linePitch="312" w:charSpace="0"/>
        </w:sectPr>
      </w:pPr>
    </w:p>
    <w:p w14:paraId="7B04C422">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6F0831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F94600D">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1C2DAC9">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248E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24066B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4A73C6A4">
            <w:pPr>
              <w:spacing w:line="360" w:lineRule="auto"/>
              <w:jc w:val="center"/>
              <w:rPr>
                <w:rFonts w:ascii="宋体" w:hAnsi="宋体" w:cs="宋体"/>
                <w:b/>
                <w:color w:val="auto"/>
                <w:sz w:val="24"/>
                <w:highlight w:val="none"/>
              </w:rPr>
            </w:pPr>
          </w:p>
          <w:p w14:paraId="683EF7A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03E7E39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34A296A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218730C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0B0C10F6">
            <w:pPr>
              <w:spacing w:line="360" w:lineRule="auto"/>
              <w:jc w:val="center"/>
              <w:rPr>
                <w:rFonts w:ascii="宋体" w:hAnsi="宋体" w:cs="宋体"/>
                <w:b/>
                <w:color w:val="auto"/>
                <w:sz w:val="24"/>
                <w:highlight w:val="none"/>
              </w:rPr>
            </w:pPr>
          </w:p>
          <w:p w14:paraId="2236693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50D4132">
            <w:pPr>
              <w:spacing w:line="360" w:lineRule="auto"/>
              <w:jc w:val="center"/>
              <w:rPr>
                <w:rFonts w:ascii="宋体" w:hAnsi="宋体" w:cs="宋体"/>
                <w:b/>
                <w:color w:val="auto"/>
                <w:sz w:val="24"/>
                <w:highlight w:val="none"/>
              </w:rPr>
            </w:pPr>
          </w:p>
        </w:tc>
      </w:tr>
      <w:tr w14:paraId="36A3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6B5F3C06">
            <w:pPr>
              <w:snapToGrid w:val="0"/>
              <w:spacing w:line="360" w:lineRule="auto"/>
              <w:jc w:val="center"/>
              <w:rPr>
                <w:rFonts w:ascii="宋体" w:hAnsi="宋体" w:cs="宋体"/>
                <w:color w:val="auto"/>
                <w:sz w:val="24"/>
                <w:highlight w:val="none"/>
              </w:rPr>
            </w:pPr>
          </w:p>
        </w:tc>
        <w:tc>
          <w:tcPr>
            <w:tcW w:w="1843" w:type="dxa"/>
            <w:vAlign w:val="center"/>
          </w:tcPr>
          <w:p w14:paraId="1B4AAC49">
            <w:pPr>
              <w:snapToGrid w:val="0"/>
              <w:spacing w:line="360" w:lineRule="auto"/>
              <w:jc w:val="center"/>
              <w:rPr>
                <w:rFonts w:ascii="宋体" w:hAnsi="宋体" w:cs="宋体"/>
                <w:color w:val="auto"/>
                <w:sz w:val="24"/>
                <w:highlight w:val="none"/>
              </w:rPr>
            </w:pPr>
          </w:p>
        </w:tc>
        <w:tc>
          <w:tcPr>
            <w:tcW w:w="3118" w:type="dxa"/>
            <w:vAlign w:val="center"/>
          </w:tcPr>
          <w:p w14:paraId="143D22C0">
            <w:pPr>
              <w:snapToGrid w:val="0"/>
              <w:spacing w:line="360" w:lineRule="auto"/>
              <w:jc w:val="center"/>
              <w:rPr>
                <w:rFonts w:ascii="宋体" w:hAnsi="宋体" w:cs="宋体"/>
                <w:color w:val="auto"/>
                <w:sz w:val="24"/>
                <w:highlight w:val="none"/>
              </w:rPr>
            </w:pPr>
          </w:p>
        </w:tc>
        <w:tc>
          <w:tcPr>
            <w:tcW w:w="2552" w:type="dxa"/>
            <w:vAlign w:val="center"/>
          </w:tcPr>
          <w:p w14:paraId="1E98ED4E">
            <w:pPr>
              <w:spacing w:line="360" w:lineRule="auto"/>
              <w:jc w:val="center"/>
              <w:rPr>
                <w:rFonts w:ascii="宋体" w:hAnsi="宋体" w:cs="宋体"/>
                <w:color w:val="auto"/>
                <w:sz w:val="24"/>
                <w:highlight w:val="none"/>
              </w:rPr>
            </w:pPr>
          </w:p>
        </w:tc>
        <w:tc>
          <w:tcPr>
            <w:tcW w:w="1984" w:type="dxa"/>
            <w:vAlign w:val="center"/>
          </w:tcPr>
          <w:p w14:paraId="45CE7C28">
            <w:pPr>
              <w:spacing w:line="360" w:lineRule="auto"/>
              <w:jc w:val="center"/>
              <w:rPr>
                <w:rFonts w:ascii="宋体" w:hAnsi="宋体" w:cs="宋体"/>
                <w:color w:val="auto"/>
                <w:sz w:val="24"/>
                <w:highlight w:val="none"/>
              </w:rPr>
            </w:pPr>
          </w:p>
        </w:tc>
        <w:tc>
          <w:tcPr>
            <w:tcW w:w="3119" w:type="dxa"/>
            <w:vAlign w:val="center"/>
          </w:tcPr>
          <w:p w14:paraId="169CB810">
            <w:pPr>
              <w:spacing w:line="360" w:lineRule="auto"/>
              <w:jc w:val="center"/>
              <w:rPr>
                <w:rFonts w:ascii="宋体" w:hAnsi="宋体" w:cs="宋体"/>
                <w:color w:val="auto"/>
                <w:sz w:val="24"/>
                <w:highlight w:val="none"/>
              </w:rPr>
            </w:pPr>
          </w:p>
        </w:tc>
      </w:tr>
      <w:tr w14:paraId="6D05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684A818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3ABC28B8">
            <w:pPr>
              <w:spacing w:line="360" w:lineRule="auto"/>
              <w:jc w:val="center"/>
              <w:rPr>
                <w:rFonts w:ascii="宋体" w:hAnsi="宋体" w:cs="宋体"/>
                <w:color w:val="auto"/>
                <w:sz w:val="24"/>
                <w:highlight w:val="none"/>
              </w:rPr>
            </w:pPr>
          </w:p>
        </w:tc>
      </w:tr>
      <w:tr w14:paraId="7DAA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39A6E62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3C873F31">
            <w:pPr>
              <w:spacing w:line="360" w:lineRule="auto"/>
              <w:jc w:val="center"/>
              <w:rPr>
                <w:rFonts w:ascii="宋体" w:hAnsi="宋体" w:cs="宋体"/>
                <w:color w:val="auto"/>
                <w:sz w:val="24"/>
                <w:highlight w:val="none"/>
              </w:rPr>
            </w:pPr>
          </w:p>
        </w:tc>
      </w:tr>
    </w:tbl>
    <w:p w14:paraId="1438B29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D57B29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66BC32F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3995E044">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72732E72">
      <w:pPr>
        <w:spacing w:line="360" w:lineRule="auto"/>
        <w:ind w:firstLine="482" w:firstLineChars="200"/>
        <w:rPr>
          <w:rFonts w:ascii="宋体" w:hAnsi="宋体" w:cs="宋体"/>
          <w:b/>
          <w:color w:val="auto"/>
          <w:kern w:val="0"/>
          <w:sz w:val="24"/>
          <w:highlight w:val="none"/>
        </w:rPr>
      </w:pPr>
    </w:p>
    <w:p w14:paraId="3EAB6B2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6F0D83A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5" w:orient="landscape"/>
          <w:pgMar w:top="1417" w:right="1417" w:bottom="1417" w:left="1417" w:header="850" w:footer="992" w:gutter="0"/>
          <w:cols w:space="0" w:num="1"/>
          <w:titlePg/>
          <w:rtlGutter w:val="0"/>
          <w:docGrid w:linePitch="312" w:charSpace="0"/>
        </w:sectPr>
      </w:pPr>
    </w:p>
    <w:p w14:paraId="12313E6A">
      <w:pPr>
        <w:pStyle w:val="693"/>
        <w:keepNext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二、已标价工程量清单</w:t>
      </w:r>
    </w:p>
    <w:p w14:paraId="2940733F">
      <w:pPr>
        <w:pStyle w:val="116"/>
        <w:ind w:firstLine="730"/>
        <w:jc w:val="center"/>
        <w:rPr>
          <w:rFonts w:ascii="宋体" w:hAnsi="宋体" w:eastAsia="宋体"/>
          <w:b/>
          <w:bCs/>
          <w:color w:val="auto"/>
          <w:sz w:val="36"/>
          <w:szCs w:val="36"/>
          <w:highlight w:val="none"/>
        </w:rPr>
      </w:pPr>
      <w:r>
        <w:rPr>
          <w:rFonts w:hint="eastAsia" w:ascii="宋体" w:hAnsi="宋体" w:eastAsia="宋体"/>
          <w:b/>
          <w:bCs/>
          <w:color w:val="auto"/>
          <w:sz w:val="36"/>
          <w:szCs w:val="36"/>
          <w:highlight w:val="none"/>
        </w:rPr>
        <w:t>投标报价</w:t>
      </w:r>
    </w:p>
    <w:p w14:paraId="202D46BB">
      <w:pPr>
        <w:wordWrap w:val="0"/>
        <w:adjustRightInd/>
        <w:spacing w:line="460" w:lineRule="exact"/>
        <w:ind w:firstLine="420" w:firstLineChars="200"/>
        <w:rPr>
          <w:rFonts w:cs="仿宋"/>
          <w:color w:val="auto"/>
          <w:highlight w:val="none"/>
        </w:rPr>
      </w:pPr>
    </w:p>
    <w:p w14:paraId="044C8461">
      <w:pPr>
        <w:wordWrap w:val="0"/>
        <w:adjustRightInd/>
        <w:spacing w:line="460" w:lineRule="exact"/>
        <w:ind w:firstLine="420" w:firstLineChars="200"/>
        <w:rPr>
          <w:rFonts w:cs="仿宋"/>
          <w:color w:val="auto"/>
          <w:highlight w:val="none"/>
        </w:rPr>
      </w:pPr>
    </w:p>
    <w:p w14:paraId="3A4EDED6">
      <w:pPr>
        <w:wordWrap w:val="0"/>
        <w:adjustRightInd/>
        <w:ind w:firstLine="562" w:firstLineChars="200"/>
        <w:rPr>
          <w:rFonts w:cs="仿宋"/>
          <w:b/>
          <w:bCs/>
          <w:color w:val="auto"/>
          <w:sz w:val="28"/>
          <w:szCs w:val="28"/>
          <w:highlight w:val="none"/>
        </w:rPr>
      </w:pPr>
      <w:r>
        <w:rPr>
          <w:rFonts w:hint="eastAsia" w:ascii="宋体" w:hAnsi="宋体" w:cs="仿宋"/>
          <w:b/>
          <w:bCs/>
          <w:color w:val="auto"/>
          <w:sz w:val="28"/>
          <w:szCs w:val="28"/>
          <w:highlight w:val="none"/>
          <w:lang w:val="en-US" w:eastAsia="zh-CN"/>
        </w:rPr>
        <w:t>采</w:t>
      </w:r>
      <w:r>
        <w:rPr>
          <w:rFonts w:hint="eastAsia" w:ascii="宋体" w:hAnsi="宋体" w:cs="仿宋"/>
          <w:b/>
          <w:bCs/>
          <w:color w:val="auto"/>
          <w:sz w:val="28"/>
          <w:szCs w:val="28"/>
          <w:highlight w:val="none"/>
        </w:rPr>
        <w:t xml:space="preserve">   </w:t>
      </w:r>
      <w:r>
        <w:rPr>
          <w:rFonts w:hint="eastAsia" w:ascii="宋体" w:hAnsi="宋体" w:cs="仿宋"/>
          <w:b/>
          <w:bCs/>
          <w:color w:val="auto"/>
          <w:sz w:val="28"/>
          <w:szCs w:val="28"/>
          <w:highlight w:val="none"/>
          <w:lang w:val="en-US" w:eastAsia="zh-CN"/>
        </w:rPr>
        <w:t>购</w:t>
      </w:r>
      <w:r>
        <w:rPr>
          <w:rFonts w:hint="eastAsia" w:ascii="宋体" w:hAnsi="宋体" w:cs="仿宋"/>
          <w:b/>
          <w:bCs/>
          <w:color w:val="auto"/>
          <w:sz w:val="28"/>
          <w:szCs w:val="28"/>
          <w:highlight w:val="none"/>
        </w:rPr>
        <w:t xml:space="preserve">  人：</w:t>
      </w:r>
    </w:p>
    <w:p w14:paraId="22943D9C">
      <w:pPr>
        <w:wordWrap w:val="0"/>
        <w:adjustRightInd/>
        <w:ind w:firstLine="562" w:firstLineChars="200"/>
        <w:rPr>
          <w:rFonts w:cs="仿宋"/>
          <w:b/>
          <w:bCs/>
          <w:color w:val="auto"/>
          <w:sz w:val="28"/>
          <w:szCs w:val="28"/>
          <w:highlight w:val="none"/>
        </w:rPr>
      </w:pPr>
    </w:p>
    <w:p w14:paraId="798A3648">
      <w:pPr>
        <w:wordWrap w:val="0"/>
        <w:adjustRightInd/>
        <w:ind w:firstLine="562" w:firstLineChars="200"/>
        <w:rPr>
          <w:rFonts w:cs="仿宋"/>
          <w:b/>
          <w:bCs/>
          <w:color w:val="auto"/>
          <w:sz w:val="28"/>
          <w:szCs w:val="28"/>
          <w:highlight w:val="none"/>
        </w:rPr>
      </w:pPr>
      <w:r>
        <w:rPr>
          <w:rFonts w:hint="eastAsia" w:ascii="宋体" w:hAnsi="宋体" w:cs="仿宋"/>
          <w:b/>
          <w:bCs/>
          <w:color w:val="auto"/>
          <w:sz w:val="28"/>
          <w:szCs w:val="28"/>
          <w:highlight w:val="none"/>
        </w:rPr>
        <w:t>工 程 名 称：</w:t>
      </w:r>
    </w:p>
    <w:p w14:paraId="1F4942B7">
      <w:pPr>
        <w:wordWrap w:val="0"/>
        <w:adjustRightInd/>
        <w:ind w:firstLine="562" w:firstLineChars="200"/>
        <w:rPr>
          <w:rFonts w:cs="仿宋"/>
          <w:b/>
          <w:bCs/>
          <w:color w:val="auto"/>
          <w:sz w:val="28"/>
          <w:szCs w:val="28"/>
          <w:highlight w:val="none"/>
        </w:rPr>
      </w:pPr>
    </w:p>
    <w:p w14:paraId="31005C5F">
      <w:pPr>
        <w:wordWrap w:val="0"/>
        <w:adjustRightInd/>
        <w:ind w:firstLine="562" w:firstLineChars="200"/>
        <w:rPr>
          <w:rFonts w:cs="仿宋"/>
          <w:b/>
          <w:bCs/>
          <w:color w:val="auto"/>
          <w:sz w:val="28"/>
          <w:szCs w:val="28"/>
          <w:highlight w:val="none"/>
        </w:rPr>
      </w:pPr>
      <w:r>
        <w:rPr>
          <w:rFonts w:hint="eastAsia" w:ascii="宋体" w:hAnsi="宋体" w:cs="仿宋"/>
          <w:b/>
          <w:bCs/>
          <w:color w:val="auto"/>
          <w:sz w:val="28"/>
          <w:szCs w:val="28"/>
          <w:highlight w:val="none"/>
        </w:rPr>
        <w:t>投标总价（小写）：</w:t>
      </w:r>
    </w:p>
    <w:p w14:paraId="0FF7DAF2">
      <w:pPr>
        <w:wordWrap w:val="0"/>
        <w:adjustRightInd/>
        <w:ind w:firstLine="562" w:firstLineChars="200"/>
        <w:rPr>
          <w:rFonts w:cs="仿宋"/>
          <w:b/>
          <w:bCs/>
          <w:color w:val="auto"/>
          <w:sz w:val="28"/>
          <w:szCs w:val="28"/>
          <w:highlight w:val="none"/>
        </w:rPr>
      </w:pPr>
    </w:p>
    <w:p w14:paraId="24970FA8">
      <w:pPr>
        <w:wordWrap w:val="0"/>
        <w:adjustRightInd/>
        <w:ind w:firstLine="562" w:firstLineChars="200"/>
        <w:rPr>
          <w:rFonts w:cs="仿宋"/>
          <w:b/>
          <w:bCs/>
          <w:color w:val="auto"/>
          <w:sz w:val="28"/>
          <w:szCs w:val="28"/>
          <w:highlight w:val="none"/>
        </w:rPr>
      </w:pPr>
      <w:r>
        <w:rPr>
          <w:rFonts w:hint="eastAsia" w:ascii="宋体" w:hAnsi="宋体" w:cs="仿宋"/>
          <w:b/>
          <w:bCs/>
          <w:color w:val="auto"/>
          <w:sz w:val="28"/>
          <w:szCs w:val="28"/>
          <w:highlight w:val="none"/>
        </w:rPr>
        <w:t>（大写）：</w:t>
      </w:r>
    </w:p>
    <w:p w14:paraId="01FDA1E9">
      <w:pPr>
        <w:wordWrap w:val="0"/>
        <w:adjustRightInd/>
        <w:ind w:firstLine="562" w:firstLineChars="200"/>
        <w:rPr>
          <w:rFonts w:cs="仿宋"/>
          <w:b/>
          <w:bCs/>
          <w:color w:val="auto"/>
          <w:sz w:val="28"/>
          <w:szCs w:val="28"/>
          <w:highlight w:val="none"/>
        </w:rPr>
      </w:pPr>
    </w:p>
    <w:p w14:paraId="687D8DA6">
      <w:pPr>
        <w:wordWrap w:val="0"/>
        <w:adjustRightInd/>
        <w:ind w:firstLine="562" w:firstLineChars="200"/>
        <w:rPr>
          <w:rFonts w:cs="仿宋"/>
          <w:b/>
          <w:bCs/>
          <w:color w:val="auto"/>
          <w:sz w:val="28"/>
          <w:szCs w:val="28"/>
          <w:highlight w:val="none"/>
        </w:rPr>
      </w:pPr>
      <w:r>
        <w:rPr>
          <w:rFonts w:hint="eastAsia" w:ascii="宋体" w:hAnsi="宋体" w:cs="仿宋"/>
          <w:b/>
          <w:bCs/>
          <w:color w:val="auto"/>
          <w:sz w:val="28"/>
          <w:szCs w:val="28"/>
          <w:highlight w:val="none"/>
        </w:rPr>
        <w:t>投  标  人：（单位盖章）</w:t>
      </w:r>
    </w:p>
    <w:p w14:paraId="15ECEC5A">
      <w:pPr>
        <w:wordWrap w:val="0"/>
        <w:adjustRightInd/>
        <w:ind w:firstLine="562" w:firstLineChars="200"/>
        <w:rPr>
          <w:rFonts w:cs="仿宋"/>
          <w:b/>
          <w:bCs/>
          <w:color w:val="auto"/>
          <w:sz w:val="28"/>
          <w:szCs w:val="28"/>
          <w:highlight w:val="none"/>
        </w:rPr>
      </w:pPr>
    </w:p>
    <w:p w14:paraId="466B1FFC">
      <w:pPr>
        <w:wordWrap w:val="0"/>
        <w:adjustRightInd/>
        <w:ind w:firstLine="562" w:firstLineChars="200"/>
        <w:rPr>
          <w:rFonts w:cs="仿宋"/>
          <w:b/>
          <w:bCs/>
          <w:color w:val="auto"/>
          <w:sz w:val="28"/>
          <w:szCs w:val="28"/>
          <w:highlight w:val="none"/>
        </w:rPr>
      </w:pPr>
      <w:r>
        <w:rPr>
          <w:rFonts w:hint="eastAsia" w:ascii="宋体" w:hAnsi="宋体" w:cs="仿宋"/>
          <w:b/>
          <w:bCs/>
          <w:color w:val="auto"/>
          <w:sz w:val="28"/>
          <w:szCs w:val="28"/>
          <w:highlight w:val="none"/>
        </w:rPr>
        <w:t>法定代表人或其授权人：（签字或盖章）</w:t>
      </w:r>
    </w:p>
    <w:p w14:paraId="23DE0A8F">
      <w:pPr>
        <w:wordWrap w:val="0"/>
        <w:adjustRightInd/>
        <w:ind w:firstLine="562" w:firstLineChars="200"/>
        <w:rPr>
          <w:rFonts w:cs="仿宋"/>
          <w:b/>
          <w:bCs/>
          <w:color w:val="auto"/>
          <w:sz w:val="28"/>
          <w:szCs w:val="28"/>
          <w:highlight w:val="none"/>
        </w:rPr>
      </w:pPr>
    </w:p>
    <w:p w14:paraId="6BFF4ED4">
      <w:pPr>
        <w:wordWrap w:val="0"/>
        <w:adjustRightInd/>
        <w:ind w:firstLine="562" w:firstLineChars="200"/>
        <w:rPr>
          <w:rFonts w:cs="仿宋"/>
          <w:b/>
          <w:bCs/>
          <w:color w:val="auto"/>
          <w:sz w:val="28"/>
          <w:szCs w:val="28"/>
          <w:highlight w:val="none"/>
        </w:rPr>
      </w:pPr>
    </w:p>
    <w:p w14:paraId="21939391">
      <w:pPr>
        <w:wordWrap w:val="0"/>
        <w:adjustRightInd/>
        <w:ind w:firstLine="562" w:firstLineChars="200"/>
        <w:rPr>
          <w:rFonts w:cs="仿宋"/>
          <w:b/>
          <w:bCs/>
          <w:color w:val="auto"/>
          <w:sz w:val="28"/>
          <w:szCs w:val="28"/>
          <w:highlight w:val="none"/>
        </w:rPr>
      </w:pPr>
      <w:r>
        <w:rPr>
          <w:rFonts w:hint="eastAsia" w:ascii="宋体" w:hAnsi="宋体" w:cs="仿宋"/>
          <w:b/>
          <w:bCs/>
          <w:color w:val="auto"/>
          <w:sz w:val="28"/>
          <w:szCs w:val="28"/>
          <w:highlight w:val="none"/>
        </w:rPr>
        <w:t>日期：年</w:t>
      </w:r>
      <w:r>
        <w:rPr>
          <w:rFonts w:hint="eastAsia" w:ascii="宋体" w:hAnsi="宋体" w:cs="仿宋"/>
          <w:b/>
          <w:bCs/>
          <w:color w:val="auto"/>
          <w:sz w:val="28"/>
          <w:szCs w:val="28"/>
          <w:highlight w:val="none"/>
          <w:lang w:val="en-US" w:eastAsia="zh-CN"/>
        </w:rPr>
        <w:t xml:space="preserve">  </w:t>
      </w:r>
      <w:r>
        <w:rPr>
          <w:rFonts w:hint="eastAsia" w:ascii="宋体" w:hAnsi="宋体" w:cs="仿宋"/>
          <w:b/>
          <w:bCs/>
          <w:color w:val="auto"/>
          <w:sz w:val="28"/>
          <w:szCs w:val="28"/>
          <w:highlight w:val="none"/>
        </w:rPr>
        <w:t>月</w:t>
      </w:r>
      <w:r>
        <w:rPr>
          <w:rFonts w:hint="eastAsia" w:ascii="宋体" w:hAnsi="宋体" w:cs="仿宋"/>
          <w:b/>
          <w:bCs/>
          <w:color w:val="auto"/>
          <w:sz w:val="28"/>
          <w:szCs w:val="28"/>
          <w:highlight w:val="none"/>
          <w:lang w:val="en-US" w:eastAsia="zh-CN"/>
        </w:rPr>
        <w:t xml:space="preserve">   </w:t>
      </w:r>
      <w:r>
        <w:rPr>
          <w:rFonts w:hint="eastAsia" w:ascii="宋体" w:hAnsi="宋体" w:cs="仿宋"/>
          <w:b/>
          <w:bCs/>
          <w:color w:val="auto"/>
          <w:sz w:val="28"/>
          <w:szCs w:val="28"/>
          <w:highlight w:val="none"/>
        </w:rPr>
        <w:t>日</w:t>
      </w:r>
    </w:p>
    <w:p w14:paraId="38CFD87F">
      <w:pPr>
        <w:wordWrap w:val="0"/>
        <w:adjustRightInd/>
        <w:ind w:firstLine="562" w:firstLineChars="200"/>
        <w:rPr>
          <w:rFonts w:cs="仿宋"/>
          <w:b/>
          <w:bCs/>
          <w:color w:val="auto"/>
          <w:sz w:val="28"/>
          <w:szCs w:val="28"/>
          <w:highlight w:val="none"/>
        </w:rPr>
      </w:pPr>
    </w:p>
    <w:p w14:paraId="0D292AD0">
      <w:pPr>
        <w:wordWrap w:val="0"/>
        <w:adjustRightInd/>
        <w:spacing w:line="460" w:lineRule="exact"/>
        <w:ind w:firstLine="420" w:firstLineChars="200"/>
        <w:rPr>
          <w:rFonts w:cs="仿宋"/>
          <w:color w:val="auto"/>
          <w:highlight w:val="none"/>
        </w:rPr>
      </w:pPr>
    </w:p>
    <w:p w14:paraId="4E080234">
      <w:pPr>
        <w:keepNext w:val="0"/>
        <w:keepLines w:val="0"/>
        <w:pageBreakBefore w:val="0"/>
        <w:kinsoku/>
        <w:wordWrap w:val="0"/>
        <w:overflowPunct/>
        <w:topLinePunct w:val="0"/>
        <w:autoSpaceDE/>
        <w:autoSpaceDN/>
        <w:bidi w:val="0"/>
        <w:jc w:val="center"/>
        <w:textAlignment w:val="auto"/>
        <w:outlineLvl w:val="9"/>
        <w:rPr>
          <w:rFonts w:cs="仿宋"/>
          <w:b/>
          <w:bCs/>
          <w:color w:val="auto"/>
          <w:sz w:val="32"/>
          <w:szCs w:val="28"/>
          <w:highlight w:val="none"/>
        </w:rPr>
      </w:pPr>
      <w:r>
        <w:rPr>
          <w:rFonts w:hint="eastAsia" w:ascii="宋体" w:hAnsi="宋体" w:cs="仿宋"/>
          <w:b/>
          <w:bCs/>
          <w:color w:val="auto"/>
          <w:sz w:val="32"/>
          <w:szCs w:val="28"/>
          <w:highlight w:val="none"/>
        </w:rPr>
        <w:br w:type="page"/>
      </w:r>
      <w:r>
        <w:rPr>
          <w:rFonts w:hint="eastAsia" w:ascii="宋体" w:hAnsi="宋体" w:cs="仿宋"/>
          <w:b/>
          <w:bCs/>
          <w:color w:val="auto"/>
          <w:sz w:val="32"/>
          <w:szCs w:val="28"/>
          <w:highlight w:val="none"/>
        </w:rPr>
        <w:t>工程量清单报价说明</w:t>
      </w:r>
    </w:p>
    <w:p w14:paraId="7EF98C51">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r>
        <w:rPr>
          <w:rFonts w:hint="eastAsia" w:ascii="宋体" w:hAnsi="宋体" w:cs="仿宋"/>
          <w:color w:val="auto"/>
          <w:highlight w:val="none"/>
        </w:rPr>
        <w:t>工程名称：                                                  第  页 共  页</w:t>
      </w:r>
    </w:p>
    <w:tbl>
      <w:tblPr>
        <w:tblStyle w:val="6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65A9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0" w:hRule="atLeast"/>
          <w:jc w:val="center"/>
        </w:trPr>
        <w:tc>
          <w:tcPr>
            <w:tcW w:w="9286" w:type="dxa"/>
            <w:tcBorders>
              <w:top w:val="single" w:color="auto" w:sz="4" w:space="0"/>
              <w:left w:val="single" w:color="auto" w:sz="4" w:space="0"/>
              <w:bottom w:val="single" w:color="auto" w:sz="4" w:space="0"/>
              <w:right w:val="single" w:color="auto" w:sz="4" w:space="0"/>
            </w:tcBorders>
            <w:noWrap/>
          </w:tcPr>
          <w:p w14:paraId="706074C1">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p>
        </w:tc>
      </w:tr>
    </w:tbl>
    <w:p w14:paraId="0D84AC4E">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r>
        <w:rPr>
          <w:rFonts w:hint="eastAsia" w:ascii="宋体" w:hAnsi="宋体" w:cs="仿宋"/>
          <w:color w:val="auto"/>
          <w:highlight w:val="none"/>
        </w:rPr>
        <w:t xml:space="preserve">投标人：（ 盖章）               法定代表人或委托代理人：（盖章或签字）  </w:t>
      </w:r>
    </w:p>
    <w:p w14:paraId="4B78679B">
      <w:pPr>
        <w:keepNext w:val="0"/>
        <w:keepLines w:val="0"/>
        <w:pageBreakBefore w:val="0"/>
        <w:kinsoku/>
        <w:wordWrap w:val="0"/>
        <w:overflowPunct/>
        <w:topLinePunct w:val="0"/>
        <w:autoSpaceDE/>
        <w:autoSpaceDN/>
        <w:bidi w:val="0"/>
        <w:jc w:val="center"/>
        <w:textAlignment w:val="auto"/>
        <w:outlineLvl w:val="9"/>
        <w:rPr>
          <w:rFonts w:cs="仿宋"/>
          <w:b/>
          <w:bCs/>
          <w:color w:val="auto"/>
          <w:sz w:val="32"/>
          <w:szCs w:val="28"/>
          <w:highlight w:val="none"/>
        </w:rPr>
      </w:pPr>
      <w:r>
        <w:rPr>
          <w:rFonts w:hint="eastAsia" w:ascii="宋体" w:hAnsi="宋体" w:cs="仿宋"/>
          <w:b/>
          <w:bCs/>
          <w:color w:val="auto"/>
          <w:sz w:val="32"/>
          <w:szCs w:val="28"/>
          <w:highlight w:val="none"/>
        </w:rPr>
        <w:br w:type="page"/>
      </w:r>
      <w:r>
        <w:rPr>
          <w:rFonts w:hint="eastAsia" w:ascii="宋体" w:hAnsi="宋体" w:cs="仿宋"/>
          <w:b/>
          <w:bCs/>
          <w:color w:val="auto"/>
          <w:sz w:val="32"/>
          <w:szCs w:val="28"/>
          <w:highlight w:val="none"/>
        </w:rPr>
        <w:t>表1-1-1  工程项目报价汇总表</w:t>
      </w:r>
    </w:p>
    <w:p w14:paraId="62790033">
      <w:pPr>
        <w:keepNext w:val="0"/>
        <w:keepLines w:val="0"/>
        <w:pageBreakBefore w:val="0"/>
        <w:kinsoku/>
        <w:wordWrap w:val="0"/>
        <w:overflowPunct/>
        <w:topLinePunct w:val="0"/>
        <w:autoSpaceDE/>
        <w:autoSpaceDN/>
        <w:bidi w:val="0"/>
        <w:adjustRightInd/>
        <w:spacing w:line="360" w:lineRule="auto"/>
        <w:textAlignment w:val="auto"/>
        <w:outlineLvl w:val="9"/>
        <w:rPr>
          <w:rFonts w:cs="仿宋"/>
          <w:color w:val="auto"/>
          <w:highlight w:val="none"/>
        </w:rPr>
      </w:pPr>
      <w:r>
        <w:rPr>
          <w:rFonts w:hint="eastAsia" w:ascii="宋体" w:hAnsi="宋体" w:cs="仿宋"/>
          <w:color w:val="auto"/>
          <w:highlight w:val="none"/>
        </w:rPr>
        <w:t>工程名称：</w:t>
      </w:r>
    </w:p>
    <w:tbl>
      <w:tblPr>
        <w:tblStyle w:val="62"/>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6300"/>
        <w:gridCol w:w="1978"/>
      </w:tblGrid>
      <w:tr w14:paraId="772F1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14:paraId="472162CA">
            <w:pPr>
              <w:keepNext w:val="0"/>
              <w:keepLines w:val="0"/>
              <w:pageBreakBefore w:val="0"/>
              <w:kinsoku/>
              <w:wordWrap w:val="0"/>
              <w:overflowPunct/>
              <w:topLinePunct w:val="0"/>
              <w:autoSpaceDE/>
              <w:autoSpaceDN/>
              <w:bidi w:val="0"/>
              <w:adjustRightInd/>
              <w:spacing w:line="360" w:lineRule="auto"/>
              <w:jc w:val="center"/>
              <w:textAlignment w:val="auto"/>
              <w:outlineLvl w:val="9"/>
              <w:rPr>
                <w:rFonts w:cs="仿宋"/>
                <w:color w:val="auto"/>
                <w:highlight w:val="none"/>
              </w:rPr>
            </w:pPr>
            <w:r>
              <w:rPr>
                <w:rFonts w:hint="eastAsia" w:ascii="宋体" w:hAnsi="宋体" w:cs="仿宋"/>
                <w:color w:val="auto"/>
                <w:highlight w:val="none"/>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14:paraId="0B474CB8">
            <w:pPr>
              <w:keepNext w:val="0"/>
              <w:keepLines w:val="0"/>
              <w:pageBreakBefore w:val="0"/>
              <w:kinsoku/>
              <w:wordWrap w:val="0"/>
              <w:overflowPunct/>
              <w:topLinePunct w:val="0"/>
              <w:autoSpaceDE/>
              <w:autoSpaceDN/>
              <w:bidi w:val="0"/>
              <w:adjustRightInd/>
              <w:spacing w:line="360" w:lineRule="auto"/>
              <w:jc w:val="center"/>
              <w:textAlignment w:val="auto"/>
              <w:outlineLvl w:val="9"/>
              <w:rPr>
                <w:rFonts w:cs="仿宋"/>
                <w:color w:val="auto"/>
                <w:highlight w:val="none"/>
              </w:rPr>
            </w:pPr>
            <w:r>
              <w:rPr>
                <w:rFonts w:hint="eastAsia" w:ascii="宋体" w:hAnsi="宋体" w:cs="仿宋"/>
                <w:color w:val="auto"/>
                <w:highlight w:val="none"/>
              </w:rPr>
              <w:t>内容</w:t>
            </w:r>
          </w:p>
        </w:tc>
        <w:tc>
          <w:tcPr>
            <w:tcW w:w="1978" w:type="dxa"/>
            <w:tcBorders>
              <w:top w:val="single" w:color="auto" w:sz="4" w:space="0"/>
              <w:left w:val="single" w:color="auto" w:sz="4" w:space="0"/>
              <w:bottom w:val="single" w:color="auto" w:sz="4" w:space="0"/>
              <w:right w:val="single" w:color="auto" w:sz="4" w:space="0"/>
            </w:tcBorders>
            <w:noWrap/>
            <w:vAlign w:val="center"/>
          </w:tcPr>
          <w:p w14:paraId="3004B5B0">
            <w:pPr>
              <w:keepNext w:val="0"/>
              <w:keepLines w:val="0"/>
              <w:pageBreakBefore w:val="0"/>
              <w:kinsoku/>
              <w:wordWrap w:val="0"/>
              <w:overflowPunct/>
              <w:topLinePunct w:val="0"/>
              <w:autoSpaceDE/>
              <w:autoSpaceDN/>
              <w:bidi w:val="0"/>
              <w:adjustRightInd/>
              <w:spacing w:line="360" w:lineRule="auto"/>
              <w:jc w:val="center"/>
              <w:textAlignment w:val="auto"/>
              <w:outlineLvl w:val="9"/>
              <w:rPr>
                <w:rFonts w:cs="仿宋"/>
                <w:color w:val="auto"/>
                <w:highlight w:val="none"/>
              </w:rPr>
            </w:pPr>
            <w:r>
              <w:rPr>
                <w:rFonts w:hint="eastAsia" w:ascii="宋体" w:hAnsi="宋体" w:cs="仿宋"/>
                <w:color w:val="auto"/>
                <w:highlight w:val="none"/>
              </w:rPr>
              <w:t>报价（元）</w:t>
            </w:r>
          </w:p>
        </w:tc>
      </w:tr>
      <w:tr w14:paraId="217D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14:paraId="7577D35D">
            <w:pPr>
              <w:keepNext w:val="0"/>
              <w:keepLines w:val="0"/>
              <w:pageBreakBefore w:val="0"/>
              <w:kinsoku/>
              <w:wordWrap w:val="0"/>
              <w:overflowPunct/>
              <w:topLinePunct w:val="0"/>
              <w:autoSpaceDE/>
              <w:autoSpaceDN/>
              <w:bidi w:val="0"/>
              <w:adjustRightInd/>
              <w:spacing w:line="360" w:lineRule="auto"/>
              <w:jc w:val="center"/>
              <w:textAlignment w:val="auto"/>
              <w:outlineLvl w:val="9"/>
              <w:rPr>
                <w:rFonts w:cs="仿宋"/>
                <w:color w:val="auto"/>
                <w:highlight w:val="none"/>
              </w:rPr>
            </w:pPr>
            <w:r>
              <w:rPr>
                <w:rFonts w:hint="eastAsia" w:ascii="宋体" w:hAnsi="宋体" w:cs="仿宋"/>
                <w:color w:val="auto"/>
                <w:highlight w:val="none"/>
              </w:rPr>
              <w:t>一</w:t>
            </w:r>
          </w:p>
        </w:tc>
        <w:tc>
          <w:tcPr>
            <w:tcW w:w="6300" w:type="dxa"/>
            <w:tcBorders>
              <w:top w:val="single" w:color="auto" w:sz="4" w:space="0"/>
              <w:left w:val="single" w:color="auto" w:sz="4" w:space="0"/>
              <w:bottom w:val="single" w:color="auto" w:sz="4" w:space="0"/>
              <w:right w:val="single" w:color="auto" w:sz="4" w:space="0"/>
            </w:tcBorders>
            <w:noWrap/>
          </w:tcPr>
          <w:p w14:paraId="241B9E53">
            <w:pPr>
              <w:keepNext w:val="0"/>
              <w:keepLines w:val="0"/>
              <w:pageBreakBefore w:val="0"/>
              <w:kinsoku/>
              <w:wordWrap w:val="0"/>
              <w:overflowPunct/>
              <w:topLinePunct w:val="0"/>
              <w:autoSpaceDE/>
              <w:autoSpaceDN/>
              <w:bidi w:val="0"/>
              <w:adjustRightInd/>
              <w:spacing w:line="360" w:lineRule="auto"/>
              <w:textAlignment w:val="auto"/>
              <w:outlineLvl w:val="9"/>
              <w:rPr>
                <w:rFonts w:cs="仿宋"/>
                <w:color w:val="auto"/>
                <w:highlight w:val="none"/>
              </w:rPr>
            </w:pPr>
            <w:r>
              <w:rPr>
                <w:rFonts w:hint="eastAsia" w:ascii="宋体" w:hAnsi="宋体" w:cs="仿宋"/>
                <w:color w:val="auto"/>
                <w:highlight w:val="none"/>
              </w:rPr>
              <w:t>单位工程费合计</w:t>
            </w:r>
          </w:p>
        </w:tc>
        <w:tc>
          <w:tcPr>
            <w:tcW w:w="1978" w:type="dxa"/>
            <w:tcBorders>
              <w:top w:val="single" w:color="auto" w:sz="4" w:space="0"/>
              <w:left w:val="single" w:color="auto" w:sz="4" w:space="0"/>
              <w:bottom w:val="single" w:color="auto" w:sz="4" w:space="0"/>
              <w:right w:val="single" w:color="auto" w:sz="4" w:space="0"/>
            </w:tcBorders>
            <w:noWrap/>
          </w:tcPr>
          <w:p w14:paraId="2DFE44C7">
            <w:pPr>
              <w:keepNext w:val="0"/>
              <w:keepLines w:val="0"/>
              <w:pageBreakBefore w:val="0"/>
              <w:kinsoku/>
              <w:wordWrap w:val="0"/>
              <w:overflowPunct/>
              <w:topLinePunct w:val="0"/>
              <w:autoSpaceDE/>
              <w:autoSpaceDN/>
              <w:bidi w:val="0"/>
              <w:adjustRightInd/>
              <w:spacing w:line="360" w:lineRule="auto"/>
              <w:textAlignment w:val="auto"/>
              <w:outlineLvl w:val="9"/>
              <w:rPr>
                <w:rFonts w:cs="仿宋"/>
                <w:color w:val="auto"/>
                <w:highlight w:val="none"/>
              </w:rPr>
            </w:pPr>
          </w:p>
        </w:tc>
      </w:tr>
      <w:tr w14:paraId="7798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14:paraId="0811E73A">
            <w:pPr>
              <w:keepNext w:val="0"/>
              <w:keepLines w:val="0"/>
              <w:pageBreakBefore w:val="0"/>
              <w:kinsoku/>
              <w:wordWrap w:val="0"/>
              <w:overflowPunct/>
              <w:topLinePunct w:val="0"/>
              <w:autoSpaceDE/>
              <w:autoSpaceDN/>
              <w:bidi w:val="0"/>
              <w:adjustRightInd/>
              <w:spacing w:line="360" w:lineRule="auto"/>
              <w:jc w:val="center"/>
              <w:textAlignment w:val="auto"/>
              <w:outlineLvl w:val="9"/>
              <w:rPr>
                <w:rFonts w:cs="仿宋"/>
                <w:color w:val="auto"/>
                <w:highlight w:val="none"/>
              </w:rPr>
            </w:pPr>
            <w:r>
              <w:rPr>
                <w:rFonts w:hint="eastAsia" w:ascii="宋体" w:hAnsi="宋体" w:cs="仿宋"/>
                <w:color w:val="auto"/>
                <w:highlight w:val="none"/>
              </w:rPr>
              <w:t>1</w:t>
            </w:r>
          </w:p>
        </w:tc>
        <w:tc>
          <w:tcPr>
            <w:tcW w:w="6300" w:type="dxa"/>
            <w:tcBorders>
              <w:top w:val="single" w:color="auto" w:sz="4" w:space="0"/>
              <w:left w:val="single" w:color="auto" w:sz="4" w:space="0"/>
              <w:bottom w:val="single" w:color="auto" w:sz="4" w:space="0"/>
              <w:right w:val="single" w:color="auto" w:sz="4" w:space="0"/>
            </w:tcBorders>
            <w:noWrap/>
          </w:tcPr>
          <w:p w14:paraId="2D8C9186">
            <w:pPr>
              <w:keepNext w:val="0"/>
              <w:keepLines w:val="0"/>
              <w:pageBreakBefore w:val="0"/>
              <w:kinsoku/>
              <w:wordWrap w:val="0"/>
              <w:overflowPunct/>
              <w:topLinePunct w:val="0"/>
              <w:autoSpaceDE/>
              <w:autoSpaceDN/>
              <w:bidi w:val="0"/>
              <w:adjustRightInd/>
              <w:spacing w:line="360" w:lineRule="auto"/>
              <w:textAlignment w:val="auto"/>
              <w:outlineLvl w:val="9"/>
              <w:rPr>
                <w:rFonts w:cs="仿宋"/>
                <w:color w:val="auto"/>
                <w:highlight w:val="none"/>
              </w:rPr>
            </w:pPr>
            <w:r>
              <w:rPr>
                <w:rFonts w:hint="eastAsia" w:ascii="宋体" w:hAnsi="宋体" w:cs="仿宋"/>
                <w:color w:val="auto"/>
                <w:highlight w:val="none"/>
              </w:rPr>
              <w:t>（单位工程1，如1号楼）</w:t>
            </w:r>
          </w:p>
        </w:tc>
        <w:tc>
          <w:tcPr>
            <w:tcW w:w="1978" w:type="dxa"/>
            <w:tcBorders>
              <w:top w:val="single" w:color="auto" w:sz="4" w:space="0"/>
              <w:left w:val="single" w:color="auto" w:sz="4" w:space="0"/>
              <w:bottom w:val="single" w:color="auto" w:sz="4" w:space="0"/>
              <w:right w:val="single" w:color="auto" w:sz="4" w:space="0"/>
            </w:tcBorders>
            <w:noWrap/>
          </w:tcPr>
          <w:p w14:paraId="10740E2B">
            <w:pPr>
              <w:keepNext w:val="0"/>
              <w:keepLines w:val="0"/>
              <w:pageBreakBefore w:val="0"/>
              <w:kinsoku/>
              <w:wordWrap w:val="0"/>
              <w:overflowPunct/>
              <w:topLinePunct w:val="0"/>
              <w:autoSpaceDE/>
              <w:autoSpaceDN/>
              <w:bidi w:val="0"/>
              <w:adjustRightInd/>
              <w:spacing w:line="360" w:lineRule="auto"/>
              <w:textAlignment w:val="auto"/>
              <w:outlineLvl w:val="9"/>
              <w:rPr>
                <w:rFonts w:cs="仿宋"/>
                <w:color w:val="auto"/>
                <w:highlight w:val="none"/>
              </w:rPr>
            </w:pPr>
          </w:p>
        </w:tc>
      </w:tr>
      <w:tr w14:paraId="7342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14:paraId="5A62FE75">
            <w:pPr>
              <w:keepNext w:val="0"/>
              <w:keepLines w:val="0"/>
              <w:pageBreakBefore w:val="0"/>
              <w:kinsoku/>
              <w:wordWrap w:val="0"/>
              <w:overflowPunct/>
              <w:topLinePunct w:val="0"/>
              <w:autoSpaceDE/>
              <w:autoSpaceDN/>
              <w:bidi w:val="0"/>
              <w:adjustRightInd/>
              <w:spacing w:line="360" w:lineRule="auto"/>
              <w:jc w:val="center"/>
              <w:textAlignment w:val="auto"/>
              <w:outlineLvl w:val="9"/>
              <w:rPr>
                <w:rFonts w:cs="仿宋"/>
                <w:color w:val="auto"/>
                <w:highlight w:val="none"/>
              </w:rPr>
            </w:pPr>
            <w:r>
              <w:rPr>
                <w:rFonts w:hint="eastAsia" w:ascii="宋体" w:hAnsi="宋体" w:cs="仿宋"/>
                <w:color w:val="auto"/>
                <w:highlight w:val="none"/>
              </w:rPr>
              <w:t>2</w:t>
            </w:r>
          </w:p>
        </w:tc>
        <w:tc>
          <w:tcPr>
            <w:tcW w:w="6300" w:type="dxa"/>
            <w:tcBorders>
              <w:top w:val="single" w:color="auto" w:sz="4" w:space="0"/>
              <w:left w:val="single" w:color="auto" w:sz="4" w:space="0"/>
              <w:bottom w:val="single" w:color="auto" w:sz="4" w:space="0"/>
              <w:right w:val="single" w:color="auto" w:sz="4" w:space="0"/>
            </w:tcBorders>
            <w:noWrap/>
          </w:tcPr>
          <w:p w14:paraId="5FBC2D9E">
            <w:pPr>
              <w:keepNext w:val="0"/>
              <w:keepLines w:val="0"/>
              <w:pageBreakBefore w:val="0"/>
              <w:kinsoku/>
              <w:wordWrap w:val="0"/>
              <w:overflowPunct/>
              <w:topLinePunct w:val="0"/>
              <w:autoSpaceDE/>
              <w:autoSpaceDN/>
              <w:bidi w:val="0"/>
              <w:adjustRightInd/>
              <w:spacing w:line="360" w:lineRule="auto"/>
              <w:textAlignment w:val="auto"/>
              <w:outlineLvl w:val="9"/>
              <w:rPr>
                <w:rFonts w:cs="仿宋"/>
                <w:color w:val="auto"/>
                <w:highlight w:val="none"/>
              </w:rPr>
            </w:pPr>
            <w:r>
              <w:rPr>
                <w:rFonts w:hint="eastAsia" w:ascii="宋体" w:hAnsi="宋体" w:cs="仿宋"/>
                <w:color w:val="auto"/>
                <w:highlight w:val="none"/>
              </w:rPr>
              <w:t>（单位工程2）</w:t>
            </w:r>
          </w:p>
        </w:tc>
        <w:tc>
          <w:tcPr>
            <w:tcW w:w="1978" w:type="dxa"/>
            <w:tcBorders>
              <w:top w:val="single" w:color="auto" w:sz="4" w:space="0"/>
              <w:left w:val="single" w:color="auto" w:sz="4" w:space="0"/>
              <w:bottom w:val="single" w:color="auto" w:sz="4" w:space="0"/>
              <w:right w:val="single" w:color="auto" w:sz="4" w:space="0"/>
            </w:tcBorders>
            <w:noWrap/>
          </w:tcPr>
          <w:p w14:paraId="2472FC5E">
            <w:pPr>
              <w:keepNext w:val="0"/>
              <w:keepLines w:val="0"/>
              <w:pageBreakBefore w:val="0"/>
              <w:kinsoku/>
              <w:wordWrap w:val="0"/>
              <w:overflowPunct/>
              <w:topLinePunct w:val="0"/>
              <w:autoSpaceDE/>
              <w:autoSpaceDN/>
              <w:bidi w:val="0"/>
              <w:adjustRightInd/>
              <w:spacing w:line="360" w:lineRule="auto"/>
              <w:textAlignment w:val="auto"/>
              <w:outlineLvl w:val="9"/>
              <w:rPr>
                <w:rFonts w:cs="仿宋"/>
                <w:color w:val="auto"/>
                <w:highlight w:val="none"/>
              </w:rPr>
            </w:pPr>
          </w:p>
        </w:tc>
      </w:tr>
      <w:tr w14:paraId="4F88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14:paraId="1BBDFC33">
            <w:pPr>
              <w:keepNext w:val="0"/>
              <w:keepLines w:val="0"/>
              <w:pageBreakBefore w:val="0"/>
              <w:kinsoku/>
              <w:wordWrap w:val="0"/>
              <w:overflowPunct/>
              <w:topLinePunct w:val="0"/>
              <w:autoSpaceDE/>
              <w:autoSpaceDN/>
              <w:bidi w:val="0"/>
              <w:adjustRightInd/>
              <w:spacing w:line="360" w:lineRule="auto"/>
              <w:jc w:val="center"/>
              <w:textAlignment w:val="auto"/>
              <w:outlineLvl w:val="9"/>
              <w:rPr>
                <w:rFonts w:cs="仿宋"/>
                <w:color w:val="auto"/>
                <w:highlight w:val="none"/>
              </w:rPr>
            </w:pPr>
          </w:p>
        </w:tc>
        <w:tc>
          <w:tcPr>
            <w:tcW w:w="6300" w:type="dxa"/>
            <w:tcBorders>
              <w:top w:val="single" w:color="auto" w:sz="4" w:space="0"/>
              <w:left w:val="single" w:color="auto" w:sz="4" w:space="0"/>
              <w:bottom w:val="single" w:color="auto" w:sz="4" w:space="0"/>
              <w:right w:val="single" w:color="auto" w:sz="4" w:space="0"/>
            </w:tcBorders>
            <w:noWrap/>
          </w:tcPr>
          <w:p w14:paraId="2D3C595E">
            <w:pPr>
              <w:keepNext w:val="0"/>
              <w:keepLines w:val="0"/>
              <w:pageBreakBefore w:val="0"/>
              <w:kinsoku/>
              <w:wordWrap w:val="0"/>
              <w:overflowPunct/>
              <w:topLinePunct w:val="0"/>
              <w:autoSpaceDE/>
              <w:autoSpaceDN/>
              <w:bidi w:val="0"/>
              <w:adjustRightInd/>
              <w:spacing w:line="360" w:lineRule="auto"/>
              <w:textAlignment w:val="auto"/>
              <w:outlineLvl w:val="9"/>
              <w:rPr>
                <w:rFonts w:cs="仿宋"/>
                <w:color w:val="auto"/>
                <w:highlight w:val="none"/>
              </w:rPr>
            </w:pPr>
          </w:p>
        </w:tc>
        <w:tc>
          <w:tcPr>
            <w:tcW w:w="1978" w:type="dxa"/>
            <w:tcBorders>
              <w:top w:val="single" w:color="auto" w:sz="4" w:space="0"/>
              <w:left w:val="single" w:color="auto" w:sz="4" w:space="0"/>
              <w:bottom w:val="single" w:color="auto" w:sz="4" w:space="0"/>
              <w:right w:val="single" w:color="auto" w:sz="4" w:space="0"/>
            </w:tcBorders>
            <w:noWrap/>
          </w:tcPr>
          <w:p w14:paraId="6A5054CE">
            <w:pPr>
              <w:keepNext w:val="0"/>
              <w:keepLines w:val="0"/>
              <w:pageBreakBefore w:val="0"/>
              <w:kinsoku/>
              <w:wordWrap w:val="0"/>
              <w:overflowPunct/>
              <w:topLinePunct w:val="0"/>
              <w:autoSpaceDE/>
              <w:autoSpaceDN/>
              <w:bidi w:val="0"/>
              <w:adjustRightInd/>
              <w:spacing w:line="360" w:lineRule="auto"/>
              <w:textAlignment w:val="auto"/>
              <w:outlineLvl w:val="9"/>
              <w:rPr>
                <w:rFonts w:cs="仿宋"/>
                <w:color w:val="auto"/>
                <w:highlight w:val="none"/>
              </w:rPr>
            </w:pPr>
          </w:p>
        </w:tc>
      </w:tr>
      <w:tr w14:paraId="0A43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14:paraId="2833F772">
            <w:pPr>
              <w:keepNext w:val="0"/>
              <w:keepLines w:val="0"/>
              <w:pageBreakBefore w:val="0"/>
              <w:kinsoku/>
              <w:wordWrap w:val="0"/>
              <w:overflowPunct/>
              <w:topLinePunct w:val="0"/>
              <w:autoSpaceDE/>
              <w:autoSpaceDN/>
              <w:bidi w:val="0"/>
              <w:adjustRightInd/>
              <w:spacing w:line="360" w:lineRule="auto"/>
              <w:jc w:val="center"/>
              <w:textAlignment w:val="auto"/>
              <w:outlineLvl w:val="9"/>
              <w:rPr>
                <w:rFonts w:cs="仿宋"/>
                <w:color w:val="auto"/>
                <w:highlight w:val="none"/>
              </w:rPr>
            </w:pPr>
          </w:p>
        </w:tc>
        <w:tc>
          <w:tcPr>
            <w:tcW w:w="6300" w:type="dxa"/>
            <w:tcBorders>
              <w:top w:val="single" w:color="auto" w:sz="4" w:space="0"/>
              <w:left w:val="single" w:color="auto" w:sz="4" w:space="0"/>
              <w:bottom w:val="single" w:color="auto" w:sz="4" w:space="0"/>
              <w:right w:val="single" w:color="auto" w:sz="4" w:space="0"/>
            </w:tcBorders>
            <w:noWrap/>
          </w:tcPr>
          <w:p w14:paraId="6F223C40">
            <w:pPr>
              <w:keepNext w:val="0"/>
              <w:keepLines w:val="0"/>
              <w:pageBreakBefore w:val="0"/>
              <w:kinsoku/>
              <w:wordWrap w:val="0"/>
              <w:overflowPunct/>
              <w:topLinePunct w:val="0"/>
              <w:autoSpaceDE/>
              <w:autoSpaceDN/>
              <w:bidi w:val="0"/>
              <w:adjustRightInd/>
              <w:spacing w:line="360" w:lineRule="auto"/>
              <w:textAlignment w:val="auto"/>
              <w:outlineLvl w:val="9"/>
              <w:rPr>
                <w:rFonts w:cs="仿宋"/>
                <w:color w:val="auto"/>
                <w:highlight w:val="none"/>
              </w:rPr>
            </w:pPr>
          </w:p>
        </w:tc>
        <w:tc>
          <w:tcPr>
            <w:tcW w:w="1978" w:type="dxa"/>
            <w:tcBorders>
              <w:top w:val="single" w:color="auto" w:sz="4" w:space="0"/>
              <w:left w:val="single" w:color="auto" w:sz="4" w:space="0"/>
              <w:bottom w:val="single" w:color="auto" w:sz="4" w:space="0"/>
              <w:right w:val="single" w:color="auto" w:sz="4" w:space="0"/>
            </w:tcBorders>
            <w:noWrap/>
          </w:tcPr>
          <w:p w14:paraId="318E5EAF">
            <w:pPr>
              <w:keepNext w:val="0"/>
              <w:keepLines w:val="0"/>
              <w:pageBreakBefore w:val="0"/>
              <w:kinsoku/>
              <w:wordWrap w:val="0"/>
              <w:overflowPunct/>
              <w:topLinePunct w:val="0"/>
              <w:autoSpaceDE/>
              <w:autoSpaceDN/>
              <w:bidi w:val="0"/>
              <w:adjustRightInd/>
              <w:spacing w:line="360" w:lineRule="auto"/>
              <w:textAlignment w:val="auto"/>
              <w:outlineLvl w:val="9"/>
              <w:rPr>
                <w:rFonts w:cs="仿宋"/>
                <w:color w:val="auto"/>
                <w:highlight w:val="none"/>
              </w:rPr>
            </w:pPr>
          </w:p>
        </w:tc>
      </w:tr>
      <w:tr w14:paraId="4AB9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14:paraId="77A6133C">
            <w:pPr>
              <w:keepNext w:val="0"/>
              <w:keepLines w:val="0"/>
              <w:pageBreakBefore w:val="0"/>
              <w:kinsoku/>
              <w:wordWrap w:val="0"/>
              <w:overflowPunct/>
              <w:topLinePunct w:val="0"/>
              <w:autoSpaceDE/>
              <w:autoSpaceDN/>
              <w:bidi w:val="0"/>
              <w:adjustRightInd/>
              <w:spacing w:line="360" w:lineRule="auto"/>
              <w:jc w:val="center"/>
              <w:textAlignment w:val="auto"/>
              <w:outlineLvl w:val="9"/>
              <w:rPr>
                <w:rFonts w:cs="仿宋"/>
                <w:color w:val="auto"/>
                <w:highlight w:val="none"/>
              </w:rPr>
            </w:pPr>
            <w:r>
              <w:rPr>
                <w:rFonts w:hint="eastAsia" w:ascii="宋体" w:hAnsi="宋体" w:cs="仿宋"/>
                <w:color w:val="auto"/>
                <w:highlight w:val="none"/>
              </w:rPr>
              <w:t>二</w:t>
            </w:r>
          </w:p>
        </w:tc>
        <w:tc>
          <w:tcPr>
            <w:tcW w:w="6300" w:type="dxa"/>
            <w:tcBorders>
              <w:top w:val="single" w:color="auto" w:sz="4" w:space="0"/>
              <w:left w:val="single" w:color="auto" w:sz="4" w:space="0"/>
              <w:bottom w:val="single" w:color="auto" w:sz="4" w:space="0"/>
              <w:right w:val="single" w:color="auto" w:sz="4" w:space="0"/>
            </w:tcBorders>
            <w:noWrap/>
          </w:tcPr>
          <w:p w14:paraId="3306105C">
            <w:pPr>
              <w:keepNext w:val="0"/>
              <w:keepLines w:val="0"/>
              <w:pageBreakBefore w:val="0"/>
              <w:kinsoku/>
              <w:wordWrap w:val="0"/>
              <w:overflowPunct/>
              <w:topLinePunct w:val="0"/>
              <w:autoSpaceDE/>
              <w:autoSpaceDN/>
              <w:bidi w:val="0"/>
              <w:adjustRightInd/>
              <w:spacing w:line="360" w:lineRule="auto"/>
              <w:textAlignment w:val="auto"/>
              <w:outlineLvl w:val="9"/>
              <w:rPr>
                <w:rFonts w:cs="仿宋"/>
                <w:color w:val="auto"/>
                <w:highlight w:val="none"/>
              </w:rPr>
            </w:pPr>
            <w:r>
              <w:rPr>
                <w:rFonts w:hint="eastAsia" w:ascii="宋体" w:hAnsi="宋体" w:cs="仿宋"/>
                <w:color w:val="auto"/>
                <w:highlight w:val="none"/>
              </w:rPr>
              <w:t>未纳入单位工程费的其他费用[（一）+（二）+（三）+（四）]</w:t>
            </w:r>
          </w:p>
        </w:tc>
        <w:tc>
          <w:tcPr>
            <w:tcW w:w="1978" w:type="dxa"/>
            <w:tcBorders>
              <w:top w:val="single" w:color="auto" w:sz="4" w:space="0"/>
              <w:left w:val="single" w:color="auto" w:sz="4" w:space="0"/>
              <w:bottom w:val="single" w:color="auto" w:sz="4" w:space="0"/>
              <w:right w:val="single" w:color="auto" w:sz="4" w:space="0"/>
            </w:tcBorders>
            <w:noWrap/>
          </w:tcPr>
          <w:p w14:paraId="7F5B55FF">
            <w:pPr>
              <w:keepNext w:val="0"/>
              <w:keepLines w:val="0"/>
              <w:pageBreakBefore w:val="0"/>
              <w:kinsoku/>
              <w:wordWrap w:val="0"/>
              <w:overflowPunct/>
              <w:topLinePunct w:val="0"/>
              <w:autoSpaceDE/>
              <w:autoSpaceDN/>
              <w:bidi w:val="0"/>
              <w:adjustRightInd/>
              <w:spacing w:line="360" w:lineRule="auto"/>
              <w:textAlignment w:val="auto"/>
              <w:outlineLvl w:val="9"/>
              <w:rPr>
                <w:rFonts w:cs="仿宋"/>
                <w:color w:val="auto"/>
                <w:highlight w:val="none"/>
              </w:rPr>
            </w:pPr>
          </w:p>
        </w:tc>
      </w:tr>
      <w:tr w14:paraId="79FF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14:paraId="149F0390">
            <w:pPr>
              <w:keepNext w:val="0"/>
              <w:keepLines w:val="0"/>
              <w:pageBreakBefore w:val="0"/>
              <w:kinsoku/>
              <w:wordWrap w:val="0"/>
              <w:overflowPunct/>
              <w:topLinePunct w:val="0"/>
              <w:autoSpaceDE/>
              <w:autoSpaceDN/>
              <w:bidi w:val="0"/>
              <w:adjustRightInd/>
              <w:spacing w:line="360" w:lineRule="auto"/>
              <w:jc w:val="center"/>
              <w:textAlignment w:val="auto"/>
              <w:outlineLvl w:val="9"/>
              <w:rPr>
                <w:rFonts w:cs="仿宋"/>
                <w:color w:val="auto"/>
                <w:highlight w:val="none"/>
              </w:rPr>
            </w:pPr>
            <w:r>
              <w:rPr>
                <w:rFonts w:hint="eastAsia" w:ascii="宋体" w:hAnsi="宋体" w:cs="仿宋"/>
                <w:color w:val="auto"/>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74466CAC">
            <w:pPr>
              <w:keepNext w:val="0"/>
              <w:keepLines w:val="0"/>
              <w:pageBreakBefore w:val="0"/>
              <w:kinsoku/>
              <w:wordWrap w:val="0"/>
              <w:overflowPunct/>
              <w:topLinePunct w:val="0"/>
              <w:autoSpaceDE/>
              <w:autoSpaceDN/>
              <w:bidi w:val="0"/>
              <w:adjustRightInd/>
              <w:spacing w:line="360" w:lineRule="auto"/>
              <w:textAlignment w:val="auto"/>
              <w:outlineLvl w:val="9"/>
              <w:rPr>
                <w:rFonts w:cs="仿宋"/>
                <w:color w:val="auto"/>
                <w:highlight w:val="none"/>
              </w:rPr>
            </w:pPr>
            <w:r>
              <w:rPr>
                <w:rFonts w:hint="eastAsia" w:ascii="宋体" w:hAnsi="宋体" w:cs="仿宋"/>
                <w:color w:val="auto"/>
                <w:highlight w:val="none"/>
              </w:rPr>
              <w:t>整体措施项目清单（1+2）</w:t>
            </w:r>
          </w:p>
        </w:tc>
        <w:tc>
          <w:tcPr>
            <w:tcW w:w="1978" w:type="dxa"/>
            <w:tcBorders>
              <w:top w:val="single" w:color="auto" w:sz="4" w:space="0"/>
              <w:left w:val="single" w:color="auto" w:sz="4" w:space="0"/>
              <w:bottom w:val="single" w:color="auto" w:sz="4" w:space="0"/>
              <w:right w:val="single" w:color="auto" w:sz="4" w:space="0"/>
            </w:tcBorders>
            <w:noWrap/>
          </w:tcPr>
          <w:p w14:paraId="2D175900">
            <w:pPr>
              <w:keepNext w:val="0"/>
              <w:keepLines w:val="0"/>
              <w:pageBreakBefore w:val="0"/>
              <w:kinsoku/>
              <w:wordWrap w:val="0"/>
              <w:overflowPunct/>
              <w:topLinePunct w:val="0"/>
              <w:autoSpaceDE/>
              <w:autoSpaceDN/>
              <w:bidi w:val="0"/>
              <w:adjustRightInd/>
              <w:spacing w:line="360" w:lineRule="auto"/>
              <w:textAlignment w:val="auto"/>
              <w:outlineLvl w:val="9"/>
              <w:rPr>
                <w:rFonts w:cs="仿宋"/>
                <w:color w:val="auto"/>
                <w:highlight w:val="none"/>
              </w:rPr>
            </w:pPr>
          </w:p>
        </w:tc>
      </w:tr>
      <w:tr w14:paraId="356F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14:paraId="5BE8839C">
            <w:pPr>
              <w:keepNext w:val="0"/>
              <w:keepLines w:val="0"/>
              <w:pageBreakBefore w:val="0"/>
              <w:kinsoku/>
              <w:wordWrap w:val="0"/>
              <w:overflowPunct/>
              <w:topLinePunct w:val="0"/>
              <w:autoSpaceDE/>
              <w:autoSpaceDN/>
              <w:bidi w:val="0"/>
              <w:adjustRightInd/>
              <w:spacing w:line="360" w:lineRule="auto"/>
              <w:jc w:val="center"/>
              <w:textAlignment w:val="auto"/>
              <w:outlineLvl w:val="9"/>
              <w:rPr>
                <w:rFonts w:cs="仿宋"/>
                <w:color w:val="auto"/>
                <w:highlight w:val="none"/>
              </w:rPr>
            </w:pPr>
            <w:r>
              <w:rPr>
                <w:rFonts w:hint="eastAsia" w:ascii="宋体" w:hAnsi="宋体" w:cs="仿宋"/>
                <w:color w:val="auto"/>
                <w:highlight w:val="none"/>
              </w:rPr>
              <w:t>1</w:t>
            </w:r>
          </w:p>
        </w:tc>
        <w:tc>
          <w:tcPr>
            <w:tcW w:w="6300" w:type="dxa"/>
            <w:tcBorders>
              <w:top w:val="single" w:color="auto" w:sz="4" w:space="0"/>
              <w:left w:val="single" w:color="auto" w:sz="4" w:space="0"/>
              <w:bottom w:val="single" w:color="auto" w:sz="4" w:space="0"/>
              <w:right w:val="single" w:color="auto" w:sz="4" w:space="0"/>
            </w:tcBorders>
            <w:noWrap/>
          </w:tcPr>
          <w:p w14:paraId="677F2817">
            <w:pPr>
              <w:keepNext w:val="0"/>
              <w:keepLines w:val="0"/>
              <w:pageBreakBefore w:val="0"/>
              <w:kinsoku/>
              <w:wordWrap w:val="0"/>
              <w:overflowPunct/>
              <w:topLinePunct w:val="0"/>
              <w:autoSpaceDE/>
              <w:autoSpaceDN/>
              <w:bidi w:val="0"/>
              <w:adjustRightInd/>
              <w:spacing w:line="360" w:lineRule="auto"/>
              <w:textAlignment w:val="auto"/>
              <w:outlineLvl w:val="9"/>
              <w:rPr>
                <w:rFonts w:cs="仿宋"/>
                <w:color w:val="auto"/>
                <w:highlight w:val="none"/>
              </w:rPr>
            </w:pPr>
            <w:r>
              <w:rPr>
                <w:rFonts w:hint="eastAsia" w:ascii="宋体" w:hAnsi="宋体" w:cs="仿宋"/>
                <w:color w:val="auto"/>
                <w:highlight w:val="none"/>
              </w:rPr>
              <w:t>组织措施项目清单</w:t>
            </w:r>
          </w:p>
        </w:tc>
        <w:tc>
          <w:tcPr>
            <w:tcW w:w="1978" w:type="dxa"/>
            <w:tcBorders>
              <w:top w:val="single" w:color="auto" w:sz="4" w:space="0"/>
              <w:left w:val="single" w:color="auto" w:sz="4" w:space="0"/>
              <w:bottom w:val="single" w:color="auto" w:sz="4" w:space="0"/>
              <w:right w:val="single" w:color="auto" w:sz="4" w:space="0"/>
            </w:tcBorders>
            <w:noWrap/>
          </w:tcPr>
          <w:p w14:paraId="551E877A">
            <w:pPr>
              <w:keepNext w:val="0"/>
              <w:keepLines w:val="0"/>
              <w:pageBreakBefore w:val="0"/>
              <w:kinsoku/>
              <w:wordWrap w:val="0"/>
              <w:overflowPunct/>
              <w:topLinePunct w:val="0"/>
              <w:autoSpaceDE/>
              <w:autoSpaceDN/>
              <w:bidi w:val="0"/>
              <w:adjustRightInd/>
              <w:spacing w:line="360" w:lineRule="auto"/>
              <w:textAlignment w:val="auto"/>
              <w:outlineLvl w:val="9"/>
              <w:rPr>
                <w:rFonts w:cs="仿宋"/>
                <w:color w:val="auto"/>
                <w:highlight w:val="none"/>
              </w:rPr>
            </w:pPr>
          </w:p>
        </w:tc>
      </w:tr>
      <w:tr w14:paraId="6E702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14:paraId="75F07018">
            <w:pPr>
              <w:keepNext w:val="0"/>
              <w:keepLines w:val="0"/>
              <w:pageBreakBefore w:val="0"/>
              <w:kinsoku/>
              <w:wordWrap w:val="0"/>
              <w:overflowPunct/>
              <w:topLinePunct w:val="0"/>
              <w:autoSpaceDE/>
              <w:autoSpaceDN/>
              <w:bidi w:val="0"/>
              <w:adjustRightInd/>
              <w:spacing w:line="360" w:lineRule="auto"/>
              <w:jc w:val="center"/>
              <w:textAlignment w:val="auto"/>
              <w:outlineLvl w:val="9"/>
              <w:rPr>
                <w:rFonts w:cs="仿宋"/>
                <w:color w:val="auto"/>
                <w:highlight w:val="none"/>
              </w:rPr>
            </w:pPr>
            <w:r>
              <w:rPr>
                <w:rFonts w:hint="eastAsia" w:ascii="宋体" w:hAnsi="宋体" w:cs="仿宋"/>
                <w:color w:val="auto"/>
                <w:highlight w:val="none"/>
              </w:rPr>
              <w:t>2</w:t>
            </w:r>
          </w:p>
        </w:tc>
        <w:tc>
          <w:tcPr>
            <w:tcW w:w="6300" w:type="dxa"/>
            <w:tcBorders>
              <w:top w:val="single" w:color="auto" w:sz="4" w:space="0"/>
              <w:left w:val="single" w:color="auto" w:sz="4" w:space="0"/>
              <w:bottom w:val="single" w:color="auto" w:sz="4" w:space="0"/>
              <w:right w:val="single" w:color="auto" w:sz="4" w:space="0"/>
            </w:tcBorders>
            <w:noWrap/>
          </w:tcPr>
          <w:p w14:paraId="759EBB5F">
            <w:pPr>
              <w:keepNext w:val="0"/>
              <w:keepLines w:val="0"/>
              <w:pageBreakBefore w:val="0"/>
              <w:kinsoku/>
              <w:wordWrap w:val="0"/>
              <w:overflowPunct/>
              <w:topLinePunct w:val="0"/>
              <w:autoSpaceDE/>
              <w:autoSpaceDN/>
              <w:bidi w:val="0"/>
              <w:adjustRightInd/>
              <w:spacing w:line="360" w:lineRule="auto"/>
              <w:textAlignment w:val="auto"/>
              <w:outlineLvl w:val="9"/>
              <w:rPr>
                <w:rFonts w:cs="仿宋"/>
                <w:color w:val="auto"/>
                <w:highlight w:val="none"/>
              </w:rPr>
            </w:pPr>
            <w:r>
              <w:rPr>
                <w:rFonts w:hint="eastAsia" w:ascii="宋体" w:hAnsi="宋体" w:cs="仿宋"/>
                <w:color w:val="auto"/>
                <w:highlight w:val="none"/>
              </w:rPr>
              <w:t>技术措施项目清单</w:t>
            </w:r>
          </w:p>
        </w:tc>
        <w:tc>
          <w:tcPr>
            <w:tcW w:w="1978" w:type="dxa"/>
            <w:tcBorders>
              <w:top w:val="single" w:color="auto" w:sz="4" w:space="0"/>
              <w:left w:val="single" w:color="auto" w:sz="4" w:space="0"/>
              <w:bottom w:val="single" w:color="auto" w:sz="4" w:space="0"/>
              <w:right w:val="single" w:color="auto" w:sz="4" w:space="0"/>
            </w:tcBorders>
            <w:noWrap/>
          </w:tcPr>
          <w:p w14:paraId="0AA663BC">
            <w:pPr>
              <w:keepNext w:val="0"/>
              <w:keepLines w:val="0"/>
              <w:pageBreakBefore w:val="0"/>
              <w:kinsoku/>
              <w:wordWrap w:val="0"/>
              <w:overflowPunct/>
              <w:topLinePunct w:val="0"/>
              <w:autoSpaceDE/>
              <w:autoSpaceDN/>
              <w:bidi w:val="0"/>
              <w:adjustRightInd/>
              <w:spacing w:line="360" w:lineRule="auto"/>
              <w:textAlignment w:val="auto"/>
              <w:outlineLvl w:val="9"/>
              <w:rPr>
                <w:rFonts w:cs="仿宋"/>
                <w:color w:val="auto"/>
                <w:highlight w:val="none"/>
              </w:rPr>
            </w:pPr>
          </w:p>
        </w:tc>
      </w:tr>
      <w:tr w14:paraId="2CED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14:paraId="10176D3C">
            <w:pPr>
              <w:keepNext w:val="0"/>
              <w:keepLines w:val="0"/>
              <w:pageBreakBefore w:val="0"/>
              <w:kinsoku/>
              <w:wordWrap w:val="0"/>
              <w:overflowPunct/>
              <w:topLinePunct w:val="0"/>
              <w:autoSpaceDE/>
              <w:autoSpaceDN/>
              <w:bidi w:val="0"/>
              <w:adjustRightInd/>
              <w:spacing w:line="360" w:lineRule="auto"/>
              <w:jc w:val="center"/>
              <w:textAlignment w:val="auto"/>
              <w:outlineLvl w:val="9"/>
              <w:rPr>
                <w:rFonts w:cs="仿宋"/>
                <w:color w:val="auto"/>
                <w:highlight w:val="none"/>
              </w:rPr>
            </w:pPr>
            <w:r>
              <w:rPr>
                <w:rFonts w:hint="eastAsia" w:ascii="宋体" w:hAnsi="宋体" w:cs="仿宋"/>
                <w:color w:val="auto"/>
                <w:highlight w:val="none"/>
              </w:rPr>
              <w:t>（二）</w:t>
            </w:r>
          </w:p>
        </w:tc>
        <w:tc>
          <w:tcPr>
            <w:tcW w:w="6300" w:type="dxa"/>
            <w:tcBorders>
              <w:top w:val="single" w:color="auto" w:sz="4" w:space="0"/>
              <w:left w:val="single" w:color="auto" w:sz="4" w:space="0"/>
              <w:bottom w:val="single" w:color="auto" w:sz="4" w:space="0"/>
              <w:right w:val="single" w:color="auto" w:sz="4" w:space="0"/>
            </w:tcBorders>
            <w:noWrap/>
          </w:tcPr>
          <w:p w14:paraId="6270CADB">
            <w:pPr>
              <w:keepNext w:val="0"/>
              <w:keepLines w:val="0"/>
              <w:pageBreakBefore w:val="0"/>
              <w:kinsoku/>
              <w:wordWrap w:val="0"/>
              <w:overflowPunct/>
              <w:topLinePunct w:val="0"/>
              <w:autoSpaceDE/>
              <w:autoSpaceDN/>
              <w:bidi w:val="0"/>
              <w:adjustRightInd/>
              <w:spacing w:line="360" w:lineRule="auto"/>
              <w:textAlignment w:val="auto"/>
              <w:outlineLvl w:val="9"/>
              <w:rPr>
                <w:rFonts w:cs="仿宋"/>
                <w:color w:val="auto"/>
                <w:highlight w:val="none"/>
              </w:rPr>
            </w:pPr>
            <w:r>
              <w:rPr>
                <w:rFonts w:hint="eastAsia" w:ascii="宋体" w:hAnsi="宋体" w:cs="仿宋"/>
                <w:color w:val="auto"/>
                <w:highlight w:val="none"/>
              </w:rPr>
              <w:t>整体其他项目清单</w:t>
            </w:r>
          </w:p>
        </w:tc>
        <w:tc>
          <w:tcPr>
            <w:tcW w:w="1978" w:type="dxa"/>
            <w:tcBorders>
              <w:top w:val="single" w:color="auto" w:sz="4" w:space="0"/>
              <w:left w:val="single" w:color="auto" w:sz="4" w:space="0"/>
              <w:bottom w:val="single" w:color="auto" w:sz="4" w:space="0"/>
              <w:right w:val="single" w:color="auto" w:sz="4" w:space="0"/>
            </w:tcBorders>
            <w:noWrap/>
          </w:tcPr>
          <w:p w14:paraId="450A6AEF">
            <w:pPr>
              <w:keepNext w:val="0"/>
              <w:keepLines w:val="0"/>
              <w:pageBreakBefore w:val="0"/>
              <w:kinsoku/>
              <w:wordWrap w:val="0"/>
              <w:overflowPunct/>
              <w:topLinePunct w:val="0"/>
              <w:autoSpaceDE/>
              <w:autoSpaceDN/>
              <w:bidi w:val="0"/>
              <w:adjustRightInd/>
              <w:spacing w:line="360" w:lineRule="auto"/>
              <w:textAlignment w:val="auto"/>
              <w:outlineLvl w:val="9"/>
              <w:rPr>
                <w:rFonts w:cs="仿宋"/>
                <w:color w:val="auto"/>
                <w:highlight w:val="none"/>
              </w:rPr>
            </w:pPr>
          </w:p>
        </w:tc>
      </w:tr>
      <w:tr w14:paraId="33C1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14:paraId="4734C6C4">
            <w:pPr>
              <w:keepNext w:val="0"/>
              <w:keepLines w:val="0"/>
              <w:pageBreakBefore w:val="0"/>
              <w:kinsoku/>
              <w:wordWrap w:val="0"/>
              <w:overflowPunct/>
              <w:topLinePunct w:val="0"/>
              <w:autoSpaceDE/>
              <w:autoSpaceDN/>
              <w:bidi w:val="0"/>
              <w:adjustRightInd/>
              <w:spacing w:line="360" w:lineRule="auto"/>
              <w:jc w:val="center"/>
              <w:textAlignment w:val="auto"/>
              <w:outlineLvl w:val="9"/>
              <w:rPr>
                <w:rFonts w:cs="仿宋"/>
                <w:color w:val="auto"/>
                <w:highlight w:val="none"/>
              </w:rPr>
            </w:pPr>
            <w:r>
              <w:rPr>
                <w:rFonts w:hint="eastAsia" w:ascii="宋体" w:hAnsi="宋体" w:cs="仿宋"/>
                <w:color w:val="auto"/>
                <w:highlight w:val="none"/>
              </w:rPr>
              <w:t>（三）</w:t>
            </w:r>
          </w:p>
        </w:tc>
        <w:tc>
          <w:tcPr>
            <w:tcW w:w="6300" w:type="dxa"/>
            <w:tcBorders>
              <w:top w:val="single" w:color="auto" w:sz="4" w:space="0"/>
              <w:left w:val="single" w:color="auto" w:sz="4" w:space="0"/>
              <w:bottom w:val="single" w:color="auto" w:sz="4" w:space="0"/>
              <w:right w:val="single" w:color="auto" w:sz="4" w:space="0"/>
            </w:tcBorders>
            <w:noWrap/>
          </w:tcPr>
          <w:p w14:paraId="3297F5FB">
            <w:pPr>
              <w:keepNext w:val="0"/>
              <w:keepLines w:val="0"/>
              <w:pageBreakBefore w:val="0"/>
              <w:kinsoku/>
              <w:wordWrap w:val="0"/>
              <w:overflowPunct/>
              <w:topLinePunct w:val="0"/>
              <w:autoSpaceDE/>
              <w:autoSpaceDN/>
              <w:bidi w:val="0"/>
              <w:adjustRightInd/>
              <w:spacing w:line="360" w:lineRule="auto"/>
              <w:textAlignment w:val="auto"/>
              <w:outlineLvl w:val="9"/>
              <w:rPr>
                <w:rFonts w:cs="仿宋"/>
                <w:color w:val="auto"/>
                <w:highlight w:val="none"/>
              </w:rPr>
            </w:pPr>
            <w:r>
              <w:rPr>
                <w:rFonts w:hint="eastAsia" w:ascii="宋体" w:hAnsi="宋体" w:cs="仿宋"/>
                <w:color w:val="auto"/>
                <w:highlight w:val="none"/>
              </w:rPr>
              <w:t>整体措施项目规费</w:t>
            </w:r>
          </w:p>
        </w:tc>
        <w:tc>
          <w:tcPr>
            <w:tcW w:w="1978" w:type="dxa"/>
            <w:tcBorders>
              <w:top w:val="single" w:color="auto" w:sz="4" w:space="0"/>
              <w:left w:val="single" w:color="auto" w:sz="4" w:space="0"/>
              <w:bottom w:val="single" w:color="auto" w:sz="4" w:space="0"/>
              <w:right w:val="single" w:color="auto" w:sz="4" w:space="0"/>
            </w:tcBorders>
            <w:noWrap/>
          </w:tcPr>
          <w:p w14:paraId="38DDD177">
            <w:pPr>
              <w:keepNext w:val="0"/>
              <w:keepLines w:val="0"/>
              <w:pageBreakBefore w:val="0"/>
              <w:kinsoku/>
              <w:wordWrap w:val="0"/>
              <w:overflowPunct/>
              <w:topLinePunct w:val="0"/>
              <w:autoSpaceDE/>
              <w:autoSpaceDN/>
              <w:bidi w:val="0"/>
              <w:adjustRightInd/>
              <w:spacing w:line="360" w:lineRule="auto"/>
              <w:textAlignment w:val="auto"/>
              <w:outlineLvl w:val="9"/>
              <w:rPr>
                <w:rFonts w:cs="仿宋"/>
                <w:color w:val="auto"/>
                <w:highlight w:val="none"/>
              </w:rPr>
            </w:pPr>
          </w:p>
        </w:tc>
      </w:tr>
      <w:tr w14:paraId="667F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vAlign w:val="center"/>
          </w:tcPr>
          <w:p w14:paraId="61CFBFE5">
            <w:pPr>
              <w:keepNext w:val="0"/>
              <w:keepLines w:val="0"/>
              <w:pageBreakBefore w:val="0"/>
              <w:kinsoku/>
              <w:wordWrap w:val="0"/>
              <w:overflowPunct/>
              <w:topLinePunct w:val="0"/>
              <w:autoSpaceDE/>
              <w:autoSpaceDN/>
              <w:bidi w:val="0"/>
              <w:adjustRightInd/>
              <w:spacing w:line="360" w:lineRule="auto"/>
              <w:jc w:val="center"/>
              <w:textAlignment w:val="auto"/>
              <w:outlineLvl w:val="9"/>
              <w:rPr>
                <w:rFonts w:cs="仿宋"/>
                <w:color w:val="auto"/>
                <w:highlight w:val="none"/>
              </w:rPr>
            </w:pPr>
            <w:r>
              <w:rPr>
                <w:rFonts w:hint="eastAsia" w:ascii="宋体" w:hAnsi="宋体" w:cs="仿宋"/>
                <w:color w:val="auto"/>
                <w:highlight w:val="none"/>
              </w:rPr>
              <w:t>（四）</w:t>
            </w:r>
          </w:p>
        </w:tc>
        <w:tc>
          <w:tcPr>
            <w:tcW w:w="6300" w:type="dxa"/>
            <w:tcBorders>
              <w:top w:val="single" w:color="auto" w:sz="4" w:space="0"/>
              <w:left w:val="single" w:color="auto" w:sz="4" w:space="0"/>
              <w:bottom w:val="single" w:color="auto" w:sz="4" w:space="0"/>
              <w:right w:val="single" w:color="auto" w:sz="4" w:space="0"/>
            </w:tcBorders>
            <w:noWrap/>
          </w:tcPr>
          <w:p w14:paraId="409BFC87">
            <w:pPr>
              <w:keepNext w:val="0"/>
              <w:keepLines w:val="0"/>
              <w:pageBreakBefore w:val="0"/>
              <w:kinsoku/>
              <w:wordWrap w:val="0"/>
              <w:overflowPunct/>
              <w:topLinePunct w:val="0"/>
              <w:autoSpaceDE/>
              <w:autoSpaceDN/>
              <w:bidi w:val="0"/>
              <w:adjustRightInd/>
              <w:spacing w:line="360" w:lineRule="auto"/>
              <w:textAlignment w:val="auto"/>
              <w:outlineLvl w:val="9"/>
              <w:rPr>
                <w:rFonts w:cs="仿宋"/>
                <w:color w:val="auto"/>
                <w:highlight w:val="none"/>
              </w:rPr>
            </w:pPr>
            <w:r>
              <w:rPr>
                <w:rFonts w:hint="eastAsia" w:ascii="宋体" w:hAnsi="宋体" w:cs="仿宋"/>
                <w:color w:val="auto"/>
                <w:highlight w:val="none"/>
              </w:rPr>
              <w:t>税金 {[（一）+（二）+（三）]×费率}</w:t>
            </w:r>
          </w:p>
        </w:tc>
        <w:tc>
          <w:tcPr>
            <w:tcW w:w="1978" w:type="dxa"/>
            <w:tcBorders>
              <w:top w:val="single" w:color="auto" w:sz="4" w:space="0"/>
              <w:left w:val="single" w:color="auto" w:sz="4" w:space="0"/>
              <w:bottom w:val="single" w:color="auto" w:sz="4" w:space="0"/>
              <w:right w:val="single" w:color="auto" w:sz="4" w:space="0"/>
            </w:tcBorders>
            <w:noWrap/>
          </w:tcPr>
          <w:p w14:paraId="20176553">
            <w:pPr>
              <w:keepNext w:val="0"/>
              <w:keepLines w:val="0"/>
              <w:pageBreakBefore w:val="0"/>
              <w:kinsoku/>
              <w:wordWrap w:val="0"/>
              <w:overflowPunct/>
              <w:topLinePunct w:val="0"/>
              <w:autoSpaceDE/>
              <w:autoSpaceDN/>
              <w:bidi w:val="0"/>
              <w:adjustRightInd/>
              <w:spacing w:line="360" w:lineRule="auto"/>
              <w:textAlignment w:val="auto"/>
              <w:outlineLvl w:val="9"/>
              <w:rPr>
                <w:rFonts w:cs="仿宋"/>
                <w:color w:val="auto"/>
                <w:highlight w:val="none"/>
              </w:rPr>
            </w:pPr>
          </w:p>
        </w:tc>
      </w:tr>
      <w:tr w14:paraId="05EA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6" w:type="dxa"/>
            <w:tcBorders>
              <w:top w:val="single" w:color="auto" w:sz="4" w:space="0"/>
              <w:left w:val="single" w:color="auto" w:sz="4" w:space="0"/>
              <w:bottom w:val="single" w:color="auto" w:sz="4" w:space="0"/>
              <w:right w:val="single" w:color="auto" w:sz="4" w:space="0"/>
            </w:tcBorders>
            <w:noWrap/>
          </w:tcPr>
          <w:p w14:paraId="3CFF74BF">
            <w:pPr>
              <w:keepNext w:val="0"/>
              <w:keepLines w:val="0"/>
              <w:pageBreakBefore w:val="0"/>
              <w:kinsoku/>
              <w:wordWrap w:val="0"/>
              <w:overflowPunct/>
              <w:topLinePunct w:val="0"/>
              <w:autoSpaceDE/>
              <w:autoSpaceDN/>
              <w:bidi w:val="0"/>
              <w:adjustRightInd/>
              <w:spacing w:line="360" w:lineRule="auto"/>
              <w:jc w:val="center"/>
              <w:textAlignment w:val="auto"/>
              <w:outlineLvl w:val="9"/>
              <w:rPr>
                <w:rFonts w:cs="仿宋"/>
                <w:color w:val="auto"/>
                <w:highlight w:val="none"/>
              </w:rPr>
            </w:pPr>
          </w:p>
        </w:tc>
        <w:tc>
          <w:tcPr>
            <w:tcW w:w="6300" w:type="dxa"/>
            <w:tcBorders>
              <w:top w:val="single" w:color="auto" w:sz="4" w:space="0"/>
              <w:left w:val="single" w:color="auto" w:sz="4" w:space="0"/>
              <w:bottom w:val="single" w:color="auto" w:sz="4" w:space="0"/>
              <w:right w:val="single" w:color="auto" w:sz="4" w:space="0"/>
            </w:tcBorders>
            <w:noWrap/>
          </w:tcPr>
          <w:p w14:paraId="06CF0972">
            <w:pPr>
              <w:keepNext w:val="0"/>
              <w:keepLines w:val="0"/>
              <w:pageBreakBefore w:val="0"/>
              <w:kinsoku/>
              <w:wordWrap w:val="0"/>
              <w:overflowPunct/>
              <w:topLinePunct w:val="0"/>
              <w:autoSpaceDE/>
              <w:autoSpaceDN/>
              <w:bidi w:val="0"/>
              <w:adjustRightInd/>
              <w:spacing w:line="360" w:lineRule="auto"/>
              <w:textAlignment w:val="auto"/>
              <w:outlineLvl w:val="9"/>
              <w:rPr>
                <w:rFonts w:cs="仿宋"/>
                <w:color w:val="auto"/>
                <w:highlight w:val="none"/>
              </w:rPr>
            </w:pPr>
            <w:r>
              <w:rPr>
                <w:rFonts w:hint="eastAsia" w:ascii="宋体" w:hAnsi="宋体" w:cs="仿宋"/>
                <w:color w:val="auto"/>
                <w:highlight w:val="none"/>
              </w:rPr>
              <w:t>总报价 [一 + 二 ]</w:t>
            </w:r>
          </w:p>
        </w:tc>
        <w:tc>
          <w:tcPr>
            <w:tcW w:w="1978" w:type="dxa"/>
            <w:tcBorders>
              <w:top w:val="single" w:color="auto" w:sz="4" w:space="0"/>
              <w:left w:val="single" w:color="auto" w:sz="4" w:space="0"/>
              <w:bottom w:val="single" w:color="auto" w:sz="4" w:space="0"/>
              <w:right w:val="single" w:color="auto" w:sz="4" w:space="0"/>
            </w:tcBorders>
            <w:noWrap/>
          </w:tcPr>
          <w:p w14:paraId="61DCE6EC">
            <w:pPr>
              <w:keepNext w:val="0"/>
              <w:keepLines w:val="0"/>
              <w:pageBreakBefore w:val="0"/>
              <w:kinsoku/>
              <w:wordWrap w:val="0"/>
              <w:overflowPunct/>
              <w:topLinePunct w:val="0"/>
              <w:autoSpaceDE/>
              <w:autoSpaceDN/>
              <w:bidi w:val="0"/>
              <w:adjustRightInd/>
              <w:spacing w:line="360" w:lineRule="auto"/>
              <w:textAlignment w:val="auto"/>
              <w:outlineLvl w:val="9"/>
              <w:rPr>
                <w:rFonts w:cs="仿宋"/>
                <w:color w:val="auto"/>
                <w:highlight w:val="none"/>
              </w:rPr>
            </w:pPr>
          </w:p>
        </w:tc>
      </w:tr>
      <w:tr w14:paraId="0266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34" w:type="dxa"/>
            <w:gridSpan w:val="3"/>
            <w:tcBorders>
              <w:top w:val="single" w:color="auto" w:sz="4" w:space="0"/>
              <w:left w:val="single" w:color="auto" w:sz="4" w:space="0"/>
              <w:bottom w:val="single" w:color="auto" w:sz="4" w:space="0"/>
              <w:right w:val="single" w:color="auto" w:sz="4" w:space="0"/>
            </w:tcBorders>
            <w:noWrap/>
          </w:tcPr>
          <w:p w14:paraId="6F0B2008">
            <w:pPr>
              <w:keepNext w:val="0"/>
              <w:keepLines w:val="0"/>
              <w:pageBreakBefore w:val="0"/>
              <w:kinsoku/>
              <w:wordWrap w:val="0"/>
              <w:overflowPunct/>
              <w:topLinePunct w:val="0"/>
              <w:autoSpaceDE/>
              <w:autoSpaceDN/>
              <w:bidi w:val="0"/>
              <w:adjustRightInd/>
              <w:spacing w:line="360" w:lineRule="auto"/>
              <w:textAlignment w:val="auto"/>
              <w:outlineLvl w:val="9"/>
              <w:rPr>
                <w:rFonts w:cs="仿宋"/>
                <w:color w:val="auto"/>
                <w:highlight w:val="none"/>
              </w:rPr>
            </w:pPr>
            <w:r>
              <w:rPr>
                <w:rFonts w:hint="eastAsia" w:ascii="宋体" w:hAnsi="宋体" w:cs="仿宋"/>
                <w:color w:val="auto"/>
                <w:highlight w:val="none"/>
              </w:rPr>
              <w:t>总报价（大写）：</w:t>
            </w:r>
          </w:p>
        </w:tc>
      </w:tr>
    </w:tbl>
    <w:p w14:paraId="11FE7FB2">
      <w:pPr>
        <w:keepNext w:val="0"/>
        <w:keepLines w:val="0"/>
        <w:pageBreakBefore w:val="0"/>
        <w:kinsoku/>
        <w:wordWrap w:val="0"/>
        <w:overflowPunct/>
        <w:topLinePunct w:val="0"/>
        <w:autoSpaceDE/>
        <w:autoSpaceDN/>
        <w:bidi w:val="0"/>
        <w:adjustRightInd/>
        <w:spacing w:line="440" w:lineRule="exact"/>
        <w:ind w:firstLine="420" w:firstLineChars="200"/>
        <w:textAlignment w:val="auto"/>
        <w:outlineLvl w:val="9"/>
        <w:rPr>
          <w:rFonts w:cs="仿宋"/>
          <w:color w:val="auto"/>
          <w:highlight w:val="none"/>
        </w:rPr>
      </w:pPr>
      <w:r>
        <w:rPr>
          <w:rFonts w:hint="eastAsia" w:ascii="宋体" w:hAnsi="宋体" w:cs="仿宋"/>
          <w:color w:val="auto"/>
          <w:highlight w:val="none"/>
        </w:rPr>
        <w:t>注：1.本表适用于：（1）有2个及以上单位工程的群体项目的总报价汇总；（2）单位工程发包且有2个及以上专业工程分部分项工程量清单的招标项目总报价汇总。本表应在表1-1-2基础上汇总。</w:t>
      </w:r>
    </w:p>
    <w:p w14:paraId="27FAC161">
      <w:pPr>
        <w:keepNext w:val="0"/>
        <w:keepLines w:val="0"/>
        <w:pageBreakBefore w:val="0"/>
        <w:kinsoku/>
        <w:wordWrap w:val="0"/>
        <w:overflowPunct/>
        <w:topLinePunct w:val="0"/>
        <w:autoSpaceDE/>
        <w:autoSpaceDN/>
        <w:bidi w:val="0"/>
        <w:adjustRightInd/>
        <w:spacing w:line="440" w:lineRule="exact"/>
        <w:ind w:firstLine="420" w:firstLineChars="200"/>
        <w:textAlignment w:val="auto"/>
        <w:outlineLvl w:val="9"/>
        <w:rPr>
          <w:rFonts w:cs="仿宋"/>
          <w:color w:val="auto"/>
          <w:highlight w:val="none"/>
        </w:rPr>
      </w:pPr>
      <w:r>
        <w:rPr>
          <w:rFonts w:hint="eastAsia" w:ascii="宋体" w:hAnsi="宋体" w:cs="仿宋"/>
          <w:color w:val="auto"/>
          <w:highlight w:val="none"/>
        </w:rPr>
        <w:t>2．本表中的整体项目措施清单报价指根据招标人要求和项目特点应从招标项目整体上考虑的措施项目报价。</w:t>
      </w:r>
    </w:p>
    <w:p w14:paraId="2946D000">
      <w:pPr>
        <w:keepNext w:val="0"/>
        <w:keepLines w:val="0"/>
        <w:pageBreakBefore w:val="0"/>
        <w:kinsoku/>
        <w:wordWrap w:val="0"/>
        <w:overflowPunct/>
        <w:topLinePunct w:val="0"/>
        <w:autoSpaceDE/>
        <w:autoSpaceDN/>
        <w:bidi w:val="0"/>
        <w:adjustRightInd/>
        <w:spacing w:line="440" w:lineRule="exact"/>
        <w:ind w:firstLine="420" w:firstLineChars="200"/>
        <w:textAlignment w:val="auto"/>
        <w:outlineLvl w:val="9"/>
        <w:rPr>
          <w:rFonts w:cs="仿宋"/>
          <w:color w:val="auto"/>
          <w:highlight w:val="none"/>
        </w:rPr>
      </w:pPr>
      <w:r>
        <w:rPr>
          <w:rFonts w:hint="eastAsia" w:ascii="宋体" w:hAnsi="宋体" w:cs="仿宋"/>
          <w:color w:val="auto"/>
          <w:highlight w:val="none"/>
        </w:rPr>
        <w:t>3．本表中的整体其他项目清单报价指根据招标人要求需按招标项目整体考虑的其他项目清单报价。</w:t>
      </w:r>
    </w:p>
    <w:p w14:paraId="2D1E04D8">
      <w:pPr>
        <w:keepNext w:val="0"/>
        <w:keepLines w:val="0"/>
        <w:pageBreakBefore w:val="0"/>
        <w:kinsoku/>
        <w:wordWrap w:val="0"/>
        <w:overflowPunct/>
        <w:topLinePunct w:val="0"/>
        <w:autoSpaceDE/>
        <w:autoSpaceDN/>
        <w:bidi w:val="0"/>
        <w:adjustRightInd/>
        <w:spacing w:line="440" w:lineRule="exact"/>
        <w:ind w:firstLine="420" w:firstLineChars="200"/>
        <w:textAlignment w:val="auto"/>
        <w:outlineLvl w:val="9"/>
        <w:rPr>
          <w:rFonts w:cs="仿宋"/>
          <w:color w:val="auto"/>
          <w:highlight w:val="none"/>
        </w:rPr>
      </w:pPr>
      <w:r>
        <w:rPr>
          <w:rFonts w:hint="eastAsia" w:ascii="宋体" w:hAnsi="宋体" w:cs="仿宋"/>
          <w:color w:val="auto"/>
          <w:highlight w:val="none"/>
        </w:rPr>
        <w:t>4．本表中的规费指整体措施清单项目应计取的规费。</w:t>
      </w:r>
    </w:p>
    <w:p w14:paraId="084A8485">
      <w:pPr>
        <w:keepNext w:val="0"/>
        <w:keepLines w:val="0"/>
        <w:pageBreakBefore w:val="0"/>
        <w:kinsoku/>
        <w:wordWrap w:val="0"/>
        <w:overflowPunct/>
        <w:topLinePunct w:val="0"/>
        <w:autoSpaceDE/>
        <w:autoSpaceDN/>
        <w:bidi w:val="0"/>
        <w:adjustRightInd/>
        <w:spacing w:line="440" w:lineRule="exact"/>
        <w:ind w:firstLine="420" w:firstLineChars="200"/>
        <w:textAlignment w:val="auto"/>
        <w:outlineLvl w:val="9"/>
        <w:rPr>
          <w:rFonts w:cs="仿宋"/>
          <w:color w:val="auto"/>
          <w:highlight w:val="none"/>
        </w:rPr>
      </w:pPr>
      <w:r>
        <w:rPr>
          <w:rFonts w:hint="eastAsia" w:ascii="宋体" w:hAnsi="宋体" w:cs="仿宋"/>
          <w:color w:val="auto"/>
          <w:highlight w:val="none"/>
        </w:rPr>
        <w:t>5．本表中的税金指未纳入单位工程费的整体措施项目清单、其他项目清单以及相应规费等费用应计取的税金。</w:t>
      </w:r>
    </w:p>
    <w:p w14:paraId="5B57EE45">
      <w:pPr>
        <w:keepNext w:val="0"/>
        <w:keepLines w:val="0"/>
        <w:pageBreakBefore w:val="0"/>
        <w:kinsoku/>
        <w:wordWrap w:val="0"/>
        <w:overflowPunct/>
        <w:topLinePunct w:val="0"/>
        <w:autoSpaceDE/>
        <w:autoSpaceDN/>
        <w:bidi w:val="0"/>
        <w:adjustRightInd/>
        <w:spacing w:line="440" w:lineRule="exact"/>
        <w:ind w:firstLine="420" w:firstLineChars="200"/>
        <w:textAlignment w:val="auto"/>
        <w:outlineLvl w:val="9"/>
        <w:rPr>
          <w:rFonts w:cs="仿宋"/>
          <w:color w:val="auto"/>
          <w:highlight w:val="none"/>
        </w:rPr>
      </w:pPr>
      <w:r>
        <w:rPr>
          <w:rFonts w:hint="eastAsia" w:ascii="宋体" w:hAnsi="宋体" w:cs="仿宋"/>
          <w:color w:val="auto"/>
          <w:highlight w:val="none"/>
        </w:rPr>
        <w:t>投标人：（盖章）                       法定代表人或委托代理人：（盖章或签字）</w:t>
      </w:r>
    </w:p>
    <w:p w14:paraId="262C970F">
      <w:pPr>
        <w:keepNext w:val="0"/>
        <w:keepLines w:val="0"/>
        <w:pageBreakBefore w:val="0"/>
        <w:kinsoku/>
        <w:overflowPunct/>
        <w:topLinePunct w:val="0"/>
        <w:autoSpaceDE/>
        <w:autoSpaceDN/>
        <w:bidi w:val="0"/>
        <w:textAlignment w:val="auto"/>
        <w:outlineLvl w:val="9"/>
        <w:rPr>
          <w:rFonts w:cs="仿宋"/>
          <w:b/>
          <w:bCs/>
          <w:color w:val="auto"/>
          <w:sz w:val="32"/>
          <w:szCs w:val="28"/>
          <w:highlight w:val="none"/>
        </w:rPr>
      </w:pPr>
      <w:r>
        <w:rPr>
          <w:rFonts w:hint="eastAsia" w:ascii="宋体" w:hAnsi="宋体" w:cs="仿宋"/>
          <w:b/>
          <w:bCs/>
          <w:color w:val="auto"/>
          <w:sz w:val="32"/>
          <w:szCs w:val="28"/>
          <w:highlight w:val="none"/>
        </w:rPr>
        <w:br w:type="page"/>
      </w:r>
    </w:p>
    <w:p w14:paraId="31D9CA88">
      <w:pPr>
        <w:keepNext w:val="0"/>
        <w:keepLines w:val="0"/>
        <w:pageBreakBefore w:val="0"/>
        <w:kinsoku/>
        <w:wordWrap w:val="0"/>
        <w:overflowPunct/>
        <w:topLinePunct w:val="0"/>
        <w:autoSpaceDE/>
        <w:autoSpaceDN/>
        <w:bidi w:val="0"/>
        <w:jc w:val="center"/>
        <w:textAlignment w:val="auto"/>
        <w:outlineLvl w:val="9"/>
        <w:rPr>
          <w:rFonts w:cs="仿宋"/>
          <w:b/>
          <w:bCs/>
          <w:color w:val="auto"/>
          <w:sz w:val="32"/>
          <w:szCs w:val="28"/>
          <w:highlight w:val="none"/>
        </w:rPr>
      </w:pPr>
      <w:r>
        <w:rPr>
          <w:rFonts w:hint="eastAsia" w:ascii="宋体" w:hAnsi="宋体" w:cs="仿宋"/>
          <w:b/>
          <w:bCs/>
          <w:color w:val="auto"/>
          <w:sz w:val="32"/>
          <w:szCs w:val="28"/>
          <w:highlight w:val="none"/>
        </w:rPr>
        <w:t>表1-1-2 单位工程报价汇总表</w:t>
      </w:r>
    </w:p>
    <w:p w14:paraId="09D862D1">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 xml:space="preserve">工程名称：                    </w:t>
      </w:r>
    </w:p>
    <w:p w14:paraId="7DEC1DFD">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单位工程名称：</w:t>
      </w:r>
    </w:p>
    <w:tbl>
      <w:tblPr>
        <w:tblStyle w:val="62"/>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1236"/>
        <w:gridCol w:w="1948"/>
        <w:gridCol w:w="1856"/>
      </w:tblGrid>
      <w:tr w14:paraId="36A2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restart"/>
            <w:tcBorders>
              <w:top w:val="single" w:color="auto" w:sz="4" w:space="0"/>
              <w:left w:val="single" w:color="auto" w:sz="4" w:space="0"/>
              <w:bottom w:val="single" w:color="auto" w:sz="4" w:space="0"/>
              <w:right w:val="single" w:color="auto" w:sz="4" w:space="0"/>
            </w:tcBorders>
            <w:noWrap/>
            <w:vAlign w:val="center"/>
          </w:tcPr>
          <w:p w14:paraId="6AB07FE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序号</w:t>
            </w:r>
          </w:p>
        </w:tc>
        <w:tc>
          <w:tcPr>
            <w:tcW w:w="3600" w:type="dxa"/>
            <w:vMerge w:val="restart"/>
            <w:tcBorders>
              <w:top w:val="single" w:color="auto" w:sz="4" w:space="0"/>
              <w:left w:val="single" w:color="auto" w:sz="4" w:space="0"/>
              <w:bottom w:val="single" w:color="auto" w:sz="4" w:space="0"/>
              <w:right w:val="single" w:color="auto" w:sz="4" w:space="0"/>
            </w:tcBorders>
            <w:noWrap/>
            <w:vAlign w:val="center"/>
          </w:tcPr>
          <w:p w14:paraId="68006B0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内容</w:t>
            </w:r>
          </w:p>
        </w:tc>
        <w:tc>
          <w:tcPr>
            <w:tcW w:w="1236" w:type="dxa"/>
            <w:vMerge w:val="restart"/>
            <w:tcBorders>
              <w:top w:val="single" w:color="auto" w:sz="4" w:space="0"/>
              <w:left w:val="single" w:color="auto" w:sz="4" w:space="0"/>
              <w:bottom w:val="single" w:color="auto" w:sz="4" w:space="0"/>
              <w:right w:val="single" w:color="auto" w:sz="4" w:space="0"/>
            </w:tcBorders>
            <w:noWrap/>
            <w:vAlign w:val="center"/>
          </w:tcPr>
          <w:p w14:paraId="1BABD73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报价合计</w:t>
            </w:r>
          </w:p>
          <w:p w14:paraId="1A2E1C9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（元）</w:t>
            </w:r>
          </w:p>
        </w:tc>
        <w:tc>
          <w:tcPr>
            <w:tcW w:w="1948" w:type="dxa"/>
            <w:tcBorders>
              <w:top w:val="single" w:color="auto" w:sz="4" w:space="0"/>
              <w:left w:val="single" w:color="auto" w:sz="4" w:space="0"/>
              <w:bottom w:val="single" w:color="auto" w:sz="4" w:space="0"/>
              <w:right w:val="single" w:color="auto" w:sz="4" w:space="0"/>
            </w:tcBorders>
            <w:noWrap/>
            <w:vAlign w:val="center"/>
          </w:tcPr>
          <w:p w14:paraId="6321B55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（清单号）</w:t>
            </w:r>
          </w:p>
        </w:tc>
        <w:tc>
          <w:tcPr>
            <w:tcW w:w="1856" w:type="dxa"/>
            <w:tcBorders>
              <w:top w:val="single" w:color="auto" w:sz="4" w:space="0"/>
              <w:left w:val="single" w:color="auto" w:sz="4" w:space="0"/>
              <w:bottom w:val="single" w:color="auto" w:sz="4" w:space="0"/>
              <w:right w:val="single" w:color="auto" w:sz="4" w:space="0"/>
            </w:tcBorders>
            <w:noWrap/>
            <w:vAlign w:val="center"/>
          </w:tcPr>
          <w:p w14:paraId="01DB8D4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（清单号）</w:t>
            </w:r>
          </w:p>
        </w:tc>
      </w:tr>
      <w:tr w14:paraId="7629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continue"/>
            <w:tcBorders>
              <w:top w:val="single" w:color="auto" w:sz="4" w:space="0"/>
              <w:left w:val="single" w:color="auto" w:sz="4" w:space="0"/>
              <w:bottom w:val="single" w:color="auto" w:sz="4" w:space="0"/>
              <w:right w:val="single" w:color="auto" w:sz="4" w:space="0"/>
            </w:tcBorders>
            <w:noWrap/>
            <w:vAlign w:val="center"/>
          </w:tcPr>
          <w:p w14:paraId="6A55BA73">
            <w:pPr>
              <w:keepNext w:val="0"/>
              <w:keepLines w:val="0"/>
              <w:pageBreakBefore w:val="0"/>
              <w:kinsoku/>
              <w:wordWrap w:val="0"/>
              <w:overflowPunct/>
              <w:topLinePunct w:val="0"/>
              <w:autoSpaceDE/>
              <w:autoSpaceDN/>
              <w:bidi w:val="0"/>
              <w:adjustRightInd/>
              <w:spacing w:line="460" w:lineRule="exact"/>
              <w:ind w:firstLine="420" w:firstLineChars="200"/>
              <w:jc w:val="center"/>
              <w:textAlignment w:val="auto"/>
              <w:outlineLvl w:val="9"/>
              <w:rPr>
                <w:rFonts w:cs="仿宋"/>
                <w:color w:val="auto"/>
                <w:highlight w:val="none"/>
              </w:rPr>
            </w:pPr>
          </w:p>
        </w:tc>
        <w:tc>
          <w:tcPr>
            <w:tcW w:w="3600" w:type="dxa"/>
            <w:vMerge w:val="continue"/>
            <w:tcBorders>
              <w:top w:val="single" w:color="auto" w:sz="4" w:space="0"/>
              <w:left w:val="single" w:color="auto" w:sz="4" w:space="0"/>
              <w:bottom w:val="single" w:color="auto" w:sz="4" w:space="0"/>
              <w:right w:val="single" w:color="auto" w:sz="4" w:space="0"/>
            </w:tcBorders>
            <w:noWrap/>
            <w:vAlign w:val="center"/>
          </w:tcPr>
          <w:p w14:paraId="1A2D5F24">
            <w:pPr>
              <w:keepNext w:val="0"/>
              <w:keepLines w:val="0"/>
              <w:pageBreakBefore w:val="0"/>
              <w:kinsoku/>
              <w:wordWrap w:val="0"/>
              <w:overflowPunct/>
              <w:topLinePunct w:val="0"/>
              <w:autoSpaceDE/>
              <w:autoSpaceDN/>
              <w:bidi w:val="0"/>
              <w:adjustRightInd/>
              <w:spacing w:line="460" w:lineRule="exact"/>
              <w:ind w:firstLine="420" w:firstLineChars="200"/>
              <w:jc w:val="center"/>
              <w:textAlignment w:val="auto"/>
              <w:outlineLvl w:val="9"/>
              <w:rPr>
                <w:rFonts w:cs="仿宋"/>
                <w:color w:val="auto"/>
                <w:highlight w:val="none"/>
              </w:rPr>
            </w:pPr>
          </w:p>
        </w:tc>
        <w:tc>
          <w:tcPr>
            <w:tcW w:w="1236" w:type="dxa"/>
            <w:vMerge w:val="continue"/>
            <w:tcBorders>
              <w:top w:val="single" w:color="auto" w:sz="4" w:space="0"/>
              <w:left w:val="single" w:color="auto" w:sz="4" w:space="0"/>
              <w:bottom w:val="single" w:color="auto" w:sz="4" w:space="0"/>
              <w:right w:val="single" w:color="auto" w:sz="4" w:space="0"/>
            </w:tcBorders>
            <w:noWrap/>
            <w:vAlign w:val="center"/>
          </w:tcPr>
          <w:p w14:paraId="65F39370">
            <w:pPr>
              <w:keepNext w:val="0"/>
              <w:keepLines w:val="0"/>
              <w:pageBreakBefore w:val="0"/>
              <w:kinsoku/>
              <w:wordWrap w:val="0"/>
              <w:overflowPunct/>
              <w:topLinePunct w:val="0"/>
              <w:autoSpaceDE/>
              <w:autoSpaceDN/>
              <w:bidi w:val="0"/>
              <w:adjustRightInd/>
              <w:spacing w:line="460" w:lineRule="exact"/>
              <w:ind w:firstLine="420" w:firstLineChars="200"/>
              <w:jc w:val="center"/>
              <w:textAlignment w:val="auto"/>
              <w:outlineLvl w:val="9"/>
              <w:rPr>
                <w:rFonts w:cs="仿宋"/>
                <w:color w:val="auto"/>
                <w:highlight w:val="none"/>
              </w:rPr>
            </w:pPr>
          </w:p>
        </w:tc>
        <w:tc>
          <w:tcPr>
            <w:tcW w:w="1948" w:type="dxa"/>
            <w:tcBorders>
              <w:top w:val="single" w:color="auto" w:sz="4" w:space="0"/>
              <w:left w:val="single" w:color="auto" w:sz="4" w:space="0"/>
              <w:bottom w:val="single" w:color="auto" w:sz="4" w:space="0"/>
              <w:right w:val="single" w:color="auto" w:sz="4" w:space="0"/>
            </w:tcBorders>
            <w:noWrap/>
            <w:vAlign w:val="center"/>
          </w:tcPr>
          <w:p w14:paraId="256FC93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(专业工程1)</w:t>
            </w:r>
          </w:p>
        </w:tc>
        <w:tc>
          <w:tcPr>
            <w:tcW w:w="1856" w:type="dxa"/>
            <w:tcBorders>
              <w:top w:val="single" w:color="auto" w:sz="4" w:space="0"/>
              <w:left w:val="single" w:color="auto" w:sz="4" w:space="0"/>
              <w:bottom w:val="single" w:color="auto" w:sz="4" w:space="0"/>
              <w:right w:val="single" w:color="auto" w:sz="4" w:space="0"/>
            </w:tcBorders>
            <w:noWrap/>
            <w:vAlign w:val="center"/>
          </w:tcPr>
          <w:p w14:paraId="7FBEC0E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(专业工程2)</w:t>
            </w:r>
          </w:p>
        </w:tc>
      </w:tr>
      <w:tr w14:paraId="0711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0A0D68B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一</w:t>
            </w:r>
          </w:p>
        </w:tc>
        <w:tc>
          <w:tcPr>
            <w:tcW w:w="3600" w:type="dxa"/>
            <w:tcBorders>
              <w:top w:val="single" w:color="auto" w:sz="4" w:space="0"/>
              <w:left w:val="single" w:color="auto" w:sz="4" w:space="0"/>
              <w:bottom w:val="single" w:color="auto" w:sz="4" w:space="0"/>
              <w:right w:val="single" w:color="auto" w:sz="4" w:space="0"/>
            </w:tcBorders>
            <w:noWrap/>
            <w:vAlign w:val="center"/>
          </w:tcPr>
          <w:p w14:paraId="0C1D5A8A">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分部分项工程量清单</w:t>
            </w:r>
          </w:p>
        </w:tc>
        <w:tc>
          <w:tcPr>
            <w:tcW w:w="1236" w:type="dxa"/>
            <w:tcBorders>
              <w:top w:val="single" w:color="auto" w:sz="4" w:space="0"/>
              <w:left w:val="single" w:color="auto" w:sz="4" w:space="0"/>
              <w:bottom w:val="single" w:color="auto" w:sz="4" w:space="0"/>
              <w:right w:val="single" w:color="auto" w:sz="4" w:space="0"/>
            </w:tcBorders>
            <w:noWrap/>
            <w:vAlign w:val="center"/>
          </w:tcPr>
          <w:p w14:paraId="7F8FF545">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p>
        </w:tc>
        <w:tc>
          <w:tcPr>
            <w:tcW w:w="1948" w:type="dxa"/>
            <w:tcBorders>
              <w:top w:val="single" w:color="auto" w:sz="4" w:space="0"/>
              <w:left w:val="single" w:color="auto" w:sz="4" w:space="0"/>
              <w:bottom w:val="single" w:color="auto" w:sz="4" w:space="0"/>
              <w:right w:val="single" w:color="auto" w:sz="4" w:space="0"/>
            </w:tcBorders>
            <w:noWrap/>
            <w:vAlign w:val="center"/>
          </w:tcPr>
          <w:p w14:paraId="3F11891A">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14:paraId="1E64D8D2">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p>
        </w:tc>
      </w:tr>
      <w:tr w14:paraId="63E4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tcPr>
          <w:p w14:paraId="03171C8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二</w:t>
            </w:r>
          </w:p>
        </w:tc>
        <w:tc>
          <w:tcPr>
            <w:tcW w:w="3600" w:type="dxa"/>
            <w:tcBorders>
              <w:top w:val="single" w:color="auto" w:sz="4" w:space="0"/>
              <w:left w:val="single" w:color="auto" w:sz="4" w:space="0"/>
              <w:bottom w:val="single" w:color="auto" w:sz="4" w:space="0"/>
              <w:right w:val="single" w:color="auto" w:sz="4" w:space="0"/>
            </w:tcBorders>
            <w:noWrap/>
            <w:vAlign w:val="center"/>
          </w:tcPr>
          <w:p w14:paraId="68F157C0">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措施项目清单（1+2）</w:t>
            </w:r>
          </w:p>
        </w:tc>
        <w:tc>
          <w:tcPr>
            <w:tcW w:w="1236" w:type="dxa"/>
            <w:tcBorders>
              <w:top w:val="single" w:color="auto" w:sz="4" w:space="0"/>
              <w:left w:val="single" w:color="auto" w:sz="4" w:space="0"/>
              <w:bottom w:val="single" w:color="auto" w:sz="4" w:space="0"/>
              <w:right w:val="single" w:color="auto" w:sz="4" w:space="0"/>
            </w:tcBorders>
            <w:noWrap/>
            <w:vAlign w:val="center"/>
          </w:tcPr>
          <w:p w14:paraId="6A372B4F">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p>
        </w:tc>
        <w:tc>
          <w:tcPr>
            <w:tcW w:w="1948" w:type="dxa"/>
            <w:tcBorders>
              <w:top w:val="single" w:color="auto" w:sz="4" w:space="0"/>
              <w:left w:val="single" w:color="auto" w:sz="4" w:space="0"/>
              <w:bottom w:val="single" w:color="auto" w:sz="4" w:space="0"/>
              <w:right w:val="single" w:color="auto" w:sz="4" w:space="0"/>
            </w:tcBorders>
            <w:noWrap/>
            <w:vAlign w:val="center"/>
          </w:tcPr>
          <w:p w14:paraId="29F47687">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14:paraId="2C8B73F5">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p>
        </w:tc>
      </w:tr>
      <w:tr w14:paraId="5140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tcPr>
          <w:p w14:paraId="194E627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3600" w:type="dxa"/>
            <w:tcBorders>
              <w:top w:val="single" w:color="auto" w:sz="4" w:space="0"/>
              <w:left w:val="single" w:color="auto" w:sz="4" w:space="0"/>
              <w:bottom w:val="single" w:color="auto" w:sz="4" w:space="0"/>
              <w:right w:val="single" w:color="auto" w:sz="4" w:space="0"/>
            </w:tcBorders>
            <w:noWrap/>
            <w:vAlign w:val="center"/>
          </w:tcPr>
          <w:p w14:paraId="36505F26">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组织措施项目清单</w:t>
            </w:r>
          </w:p>
        </w:tc>
        <w:tc>
          <w:tcPr>
            <w:tcW w:w="1236" w:type="dxa"/>
            <w:tcBorders>
              <w:top w:val="single" w:color="auto" w:sz="4" w:space="0"/>
              <w:left w:val="single" w:color="auto" w:sz="4" w:space="0"/>
              <w:bottom w:val="single" w:color="auto" w:sz="4" w:space="0"/>
              <w:right w:val="single" w:color="auto" w:sz="4" w:space="0"/>
            </w:tcBorders>
            <w:noWrap/>
            <w:vAlign w:val="center"/>
          </w:tcPr>
          <w:p w14:paraId="5BFC8B32">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p>
        </w:tc>
        <w:tc>
          <w:tcPr>
            <w:tcW w:w="1948" w:type="dxa"/>
            <w:tcBorders>
              <w:top w:val="single" w:color="auto" w:sz="4" w:space="0"/>
              <w:left w:val="single" w:color="auto" w:sz="4" w:space="0"/>
              <w:bottom w:val="single" w:color="auto" w:sz="4" w:space="0"/>
              <w:right w:val="single" w:color="auto" w:sz="4" w:space="0"/>
            </w:tcBorders>
            <w:noWrap/>
            <w:vAlign w:val="center"/>
          </w:tcPr>
          <w:p w14:paraId="08A4C440">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14:paraId="5C30ECB8">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p>
        </w:tc>
      </w:tr>
      <w:tr w14:paraId="5312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Borders>
              <w:top w:val="single" w:color="auto" w:sz="4" w:space="0"/>
              <w:left w:val="single" w:color="auto" w:sz="4" w:space="0"/>
              <w:bottom w:val="single" w:color="auto" w:sz="4" w:space="0"/>
              <w:right w:val="single" w:color="auto" w:sz="4" w:space="0"/>
            </w:tcBorders>
            <w:noWrap/>
          </w:tcPr>
          <w:p w14:paraId="243EAC2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3600" w:type="dxa"/>
            <w:tcBorders>
              <w:top w:val="single" w:color="auto" w:sz="4" w:space="0"/>
              <w:left w:val="single" w:color="auto" w:sz="4" w:space="0"/>
              <w:bottom w:val="single" w:color="auto" w:sz="4" w:space="0"/>
              <w:right w:val="single" w:color="auto" w:sz="4" w:space="0"/>
            </w:tcBorders>
            <w:noWrap/>
            <w:vAlign w:val="center"/>
          </w:tcPr>
          <w:p w14:paraId="13CC57EC">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技术措施项目清单</w:t>
            </w:r>
          </w:p>
        </w:tc>
        <w:tc>
          <w:tcPr>
            <w:tcW w:w="1236" w:type="dxa"/>
            <w:tcBorders>
              <w:top w:val="single" w:color="auto" w:sz="4" w:space="0"/>
              <w:left w:val="single" w:color="auto" w:sz="4" w:space="0"/>
              <w:bottom w:val="single" w:color="auto" w:sz="4" w:space="0"/>
              <w:right w:val="single" w:color="auto" w:sz="4" w:space="0"/>
            </w:tcBorders>
            <w:noWrap/>
            <w:vAlign w:val="center"/>
          </w:tcPr>
          <w:p w14:paraId="78915872">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p>
        </w:tc>
        <w:tc>
          <w:tcPr>
            <w:tcW w:w="1948" w:type="dxa"/>
            <w:tcBorders>
              <w:top w:val="single" w:color="auto" w:sz="4" w:space="0"/>
              <w:left w:val="single" w:color="auto" w:sz="4" w:space="0"/>
              <w:bottom w:val="single" w:color="auto" w:sz="4" w:space="0"/>
              <w:right w:val="single" w:color="auto" w:sz="4" w:space="0"/>
            </w:tcBorders>
            <w:noWrap/>
            <w:vAlign w:val="center"/>
          </w:tcPr>
          <w:p w14:paraId="32C3B998">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14:paraId="68424863">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p>
        </w:tc>
      </w:tr>
      <w:tr w14:paraId="4A5A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318DD6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三</w:t>
            </w:r>
          </w:p>
        </w:tc>
        <w:tc>
          <w:tcPr>
            <w:tcW w:w="3600" w:type="dxa"/>
            <w:tcBorders>
              <w:top w:val="single" w:color="auto" w:sz="4" w:space="0"/>
              <w:left w:val="single" w:color="auto" w:sz="4" w:space="0"/>
              <w:bottom w:val="single" w:color="auto" w:sz="4" w:space="0"/>
              <w:right w:val="single" w:color="auto" w:sz="4" w:space="0"/>
            </w:tcBorders>
            <w:noWrap/>
            <w:vAlign w:val="center"/>
          </w:tcPr>
          <w:p w14:paraId="7735213C">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其他项目清单</w:t>
            </w:r>
          </w:p>
        </w:tc>
        <w:tc>
          <w:tcPr>
            <w:tcW w:w="1236" w:type="dxa"/>
            <w:tcBorders>
              <w:top w:val="single" w:color="auto" w:sz="4" w:space="0"/>
              <w:left w:val="single" w:color="auto" w:sz="4" w:space="0"/>
              <w:bottom w:val="single" w:color="auto" w:sz="4" w:space="0"/>
              <w:right w:val="single" w:color="auto" w:sz="4" w:space="0"/>
            </w:tcBorders>
            <w:noWrap/>
            <w:vAlign w:val="center"/>
          </w:tcPr>
          <w:p w14:paraId="2E6E22DC">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p>
        </w:tc>
        <w:tc>
          <w:tcPr>
            <w:tcW w:w="3804" w:type="dxa"/>
            <w:gridSpan w:val="2"/>
            <w:tcBorders>
              <w:top w:val="single" w:color="auto" w:sz="4" w:space="0"/>
              <w:left w:val="single" w:color="auto" w:sz="4" w:space="0"/>
              <w:bottom w:val="single" w:color="auto" w:sz="4" w:space="0"/>
              <w:right w:val="single" w:color="auto" w:sz="4" w:space="0"/>
            </w:tcBorders>
            <w:noWrap/>
            <w:vAlign w:val="center"/>
          </w:tcPr>
          <w:p w14:paraId="3058DDD4">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-54610</wp:posOffset>
                      </wp:positionH>
                      <wp:positionV relativeFrom="paragraph">
                        <wp:posOffset>8890</wp:posOffset>
                      </wp:positionV>
                      <wp:extent cx="1529080" cy="179070"/>
                      <wp:effectExtent l="635" t="4445" r="9525" b="14605"/>
                      <wp:wrapNone/>
                      <wp:docPr id="2" name="直接连接符 2"/>
                      <wp:cNvGraphicFramePr/>
                      <a:graphic xmlns:a="http://schemas.openxmlformats.org/drawingml/2006/main">
                        <a:graphicData uri="http://schemas.microsoft.com/office/word/2010/wordprocessingShape">
                          <wps:wsp>
                            <wps:cNvCnPr/>
                            <wps:spPr>
                              <a:xfrm flipV="1">
                                <a:off x="0" y="0"/>
                                <a:ext cx="1529080" cy="17907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4.3pt;margin-top:0.7pt;height:14.1pt;width:120.4pt;z-index:251661312;mso-width-relative:page;mso-height-relative:page;" filled="f" stroked="t" coordsize="21600,21600" o:gfxdata="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pKLzNUAAAAHAQAADwAAAAAAAAABACAAAAAiAAAAZHJzL2Rvd25yZXYu&#10;eG1sUEsBAhQAFAAAAAgAh07iQAIrw0r+AQAA9QMAAA4AAAAAAAAAAQAgAAAAJAEAAGRycy9lMm9E&#10;b2MueG1sUEsFBgAAAAAGAAYAWQEAAJQFAAAAAA==&#10;">
                      <v:fill on="f" focussize="0,0"/>
                      <v:stroke color="#000000" joinstyle="round"/>
                      <v:imagedata o:title=""/>
                      <o:lock v:ext="edit" aspectratio="f"/>
                    </v:line>
                  </w:pict>
                </mc:Fallback>
              </mc:AlternateContent>
            </w:r>
          </w:p>
        </w:tc>
      </w:tr>
      <w:tr w14:paraId="7F43E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Borders>
              <w:top w:val="single" w:color="auto" w:sz="4" w:space="0"/>
              <w:left w:val="single" w:color="auto" w:sz="4" w:space="0"/>
              <w:bottom w:val="single" w:color="auto" w:sz="4" w:space="0"/>
              <w:right w:val="single" w:color="auto" w:sz="4" w:space="0"/>
            </w:tcBorders>
            <w:noWrap/>
          </w:tcPr>
          <w:p w14:paraId="0F6C69F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四</w:t>
            </w:r>
          </w:p>
        </w:tc>
        <w:tc>
          <w:tcPr>
            <w:tcW w:w="3600" w:type="dxa"/>
            <w:tcBorders>
              <w:top w:val="single" w:color="auto" w:sz="4" w:space="0"/>
              <w:left w:val="single" w:color="auto" w:sz="4" w:space="0"/>
              <w:bottom w:val="single" w:color="auto" w:sz="4" w:space="0"/>
              <w:right w:val="single" w:color="auto" w:sz="4" w:space="0"/>
            </w:tcBorders>
            <w:noWrap/>
            <w:vAlign w:val="center"/>
          </w:tcPr>
          <w:p w14:paraId="79172AED">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规费</w:t>
            </w:r>
          </w:p>
        </w:tc>
        <w:tc>
          <w:tcPr>
            <w:tcW w:w="1236" w:type="dxa"/>
            <w:tcBorders>
              <w:top w:val="single" w:color="auto" w:sz="4" w:space="0"/>
              <w:left w:val="single" w:color="auto" w:sz="4" w:space="0"/>
              <w:bottom w:val="single" w:color="auto" w:sz="4" w:space="0"/>
              <w:right w:val="single" w:color="auto" w:sz="4" w:space="0"/>
            </w:tcBorders>
            <w:noWrap/>
            <w:vAlign w:val="center"/>
          </w:tcPr>
          <w:p w14:paraId="77F89BB7">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p>
        </w:tc>
        <w:tc>
          <w:tcPr>
            <w:tcW w:w="1948" w:type="dxa"/>
            <w:tcBorders>
              <w:top w:val="single" w:color="auto" w:sz="4" w:space="0"/>
              <w:left w:val="single" w:color="auto" w:sz="4" w:space="0"/>
              <w:bottom w:val="single" w:color="auto" w:sz="4" w:space="0"/>
              <w:right w:val="single" w:color="auto" w:sz="4" w:space="0"/>
            </w:tcBorders>
            <w:noWrap/>
            <w:vAlign w:val="center"/>
          </w:tcPr>
          <w:p w14:paraId="0DDD88BD">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p>
        </w:tc>
        <w:tc>
          <w:tcPr>
            <w:tcW w:w="1856" w:type="dxa"/>
            <w:tcBorders>
              <w:top w:val="single" w:color="auto" w:sz="4" w:space="0"/>
              <w:left w:val="single" w:color="auto" w:sz="4" w:space="0"/>
              <w:bottom w:val="single" w:color="auto" w:sz="4" w:space="0"/>
              <w:right w:val="single" w:color="auto" w:sz="4" w:space="0"/>
            </w:tcBorders>
            <w:noWrap/>
            <w:vAlign w:val="center"/>
          </w:tcPr>
          <w:p w14:paraId="7D36B8F9">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p>
        </w:tc>
      </w:tr>
      <w:tr w14:paraId="4ABC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44A0621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五</w:t>
            </w:r>
          </w:p>
        </w:tc>
        <w:tc>
          <w:tcPr>
            <w:tcW w:w="3600" w:type="dxa"/>
            <w:tcBorders>
              <w:top w:val="single" w:color="auto" w:sz="4" w:space="0"/>
              <w:left w:val="single" w:color="auto" w:sz="4" w:space="0"/>
              <w:bottom w:val="single" w:color="auto" w:sz="4" w:space="0"/>
              <w:right w:val="single" w:color="auto" w:sz="4" w:space="0"/>
            </w:tcBorders>
            <w:noWrap/>
            <w:vAlign w:val="center"/>
          </w:tcPr>
          <w:p w14:paraId="06A093E2">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税金[（一 + 二+三 + 四）×*费率]</w:t>
            </w:r>
          </w:p>
        </w:tc>
        <w:tc>
          <w:tcPr>
            <w:tcW w:w="1236" w:type="dxa"/>
            <w:tcBorders>
              <w:top w:val="single" w:color="auto" w:sz="4" w:space="0"/>
              <w:left w:val="single" w:color="auto" w:sz="4" w:space="0"/>
              <w:bottom w:val="single" w:color="auto" w:sz="4" w:space="0"/>
              <w:right w:val="single" w:color="auto" w:sz="4" w:space="0"/>
            </w:tcBorders>
            <w:noWrap/>
            <w:vAlign w:val="center"/>
          </w:tcPr>
          <w:p w14:paraId="1419AB90">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p>
        </w:tc>
        <w:tc>
          <w:tcPr>
            <w:tcW w:w="3804" w:type="dxa"/>
            <w:gridSpan w:val="2"/>
            <w:vMerge w:val="restart"/>
            <w:tcBorders>
              <w:top w:val="single" w:color="auto" w:sz="4" w:space="0"/>
              <w:left w:val="single" w:color="auto" w:sz="4" w:space="0"/>
              <w:bottom w:val="single" w:color="auto" w:sz="4" w:space="0"/>
              <w:right w:val="single" w:color="auto" w:sz="4" w:space="0"/>
            </w:tcBorders>
            <w:noWrap/>
            <w:vAlign w:val="center"/>
          </w:tcPr>
          <w:p w14:paraId="09BCD17F">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p>
        </w:tc>
      </w:tr>
      <w:tr w14:paraId="32D4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Borders>
              <w:top w:val="single" w:color="auto" w:sz="4" w:space="0"/>
              <w:left w:val="single" w:color="auto" w:sz="4" w:space="0"/>
              <w:bottom w:val="single" w:color="auto" w:sz="4" w:space="0"/>
              <w:right w:val="single" w:color="auto" w:sz="4" w:space="0"/>
            </w:tcBorders>
            <w:noWrap/>
          </w:tcPr>
          <w:p w14:paraId="34D16E5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六</w:t>
            </w:r>
          </w:p>
        </w:tc>
        <w:tc>
          <w:tcPr>
            <w:tcW w:w="3600" w:type="dxa"/>
            <w:tcBorders>
              <w:top w:val="single" w:color="auto" w:sz="4" w:space="0"/>
              <w:left w:val="single" w:color="auto" w:sz="4" w:space="0"/>
              <w:bottom w:val="single" w:color="auto" w:sz="4" w:space="0"/>
              <w:right w:val="single" w:color="auto" w:sz="4" w:space="0"/>
            </w:tcBorders>
            <w:noWrap/>
            <w:vAlign w:val="center"/>
          </w:tcPr>
          <w:p w14:paraId="455AC840">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总报价（一+二+三+四+五）</w:t>
            </w:r>
          </w:p>
        </w:tc>
        <w:tc>
          <w:tcPr>
            <w:tcW w:w="1236" w:type="dxa"/>
            <w:tcBorders>
              <w:top w:val="single" w:color="auto" w:sz="4" w:space="0"/>
              <w:left w:val="single" w:color="auto" w:sz="4" w:space="0"/>
              <w:bottom w:val="single" w:color="auto" w:sz="4" w:space="0"/>
              <w:right w:val="single" w:color="auto" w:sz="4" w:space="0"/>
            </w:tcBorders>
            <w:noWrap/>
            <w:vAlign w:val="center"/>
          </w:tcPr>
          <w:p w14:paraId="4C2913BE">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p>
        </w:tc>
        <w:tc>
          <w:tcPr>
            <w:tcW w:w="3804"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F5BB99F">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p>
        </w:tc>
      </w:tr>
      <w:tr w14:paraId="2893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48" w:type="dxa"/>
            <w:gridSpan w:val="5"/>
            <w:tcBorders>
              <w:top w:val="single" w:color="auto" w:sz="4" w:space="0"/>
              <w:left w:val="single" w:color="auto" w:sz="4" w:space="0"/>
              <w:bottom w:val="single" w:color="auto" w:sz="4" w:space="0"/>
              <w:right w:val="single" w:color="auto" w:sz="4" w:space="0"/>
            </w:tcBorders>
            <w:noWrap/>
            <w:vAlign w:val="center"/>
          </w:tcPr>
          <w:p w14:paraId="2E31D761">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总报价(大写)：</w:t>
            </w:r>
          </w:p>
        </w:tc>
      </w:tr>
    </w:tbl>
    <w:p w14:paraId="7C105E69">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r>
        <w:rPr>
          <w:rFonts w:hint="eastAsia" w:ascii="宋体" w:hAnsi="宋体" w:cs="仿宋"/>
          <w:color w:val="auto"/>
          <w:highlight w:val="none"/>
        </w:rPr>
        <w:t>注：本表适用于：</w:t>
      </w:r>
    </w:p>
    <w:p w14:paraId="4C0944BA">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r>
        <w:rPr>
          <w:rFonts w:hint="eastAsia" w:ascii="宋体" w:hAnsi="宋体" w:cs="仿宋"/>
          <w:color w:val="auto"/>
          <w:highlight w:val="none"/>
        </w:rPr>
        <w:t>（1）只有1个专业工程分部分项工程量清单的单位工程发包项目的报价汇总；</w:t>
      </w:r>
    </w:p>
    <w:p w14:paraId="33566B23">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r>
        <w:rPr>
          <w:rFonts w:hint="eastAsia" w:ascii="宋体" w:hAnsi="宋体" w:cs="仿宋"/>
          <w:color w:val="auto"/>
          <w:highlight w:val="none"/>
        </w:rPr>
        <w:t>（2）其余招标项目的单位工程报价汇总。</w:t>
      </w:r>
    </w:p>
    <w:p w14:paraId="5BC04322">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p>
    <w:p w14:paraId="05FA77B9">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r>
        <w:rPr>
          <w:rFonts w:hint="eastAsia" w:ascii="宋体" w:hAnsi="宋体" w:cs="仿宋"/>
          <w:color w:val="auto"/>
          <w:highlight w:val="none"/>
        </w:rPr>
        <w:t>投标人：（盖章）法定代表人或委托代理人：（盖章或签字）</w:t>
      </w:r>
    </w:p>
    <w:p w14:paraId="46D1387C">
      <w:pPr>
        <w:keepNext w:val="0"/>
        <w:keepLines w:val="0"/>
        <w:pageBreakBefore w:val="0"/>
        <w:kinsoku/>
        <w:wordWrap w:val="0"/>
        <w:overflowPunct/>
        <w:topLinePunct w:val="0"/>
        <w:autoSpaceDE/>
        <w:autoSpaceDN/>
        <w:bidi w:val="0"/>
        <w:spacing w:line="460" w:lineRule="exact"/>
        <w:ind w:firstLine="420" w:firstLineChars="200"/>
        <w:textAlignment w:val="auto"/>
        <w:outlineLvl w:val="9"/>
        <w:rPr>
          <w:rFonts w:cs="仿宋"/>
          <w:color w:val="auto"/>
          <w:kern w:val="0"/>
          <w:szCs w:val="21"/>
          <w:highlight w:val="none"/>
        </w:rPr>
      </w:pPr>
    </w:p>
    <w:p w14:paraId="05C8ECE0">
      <w:pPr>
        <w:keepNext w:val="0"/>
        <w:keepLines w:val="0"/>
        <w:pageBreakBefore w:val="0"/>
        <w:kinsoku/>
        <w:overflowPunct/>
        <w:topLinePunct w:val="0"/>
        <w:autoSpaceDE/>
        <w:autoSpaceDN/>
        <w:bidi w:val="0"/>
        <w:ind w:firstLine="480"/>
        <w:textAlignment w:val="auto"/>
        <w:outlineLvl w:val="9"/>
        <w:rPr>
          <w:color w:val="auto"/>
          <w:highlight w:val="none"/>
        </w:rPr>
        <w:sectPr>
          <w:headerReference r:id="rId18" w:type="first"/>
          <w:footerReference r:id="rId20" w:type="first"/>
          <w:headerReference r:id="rId17" w:type="default"/>
          <w:footerReference r:id="rId19" w:type="default"/>
          <w:pgSz w:w="11905" w:h="16838"/>
          <w:pgMar w:top="1417" w:right="1417" w:bottom="1417" w:left="1417" w:header="850" w:footer="992" w:gutter="0"/>
          <w:cols w:space="0" w:num="1"/>
          <w:titlePg/>
          <w:rtlGutter w:val="0"/>
          <w:docGrid w:linePitch="312" w:charSpace="0"/>
        </w:sectPr>
      </w:pPr>
    </w:p>
    <w:p w14:paraId="497C5FB2">
      <w:pPr>
        <w:keepNext w:val="0"/>
        <w:keepLines w:val="0"/>
        <w:pageBreakBefore w:val="0"/>
        <w:kinsoku/>
        <w:wordWrap w:val="0"/>
        <w:overflowPunct/>
        <w:topLinePunct w:val="0"/>
        <w:autoSpaceDE/>
        <w:autoSpaceDN/>
        <w:bidi w:val="0"/>
        <w:jc w:val="center"/>
        <w:textAlignment w:val="auto"/>
        <w:outlineLvl w:val="9"/>
        <w:rPr>
          <w:rFonts w:cs="仿宋"/>
          <w:b/>
          <w:bCs/>
          <w:color w:val="auto"/>
          <w:sz w:val="32"/>
          <w:szCs w:val="28"/>
          <w:highlight w:val="none"/>
        </w:rPr>
      </w:pPr>
      <w:r>
        <w:rPr>
          <w:rFonts w:hint="eastAsia" w:ascii="宋体" w:hAnsi="宋体" w:cs="仿宋"/>
          <w:b/>
          <w:bCs/>
          <w:color w:val="auto"/>
          <w:sz w:val="32"/>
          <w:szCs w:val="28"/>
          <w:highlight w:val="none"/>
        </w:rPr>
        <w:t>表1-2  分部分项工程量清单及计价表(      号清单)</w:t>
      </w:r>
    </w:p>
    <w:p w14:paraId="3EB73646">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 xml:space="preserve">单位工程及专业工程名称：                   </w:t>
      </w:r>
    </w:p>
    <w:p w14:paraId="7FC028BC">
      <w:pPr>
        <w:keepNext w:val="0"/>
        <w:keepLines w:val="0"/>
        <w:pageBreakBefore w:val="0"/>
        <w:kinsoku/>
        <w:wordWrap w:val="0"/>
        <w:overflowPunct/>
        <w:topLinePunct w:val="0"/>
        <w:autoSpaceDE/>
        <w:autoSpaceDN/>
        <w:bidi w:val="0"/>
        <w:adjustRightInd/>
        <w:spacing w:line="460" w:lineRule="exact"/>
        <w:jc w:val="right"/>
        <w:textAlignment w:val="auto"/>
        <w:outlineLvl w:val="9"/>
        <w:rPr>
          <w:rFonts w:cs="仿宋"/>
          <w:color w:val="auto"/>
          <w:highlight w:val="none"/>
        </w:rPr>
      </w:pPr>
      <w:r>
        <w:rPr>
          <w:rFonts w:hint="eastAsia" w:ascii="宋体" w:hAnsi="宋体" w:cs="仿宋"/>
          <w:color w:val="auto"/>
          <w:highlight w:val="none"/>
        </w:rPr>
        <w:t>第   页共   页</w:t>
      </w:r>
    </w:p>
    <w:tbl>
      <w:tblPr>
        <w:tblStyle w:val="62"/>
        <w:tblW w:w="14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88"/>
        <w:gridCol w:w="1330"/>
        <w:gridCol w:w="1360"/>
        <w:gridCol w:w="1320"/>
        <w:gridCol w:w="1096"/>
        <w:gridCol w:w="1260"/>
        <w:gridCol w:w="1026"/>
        <w:gridCol w:w="1254"/>
        <w:gridCol w:w="6"/>
        <w:gridCol w:w="1247"/>
        <w:gridCol w:w="13"/>
        <w:gridCol w:w="1088"/>
        <w:gridCol w:w="923"/>
      </w:tblGrid>
      <w:tr w14:paraId="45B2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4" w:type="dxa"/>
            <w:vMerge w:val="restart"/>
            <w:tcBorders>
              <w:top w:val="single" w:color="auto" w:sz="4" w:space="0"/>
              <w:left w:val="single" w:color="auto" w:sz="4" w:space="0"/>
              <w:bottom w:val="single" w:color="auto" w:sz="4" w:space="0"/>
              <w:right w:val="single" w:color="auto" w:sz="4" w:space="0"/>
            </w:tcBorders>
            <w:noWrap/>
            <w:vAlign w:val="center"/>
          </w:tcPr>
          <w:p w14:paraId="34F9BE3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序号</w:t>
            </w:r>
          </w:p>
        </w:tc>
        <w:tc>
          <w:tcPr>
            <w:tcW w:w="1388" w:type="dxa"/>
            <w:vMerge w:val="restart"/>
            <w:tcBorders>
              <w:top w:val="single" w:color="auto" w:sz="4" w:space="0"/>
              <w:left w:val="single" w:color="auto" w:sz="4" w:space="0"/>
              <w:bottom w:val="single" w:color="auto" w:sz="4" w:space="0"/>
              <w:right w:val="single" w:color="auto" w:sz="4" w:space="0"/>
            </w:tcBorders>
            <w:noWrap/>
            <w:vAlign w:val="center"/>
          </w:tcPr>
          <w:p w14:paraId="50218AE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项目编码</w:t>
            </w:r>
          </w:p>
        </w:tc>
        <w:tc>
          <w:tcPr>
            <w:tcW w:w="1330" w:type="dxa"/>
            <w:vMerge w:val="restart"/>
            <w:tcBorders>
              <w:top w:val="single" w:color="auto" w:sz="4" w:space="0"/>
              <w:left w:val="single" w:color="auto" w:sz="4" w:space="0"/>
              <w:bottom w:val="single" w:color="auto" w:sz="4" w:space="0"/>
              <w:right w:val="single" w:color="auto" w:sz="4" w:space="0"/>
            </w:tcBorders>
            <w:noWrap/>
            <w:vAlign w:val="center"/>
          </w:tcPr>
          <w:p w14:paraId="10855F2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项目名称</w:t>
            </w:r>
          </w:p>
        </w:tc>
        <w:tc>
          <w:tcPr>
            <w:tcW w:w="1360" w:type="dxa"/>
            <w:vMerge w:val="restart"/>
            <w:tcBorders>
              <w:top w:val="single" w:color="auto" w:sz="4" w:space="0"/>
              <w:left w:val="single" w:color="auto" w:sz="4" w:space="0"/>
              <w:bottom w:val="single" w:color="auto" w:sz="4" w:space="0"/>
              <w:right w:val="single" w:color="auto" w:sz="4" w:space="0"/>
            </w:tcBorders>
            <w:noWrap/>
            <w:vAlign w:val="center"/>
          </w:tcPr>
          <w:p w14:paraId="1BADA4F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项目特征</w:t>
            </w:r>
          </w:p>
          <w:p w14:paraId="027E80E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描述</w:t>
            </w:r>
          </w:p>
        </w:tc>
        <w:tc>
          <w:tcPr>
            <w:tcW w:w="1320" w:type="dxa"/>
            <w:vMerge w:val="restart"/>
            <w:tcBorders>
              <w:top w:val="single" w:color="auto" w:sz="4" w:space="0"/>
              <w:left w:val="single" w:color="auto" w:sz="4" w:space="0"/>
              <w:bottom w:val="single" w:color="auto" w:sz="4" w:space="0"/>
              <w:right w:val="single" w:color="auto" w:sz="4" w:space="0"/>
            </w:tcBorders>
            <w:noWrap/>
            <w:vAlign w:val="center"/>
          </w:tcPr>
          <w:p w14:paraId="0C0063B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计量单位</w:t>
            </w:r>
          </w:p>
        </w:tc>
        <w:tc>
          <w:tcPr>
            <w:tcW w:w="1096" w:type="dxa"/>
            <w:vMerge w:val="restart"/>
            <w:tcBorders>
              <w:top w:val="single" w:color="auto" w:sz="4" w:space="0"/>
              <w:left w:val="single" w:color="auto" w:sz="4" w:space="0"/>
              <w:bottom w:val="single" w:color="auto" w:sz="4" w:space="0"/>
              <w:right w:val="single" w:color="auto" w:sz="4" w:space="0"/>
            </w:tcBorders>
            <w:noWrap/>
            <w:vAlign w:val="center"/>
          </w:tcPr>
          <w:p w14:paraId="4471CFF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工程量</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32E2C16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综合单价</w:t>
            </w:r>
          </w:p>
          <w:p w14:paraId="1DD2090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(元)</w:t>
            </w:r>
          </w:p>
        </w:tc>
        <w:tc>
          <w:tcPr>
            <w:tcW w:w="1026" w:type="dxa"/>
            <w:vMerge w:val="restart"/>
            <w:tcBorders>
              <w:top w:val="single" w:color="auto" w:sz="4" w:space="0"/>
              <w:left w:val="single" w:color="auto" w:sz="4" w:space="0"/>
              <w:bottom w:val="single" w:color="auto" w:sz="4" w:space="0"/>
              <w:right w:val="single" w:color="auto" w:sz="4" w:space="0"/>
            </w:tcBorders>
            <w:noWrap/>
            <w:vAlign w:val="center"/>
          </w:tcPr>
          <w:p w14:paraId="116F76A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合  价</w:t>
            </w:r>
          </w:p>
          <w:p w14:paraId="43B1567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(元)</w:t>
            </w:r>
          </w:p>
        </w:tc>
        <w:tc>
          <w:tcPr>
            <w:tcW w:w="3608" w:type="dxa"/>
            <w:gridSpan w:val="5"/>
            <w:tcBorders>
              <w:top w:val="single" w:color="auto" w:sz="4" w:space="0"/>
              <w:left w:val="single" w:color="auto" w:sz="4" w:space="0"/>
              <w:bottom w:val="single" w:color="auto" w:sz="4" w:space="0"/>
              <w:right w:val="single" w:color="auto" w:sz="4" w:space="0"/>
            </w:tcBorders>
            <w:noWrap/>
            <w:vAlign w:val="center"/>
          </w:tcPr>
          <w:p w14:paraId="47865F7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其中</w:t>
            </w: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14:paraId="1A18404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备注</w:t>
            </w:r>
          </w:p>
        </w:tc>
      </w:tr>
      <w:tr w14:paraId="7B7B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4" w:type="dxa"/>
            <w:vMerge w:val="continue"/>
            <w:tcBorders>
              <w:top w:val="single" w:color="auto" w:sz="4" w:space="0"/>
              <w:left w:val="single" w:color="auto" w:sz="4" w:space="0"/>
              <w:bottom w:val="single" w:color="auto" w:sz="4" w:space="0"/>
              <w:right w:val="single" w:color="auto" w:sz="4" w:space="0"/>
            </w:tcBorders>
            <w:noWrap/>
            <w:vAlign w:val="center"/>
          </w:tcPr>
          <w:p w14:paraId="61A19529">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p>
        </w:tc>
        <w:tc>
          <w:tcPr>
            <w:tcW w:w="1388" w:type="dxa"/>
            <w:vMerge w:val="continue"/>
            <w:tcBorders>
              <w:top w:val="single" w:color="auto" w:sz="4" w:space="0"/>
              <w:left w:val="single" w:color="auto" w:sz="4" w:space="0"/>
              <w:bottom w:val="single" w:color="auto" w:sz="4" w:space="0"/>
              <w:right w:val="single" w:color="auto" w:sz="4" w:space="0"/>
            </w:tcBorders>
            <w:noWrap/>
            <w:vAlign w:val="center"/>
          </w:tcPr>
          <w:p w14:paraId="15A4E3D0">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p>
        </w:tc>
        <w:tc>
          <w:tcPr>
            <w:tcW w:w="1330" w:type="dxa"/>
            <w:vMerge w:val="continue"/>
            <w:tcBorders>
              <w:top w:val="single" w:color="auto" w:sz="4" w:space="0"/>
              <w:left w:val="single" w:color="auto" w:sz="4" w:space="0"/>
              <w:bottom w:val="single" w:color="auto" w:sz="4" w:space="0"/>
              <w:right w:val="single" w:color="auto" w:sz="4" w:space="0"/>
            </w:tcBorders>
            <w:noWrap/>
            <w:vAlign w:val="center"/>
          </w:tcPr>
          <w:p w14:paraId="07FFBD5A">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p>
        </w:tc>
        <w:tc>
          <w:tcPr>
            <w:tcW w:w="1360" w:type="dxa"/>
            <w:vMerge w:val="continue"/>
            <w:tcBorders>
              <w:top w:val="single" w:color="auto" w:sz="4" w:space="0"/>
              <w:left w:val="single" w:color="auto" w:sz="4" w:space="0"/>
              <w:bottom w:val="single" w:color="auto" w:sz="4" w:space="0"/>
              <w:right w:val="single" w:color="auto" w:sz="4" w:space="0"/>
            </w:tcBorders>
            <w:noWrap/>
            <w:vAlign w:val="center"/>
          </w:tcPr>
          <w:p w14:paraId="2F644870">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p>
        </w:tc>
        <w:tc>
          <w:tcPr>
            <w:tcW w:w="1320" w:type="dxa"/>
            <w:vMerge w:val="continue"/>
            <w:tcBorders>
              <w:top w:val="single" w:color="auto" w:sz="4" w:space="0"/>
              <w:left w:val="single" w:color="auto" w:sz="4" w:space="0"/>
              <w:bottom w:val="single" w:color="auto" w:sz="4" w:space="0"/>
              <w:right w:val="single" w:color="auto" w:sz="4" w:space="0"/>
            </w:tcBorders>
            <w:noWrap/>
            <w:vAlign w:val="center"/>
          </w:tcPr>
          <w:p w14:paraId="0503C4F4">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p>
        </w:tc>
        <w:tc>
          <w:tcPr>
            <w:tcW w:w="1096" w:type="dxa"/>
            <w:vMerge w:val="continue"/>
            <w:tcBorders>
              <w:top w:val="single" w:color="auto" w:sz="4" w:space="0"/>
              <w:left w:val="single" w:color="auto" w:sz="4" w:space="0"/>
              <w:bottom w:val="single" w:color="auto" w:sz="4" w:space="0"/>
              <w:right w:val="single" w:color="auto" w:sz="4" w:space="0"/>
            </w:tcBorders>
            <w:noWrap/>
            <w:vAlign w:val="center"/>
          </w:tcPr>
          <w:p w14:paraId="71223CA9">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ign w:val="center"/>
          </w:tcPr>
          <w:p w14:paraId="3B9AAA9C">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p>
        </w:tc>
        <w:tc>
          <w:tcPr>
            <w:tcW w:w="1026" w:type="dxa"/>
            <w:vMerge w:val="continue"/>
            <w:tcBorders>
              <w:top w:val="single" w:color="auto" w:sz="4" w:space="0"/>
              <w:left w:val="single" w:color="auto" w:sz="4" w:space="0"/>
              <w:bottom w:val="single" w:color="auto" w:sz="4" w:space="0"/>
              <w:right w:val="single" w:color="auto" w:sz="4" w:space="0"/>
            </w:tcBorders>
            <w:noWrap/>
            <w:vAlign w:val="center"/>
          </w:tcPr>
          <w:p w14:paraId="67447131">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0F2890E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人工费</w:t>
            </w: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33AB5AA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机械费</w:t>
            </w:r>
          </w:p>
        </w:tc>
        <w:tc>
          <w:tcPr>
            <w:tcW w:w="1088" w:type="dxa"/>
            <w:tcBorders>
              <w:top w:val="single" w:color="auto" w:sz="4" w:space="0"/>
              <w:left w:val="single" w:color="auto" w:sz="4" w:space="0"/>
              <w:bottom w:val="single" w:color="auto" w:sz="4" w:space="0"/>
              <w:right w:val="single" w:color="auto" w:sz="4" w:space="0"/>
            </w:tcBorders>
            <w:noWrap/>
            <w:vAlign w:val="center"/>
          </w:tcPr>
          <w:p w14:paraId="3756C95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管理费</w:t>
            </w:r>
          </w:p>
        </w:tc>
        <w:tc>
          <w:tcPr>
            <w:tcW w:w="923" w:type="dxa"/>
            <w:vMerge w:val="continue"/>
            <w:tcBorders>
              <w:top w:val="single" w:color="auto" w:sz="4" w:space="0"/>
              <w:left w:val="single" w:color="auto" w:sz="4" w:space="0"/>
              <w:bottom w:val="single" w:color="auto" w:sz="4" w:space="0"/>
              <w:right w:val="single" w:color="auto" w:sz="4" w:space="0"/>
            </w:tcBorders>
            <w:noWrap/>
            <w:vAlign w:val="center"/>
          </w:tcPr>
          <w:p w14:paraId="48486949">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p>
        </w:tc>
      </w:tr>
      <w:tr w14:paraId="43CD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54F53AC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1388" w:type="dxa"/>
            <w:tcBorders>
              <w:top w:val="single" w:color="auto" w:sz="4" w:space="0"/>
              <w:left w:val="single" w:color="auto" w:sz="4" w:space="0"/>
              <w:bottom w:val="single" w:color="auto" w:sz="4" w:space="0"/>
              <w:right w:val="single" w:color="auto" w:sz="4" w:space="0"/>
            </w:tcBorders>
            <w:noWrap/>
            <w:vAlign w:val="center"/>
          </w:tcPr>
          <w:p w14:paraId="7B5908D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1330" w:type="dxa"/>
            <w:tcBorders>
              <w:top w:val="single" w:color="auto" w:sz="4" w:space="0"/>
              <w:left w:val="single" w:color="auto" w:sz="4" w:space="0"/>
              <w:bottom w:val="single" w:color="auto" w:sz="4" w:space="0"/>
              <w:right w:val="single" w:color="auto" w:sz="4" w:space="0"/>
            </w:tcBorders>
            <w:noWrap/>
            <w:vAlign w:val="center"/>
          </w:tcPr>
          <w:p w14:paraId="62A8ECE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（3）</w:t>
            </w:r>
          </w:p>
        </w:tc>
        <w:tc>
          <w:tcPr>
            <w:tcW w:w="1360" w:type="dxa"/>
            <w:tcBorders>
              <w:top w:val="single" w:color="auto" w:sz="4" w:space="0"/>
              <w:left w:val="single" w:color="auto" w:sz="4" w:space="0"/>
              <w:bottom w:val="single" w:color="auto" w:sz="4" w:space="0"/>
              <w:right w:val="single" w:color="auto" w:sz="4" w:space="0"/>
            </w:tcBorders>
            <w:noWrap/>
            <w:vAlign w:val="center"/>
          </w:tcPr>
          <w:p w14:paraId="6DFC7F1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（4）</w:t>
            </w:r>
          </w:p>
        </w:tc>
        <w:tc>
          <w:tcPr>
            <w:tcW w:w="1320" w:type="dxa"/>
            <w:tcBorders>
              <w:top w:val="single" w:color="auto" w:sz="4" w:space="0"/>
              <w:left w:val="single" w:color="auto" w:sz="4" w:space="0"/>
              <w:bottom w:val="single" w:color="auto" w:sz="4" w:space="0"/>
              <w:right w:val="single" w:color="auto" w:sz="4" w:space="0"/>
            </w:tcBorders>
            <w:noWrap/>
            <w:vAlign w:val="center"/>
          </w:tcPr>
          <w:p w14:paraId="7736AA4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（5）</w:t>
            </w:r>
          </w:p>
        </w:tc>
        <w:tc>
          <w:tcPr>
            <w:tcW w:w="1096" w:type="dxa"/>
            <w:tcBorders>
              <w:top w:val="single" w:color="auto" w:sz="4" w:space="0"/>
              <w:left w:val="single" w:color="auto" w:sz="4" w:space="0"/>
              <w:bottom w:val="single" w:color="auto" w:sz="4" w:space="0"/>
              <w:right w:val="single" w:color="auto" w:sz="4" w:space="0"/>
            </w:tcBorders>
            <w:noWrap/>
            <w:vAlign w:val="center"/>
          </w:tcPr>
          <w:p w14:paraId="2869C7F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（6）</w:t>
            </w:r>
          </w:p>
        </w:tc>
        <w:tc>
          <w:tcPr>
            <w:tcW w:w="1260" w:type="dxa"/>
            <w:tcBorders>
              <w:top w:val="single" w:color="auto" w:sz="4" w:space="0"/>
              <w:left w:val="single" w:color="auto" w:sz="4" w:space="0"/>
              <w:bottom w:val="single" w:color="auto" w:sz="4" w:space="0"/>
              <w:right w:val="single" w:color="auto" w:sz="4" w:space="0"/>
            </w:tcBorders>
            <w:noWrap/>
            <w:vAlign w:val="center"/>
          </w:tcPr>
          <w:p w14:paraId="594D719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26" w:type="dxa"/>
            <w:tcBorders>
              <w:top w:val="single" w:color="auto" w:sz="4" w:space="0"/>
              <w:left w:val="single" w:color="auto" w:sz="4" w:space="0"/>
              <w:bottom w:val="single" w:color="auto" w:sz="4" w:space="0"/>
              <w:right w:val="single" w:color="auto" w:sz="4" w:space="0"/>
            </w:tcBorders>
            <w:noWrap/>
            <w:vAlign w:val="center"/>
          </w:tcPr>
          <w:p w14:paraId="5DD231D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54" w:type="dxa"/>
            <w:tcBorders>
              <w:top w:val="single" w:color="auto" w:sz="4" w:space="0"/>
              <w:left w:val="single" w:color="auto" w:sz="4" w:space="0"/>
              <w:bottom w:val="single" w:color="auto" w:sz="4" w:space="0"/>
              <w:right w:val="single" w:color="auto" w:sz="4" w:space="0"/>
            </w:tcBorders>
            <w:noWrap/>
            <w:vAlign w:val="center"/>
          </w:tcPr>
          <w:p w14:paraId="7DEC3F6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53" w:type="dxa"/>
            <w:gridSpan w:val="2"/>
            <w:tcBorders>
              <w:top w:val="single" w:color="auto" w:sz="4" w:space="0"/>
              <w:left w:val="single" w:color="auto" w:sz="4" w:space="0"/>
              <w:bottom w:val="single" w:color="auto" w:sz="4" w:space="0"/>
              <w:right w:val="single" w:color="auto" w:sz="4" w:space="0"/>
            </w:tcBorders>
            <w:noWrap/>
            <w:vAlign w:val="center"/>
          </w:tcPr>
          <w:p w14:paraId="2534D32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vAlign w:val="center"/>
          </w:tcPr>
          <w:p w14:paraId="76E5FE0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vAlign w:val="center"/>
          </w:tcPr>
          <w:p w14:paraId="4757044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（7）</w:t>
            </w:r>
          </w:p>
        </w:tc>
      </w:tr>
      <w:tr w14:paraId="77CA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A7345F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388" w:type="dxa"/>
            <w:tcBorders>
              <w:top w:val="single" w:color="auto" w:sz="4" w:space="0"/>
              <w:left w:val="single" w:color="auto" w:sz="4" w:space="0"/>
              <w:bottom w:val="single" w:color="auto" w:sz="4" w:space="0"/>
              <w:right w:val="single" w:color="auto" w:sz="4" w:space="0"/>
            </w:tcBorders>
            <w:noWrap/>
            <w:vAlign w:val="center"/>
          </w:tcPr>
          <w:p w14:paraId="5CAAD94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330" w:type="dxa"/>
            <w:tcBorders>
              <w:top w:val="single" w:color="auto" w:sz="4" w:space="0"/>
              <w:left w:val="single" w:color="auto" w:sz="4" w:space="0"/>
              <w:bottom w:val="single" w:color="auto" w:sz="4" w:space="0"/>
              <w:right w:val="single" w:color="auto" w:sz="4" w:space="0"/>
            </w:tcBorders>
            <w:noWrap/>
            <w:vAlign w:val="center"/>
          </w:tcPr>
          <w:p w14:paraId="179CCFA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360" w:type="dxa"/>
            <w:tcBorders>
              <w:top w:val="single" w:color="auto" w:sz="4" w:space="0"/>
              <w:left w:val="single" w:color="auto" w:sz="4" w:space="0"/>
              <w:bottom w:val="single" w:color="auto" w:sz="4" w:space="0"/>
              <w:right w:val="single" w:color="auto" w:sz="4" w:space="0"/>
            </w:tcBorders>
            <w:noWrap/>
            <w:vAlign w:val="center"/>
          </w:tcPr>
          <w:p w14:paraId="08D2EA8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320" w:type="dxa"/>
            <w:tcBorders>
              <w:top w:val="single" w:color="auto" w:sz="4" w:space="0"/>
              <w:left w:val="single" w:color="auto" w:sz="4" w:space="0"/>
              <w:bottom w:val="single" w:color="auto" w:sz="4" w:space="0"/>
              <w:right w:val="single" w:color="auto" w:sz="4" w:space="0"/>
            </w:tcBorders>
            <w:noWrap/>
            <w:vAlign w:val="center"/>
          </w:tcPr>
          <w:p w14:paraId="7C33D37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96" w:type="dxa"/>
            <w:tcBorders>
              <w:top w:val="single" w:color="auto" w:sz="4" w:space="0"/>
              <w:left w:val="single" w:color="auto" w:sz="4" w:space="0"/>
              <w:bottom w:val="single" w:color="auto" w:sz="4" w:space="0"/>
              <w:right w:val="single" w:color="auto" w:sz="4" w:space="0"/>
            </w:tcBorders>
            <w:noWrap/>
            <w:vAlign w:val="center"/>
          </w:tcPr>
          <w:p w14:paraId="0EA7565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4F2A78D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26" w:type="dxa"/>
            <w:tcBorders>
              <w:top w:val="single" w:color="auto" w:sz="4" w:space="0"/>
              <w:left w:val="single" w:color="auto" w:sz="4" w:space="0"/>
              <w:bottom w:val="single" w:color="auto" w:sz="4" w:space="0"/>
              <w:right w:val="single" w:color="auto" w:sz="4" w:space="0"/>
            </w:tcBorders>
            <w:noWrap/>
            <w:vAlign w:val="center"/>
          </w:tcPr>
          <w:p w14:paraId="5BAA0DB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54" w:type="dxa"/>
            <w:tcBorders>
              <w:top w:val="single" w:color="auto" w:sz="4" w:space="0"/>
              <w:left w:val="single" w:color="auto" w:sz="4" w:space="0"/>
              <w:bottom w:val="single" w:color="auto" w:sz="4" w:space="0"/>
              <w:right w:val="single" w:color="auto" w:sz="4" w:space="0"/>
            </w:tcBorders>
            <w:noWrap/>
            <w:vAlign w:val="center"/>
          </w:tcPr>
          <w:p w14:paraId="090BCD8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53" w:type="dxa"/>
            <w:gridSpan w:val="2"/>
            <w:tcBorders>
              <w:top w:val="single" w:color="auto" w:sz="4" w:space="0"/>
              <w:left w:val="single" w:color="auto" w:sz="4" w:space="0"/>
              <w:bottom w:val="single" w:color="auto" w:sz="4" w:space="0"/>
              <w:right w:val="single" w:color="auto" w:sz="4" w:space="0"/>
            </w:tcBorders>
            <w:noWrap/>
            <w:vAlign w:val="center"/>
          </w:tcPr>
          <w:p w14:paraId="033BF87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tcPr>
          <w:p w14:paraId="306E25B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vAlign w:val="center"/>
          </w:tcPr>
          <w:p w14:paraId="19E2005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2F38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57596E8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388" w:type="dxa"/>
            <w:tcBorders>
              <w:top w:val="single" w:color="auto" w:sz="4" w:space="0"/>
              <w:left w:val="single" w:color="auto" w:sz="4" w:space="0"/>
              <w:bottom w:val="single" w:color="auto" w:sz="4" w:space="0"/>
              <w:right w:val="single" w:color="auto" w:sz="4" w:space="0"/>
            </w:tcBorders>
            <w:noWrap/>
            <w:vAlign w:val="center"/>
          </w:tcPr>
          <w:p w14:paraId="0108D4E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330" w:type="dxa"/>
            <w:tcBorders>
              <w:top w:val="single" w:color="auto" w:sz="4" w:space="0"/>
              <w:left w:val="single" w:color="auto" w:sz="4" w:space="0"/>
              <w:bottom w:val="single" w:color="auto" w:sz="4" w:space="0"/>
              <w:right w:val="single" w:color="auto" w:sz="4" w:space="0"/>
            </w:tcBorders>
            <w:noWrap/>
            <w:vAlign w:val="center"/>
          </w:tcPr>
          <w:p w14:paraId="6AF0C6E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360" w:type="dxa"/>
            <w:tcBorders>
              <w:top w:val="single" w:color="auto" w:sz="4" w:space="0"/>
              <w:left w:val="single" w:color="auto" w:sz="4" w:space="0"/>
              <w:bottom w:val="single" w:color="auto" w:sz="4" w:space="0"/>
              <w:right w:val="single" w:color="auto" w:sz="4" w:space="0"/>
            </w:tcBorders>
            <w:noWrap/>
            <w:vAlign w:val="center"/>
          </w:tcPr>
          <w:p w14:paraId="787C55E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320" w:type="dxa"/>
            <w:tcBorders>
              <w:top w:val="single" w:color="auto" w:sz="4" w:space="0"/>
              <w:left w:val="single" w:color="auto" w:sz="4" w:space="0"/>
              <w:bottom w:val="single" w:color="auto" w:sz="4" w:space="0"/>
              <w:right w:val="single" w:color="auto" w:sz="4" w:space="0"/>
            </w:tcBorders>
            <w:noWrap/>
            <w:vAlign w:val="center"/>
          </w:tcPr>
          <w:p w14:paraId="6C1A622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96" w:type="dxa"/>
            <w:tcBorders>
              <w:top w:val="single" w:color="auto" w:sz="4" w:space="0"/>
              <w:left w:val="single" w:color="auto" w:sz="4" w:space="0"/>
              <w:bottom w:val="single" w:color="auto" w:sz="4" w:space="0"/>
              <w:right w:val="single" w:color="auto" w:sz="4" w:space="0"/>
            </w:tcBorders>
            <w:noWrap/>
            <w:vAlign w:val="center"/>
          </w:tcPr>
          <w:p w14:paraId="5063891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4E60E0B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26" w:type="dxa"/>
            <w:tcBorders>
              <w:top w:val="single" w:color="auto" w:sz="4" w:space="0"/>
              <w:left w:val="single" w:color="auto" w:sz="4" w:space="0"/>
              <w:bottom w:val="single" w:color="auto" w:sz="4" w:space="0"/>
              <w:right w:val="single" w:color="auto" w:sz="4" w:space="0"/>
            </w:tcBorders>
            <w:noWrap/>
            <w:vAlign w:val="center"/>
          </w:tcPr>
          <w:p w14:paraId="725A2CD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54" w:type="dxa"/>
            <w:tcBorders>
              <w:top w:val="single" w:color="auto" w:sz="4" w:space="0"/>
              <w:left w:val="single" w:color="auto" w:sz="4" w:space="0"/>
              <w:bottom w:val="single" w:color="auto" w:sz="4" w:space="0"/>
              <w:right w:val="single" w:color="auto" w:sz="4" w:space="0"/>
            </w:tcBorders>
            <w:noWrap/>
            <w:vAlign w:val="center"/>
          </w:tcPr>
          <w:p w14:paraId="6465FB9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53" w:type="dxa"/>
            <w:gridSpan w:val="2"/>
            <w:tcBorders>
              <w:top w:val="single" w:color="auto" w:sz="4" w:space="0"/>
              <w:left w:val="single" w:color="auto" w:sz="4" w:space="0"/>
              <w:bottom w:val="single" w:color="auto" w:sz="4" w:space="0"/>
              <w:right w:val="single" w:color="auto" w:sz="4" w:space="0"/>
            </w:tcBorders>
            <w:noWrap/>
            <w:vAlign w:val="center"/>
          </w:tcPr>
          <w:p w14:paraId="4559B00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tcPr>
          <w:p w14:paraId="51AF1FA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vAlign w:val="center"/>
          </w:tcPr>
          <w:p w14:paraId="1318664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76DD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01CEAC4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388" w:type="dxa"/>
            <w:tcBorders>
              <w:top w:val="single" w:color="auto" w:sz="4" w:space="0"/>
              <w:left w:val="single" w:color="auto" w:sz="4" w:space="0"/>
              <w:bottom w:val="single" w:color="auto" w:sz="4" w:space="0"/>
              <w:right w:val="single" w:color="auto" w:sz="4" w:space="0"/>
            </w:tcBorders>
            <w:noWrap/>
            <w:vAlign w:val="center"/>
          </w:tcPr>
          <w:p w14:paraId="6CEBDDC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330" w:type="dxa"/>
            <w:tcBorders>
              <w:top w:val="single" w:color="auto" w:sz="4" w:space="0"/>
              <w:left w:val="single" w:color="auto" w:sz="4" w:space="0"/>
              <w:bottom w:val="single" w:color="auto" w:sz="4" w:space="0"/>
              <w:right w:val="single" w:color="auto" w:sz="4" w:space="0"/>
            </w:tcBorders>
            <w:noWrap/>
            <w:vAlign w:val="center"/>
          </w:tcPr>
          <w:p w14:paraId="2A5AF3D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360" w:type="dxa"/>
            <w:tcBorders>
              <w:top w:val="single" w:color="auto" w:sz="4" w:space="0"/>
              <w:left w:val="single" w:color="auto" w:sz="4" w:space="0"/>
              <w:bottom w:val="single" w:color="auto" w:sz="4" w:space="0"/>
              <w:right w:val="single" w:color="auto" w:sz="4" w:space="0"/>
            </w:tcBorders>
            <w:noWrap/>
            <w:vAlign w:val="center"/>
          </w:tcPr>
          <w:p w14:paraId="6654FF2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320" w:type="dxa"/>
            <w:tcBorders>
              <w:top w:val="single" w:color="auto" w:sz="4" w:space="0"/>
              <w:left w:val="single" w:color="auto" w:sz="4" w:space="0"/>
              <w:bottom w:val="single" w:color="auto" w:sz="4" w:space="0"/>
              <w:right w:val="single" w:color="auto" w:sz="4" w:space="0"/>
            </w:tcBorders>
            <w:noWrap/>
            <w:vAlign w:val="center"/>
          </w:tcPr>
          <w:p w14:paraId="5A7FFAB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96" w:type="dxa"/>
            <w:tcBorders>
              <w:top w:val="single" w:color="auto" w:sz="4" w:space="0"/>
              <w:left w:val="single" w:color="auto" w:sz="4" w:space="0"/>
              <w:bottom w:val="single" w:color="auto" w:sz="4" w:space="0"/>
              <w:right w:val="single" w:color="auto" w:sz="4" w:space="0"/>
            </w:tcBorders>
            <w:noWrap/>
            <w:vAlign w:val="center"/>
          </w:tcPr>
          <w:p w14:paraId="1A225B6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429EA16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26" w:type="dxa"/>
            <w:tcBorders>
              <w:top w:val="single" w:color="auto" w:sz="4" w:space="0"/>
              <w:left w:val="single" w:color="auto" w:sz="4" w:space="0"/>
              <w:bottom w:val="single" w:color="auto" w:sz="4" w:space="0"/>
              <w:right w:val="single" w:color="auto" w:sz="4" w:space="0"/>
            </w:tcBorders>
            <w:noWrap/>
            <w:vAlign w:val="center"/>
          </w:tcPr>
          <w:p w14:paraId="50ABF32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54" w:type="dxa"/>
            <w:tcBorders>
              <w:top w:val="single" w:color="auto" w:sz="4" w:space="0"/>
              <w:left w:val="single" w:color="auto" w:sz="4" w:space="0"/>
              <w:bottom w:val="single" w:color="auto" w:sz="4" w:space="0"/>
              <w:right w:val="single" w:color="auto" w:sz="4" w:space="0"/>
            </w:tcBorders>
            <w:noWrap/>
            <w:vAlign w:val="center"/>
          </w:tcPr>
          <w:p w14:paraId="754417D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53" w:type="dxa"/>
            <w:gridSpan w:val="2"/>
            <w:tcBorders>
              <w:top w:val="single" w:color="auto" w:sz="4" w:space="0"/>
              <w:left w:val="single" w:color="auto" w:sz="4" w:space="0"/>
              <w:bottom w:val="single" w:color="auto" w:sz="4" w:space="0"/>
              <w:right w:val="single" w:color="auto" w:sz="4" w:space="0"/>
            </w:tcBorders>
            <w:noWrap/>
            <w:vAlign w:val="center"/>
          </w:tcPr>
          <w:p w14:paraId="7BA9840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101" w:type="dxa"/>
            <w:gridSpan w:val="2"/>
            <w:tcBorders>
              <w:top w:val="single" w:color="auto" w:sz="4" w:space="0"/>
              <w:left w:val="single" w:color="auto" w:sz="4" w:space="0"/>
              <w:bottom w:val="single" w:color="auto" w:sz="4" w:space="0"/>
              <w:right w:val="single" w:color="auto" w:sz="4" w:space="0"/>
            </w:tcBorders>
            <w:noWrap/>
          </w:tcPr>
          <w:p w14:paraId="796F0C5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vAlign w:val="center"/>
          </w:tcPr>
          <w:p w14:paraId="7A888A6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31DB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8" w:type="dxa"/>
            <w:gridSpan w:val="7"/>
            <w:tcBorders>
              <w:top w:val="single" w:color="auto" w:sz="4" w:space="0"/>
              <w:left w:val="single" w:color="auto" w:sz="4" w:space="0"/>
              <w:bottom w:val="single" w:color="auto" w:sz="4" w:space="0"/>
              <w:right w:val="single" w:color="auto" w:sz="4" w:space="0"/>
            </w:tcBorders>
            <w:noWrap/>
            <w:vAlign w:val="center"/>
          </w:tcPr>
          <w:p w14:paraId="18B1298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合    计</w:t>
            </w:r>
          </w:p>
        </w:tc>
        <w:tc>
          <w:tcPr>
            <w:tcW w:w="1026" w:type="dxa"/>
            <w:tcBorders>
              <w:top w:val="single" w:color="auto" w:sz="4" w:space="0"/>
              <w:left w:val="single" w:color="auto" w:sz="4" w:space="0"/>
              <w:bottom w:val="single" w:color="auto" w:sz="4" w:space="0"/>
              <w:right w:val="single" w:color="auto" w:sz="4" w:space="0"/>
            </w:tcBorders>
            <w:noWrap/>
            <w:vAlign w:val="center"/>
          </w:tcPr>
          <w:p w14:paraId="1C91937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694612D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1F8E2C1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88" w:type="dxa"/>
            <w:tcBorders>
              <w:top w:val="single" w:color="auto" w:sz="4" w:space="0"/>
              <w:left w:val="single" w:color="auto" w:sz="4" w:space="0"/>
              <w:bottom w:val="single" w:color="auto" w:sz="4" w:space="0"/>
              <w:right w:val="single" w:color="auto" w:sz="4" w:space="0"/>
            </w:tcBorders>
            <w:noWrap/>
            <w:vAlign w:val="center"/>
          </w:tcPr>
          <w:p w14:paraId="079212B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tcPr>
          <w:p w14:paraId="191D236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bl>
    <w:p w14:paraId="384A0090">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p>
    <w:p w14:paraId="2EBCA6C9">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r>
        <w:rPr>
          <w:rFonts w:hint="eastAsia" w:ascii="宋体" w:hAnsi="宋体" w:cs="仿宋"/>
          <w:color w:val="auto"/>
          <w:highlight w:val="none"/>
        </w:rPr>
        <w:t>注：表中（1）～〔6）栏由招标人提供内容，（7）栏由招标人按需提出要求，如招标人需要投标人提供清单项目综合单价的计算分析和工料机分析，请在（7）备注中明确。</w:t>
      </w:r>
    </w:p>
    <w:p w14:paraId="67DD27C8">
      <w:pPr>
        <w:pStyle w:val="862"/>
        <w:keepNext w:val="0"/>
        <w:keepLines w:val="0"/>
        <w:pageBreakBefore w:val="0"/>
        <w:kinsoku/>
        <w:overflowPunct/>
        <w:topLinePunct w:val="0"/>
        <w:autoSpaceDE/>
        <w:autoSpaceDN/>
        <w:bidi w:val="0"/>
        <w:ind w:firstLine="480"/>
        <w:textAlignment w:val="auto"/>
        <w:outlineLvl w:val="9"/>
        <w:rPr>
          <w:rFonts w:cs="仿宋"/>
          <w:color w:val="auto"/>
          <w:highlight w:val="none"/>
        </w:rPr>
      </w:pPr>
    </w:p>
    <w:p w14:paraId="1E545DC2">
      <w:pPr>
        <w:pStyle w:val="862"/>
        <w:keepNext w:val="0"/>
        <w:keepLines w:val="0"/>
        <w:pageBreakBefore w:val="0"/>
        <w:kinsoku/>
        <w:overflowPunct/>
        <w:topLinePunct w:val="0"/>
        <w:autoSpaceDE/>
        <w:autoSpaceDN/>
        <w:bidi w:val="0"/>
        <w:ind w:firstLine="480"/>
        <w:textAlignment w:val="auto"/>
        <w:outlineLvl w:val="9"/>
        <w:rPr>
          <w:rFonts w:cs="仿宋"/>
          <w:color w:val="auto"/>
          <w:highlight w:val="none"/>
        </w:rPr>
      </w:pPr>
    </w:p>
    <w:p w14:paraId="4A692680">
      <w:pPr>
        <w:keepNext w:val="0"/>
        <w:keepLines w:val="0"/>
        <w:pageBreakBefore w:val="0"/>
        <w:kinsoku/>
        <w:overflowPunct/>
        <w:topLinePunct w:val="0"/>
        <w:autoSpaceDE/>
        <w:autoSpaceDN/>
        <w:bidi w:val="0"/>
        <w:ind w:firstLine="480"/>
        <w:textAlignment w:val="auto"/>
        <w:outlineLvl w:val="9"/>
        <w:rPr>
          <w:color w:val="auto"/>
          <w:highlight w:val="none"/>
        </w:rPr>
        <w:sectPr>
          <w:pgSz w:w="16838" w:h="11905" w:orient="landscape"/>
          <w:pgMar w:top="1417" w:right="1417" w:bottom="1417" w:left="1417" w:header="850" w:footer="992" w:gutter="0"/>
          <w:cols w:space="0" w:num="1"/>
          <w:titlePg/>
          <w:rtlGutter w:val="0"/>
          <w:docGrid w:linePitch="312" w:charSpace="0"/>
        </w:sectPr>
      </w:pPr>
    </w:p>
    <w:p w14:paraId="111219F6">
      <w:pPr>
        <w:keepNext w:val="0"/>
        <w:keepLines w:val="0"/>
        <w:pageBreakBefore w:val="0"/>
        <w:kinsoku/>
        <w:wordWrap w:val="0"/>
        <w:overflowPunct/>
        <w:topLinePunct w:val="0"/>
        <w:autoSpaceDE/>
        <w:autoSpaceDN/>
        <w:bidi w:val="0"/>
        <w:jc w:val="center"/>
        <w:textAlignment w:val="auto"/>
        <w:outlineLvl w:val="9"/>
        <w:rPr>
          <w:rFonts w:cs="仿宋"/>
          <w:b/>
          <w:bCs/>
          <w:color w:val="auto"/>
          <w:sz w:val="32"/>
          <w:szCs w:val="28"/>
          <w:highlight w:val="none"/>
        </w:rPr>
      </w:pPr>
      <w:r>
        <w:rPr>
          <w:rFonts w:hint="eastAsia" w:ascii="宋体" w:hAnsi="宋体" w:cs="仿宋"/>
          <w:b/>
          <w:bCs/>
          <w:color w:val="auto"/>
          <w:sz w:val="32"/>
          <w:szCs w:val="28"/>
          <w:highlight w:val="none"/>
        </w:rPr>
        <w:t>表1-3-A  组织措施项目（整体）清单及计价表</w:t>
      </w:r>
    </w:p>
    <w:p w14:paraId="035BA9A3">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工程名称：</w:t>
      </w:r>
    </w:p>
    <w:p w14:paraId="4CC9BF09">
      <w:pPr>
        <w:keepNext w:val="0"/>
        <w:keepLines w:val="0"/>
        <w:pageBreakBefore w:val="0"/>
        <w:kinsoku/>
        <w:wordWrap w:val="0"/>
        <w:overflowPunct/>
        <w:topLinePunct w:val="0"/>
        <w:autoSpaceDE/>
        <w:autoSpaceDN/>
        <w:bidi w:val="0"/>
        <w:adjustRightInd/>
        <w:spacing w:line="460" w:lineRule="exact"/>
        <w:ind w:firstLine="420" w:firstLineChars="200"/>
        <w:jc w:val="right"/>
        <w:textAlignment w:val="auto"/>
        <w:outlineLvl w:val="9"/>
        <w:rPr>
          <w:rFonts w:cs="仿宋"/>
          <w:color w:val="auto"/>
          <w:highlight w:val="none"/>
        </w:rPr>
      </w:pPr>
      <w:r>
        <w:rPr>
          <w:rFonts w:hint="eastAsia" w:ascii="宋体" w:hAnsi="宋体" w:cs="仿宋"/>
          <w:color w:val="auto"/>
          <w:highlight w:val="none"/>
        </w:rPr>
        <w:t>第   页共   页</w:t>
      </w:r>
    </w:p>
    <w:tbl>
      <w:tblPr>
        <w:tblStyle w:val="6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2557"/>
        <w:gridCol w:w="908"/>
        <w:gridCol w:w="1021"/>
        <w:gridCol w:w="1252"/>
        <w:gridCol w:w="2657"/>
      </w:tblGrid>
      <w:tr w14:paraId="2372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77" w:type="pct"/>
            <w:tcBorders>
              <w:top w:val="single" w:color="auto" w:sz="4" w:space="0"/>
              <w:left w:val="single" w:color="auto" w:sz="4" w:space="0"/>
              <w:bottom w:val="single" w:color="auto" w:sz="4" w:space="0"/>
              <w:right w:val="single" w:color="auto" w:sz="4" w:space="0"/>
            </w:tcBorders>
            <w:noWrap/>
            <w:vAlign w:val="center"/>
          </w:tcPr>
          <w:p w14:paraId="4E71E24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序号</w:t>
            </w:r>
          </w:p>
        </w:tc>
        <w:tc>
          <w:tcPr>
            <w:tcW w:w="1377" w:type="pct"/>
            <w:tcBorders>
              <w:top w:val="single" w:color="auto" w:sz="4" w:space="0"/>
              <w:left w:val="single" w:color="auto" w:sz="4" w:space="0"/>
              <w:bottom w:val="single" w:color="auto" w:sz="4" w:space="0"/>
              <w:right w:val="single" w:color="auto" w:sz="4" w:space="0"/>
            </w:tcBorders>
            <w:noWrap/>
            <w:vAlign w:val="center"/>
          </w:tcPr>
          <w:p w14:paraId="3809554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项目名称</w:t>
            </w:r>
          </w:p>
        </w:tc>
        <w:tc>
          <w:tcPr>
            <w:tcW w:w="489" w:type="pct"/>
            <w:tcBorders>
              <w:top w:val="single" w:color="auto" w:sz="4" w:space="0"/>
              <w:left w:val="single" w:color="auto" w:sz="4" w:space="0"/>
              <w:bottom w:val="single" w:color="auto" w:sz="4" w:space="0"/>
              <w:right w:val="single" w:color="auto" w:sz="4" w:space="0"/>
            </w:tcBorders>
            <w:noWrap/>
            <w:vAlign w:val="center"/>
          </w:tcPr>
          <w:p w14:paraId="13E5CC9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单位</w:t>
            </w:r>
          </w:p>
        </w:tc>
        <w:tc>
          <w:tcPr>
            <w:tcW w:w="549" w:type="pct"/>
            <w:tcBorders>
              <w:top w:val="single" w:color="auto" w:sz="4" w:space="0"/>
              <w:left w:val="single" w:color="auto" w:sz="4" w:space="0"/>
              <w:bottom w:val="single" w:color="auto" w:sz="4" w:space="0"/>
              <w:right w:val="single" w:color="auto" w:sz="4" w:space="0"/>
            </w:tcBorders>
            <w:noWrap/>
            <w:vAlign w:val="center"/>
          </w:tcPr>
          <w:p w14:paraId="57E039E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数量</w:t>
            </w:r>
          </w:p>
        </w:tc>
        <w:tc>
          <w:tcPr>
            <w:tcW w:w="674" w:type="pct"/>
            <w:tcBorders>
              <w:top w:val="single" w:color="auto" w:sz="4" w:space="0"/>
              <w:left w:val="single" w:color="auto" w:sz="4" w:space="0"/>
              <w:bottom w:val="single" w:color="auto" w:sz="4" w:space="0"/>
              <w:right w:val="single" w:color="auto" w:sz="4" w:space="0"/>
            </w:tcBorders>
            <w:noWrap/>
            <w:vAlign w:val="center"/>
          </w:tcPr>
          <w:p w14:paraId="63F62C1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金额(元)</w:t>
            </w:r>
          </w:p>
        </w:tc>
        <w:tc>
          <w:tcPr>
            <w:tcW w:w="1431" w:type="pct"/>
            <w:tcBorders>
              <w:top w:val="single" w:color="auto" w:sz="4" w:space="0"/>
              <w:left w:val="single" w:color="auto" w:sz="4" w:space="0"/>
              <w:bottom w:val="single" w:color="auto" w:sz="4" w:space="0"/>
              <w:right w:val="single" w:color="auto" w:sz="4" w:space="0"/>
            </w:tcBorders>
            <w:noWrap/>
            <w:vAlign w:val="center"/>
          </w:tcPr>
          <w:p w14:paraId="29E1FA75">
            <w:pPr>
              <w:keepNext w:val="0"/>
              <w:keepLines w:val="0"/>
              <w:pageBreakBefore w:val="0"/>
              <w:kinsoku/>
              <w:wordWrap w:val="0"/>
              <w:overflowPunct/>
              <w:topLinePunct w:val="0"/>
              <w:autoSpaceDE/>
              <w:autoSpaceDN/>
              <w:bidi w:val="0"/>
              <w:adjustRightInd/>
              <w:spacing w:line="460" w:lineRule="exact"/>
              <w:ind w:firstLine="420" w:firstLineChars="200"/>
              <w:jc w:val="center"/>
              <w:textAlignment w:val="auto"/>
              <w:outlineLvl w:val="9"/>
              <w:rPr>
                <w:rFonts w:cs="仿宋"/>
                <w:color w:val="auto"/>
                <w:highlight w:val="none"/>
              </w:rPr>
            </w:pPr>
            <w:r>
              <w:rPr>
                <w:rFonts w:hint="eastAsia" w:ascii="宋体" w:hAnsi="宋体" w:cs="仿宋"/>
                <w:color w:val="auto"/>
                <w:highlight w:val="none"/>
              </w:rPr>
              <w:t>备注</w:t>
            </w:r>
          </w:p>
        </w:tc>
      </w:tr>
      <w:tr w14:paraId="456F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4" w:hRule="atLeast"/>
        </w:trPr>
        <w:tc>
          <w:tcPr>
            <w:tcW w:w="477" w:type="pct"/>
            <w:tcBorders>
              <w:top w:val="single" w:color="auto" w:sz="4" w:space="0"/>
              <w:left w:val="single" w:color="auto" w:sz="4" w:space="0"/>
              <w:bottom w:val="single" w:color="auto" w:sz="4" w:space="0"/>
              <w:right w:val="single" w:color="auto" w:sz="4" w:space="0"/>
            </w:tcBorders>
            <w:noWrap/>
          </w:tcPr>
          <w:p w14:paraId="37D3F8E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（1）</w:t>
            </w:r>
          </w:p>
          <w:p w14:paraId="7E2B879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一</w:t>
            </w:r>
          </w:p>
          <w:p w14:paraId="6BA8D06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二</w:t>
            </w:r>
          </w:p>
          <w:p w14:paraId="76060D7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1</w:t>
            </w:r>
          </w:p>
          <w:p w14:paraId="10F9B29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2</w:t>
            </w:r>
          </w:p>
          <w:p w14:paraId="7CF9FB6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3</w:t>
            </w:r>
          </w:p>
          <w:p w14:paraId="5D5F9EE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4</w:t>
            </w:r>
          </w:p>
          <w:p w14:paraId="708BFDC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p w14:paraId="28956E8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p w14:paraId="136DA41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p w14:paraId="3480FB28">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p>
        </w:tc>
        <w:tc>
          <w:tcPr>
            <w:tcW w:w="1377" w:type="pct"/>
            <w:tcBorders>
              <w:top w:val="single" w:color="auto" w:sz="4" w:space="0"/>
              <w:left w:val="single" w:color="auto" w:sz="4" w:space="0"/>
              <w:bottom w:val="single" w:color="auto" w:sz="4" w:space="0"/>
              <w:right w:val="single" w:color="auto" w:sz="4" w:space="0"/>
            </w:tcBorders>
            <w:noWrap/>
          </w:tcPr>
          <w:p w14:paraId="22BCB244">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（2）</w:t>
            </w:r>
          </w:p>
          <w:p w14:paraId="5068D85F">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安全文明施工措施项目</w:t>
            </w:r>
          </w:p>
          <w:p w14:paraId="5EA34E56">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其他组织措施项目</w:t>
            </w:r>
          </w:p>
          <w:p w14:paraId="1E0C5742">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提前竣工增加费</w:t>
            </w:r>
          </w:p>
          <w:p w14:paraId="592FD3B0">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二次搬运费</w:t>
            </w:r>
          </w:p>
          <w:p w14:paraId="0204EB77">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冬雨季施工增加费</w:t>
            </w:r>
          </w:p>
          <w:p w14:paraId="7A4A2968">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行车、行人干扰增加费</w:t>
            </w:r>
          </w:p>
        </w:tc>
        <w:tc>
          <w:tcPr>
            <w:tcW w:w="489" w:type="pct"/>
            <w:tcBorders>
              <w:top w:val="single" w:color="auto" w:sz="4" w:space="0"/>
              <w:left w:val="single" w:color="auto" w:sz="4" w:space="0"/>
              <w:bottom w:val="single" w:color="auto" w:sz="4" w:space="0"/>
              <w:right w:val="single" w:color="auto" w:sz="4" w:space="0"/>
            </w:tcBorders>
            <w:noWrap/>
          </w:tcPr>
          <w:p w14:paraId="181747F9">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p>
        </w:tc>
        <w:tc>
          <w:tcPr>
            <w:tcW w:w="549" w:type="pct"/>
            <w:tcBorders>
              <w:top w:val="single" w:color="auto" w:sz="4" w:space="0"/>
              <w:left w:val="single" w:color="auto" w:sz="4" w:space="0"/>
              <w:bottom w:val="single" w:color="auto" w:sz="4" w:space="0"/>
              <w:right w:val="single" w:color="auto" w:sz="4" w:space="0"/>
            </w:tcBorders>
            <w:noWrap/>
          </w:tcPr>
          <w:p w14:paraId="12CAADAA">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p>
        </w:tc>
        <w:tc>
          <w:tcPr>
            <w:tcW w:w="674" w:type="pct"/>
            <w:tcBorders>
              <w:top w:val="single" w:color="auto" w:sz="4" w:space="0"/>
              <w:left w:val="single" w:color="auto" w:sz="4" w:space="0"/>
              <w:bottom w:val="single" w:color="auto" w:sz="4" w:space="0"/>
              <w:right w:val="single" w:color="auto" w:sz="4" w:space="0"/>
            </w:tcBorders>
            <w:noWrap/>
            <w:vAlign w:val="center"/>
          </w:tcPr>
          <w:p w14:paraId="48F11A49">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p>
        </w:tc>
        <w:tc>
          <w:tcPr>
            <w:tcW w:w="1431" w:type="pct"/>
            <w:tcBorders>
              <w:top w:val="single" w:color="auto" w:sz="4" w:space="0"/>
              <w:left w:val="single" w:color="auto" w:sz="4" w:space="0"/>
              <w:bottom w:val="single" w:color="auto" w:sz="4" w:space="0"/>
              <w:right w:val="single" w:color="auto" w:sz="4" w:space="0"/>
            </w:tcBorders>
            <w:noWrap/>
          </w:tcPr>
          <w:p w14:paraId="15B7303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p w14:paraId="69615CC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提供分析清单</w:t>
            </w:r>
          </w:p>
          <w:p w14:paraId="3F6C444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（表1-3-A-1）</w:t>
            </w:r>
          </w:p>
          <w:p w14:paraId="4614A209">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p>
        </w:tc>
      </w:tr>
      <w:tr w14:paraId="2D98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893" w:type="pct"/>
            <w:gridSpan w:val="4"/>
            <w:tcBorders>
              <w:top w:val="single" w:color="auto" w:sz="4" w:space="0"/>
              <w:left w:val="single" w:color="auto" w:sz="4" w:space="0"/>
              <w:bottom w:val="single" w:color="auto" w:sz="4" w:space="0"/>
              <w:right w:val="single" w:color="auto" w:sz="4" w:space="0"/>
            </w:tcBorders>
            <w:noWrap/>
            <w:vAlign w:val="center"/>
          </w:tcPr>
          <w:p w14:paraId="11C9F3B5">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合计</w:t>
            </w:r>
          </w:p>
        </w:tc>
        <w:tc>
          <w:tcPr>
            <w:tcW w:w="674" w:type="pct"/>
            <w:tcBorders>
              <w:top w:val="single" w:color="auto" w:sz="4" w:space="0"/>
              <w:left w:val="single" w:color="auto" w:sz="4" w:space="0"/>
              <w:bottom w:val="single" w:color="auto" w:sz="4" w:space="0"/>
              <w:right w:val="single" w:color="auto" w:sz="4" w:space="0"/>
            </w:tcBorders>
            <w:noWrap/>
          </w:tcPr>
          <w:p w14:paraId="5F36FC6A">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p>
        </w:tc>
        <w:tc>
          <w:tcPr>
            <w:tcW w:w="1431" w:type="pct"/>
            <w:tcBorders>
              <w:top w:val="single" w:color="auto" w:sz="4" w:space="0"/>
              <w:left w:val="single" w:color="auto" w:sz="4" w:space="0"/>
              <w:bottom w:val="single" w:color="auto" w:sz="4" w:space="0"/>
              <w:right w:val="single" w:color="auto" w:sz="4" w:space="0"/>
            </w:tcBorders>
            <w:noWrap/>
          </w:tcPr>
          <w:p w14:paraId="30223B6C">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p>
        </w:tc>
      </w:tr>
    </w:tbl>
    <w:p w14:paraId="2BF1953E">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r>
        <w:rPr>
          <w:rFonts w:hint="eastAsia" w:ascii="宋体" w:hAnsi="宋体" w:cs="仿宋"/>
          <w:color w:val="auto"/>
          <w:highlight w:val="none"/>
        </w:rPr>
        <w:t>注：1.表中列项供参考，（1）、（2）栏由招标人提供，投标人可按工程实际作补充。</w:t>
      </w:r>
    </w:p>
    <w:p w14:paraId="48BAEA3E">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r>
        <w:rPr>
          <w:rFonts w:hint="eastAsia" w:ascii="宋体" w:hAnsi="宋体" w:cs="仿宋"/>
          <w:color w:val="auto"/>
          <w:highlight w:val="none"/>
        </w:rPr>
        <w:t>2.措施项目应分整体措施项目和专业工程措施项目，安全文明施工措施项目（包括环境保护、文明施工、安全施工、临时设施）以及工程定位复测费应按招标项目整体报价，其他组织措施项目由投标人根据工程实际自行决定按整体项目还是按专业工程清单报价（专业工程组织措施项目清单见表1-3-B）。</w:t>
      </w:r>
    </w:p>
    <w:p w14:paraId="4D5ECE2E">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r>
        <w:rPr>
          <w:rFonts w:hint="eastAsia" w:ascii="宋体" w:hAnsi="宋体" w:cs="仿宋"/>
          <w:color w:val="auto"/>
          <w:highlight w:val="none"/>
        </w:rPr>
        <w:t>3.专业工程组织措施项目清单表1-3-B中已报价的组织措施费不得与整体组织措施项目清单表1-3-A中的其他组织措施项目重复报价。</w:t>
      </w:r>
    </w:p>
    <w:p w14:paraId="3D689D76">
      <w:pPr>
        <w:keepNext w:val="0"/>
        <w:keepLines w:val="0"/>
        <w:pageBreakBefore w:val="0"/>
        <w:kinsoku/>
        <w:wordWrap w:val="0"/>
        <w:overflowPunct/>
        <w:topLinePunct w:val="0"/>
        <w:autoSpaceDE/>
        <w:autoSpaceDN/>
        <w:bidi w:val="0"/>
        <w:jc w:val="center"/>
        <w:textAlignment w:val="auto"/>
        <w:outlineLvl w:val="9"/>
        <w:rPr>
          <w:rFonts w:cs="仿宋"/>
          <w:b/>
          <w:bCs/>
          <w:color w:val="auto"/>
          <w:sz w:val="32"/>
          <w:szCs w:val="28"/>
          <w:highlight w:val="none"/>
        </w:rPr>
      </w:pPr>
      <w:r>
        <w:rPr>
          <w:rFonts w:hint="eastAsia" w:ascii="宋体" w:hAnsi="宋体" w:cs="仿宋"/>
          <w:b/>
          <w:bCs/>
          <w:color w:val="auto"/>
          <w:sz w:val="32"/>
          <w:szCs w:val="28"/>
          <w:highlight w:val="none"/>
        </w:rPr>
        <w:br w:type="page"/>
      </w:r>
      <w:r>
        <w:rPr>
          <w:rFonts w:hint="eastAsia" w:ascii="宋体" w:hAnsi="宋体" w:cs="仿宋"/>
          <w:b/>
          <w:bCs/>
          <w:color w:val="auto"/>
          <w:sz w:val="32"/>
          <w:szCs w:val="28"/>
          <w:highlight w:val="none"/>
        </w:rPr>
        <w:t>表1-3-B  组织措施项目（专业工程）清单及计价表</w:t>
      </w:r>
    </w:p>
    <w:p w14:paraId="1A925D76">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 xml:space="preserve">工程名称：                                            </w:t>
      </w:r>
    </w:p>
    <w:p w14:paraId="472A8402">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单位工程及专业工程名称：                                          第   页共   页</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2491"/>
        <w:gridCol w:w="905"/>
        <w:gridCol w:w="849"/>
        <w:gridCol w:w="1583"/>
        <w:gridCol w:w="2520"/>
      </w:tblGrid>
      <w:tr w14:paraId="4683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04" w:type="pct"/>
            <w:tcBorders>
              <w:top w:val="single" w:color="auto" w:sz="4" w:space="0"/>
              <w:left w:val="single" w:color="auto" w:sz="4" w:space="0"/>
              <w:bottom w:val="single" w:color="auto" w:sz="4" w:space="0"/>
              <w:right w:val="single" w:color="auto" w:sz="4" w:space="0"/>
            </w:tcBorders>
            <w:noWrap/>
            <w:vAlign w:val="center"/>
          </w:tcPr>
          <w:p w14:paraId="55F7398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序号</w:t>
            </w:r>
          </w:p>
        </w:tc>
        <w:tc>
          <w:tcPr>
            <w:tcW w:w="1341" w:type="pct"/>
            <w:tcBorders>
              <w:top w:val="single" w:color="auto" w:sz="4" w:space="0"/>
              <w:left w:val="single" w:color="auto" w:sz="4" w:space="0"/>
              <w:bottom w:val="single" w:color="auto" w:sz="4" w:space="0"/>
              <w:right w:val="single" w:color="auto" w:sz="4" w:space="0"/>
            </w:tcBorders>
            <w:noWrap/>
            <w:vAlign w:val="center"/>
          </w:tcPr>
          <w:p w14:paraId="6E1A22B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项目名称</w:t>
            </w:r>
          </w:p>
        </w:tc>
        <w:tc>
          <w:tcPr>
            <w:tcW w:w="487" w:type="pct"/>
            <w:tcBorders>
              <w:top w:val="single" w:color="auto" w:sz="4" w:space="0"/>
              <w:left w:val="single" w:color="auto" w:sz="4" w:space="0"/>
              <w:bottom w:val="single" w:color="auto" w:sz="4" w:space="0"/>
              <w:right w:val="single" w:color="auto" w:sz="4" w:space="0"/>
            </w:tcBorders>
            <w:noWrap/>
            <w:vAlign w:val="center"/>
          </w:tcPr>
          <w:p w14:paraId="54CE0CD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单位</w:t>
            </w:r>
          </w:p>
        </w:tc>
        <w:tc>
          <w:tcPr>
            <w:tcW w:w="456" w:type="pct"/>
            <w:tcBorders>
              <w:top w:val="single" w:color="auto" w:sz="4" w:space="0"/>
              <w:left w:val="single" w:color="auto" w:sz="4" w:space="0"/>
              <w:bottom w:val="single" w:color="auto" w:sz="4" w:space="0"/>
              <w:right w:val="single" w:color="auto" w:sz="4" w:space="0"/>
            </w:tcBorders>
            <w:noWrap/>
            <w:vAlign w:val="center"/>
          </w:tcPr>
          <w:p w14:paraId="02D1F75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数量</w:t>
            </w:r>
          </w:p>
        </w:tc>
        <w:tc>
          <w:tcPr>
            <w:tcW w:w="852" w:type="pct"/>
            <w:tcBorders>
              <w:top w:val="single" w:color="auto" w:sz="4" w:space="0"/>
              <w:left w:val="single" w:color="auto" w:sz="4" w:space="0"/>
              <w:bottom w:val="single" w:color="auto" w:sz="4" w:space="0"/>
              <w:right w:val="single" w:color="auto" w:sz="4" w:space="0"/>
            </w:tcBorders>
            <w:noWrap/>
            <w:vAlign w:val="center"/>
          </w:tcPr>
          <w:p w14:paraId="2F7416A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金额(元)</w:t>
            </w:r>
          </w:p>
        </w:tc>
        <w:tc>
          <w:tcPr>
            <w:tcW w:w="1357" w:type="pct"/>
            <w:tcBorders>
              <w:top w:val="single" w:color="auto" w:sz="4" w:space="0"/>
              <w:left w:val="single" w:color="auto" w:sz="4" w:space="0"/>
              <w:bottom w:val="single" w:color="auto" w:sz="4" w:space="0"/>
              <w:right w:val="single" w:color="auto" w:sz="4" w:space="0"/>
            </w:tcBorders>
            <w:noWrap/>
            <w:vAlign w:val="center"/>
          </w:tcPr>
          <w:p w14:paraId="72280A8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备注</w:t>
            </w:r>
          </w:p>
        </w:tc>
      </w:tr>
      <w:tr w14:paraId="2D6A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0" w:hRule="atLeast"/>
        </w:trPr>
        <w:tc>
          <w:tcPr>
            <w:tcW w:w="504" w:type="pct"/>
            <w:tcBorders>
              <w:top w:val="single" w:color="auto" w:sz="4" w:space="0"/>
              <w:left w:val="single" w:color="auto" w:sz="4" w:space="0"/>
              <w:bottom w:val="single" w:color="auto" w:sz="4" w:space="0"/>
              <w:right w:val="single" w:color="auto" w:sz="4" w:space="0"/>
            </w:tcBorders>
            <w:noWrap/>
          </w:tcPr>
          <w:p w14:paraId="617DE4A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（1）</w:t>
            </w:r>
          </w:p>
          <w:p w14:paraId="3367BAA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1</w:t>
            </w:r>
          </w:p>
          <w:p w14:paraId="02AA79C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2</w:t>
            </w:r>
          </w:p>
          <w:p w14:paraId="5A56D62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3</w:t>
            </w:r>
          </w:p>
          <w:p w14:paraId="21487E2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4</w:t>
            </w:r>
          </w:p>
          <w:p w14:paraId="2CF2D60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341" w:type="pct"/>
            <w:tcBorders>
              <w:top w:val="single" w:color="auto" w:sz="4" w:space="0"/>
              <w:left w:val="single" w:color="auto" w:sz="4" w:space="0"/>
              <w:bottom w:val="single" w:color="auto" w:sz="4" w:space="0"/>
              <w:right w:val="single" w:color="auto" w:sz="4" w:space="0"/>
            </w:tcBorders>
            <w:noWrap/>
          </w:tcPr>
          <w:p w14:paraId="44835205">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（2）</w:t>
            </w:r>
          </w:p>
          <w:p w14:paraId="2E1B1728">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提前竣工增加费</w:t>
            </w:r>
          </w:p>
          <w:p w14:paraId="55DB60FE">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二次搬运费</w:t>
            </w:r>
          </w:p>
          <w:p w14:paraId="5E7420BD">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冬雨季施工增加费</w:t>
            </w:r>
          </w:p>
          <w:p w14:paraId="3A0DC4BC">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行车、行人干扰增加费</w:t>
            </w:r>
          </w:p>
          <w:p w14:paraId="1BDCEFB5">
            <w:pPr>
              <w:keepNext w:val="0"/>
              <w:keepLines w:val="0"/>
              <w:pageBreakBefore w:val="0"/>
              <w:kinsoku/>
              <w:wordWrap w:val="0"/>
              <w:overflowPunct/>
              <w:topLinePunct w:val="0"/>
              <w:autoSpaceDE/>
              <w:autoSpaceDN/>
              <w:bidi w:val="0"/>
              <w:adjustRightInd/>
              <w:spacing w:line="460" w:lineRule="exact"/>
              <w:ind w:firstLine="420" w:firstLineChars="200"/>
              <w:jc w:val="center"/>
              <w:textAlignment w:val="auto"/>
              <w:outlineLvl w:val="9"/>
              <w:rPr>
                <w:rFonts w:cs="仿宋"/>
                <w:color w:val="auto"/>
                <w:highlight w:val="none"/>
              </w:rPr>
            </w:pPr>
          </w:p>
        </w:tc>
        <w:tc>
          <w:tcPr>
            <w:tcW w:w="487" w:type="pct"/>
            <w:tcBorders>
              <w:top w:val="single" w:color="auto" w:sz="4" w:space="0"/>
              <w:left w:val="single" w:color="auto" w:sz="4" w:space="0"/>
              <w:bottom w:val="single" w:color="auto" w:sz="4" w:space="0"/>
              <w:right w:val="single" w:color="auto" w:sz="4" w:space="0"/>
            </w:tcBorders>
            <w:noWrap/>
          </w:tcPr>
          <w:p w14:paraId="41FB0043">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p>
        </w:tc>
        <w:tc>
          <w:tcPr>
            <w:tcW w:w="456" w:type="pct"/>
            <w:tcBorders>
              <w:top w:val="single" w:color="auto" w:sz="4" w:space="0"/>
              <w:left w:val="single" w:color="auto" w:sz="4" w:space="0"/>
              <w:bottom w:val="single" w:color="auto" w:sz="4" w:space="0"/>
              <w:right w:val="single" w:color="auto" w:sz="4" w:space="0"/>
            </w:tcBorders>
            <w:noWrap/>
          </w:tcPr>
          <w:p w14:paraId="141DB0E4">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p>
        </w:tc>
        <w:tc>
          <w:tcPr>
            <w:tcW w:w="852" w:type="pct"/>
            <w:tcBorders>
              <w:top w:val="single" w:color="auto" w:sz="4" w:space="0"/>
              <w:left w:val="single" w:color="auto" w:sz="4" w:space="0"/>
              <w:bottom w:val="single" w:color="auto" w:sz="4" w:space="0"/>
              <w:right w:val="single" w:color="auto" w:sz="4" w:space="0"/>
            </w:tcBorders>
            <w:noWrap/>
            <w:vAlign w:val="center"/>
          </w:tcPr>
          <w:p w14:paraId="0EAE9787">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p>
        </w:tc>
        <w:tc>
          <w:tcPr>
            <w:tcW w:w="1357" w:type="pct"/>
            <w:tcBorders>
              <w:top w:val="single" w:color="auto" w:sz="4" w:space="0"/>
              <w:left w:val="single" w:color="auto" w:sz="4" w:space="0"/>
              <w:bottom w:val="single" w:color="auto" w:sz="4" w:space="0"/>
              <w:right w:val="single" w:color="auto" w:sz="4" w:space="0"/>
            </w:tcBorders>
            <w:noWrap/>
          </w:tcPr>
          <w:p w14:paraId="2AF2A14D">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p>
          <w:p w14:paraId="4606C1F3">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p>
        </w:tc>
      </w:tr>
      <w:tr w14:paraId="04E2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789" w:type="pct"/>
            <w:gridSpan w:val="4"/>
            <w:tcBorders>
              <w:top w:val="single" w:color="auto" w:sz="4" w:space="0"/>
              <w:left w:val="single" w:color="auto" w:sz="4" w:space="0"/>
              <w:bottom w:val="single" w:color="auto" w:sz="4" w:space="0"/>
              <w:right w:val="single" w:color="auto" w:sz="4" w:space="0"/>
            </w:tcBorders>
            <w:noWrap/>
          </w:tcPr>
          <w:p w14:paraId="20C490A3">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r>
              <w:rPr>
                <w:rFonts w:hint="eastAsia" w:ascii="宋体" w:hAnsi="宋体" w:cs="仿宋"/>
                <w:color w:val="auto"/>
                <w:highlight w:val="none"/>
              </w:rPr>
              <w:t>合计</w:t>
            </w:r>
          </w:p>
        </w:tc>
        <w:tc>
          <w:tcPr>
            <w:tcW w:w="852" w:type="pct"/>
            <w:tcBorders>
              <w:top w:val="single" w:color="auto" w:sz="4" w:space="0"/>
              <w:left w:val="single" w:color="auto" w:sz="4" w:space="0"/>
              <w:bottom w:val="single" w:color="auto" w:sz="4" w:space="0"/>
              <w:right w:val="single" w:color="auto" w:sz="4" w:space="0"/>
            </w:tcBorders>
            <w:noWrap/>
          </w:tcPr>
          <w:p w14:paraId="1BCADAE4">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p>
        </w:tc>
        <w:tc>
          <w:tcPr>
            <w:tcW w:w="1357" w:type="pct"/>
            <w:tcBorders>
              <w:top w:val="single" w:color="auto" w:sz="4" w:space="0"/>
              <w:left w:val="single" w:color="auto" w:sz="4" w:space="0"/>
              <w:bottom w:val="single" w:color="auto" w:sz="4" w:space="0"/>
              <w:right w:val="single" w:color="auto" w:sz="4" w:space="0"/>
            </w:tcBorders>
            <w:noWrap/>
          </w:tcPr>
          <w:p w14:paraId="7DFBAD88">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p>
        </w:tc>
      </w:tr>
    </w:tbl>
    <w:p w14:paraId="09DDAB48">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r>
        <w:rPr>
          <w:rFonts w:hint="eastAsia" w:ascii="宋体" w:hAnsi="宋体" w:cs="仿宋"/>
          <w:color w:val="auto"/>
          <w:highlight w:val="none"/>
        </w:rPr>
        <w:t>注： 1.表中列项供参考，（1）、（2）栏由招标人提供，投标人可按工程实际作补充。</w:t>
      </w:r>
    </w:p>
    <w:p w14:paraId="21FF09AA">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r>
        <w:rPr>
          <w:rFonts w:hint="eastAsia" w:ascii="宋体" w:hAnsi="宋体" w:cs="仿宋"/>
          <w:color w:val="auto"/>
          <w:highlight w:val="none"/>
        </w:rPr>
        <w:t>2．当招标项目为单位工程发包且只有1个分部分项工程量清单时，组织措施项目清单应按表1-3-A报价。</w:t>
      </w:r>
    </w:p>
    <w:p w14:paraId="1F9D6D6C">
      <w:pPr>
        <w:pStyle w:val="862"/>
        <w:keepNext w:val="0"/>
        <w:keepLines w:val="0"/>
        <w:pageBreakBefore w:val="0"/>
        <w:kinsoku/>
        <w:overflowPunct/>
        <w:topLinePunct w:val="0"/>
        <w:autoSpaceDE/>
        <w:autoSpaceDN/>
        <w:bidi w:val="0"/>
        <w:ind w:firstLine="480"/>
        <w:textAlignment w:val="auto"/>
        <w:outlineLvl w:val="9"/>
        <w:rPr>
          <w:rFonts w:cs="仿宋"/>
          <w:color w:val="auto"/>
          <w:highlight w:val="none"/>
        </w:rPr>
      </w:pPr>
    </w:p>
    <w:p w14:paraId="40F79F50">
      <w:pPr>
        <w:pStyle w:val="862"/>
        <w:keepNext w:val="0"/>
        <w:keepLines w:val="0"/>
        <w:pageBreakBefore w:val="0"/>
        <w:kinsoku/>
        <w:overflowPunct/>
        <w:topLinePunct w:val="0"/>
        <w:autoSpaceDE/>
        <w:autoSpaceDN/>
        <w:bidi w:val="0"/>
        <w:ind w:firstLine="480"/>
        <w:textAlignment w:val="auto"/>
        <w:outlineLvl w:val="9"/>
        <w:rPr>
          <w:rFonts w:cs="仿宋"/>
          <w:color w:val="auto"/>
          <w:highlight w:val="none"/>
        </w:rPr>
      </w:pPr>
    </w:p>
    <w:p w14:paraId="56CBDA6C">
      <w:pPr>
        <w:keepNext w:val="0"/>
        <w:keepLines w:val="0"/>
        <w:pageBreakBefore w:val="0"/>
        <w:kinsoku/>
        <w:overflowPunct/>
        <w:topLinePunct w:val="0"/>
        <w:autoSpaceDE/>
        <w:autoSpaceDN/>
        <w:bidi w:val="0"/>
        <w:ind w:firstLine="480"/>
        <w:textAlignment w:val="auto"/>
        <w:outlineLvl w:val="9"/>
        <w:rPr>
          <w:color w:val="auto"/>
          <w:highlight w:val="none"/>
        </w:rPr>
        <w:sectPr>
          <w:pgSz w:w="11905" w:h="16838"/>
          <w:pgMar w:top="1417" w:right="1417" w:bottom="1417" w:left="1417" w:header="850" w:footer="992" w:gutter="0"/>
          <w:cols w:space="0" w:num="1"/>
          <w:titlePg/>
          <w:rtlGutter w:val="0"/>
          <w:docGrid w:linePitch="312" w:charSpace="0"/>
        </w:sectPr>
      </w:pPr>
    </w:p>
    <w:p w14:paraId="1770F725">
      <w:pPr>
        <w:keepNext w:val="0"/>
        <w:keepLines w:val="0"/>
        <w:pageBreakBefore w:val="0"/>
        <w:kinsoku/>
        <w:wordWrap w:val="0"/>
        <w:overflowPunct/>
        <w:topLinePunct w:val="0"/>
        <w:autoSpaceDE/>
        <w:autoSpaceDN/>
        <w:bidi w:val="0"/>
        <w:jc w:val="center"/>
        <w:textAlignment w:val="auto"/>
        <w:outlineLvl w:val="9"/>
        <w:rPr>
          <w:rFonts w:cs="仿宋"/>
          <w:b/>
          <w:bCs/>
          <w:color w:val="auto"/>
          <w:sz w:val="32"/>
          <w:szCs w:val="28"/>
          <w:highlight w:val="none"/>
        </w:rPr>
      </w:pPr>
      <w:r>
        <w:rPr>
          <w:rFonts w:hint="eastAsia" w:ascii="宋体" w:hAnsi="宋体" w:cs="仿宋"/>
          <w:b/>
          <w:bCs/>
          <w:color w:val="auto"/>
          <w:sz w:val="32"/>
          <w:szCs w:val="28"/>
          <w:highlight w:val="none"/>
        </w:rPr>
        <w:t>表1-3-C  技术措施项目清单及计价表</w:t>
      </w:r>
    </w:p>
    <w:p w14:paraId="71C197DB">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 xml:space="preserve">工程名称：                </w:t>
      </w:r>
    </w:p>
    <w:p w14:paraId="161E5A5E">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 xml:space="preserve">单位工程及专业工程名称：                            </w:t>
      </w:r>
    </w:p>
    <w:tbl>
      <w:tblPr>
        <w:tblStyle w:val="62"/>
        <w:tblW w:w="13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231"/>
        <w:gridCol w:w="1390"/>
        <w:gridCol w:w="1390"/>
        <w:gridCol w:w="1217"/>
        <w:gridCol w:w="1217"/>
        <w:gridCol w:w="1205"/>
        <w:gridCol w:w="987"/>
        <w:gridCol w:w="1216"/>
        <w:gridCol w:w="1216"/>
        <w:gridCol w:w="6"/>
        <w:gridCol w:w="1023"/>
        <w:gridCol w:w="923"/>
      </w:tblGrid>
      <w:tr w14:paraId="1C10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trPr>
        <w:tc>
          <w:tcPr>
            <w:tcW w:w="921" w:type="dxa"/>
            <w:vMerge w:val="restart"/>
            <w:tcBorders>
              <w:top w:val="single" w:color="auto" w:sz="4" w:space="0"/>
              <w:left w:val="single" w:color="auto" w:sz="4" w:space="0"/>
              <w:bottom w:val="single" w:color="auto" w:sz="4" w:space="0"/>
              <w:right w:val="single" w:color="auto" w:sz="4" w:space="0"/>
            </w:tcBorders>
            <w:noWrap/>
            <w:vAlign w:val="center"/>
          </w:tcPr>
          <w:p w14:paraId="1092DD5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序号</w:t>
            </w:r>
          </w:p>
        </w:tc>
        <w:tc>
          <w:tcPr>
            <w:tcW w:w="1231" w:type="dxa"/>
            <w:vMerge w:val="restart"/>
            <w:tcBorders>
              <w:top w:val="single" w:color="auto" w:sz="4" w:space="0"/>
              <w:left w:val="single" w:color="auto" w:sz="4" w:space="0"/>
              <w:bottom w:val="single" w:color="auto" w:sz="4" w:space="0"/>
              <w:right w:val="single" w:color="auto" w:sz="4" w:space="0"/>
            </w:tcBorders>
            <w:noWrap/>
            <w:vAlign w:val="center"/>
          </w:tcPr>
          <w:p w14:paraId="2464934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项目编码</w:t>
            </w:r>
          </w:p>
        </w:tc>
        <w:tc>
          <w:tcPr>
            <w:tcW w:w="1390" w:type="dxa"/>
            <w:vMerge w:val="restart"/>
            <w:tcBorders>
              <w:top w:val="single" w:color="auto" w:sz="4" w:space="0"/>
              <w:left w:val="single" w:color="auto" w:sz="4" w:space="0"/>
              <w:bottom w:val="single" w:color="auto" w:sz="4" w:space="0"/>
              <w:right w:val="single" w:color="auto" w:sz="4" w:space="0"/>
            </w:tcBorders>
            <w:noWrap/>
            <w:vAlign w:val="center"/>
          </w:tcPr>
          <w:p w14:paraId="020CE6D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项目名称</w:t>
            </w:r>
          </w:p>
        </w:tc>
        <w:tc>
          <w:tcPr>
            <w:tcW w:w="1390" w:type="dxa"/>
            <w:vMerge w:val="restart"/>
            <w:tcBorders>
              <w:top w:val="single" w:color="auto" w:sz="4" w:space="0"/>
              <w:left w:val="single" w:color="auto" w:sz="4" w:space="0"/>
              <w:bottom w:val="single" w:color="auto" w:sz="4" w:space="0"/>
              <w:right w:val="single" w:color="auto" w:sz="4" w:space="0"/>
            </w:tcBorders>
            <w:noWrap/>
            <w:vAlign w:val="center"/>
          </w:tcPr>
          <w:p w14:paraId="29E1EDB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项目特征</w:t>
            </w:r>
          </w:p>
          <w:p w14:paraId="5DAB830E">
            <w:pPr>
              <w:keepNext w:val="0"/>
              <w:keepLines w:val="0"/>
              <w:pageBreakBefore w:val="0"/>
              <w:tabs>
                <w:tab w:val="center" w:pos="587"/>
              </w:tabs>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描述</w:t>
            </w:r>
          </w:p>
        </w:tc>
        <w:tc>
          <w:tcPr>
            <w:tcW w:w="1217" w:type="dxa"/>
            <w:vMerge w:val="restart"/>
            <w:tcBorders>
              <w:top w:val="single" w:color="auto" w:sz="4" w:space="0"/>
              <w:left w:val="single" w:color="auto" w:sz="4" w:space="0"/>
              <w:bottom w:val="single" w:color="auto" w:sz="4" w:space="0"/>
              <w:right w:val="single" w:color="auto" w:sz="4" w:space="0"/>
            </w:tcBorders>
            <w:noWrap/>
            <w:vAlign w:val="center"/>
          </w:tcPr>
          <w:p w14:paraId="2BC415B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计量单位</w:t>
            </w:r>
          </w:p>
        </w:tc>
        <w:tc>
          <w:tcPr>
            <w:tcW w:w="1217" w:type="dxa"/>
            <w:vMerge w:val="restart"/>
            <w:tcBorders>
              <w:top w:val="single" w:color="auto" w:sz="4" w:space="0"/>
              <w:left w:val="single" w:color="auto" w:sz="4" w:space="0"/>
              <w:bottom w:val="single" w:color="auto" w:sz="4" w:space="0"/>
              <w:right w:val="single" w:color="auto" w:sz="4" w:space="0"/>
            </w:tcBorders>
            <w:noWrap/>
            <w:vAlign w:val="center"/>
          </w:tcPr>
          <w:p w14:paraId="6897C10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工程量</w:t>
            </w:r>
          </w:p>
        </w:tc>
        <w:tc>
          <w:tcPr>
            <w:tcW w:w="1205" w:type="dxa"/>
            <w:vMerge w:val="restart"/>
            <w:tcBorders>
              <w:top w:val="single" w:color="auto" w:sz="4" w:space="0"/>
              <w:left w:val="single" w:color="auto" w:sz="4" w:space="0"/>
              <w:bottom w:val="single" w:color="auto" w:sz="4" w:space="0"/>
              <w:right w:val="single" w:color="auto" w:sz="4" w:space="0"/>
            </w:tcBorders>
            <w:noWrap/>
            <w:vAlign w:val="center"/>
          </w:tcPr>
          <w:p w14:paraId="74A2637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综合单价</w:t>
            </w:r>
          </w:p>
          <w:p w14:paraId="6A52725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(元)</w:t>
            </w:r>
          </w:p>
        </w:tc>
        <w:tc>
          <w:tcPr>
            <w:tcW w:w="987" w:type="dxa"/>
            <w:vMerge w:val="restart"/>
            <w:tcBorders>
              <w:top w:val="single" w:color="auto" w:sz="4" w:space="0"/>
              <w:left w:val="single" w:color="auto" w:sz="4" w:space="0"/>
              <w:bottom w:val="single" w:color="auto" w:sz="4" w:space="0"/>
              <w:right w:val="single" w:color="auto" w:sz="4" w:space="0"/>
            </w:tcBorders>
            <w:noWrap/>
            <w:vAlign w:val="center"/>
          </w:tcPr>
          <w:p w14:paraId="4ACAD5E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合  价</w:t>
            </w:r>
          </w:p>
          <w:p w14:paraId="1E07CDA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(元)</w:t>
            </w:r>
          </w:p>
        </w:tc>
        <w:tc>
          <w:tcPr>
            <w:tcW w:w="3461" w:type="dxa"/>
            <w:gridSpan w:val="4"/>
            <w:tcBorders>
              <w:top w:val="single" w:color="auto" w:sz="4" w:space="0"/>
              <w:left w:val="single" w:color="auto" w:sz="4" w:space="0"/>
              <w:bottom w:val="single" w:color="auto" w:sz="4" w:space="0"/>
              <w:right w:val="single" w:color="auto" w:sz="4" w:space="0"/>
            </w:tcBorders>
            <w:noWrap/>
            <w:vAlign w:val="center"/>
          </w:tcPr>
          <w:p w14:paraId="7988F97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其中</w:t>
            </w:r>
          </w:p>
        </w:tc>
        <w:tc>
          <w:tcPr>
            <w:tcW w:w="923" w:type="dxa"/>
            <w:vMerge w:val="restart"/>
            <w:tcBorders>
              <w:top w:val="single" w:color="auto" w:sz="4" w:space="0"/>
              <w:left w:val="single" w:color="auto" w:sz="4" w:space="0"/>
              <w:bottom w:val="single" w:color="auto" w:sz="4" w:space="0"/>
              <w:right w:val="single" w:color="auto" w:sz="4" w:space="0"/>
            </w:tcBorders>
            <w:noWrap/>
            <w:vAlign w:val="center"/>
          </w:tcPr>
          <w:p w14:paraId="7547441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备注</w:t>
            </w:r>
          </w:p>
        </w:tc>
      </w:tr>
      <w:tr w14:paraId="3BE7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1" w:type="dxa"/>
            <w:vMerge w:val="continue"/>
            <w:tcBorders>
              <w:top w:val="single" w:color="auto" w:sz="4" w:space="0"/>
              <w:left w:val="single" w:color="auto" w:sz="4" w:space="0"/>
              <w:bottom w:val="single" w:color="auto" w:sz="4" w:space="0"/>
              <w:right w:val="single" w:color="auto" w:sz="4" w:space="0"/>
            </w:tcBorders>
            <w:noWrap/>
            <w:vAlign w:val="center"/>
          </w:tcPr>
          <w:p w14:paraId="693F1FE1">
            <w:pPr>
              <w:keepNext w:val="0"/>
              <w:keepLines w:val="0"/>
              <w:pageBreakBefore w:val="0"/>
              <w:kinsoku/>
              <w:wordWrap w:val="0"/>
              <w:overflowPunct/>
              <w:topLinePunct w:val="0"/>
              <w:autoSpaceDE/>
              <w:autoSpaceDN/>
              <w:bidi w:val="0"/>
              <w:adjustRightInd/>
              <w:spacing w:line="460" w:lineRule="exact"/>
              <w:ind w:firstLine="420" w:firstLineChars="200"/>
              <w:jc w:val="center"/>
              <w:textAlignment w:val="auto"/>
              <w:outlineLvl w:val="9"/>
              <w:rPr>
                <w:rFonts w:cs="仿宋"/>
                <w:color w:val="auto"/>
                <w:highlight w:val="none"/>
              </w:rPr>
            </w:pPr>
          </w:p>
        </w:tc>
        <w:tc>
          <w:tcPr>
            <w:tcW w:w="1231" w:type="dxa"/>
            <w:vMerge w:val="continue"/>
            <w:tcBorders>
              <w:top w:val="single" w:color="auto" w:sz="4" w:space="0"/>
              <w:left w:val="single" w:color="auto" w:sz="4" w:space="0"/>
              <w:bottom w:val="single" w:color="auto" w:sz="4" w:space="0"/>
              <w:right w:val="single" w:color="auto" w:sz="4" w:space="0"/>
            </w:tcBorders>
            <w:noWrap/>
            <w:vAlign w:val="center"/>
          </w:tcPr>
          <w:p w14:paraId="409F948D">
            <w:pPr>
              <w:keepNext w:val="0"/>
              <w:keepLines w:val="0"/>
              <w:pageBreakBefore w:val="0"/>
              <w:kinsoku/>
              <w:wordWrap w:val="0"/>
              <w:overflowPunct/>
              <w:topLinePunct w:val="0"/>
              <w:autoSpaceDE/>
              <w:autoSpaceDN/>
              <w:bidi w:val="0"/>
              <w:adjustRightInd/>
              <w:spacing w:line="460" w:lineRule="exact"/>
              <w:ind w:firstLine="420" w:firstLineChars="200"/>
              <w:jc w:val="center"/>
              <w:textAlignment w:val="auto"/>
              <w:outlineLvl w:val="9"/>
              <w:rPr>
                <w:rFonts w:cs="仿宋"/>
                <w:color w:val="auto"/>
                <w:highlight w:val="none"/>
              </w:rPr>
            </w:pPr>
          </w:p>
        </w:tc>
        <w:tc>
          <w:tcPr>
            <w:tcW w:w="1390" w:type="dxa"/>
            <w:vMerge w:val="continue"/>
            <w:tcBorders>
              <w:top w:val="single" w:color="auto" w:sz="4" w:space="0"/>
              <w:left w:val="single" w:color="auto" w:sz="4" w:space="0"/>
              <w:bottom w:val="single" w:color="auto" w:sz="4" w:space="0"/>
              <w:right w:val="single" w:color="auto" w:sz="4" w:space="0"/>
            </w:tcBorders>
            <w:noWrap/>
            <w:vAlign w:val="center"/>
          </w:tcPr>
          <w:p w14:paraId="75BB58AE">
            <w:pPr>
              <w:keepNext w:val="0"/>
              <w:keepLines w:val="0"/>
              <w:pageBreakBefore w:val="0"/>
              <w:kinsoku/>
              <w:wordWrap w:val="0"/>
              <w:overflowPunct/>
              <w:topLinePunct w:val="0"/>
              <w:autoSpaceDE/>
              <w:autoSpaceDN/>
              <w:bidi w:val="0"/>
              <w:adjustRightInd/>
              <w:spacing w:line="460" w:lineRule="exact"/>
              <w:ind w:firstLine="420" w:firstLineChars="200"/>
              <w:jc w:val="center"/>
              <w:textAlignment w:val="auto"/>
              <w:outlineLvl w:val="9"/>
              <w:rPr>
                <w:rFonts w:cs="仿宋"/>
                <w:color w:val="auto"/>
                <w:highlight w:val="none"/>
              </w:rPr>
            </w:pPr>
          </w:p>
        </w:tc>
        <w:tc>
          <w:tcPr>
            <w:tcW w:w="1390" w:type="dxa"/>
            <w:vMerge w:val="continue"/>
            <w:tcBorders>
              <w:top w:val="single" w:color="auto" w:sz="4" w:space="0"/>
              <w:left w:val="single" w:color="auto" w:sz="4" w:space="0"/>
              <w:bottom w:val="single" w:color="auto" w:sz="4" w:space="0"/>
              <w:right w:val="single" w:color="auto" w:sz="4" w:space="0"/>
            </w:tcBorders>
            <w:noWrap/>
            <w:vAlign w:val="center"/>
          </w:tcPr>
          <w:p w14:paraId="7909A3C1">
            <w:pPr>
              <w:keepNext w:val="0"/>
              <w:keepLines w:val="0"/>
              <w:pageBreakBefore w:val="0"/>
              <w:kinsoku/>
              <w:wordWrap w:val="0"/>
              <w:overflowPunct/>
              <w:topLinePunct w:val="0"/>
              <w:autoSpaceDE/>
              <w:autoSpaceDN/>
              <w:bidi w:val="0"/>
              <w:adjustRightInd/>
              <w:spacing w:line="460" w:lineRule="exact"/>
              <w:ind w:firstLine="420" w:firstLineChars="200"/>
              <w:jc w:val="center"/>
              <w:textAlignment w:val="auto"/>
              <w:outlineLvl w:val="9"/>
              <w:rPr>
                <w:rFonts w:cs="仿宋"/>
                <w:color w:val="auto"/>
                <w:highlight w:val="none"/>
              </w:rPr>
            </w:pPr>
          </w:p>
        </w:tc>
        <w:tc>
          <w:tcPr>
            <w:tcW w:w="1217" w:type="dxa"/>
            <w:vMerge w:val="continue"/>
            <w:tcBorders>
              <w:top w:val="single" w:color="auto" w:sz="4" w:space="0"/>
              <w:left w:val="single" w:color="auto" w:sz="4" w:space="0"/>
              <w:bottom w:val="single" w:color="auto" w:sz="4" w:space="0"/>
              <w:right w:val="single" w:color="auto" w:sz="4" w:space="0"/>
            </w:tcBorders>
            <w:noWrap/>
            <w:vAlign w:val="center"/>
          </w:tcPr>
          <w:p w14:paraId="45D6EB5E">
            <w:pPr>
              <w:keepNext w:val="0"/>
              <w:keepLines w:val="0"/>
              <w:pageBreakBefore w:val="0"/>
              <w:kinsoku/>
              <w:wordWrap w:val="0"/>
              <w:overflowPunct/>
              <w:topLinePunct w:val="0"/>
              <w:autoSpaceDE/>
              <w:autoSpaceDN/>
              <w:bidi w:val="0"/>
              <w:adjustRightInd/>
              <w:spacing w:line="460" w:lineRule="exact"/>
              <w:ind w:firstLine="420" w:firstLineChars="200"/>
              <w:jc w:val="center"/>
              <w:textAlignment w:val="auto"/>
              <w:outlineLvl w:val="9"/>
              <w:rPr>
                <w:rFonts w:cs="仿宋"/>
                <w:color w:val="auto"/>
                <w:highlight w:val="none"/>
              </w:rPr>
            </w:pPr>
          </w:p>
        </w:tc>
        <w:tc>
          <w:tcPr>
            <w:tcW w:w="1217" w:type="dxa"/>
            <w:vMerge w:val="continue"/>
            <w:tcBorders>
              <w:top w:val="single" w:color="auto" w:sz="4" w:space="0"/>
              <w:left w:val="single" w:color="auto" w:sz="4" w:space="0"/>
              <w:bottom w:val="single" w:color="auto" w:sz="4" w:space="0"/>
              <w:right w:val="single" w:color="auto" w:sz="4" w:space="0"/>
            </w:tcBorders>
            <w:noWrap/>
            <w:vAlign w:val="center"/>
          </w:tcPr>
          <w:p w14:paraId="753E3C7B">
            <w:pPr>
              <w:keepNext w:val="0"/>
              <w:keepLines w:val="0"/>
              <w:pageBreakBefore w:val="0"/>
              <w:kinsoku/>
              <w:wordWrap w:val="0"/>
              <w:overflowPunct/>
              <w:topLinePunct w:val="0"/>
              <w:autoSpaceDE/>
              <w:autoSpaceDN/>
              <w:bidi w:val="0"/>
              <w:adjustRightInd/>
              <w:spacing w:line="460" w:lineRule="exact"/>
              <w:ind w:firstLine="420" w:firstLineChars="200"/>
              <w:jc w:val="center"/>
              <w:textAlignment w:val="auto"/>
              <w:outlineLvl w:val="9"/>
              <w:rPr>
                <w:rFonts w:cs="仿宋"/>
                <w:color w:val="auto"/>
                <w:highlight w:val="none"/>
              </w:rPr>
            </w:pPr>
          </w:p>
        </w:tc>
        <w:tc>
          <w:tcPr>
            <w:tcW w:w="1205" w:type="dxa"/>
            <w:vMerge w:val="continue"/>
            <w:tcBorders>
              <w:top w:val="single" w:color="auto" w:sz="4" w:space="0"/>
              <w:left w:val="single" w:color="auto" w:sz="4" w:space="0"/>
              <w:bottom w:val="single" w:color="auto" w:sz="4" w:space="0"/>
              <w:right w:val="single" w:color="auto" w:sz="4" w:space="0"/>
            </w:tcBorders>
            <w:noWrap/>
            <w:vAlign w:val="center"/>
          </w:tcPr>
          <w:p w14:paraId="79AB5322">
            <w:pPr>
              <w:keepNext w:val="0"/>
              <w:keepLines w:val="0"/>
              <w:pageBreakBefore w:val="0"/>
              <w:kinsoku/>
              <w:wordWrap w:val="0"/>
              <w:overflowPunct/>
              <w:topLinePunct w:val="0"/>
              <w:autoSpaceDE/>
              <w:autoSpaceDN/>
              <w:bidi w:val="0"/>
              <w:adjustRightInd/>
              <w:spacing w:line="460" w:lineRule="exact"/>
              <w:ind w:firstLine="420" w:firstLineChars="200"/>
              <w:jc w:val="center"/>
              <w:textAlignment w:val="auto"/>
              <w:outlineLvl w:val="9"/>
              <w:rPr>
                <w:rFonts w:cs="仿宋"/>
                <w:color w:val="auto"/>
                <w:highlight w:val="none"/>
              </w:rPr>
            </w:pPr>
          </w:p>
        </w:tc>
        <w:tc>
          <w:tcPr>
            <w:tcW w:w="987" w:type="dxa"/>
            <w:vMerge w:val="continue"/>
            <w:tcBorders>
              <w:top w:val="single" w:color="auto" w:sz="4" w:space="0"/>
              <w:left w:val="single" w:color="auto" w:sz="4" w:space="0"/>
              <w:bottom w:val="single" w:color="auto" w:sz="4" w:space="0"/>
              <w:right w:val="single" w:color="auto" w:sz="4" w:space="0"/>
            </w:tcBorders>
            <w:noWrap/>
            <w:vAlign w:val="center"/>
          </w:tcPr>
          <w:p w14:paraId="7D2FB225">
            <w:pPr>
              <w:keepNext w:val="0"/>
              <w:keepLines w:val="0"/>
              <w:pageBreakBefore w:val="0"/>
              <w:kinsoku/>
              <w:wordWrap w:val="0"/>
              <w:overflowPunct/>
              <w:topLinePunct w:val="0"/>
              <w:autoSpaceDE/>
              <w:autoSpaceDN/>
              <w:bidi w:val="0"/>
              <w:adjustRightInd/>
              <w:spacing w:line="460" w:lineRule="exact"/>
              <w:ind w:firstLine="420" w:firstLineChars="200"/>
              <w:jc w:val="center"/>
              <w:textAlignment w:val="auto"/>
              <w:outlineLvl w:val="9"/>
              <w:rPr>
                <w:rFonts w:cs="仿宋"/>
                <w:color w:val="auto"/>
                <w:highlight w:val="none"/>
              </w:rPr>
            </w:pPr>
          </w:p>
        </w:tc>
        <w:tc>
          <w:tcPr>
            <w:tcW w:w="1216" w:type="dxa"/>
            <w:tcBorders>
              <w:top w:val="single" w:color="auto" w:sz="4" w:space="0"/>
              <w:left w:val="single" w:color="auto" w:sz="4" w:space="0"/>
              <w:bottom w:val="single" w:color="auto" w:sz="4" w:space="0"/>
              <w:right w:val="single" w:color="auto" w:sz="4" w:space="0"/>
            </w:tcBorders>
            <w:noWrap/>
            <w:vAlign w:val="center"/>
          </w:tcPr>
          <w:p w14:paraId="03C6E72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人工费</w:t>
            </w:r>
          </w:p>
        </w:tc>
        <w:tc>
          <w:tcPr>
            <w:tcW w:w="1216" w:type="dxa"/>
            <w:tcBorders>
              <w:top w:val="single" w:color="auto" w:sz="4" w:space="0"/>
              <w:left w:val="single" w:color="auto" w:sz="4" w:space="0"/>
              <w:bottom w:val="single" w:color="auto" w:sz="4" w:space="0"/>
              <w:right w:val="single" w:color="auto" w:sz="4" w:space="0"/>
            </w:tcBorders>
            <w:noWrap/>
            <w:vAlign w:val="center"/>
          </w:tcPr>
          <w:p w14:paraId="1E2EE1B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机械费</w:t>
            </w:r>
          </w:p>
        </w:tc>
        <w:tc>
          <w:tcPr>
            <w:tcW w:w="1029" w:type="dxa"/>
            <w:gridSpan w:val="2"/>
            <w:tcBorders>
              <w:top w:val="single" w:color="auto" w:sz="4" w:space="0"/>
              <w:left w:val="single" w:color="auto" w:sz="4" w:space="0"/>
              <w:bottom w:val="single" w:color="auto" w:sz="4" w:space="0"/>
              <w:right w:val="single" w:color="auto" w:sz="4" w:space="0"/>
            </w:tcBorders>
            <w:noWrap/>
            <w:vAlign w:val="center"/>
          </w:tcPr>
          <w:p w14:paraId="47F3512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管理费</w:t>
            </w:r>
          </w:p>
        </w:tc>
        <w:tc>
          <w:tcPr>
            <w:tcW w:w="923" w:type="dxa"/>
            <w:vMerge w:val="continue"/>
            <w:tcBorders>
              <w:top w:val="single" w:color="auto" w:sz="4" w:space="0"/>
              <w:left w:val="single" w:color="auto" w:sz="4" w:space="0"/>
              <w:bottom w:val="single" w:color="auto" w:sz="4" w:space="0"/>
              <w:right w:val="single" w:color="auto" w:sz="4" w:space="0"/>
            </w:tcBorders>
            <w:noWrap/>
            <w:vAlign w:val="center"/>
          </w:tcPr>
          <w:p w14:paraId="7ED3A1AF">
            <w:pPr>
              <w:keepNext w:val="0"/>
              <w:keepLines w:val="0"/>
              <w:pageBreakBefore w:val="0"/>
              <w:kinsoku/>
              <w:wordWrap w:val="0"/>
              <w:overflowPunct/>
              <w:topLinePunct w:val="0"/>
              <w:autoSpaceDE/>
              <w:autoSpaceDN/>
              <w:bidi w:val="0"/>
              <w:adjustRightInd/>
              <w:spacing w:line="460" w:lineRule="exact"/>
              <w:ind w:firstLine="420" w:firstLineChars="200"/>
              <w:jc w:val="center"/>
              <w:textAlignment w:val="auto"/>
              <w:outlineLvl w:val="9"/>
              <w:rPr>
                <w:rFonts w:cs="仿宋"/>
                <w:color w:val="auto"/>
                <w:highlight w:val="none"/>
              </w:rPr>
            </w:pPr>
          </w:p>
        </w:tc>
      </w:tr>
      <w:tr w14:paraId="13DB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21" w:type="dxa"/>
            <w:tcBorders>
              <w:top w:val="single" w:color="auto" w:sz="4" w:space="0"/>
              <w:left w:val="single" w:color="auto" w:sz="4" w:space="0"/>
              <w:bottom w:val="single" w:color="auto" w:sz="4" w:space="0"/>
              <w:right w:val="single" w:color="auto" w:sz="4" w:space="0"/>
            </w:tcBorders>
            <w:noWrap/>
            <w:vAlign w:val="center"/>
          </w:tcPr>
          <w:p w14:paraId="069E92A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1231" w:type="dxa"/>
            <w:tcBorders>
              <w:top w:val="single" w:color="auto" w:sz="4" w:space="0"/>
              <w:left w:val="single" w:color="auto" w:sz="4" w:space="0"/>
              <w:bottom w:val="single" w:color="auto" w:sz="4" w:space="0"/>
              <w:right w:val="single" w:color="auto" w:sz="4" w:space="0"/>
            </w:tcBorders>
            <w:noWrap/>
            <w:vAlign w:val="center"/>
          </w:tcPr>
          <w:p w14:paraId="0E0A807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1390" w:type="dxa"/>
            <w:tcBorders>
              <w:top w:val="single" w:color="auto" w:sz="4" w:space="0"/>
              <w:left w:val="single" w:color="auto" w:sz="4" w:space="0"/>
              <w:bottom w:val="single" w:color="auto" w:sz="4" w:space="0"/>
              <w:right w:val="single" w:color="auto" w:sz="4" w:space="0"/>
            </w:tcBorders>
            <w:noWrap/>
            <w:vAlign w:val="center"/>
          </w:tcPr>
          <w:p w14:paraId="61F41E5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（3）</w:t>
            </w:r>
          </w:p>
        </w:tc>
        <w:tc>
          <w:tcPr>
            <w:tcW w:w="1390" w:type="dxa"/>
            <w:tcBorders>
              <w:top w:val="single" w:color="auto" w:sz="4" w:space="0"/>
              <w:left w:val="single" w:color="auto" w:sz="4" w:space="0"/>
              <w:bottom w:val="single" w:color="auto" w:sz="4" w:space="0"/>
              <w:right w:val="single" w:color="auto" w:sz="4" w:space="0"/>
            </w:tcBorders>
            <w:noWrap/>
            <w:vAlign w:val="center"/>
          </w:tcPr>
          <w:p w14:paraId="01B6AF6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（4）</w:t>
            </w:r>
          </w:p>
        </w:tc>
        <w:tc>
          <w:tcPr>
            <w:tcW w:w="1217" w:type="dxa"/>
            <w:tcBorders>
              <w:top w:val="single" w:color="auto" w:sz="4" w:space="0"/>
              <w:left w:val="single" w:color="auto" w:sz="4" w:space="0"/>
              <w:bottom w:val="single" w:color="auto" w:sz="4" w:space="0"/>
              <w:right w:val="single" w:color="auto" w:sz="4" w:space="0"/>
            </w:tcBorders>
            <w:noWrap/>
            <w:vAlign w:val="center"/>
          </w:tcPr>
          <w:p w14:paraId="0036B6F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（5）</w:t>
            </w:r>
          </w:p>
        </w:tc>
        <w:tc>
          <w:tcPr>
            <w:tcW w:w="1217" w:type="dxa"/>
            <w:tcBorders>
              <w:top w:val="single" w:color="auto" w:sz="4" w:space="0"/>
              <w:left w:val="single" w:color="auto" w:sz="4" w:space="0"/>
              <w:bottom w:val="single" w:color="auto" w:sz="4" w:space="0"/>
              <w:right w:val="single" w:color="auto" w:sz="4" w:space="0"/>
            </w:tcBorders>
            <w:noWrap/>
            <w:vAlign w:val="center"/>
          </w:tcPr>
          <w:p w14:paraId="3419F59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05" w:type="dxa"/>
            <w:tcBorders>
              <w:top w:val="single" w:color="auto" w:sz="4" w:space="0"/>
              <w:left w:val="single" w:color="auto" w:sz="4" w:space="0"/>
              <w:bottom w:val="single" w:color="auto" w:sz="4" w:space="0"/>
              <w:right w:val="single" w:color="auto" w:sz="4" w:space="0"/>
            </w:tcBorders>
            <w:noWrap/>
            <w:vAlign w:val="center"/>
          </w:tcPr>
          <w:p w14:paraId="4D59E5A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87" w:type="dxa"/>
            <w:tcBorders>
              <w:top w:val="single" w:color="auto" w:sz="4" w:space="0"/>
              <w:left w:val="single" w:color="auto" w:sz="4" w:space="0"/>
              <w:bottom w:val="single" w:color="auto" w:sz="4" w:space="0"/>
              <w:right w:val="single" w:color="auto" w:sz="4" w:space="0"/>
            </w:tcBorders>
            <w:noWrap/>
            <w:vAlign w:val="center"/>
          </w:tcPr>
          <w:p w14:paraId="20E867E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16" w:type="dxa"/>
            <w:tcBorders>
              <w:top w:val="single" w:color="auto" w:sz="4" w:space="0"/>
              <w:left w:val="single" w:color="auto" w:sz="4" w:space="0"/>
              <w:bottom w:val="single" w:color="auto" w:sz="4" w:space="0"/>
              <w:right w:val="single" w:color="auto" w:sz="4" w:space="0"/>
            </w:tcBorders>
            <w:noWrap/>
            <w:vAlign w:val="center"/>
          </w:tcPr>
          <w:p w14:paraId="1689662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vAlign w:val="center"/>
          </w:tcPr>
          <w:p w14:paraId="14F2E06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23" w:type="dxa"/>
            <w:tcBorders>
              <w:top w:val="single" w:color="auto" w:sz="4" w:space="0"/>
              <w:left w:val="single" w:color="auto" w:sz="4" w:space="0"/>
              <w:bottom w:val="single" w:color="auto" w:sz="4" w:space="0"/>
              <w:right w:val="single" w:color="auto" w:sz="4" w:space="0"/>
            </w:tcBorders>
            <w:noWrap/>
            <w:vAlign w:val="center"/>
          </w:tcPr>
          <w:p w14:paraId="5125C33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vAlign w:val="center"/>
          </w:tcPr>
          <w:p w14:paraId="4C21D60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（6）</w:t>
            </w:r>
          </w:p>
        </w:tc>
      </w:tr>
      <w:tr w14:paraId="195B6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Borders>
              <w:top w:val="single" w:color="auto" w:sz="4" w:space="0"/>
              <w:left w:val="single" w:color="auto" w:sz="4" w:space="0"/>
              <w:bottom w:val="single" w:color="auto" w:sz="4" w:space="0"/>
              <w:right w:val="single" w:color="auto" w:sz="4" w:space="0"/>
            </w:tcBorders>
            <w:noWrap/>
          </w:tcPr>
          <w:p w14:paraId="4DF5638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31" w:type="dxa"/>
            <w:tcBorders>
              <w:top w:val="single" w:color="auto" w:sz="4" w:space="0"/>
              <w:left w:val="single" w:color="auto" w:sz="4" w:space="0"/>
              <w:bottom w:val="single" w:color="auto" w:sz="4" w:space="0"/>
              <w:right w:val="single" w:color="auto" w:sz="4" w:space="0"/>
            </w:tcBorders>
            <w:noWrap/>
            <w:vAlign w:val="center"/>
          </w:tcPr>
          <w:p w14:paraId="2F1FB0F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390" w:type="dxa"/>
            <w:tcBorders>
              <w:top w:val="single" w:color="auto" w:sz="4" w:space="0"/>
              <w:left w:val="single" w:color="auto" w:sz="4" w:space="0"/>
              <w:bottom w:val="single" w:color="auto" w:sz="4" w:space="0"/>
              <w:right w:val="single" w:color="auto" w:sz="4" w:space="0"/>
            </w:tcBorders>
            <w:noWrap/>
            <w:vAlign w:val="center"/>
          </w:tcPr>
          <w:p w14:paraId="61C9FEF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大型机械设备进出场及安拆</w:t>
            </w:r>
          </w:p>
        </w:tc>
        <w:tc>
          <w:tcPr>
            <w:tcW w:w="1390" w:type="dxa"/>
            <w:tcBorders>
              <w:top w:val="single" w:color="auto" w:sz="4" w:space="0"/>
              <w:left w:val="single" w:color="auto" w:sz="4" w:space="0"/>
              <w:bottom w:val="single" w:color="auto" w:sz="4" w:space="0"/>
              <w:right w:val="single" w:color="auto" w:sz="4" w:space="0"/>
              <w:tr2bl w:val="single" w:color="auto" w:sz="4" w:space="0"/>
            </w:tcBorders>
            <w:noWrap/>
          </w:tcPr>
          <w:p w14:paraId="29AC7D3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14:paraId="447D205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14:paraId="3DE8C58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05" w:type="dxa"/>
            <w:tcBorders>
              <w:top w:val="single" w:color="auto" w:sz="4" w:space="0"/>
              <w:left w:val="single" w:color="auto" w:sz="4" w:space="0"/>
              <w:bottom w:val="single" w:color="auto" w:sz="4" w:space="0"/>
              <w:right w:val="single" w:color="auto" w:sz="4" w:space="0"/>
            </w:tcBorders>
            <w:noWrap/>
          </w:tcPr>
          <w:p w14:paraId="1E7AB9E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87" w:type="dxa"/>
            <w:tcBorders>
              <w:top w:val="single" w:color="auto" w:sz="4" w:space="0"/>
              <w:left w:val="single" w:color="auto" w:sz="4" w:space="0"/>
              <w:bottom w:val="single" w:color="auto" w:sz="4" w:space="0"/>
              <w:right w:val="single" w:color="auto" w:sz="4" w:space="0"/>
            </w:tcBorders>
            <w:noWrap/>
          </w:tcPr>
          <w:p w14:paraId="797F0E2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16" w:type="dxa"/>
            <w:tcBorders>
              <w:top w:val="single" w:color="auto" w:sz="4" w:space="0"/>
              <w:left w:val="single" w:color="auto" w:sz="4" w:space="0"/>
              <w:bottom w:val="single" w:color="auto" w:sz="4" w:space="0"/>
              <w:right w:val="single" w:color="auto" w:sz="4" w:space="0"/>
            </w:tcBorders>
            <w:noWrap/>
          </w:tcPr>
          <w:p w14:paraId="7F2A29E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tcPr>
          <w:p w14:paraId="45103B0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23" w:type="dxa"/>
            <w:tcBorders>
              <w:top w:val="single" w:color="auto" w:sz="4" w:space="0"/>
              <w:left w:val="single" w:color="auto" w:sz="4" w:space="0"/>
              <w:bottom w:val="single" w:color="auto" w:sz="4" w:space="0"/>
              <w:right w:val="single" w:color="auto" w:sz="4" w:space="0"/>
            </w:tcBorders>
            <w:noWrap/>
          </w:tcPr>
          <w:p w14:paraId="3D08276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tcPr>
          <w:p w14:paraId="391E74C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40E2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Borders>
              <w:top w:val="single" w:color="auto" w:sz="4" w:space="0"/>
              <w:left w:val="single" w:color="auto" w:sz="4" w:space="0"/>
              <w:bottom w:val="single" w:color="auto" w:sz="4" w:space="0"/>
              <w:right w:val="single" w:color="auto" w:sz="4" w:space="0"/>
            </w:tcBorders>
            <w:noWrap/>
          </w:tcPr>
          <w:p w14:paraId="22D53DB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31" w:type="dxa"/>
            <w:tcBorders>
              <w:top w:val="single" w:color="auto" w:sz="4" w:space="0"/>
              <w:left w:val="single" w:color="auto" w:sz="4" w:space="0"/>
              <w:bottom w:val="single" w:color="auto" w:sz="4" w:space="0"/>
              <w:right w:val="single" w:color="auto" w:sz="4" w:space="0"/>
            </w:tcBorders>
            <w:noWrap/>
            <w:vAlign w:val="center"/>
          </w:tcPr>
          <w:p w14:paraId="6870611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390" w:type="dxa"/>
            <w:tcBorders>
              <w:top w:val="single" w:color="auto" w:sz="4" w:space="0"/>
              <w:left w:val="single" w:color="auto" w:sz="4" w:space="0"/>
              <w:bottom w:val="single" w:color="auto" w:sz="4" w:space="0"/>
              <w:right w:val="single" w:color="auto" w:sz="4" w:space="0"/>
            </w:tcBorders>
            <w:noWrap/>
            <w:vAlign w:val="center"/>
          </w:tcPr>
          <w:p w14:paraId="3DC9699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施工降水</w:t>
            </w:r>
          </w:p>
        </w:tc>
        <w:tc>
          <w:tcPr>
            <w:tcW w:w="1390" w:type="dxa"/>
            <w:tcBorders>
              <w:top w:val="single" w:color="auto" w:sz="4" w:space="0"/>
              <w:left w:val="single" w:color="auto" w:sz="4" w:space="0"/>
              <w:bottom w:val="single" w:color="auto" w:sz="4" w:space="0"/>
              <w:right w:val="single" w:color="auto" w:sz="4" w:space="0"/>
              <w:tr2bl w:val="single" w:color="auto" w:sz="4" w:space="0"/>
            </w:tcBorders>
            <w:noWrap/>
          </w:tcPr>
          <w:p w14:paraId="5744C4C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14:paraId="120788B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14:paraId="17E3AC4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05" w:type="dxa"/>
            <w:tcBorders>
              <w:top w:val="single" w:color="auto" w:sz="4" w:space="0"/>
              <w:left w:val="single" w:color="auto" w:sz="4" w:space="0"/>
              <w:bottom w:val="single" w:color="auto" w:sz="4" w:space="0"/>
              <w:right w:val="single" w:color="auto" w:sz="4" w:space="0"/>
            </w:tcBorders>
            <w:noWrap/>
          </w:tcPr>
          <w:p w14:paraId="7F2678C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87" w:type="dxa"/>
            <w:tcBorders>
              <w:top w:val="single" w:color="auto" w:sz="4" w:space="0"/>
              <w:left w:val="single" w:color="auto" w:sz="4" w:space="0"/>
              <w:bottom w:val="single" w:color="auto" w:sz="4" w:space="0"/>
              <w:right w:val="single" w:color="auto" w:sz="4" w:space="0"/>
            </w:tcBorders>
            <w:noWrap/>
          </w:tcPr>
          <w:p w14:paraId="470BA9C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16" w:type="dxa"/>
            <w:tcBorders>
              <w:top w:val="single" w:color="auto" w:sz="4" w:space="0"/>
              <w:left w:val="single" w:color="auto" w:sz="4" w:space="0"/>
              <w:bottom w:val="single" w:color="auto" w:sz="4" w:space="0"/>
              <w:right w:val="single" w:color="auto" w:sz="4" w:space="0"/>
            </w:tcBorders>
            <w:noWrap/>
          </w:tcPr>
          <w:p w14:paraId="433EC5F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tcPr>
          <w:p w14:paraId="458260E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23" w:type="dxa"/>
            <w:tcBorders>
              <w:top w:val="single" w:color="auto" w:sz="4" w:space="0"/>
              <w:left w:val="single" w:color="auto" w:sz="4" w:space="0"/>
              <w:bottom w:val="single" w:color="auto" w:sz="4" w:space="0"/>
              <w:right w:val="single" w:color="auto" w:sz="4" w:space="0"/>
            </w:tcBorders>
            <w:noWrap/>
          </w:tcPr>
          <w:p w14:paraId="00AEDBE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tcPr>
          <w:p w14:paraId="692B23F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5594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Borders>
              <w:top w:val="single" w:color="auto" w:sz="4" w:space="0"/>
              <w:left w:val="single" w:color="auto" w:sz="4" w:space="0"/>
              <w:bottom w:val="single" w:color="auto" w:sz="4" w:space="0"/>
              <w:right w:val="single" w:color="auto" w:sz="4" w:space="0"/>
            </w:tcBorders>
            <w:noWrap/>
          </w:tcPr>
          <w:p w14:paraId="0B43DA9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31" w:type="dxa"/>
            <w:tcBorders>
              <w:top w:val="single" w:color="auto" w:sz="4" w:space="0"/>
              <w:left w:val="single" w:color="auto" w:sz="4" w:space="0"/>
              <w:bottom w:val="single" w:color="auto" w:sz="4" w:space="0"/>
              <w:right w:val="single" w:color="auto" w:sz="4" w:space="0"/>
            </w:tcBorders>
            <w:noWrap/>
            <w:vAlign w:val="center"/>
          </w:tcPr>
          <w:p w14:paraId="260D0B3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390" w:type="dxa"/>
            <w:tcBorders>
              <w:top w:val="single" w:color="auto" w:sz="4" w:space="0"/>
              <w:left w:val="single" w:color="auto" w:sz="4" w:space="0"/>
              <w:bottom w:val="single" w:color="auto" w:sz="4" w:space="0"/>
              <w:right w:val="single" w:color="auto" w:sz="4" w:space="0"/>
            </w:tcBorders>
            <w:noWrap/>
            <w:vAlign w:val="center"/>
          </w:tcPr>
          <w:p w14:paraId="42DEA7B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施工排水</w:t>
            </w:r>
          </w:p>
        </w:tc>
        <w:tc>
          <w:tcPr>
            <w:tcW w:w="1390" w:type="dxa"/>
            <w:tcBorders>
              <w:top w:val="single" w:color="auto" w:sz="4" w:space="0"/>
              <w:left w:val="single" w:color="auto" w:sz="4" w:space="0"/>
              <w:bottom w:val="single" w:color="auto" w:sz="4" w:space="0"/>
              <w:right w:val="single" w:color="auto" w:sz="4" w:space="0"/>
              <w:tr2bl w:val="single" w:color="auto" w:sz="4" w:space="0"/>
            </w:tcBorders>
            <w:noWrap/>
          </w:tcPr>
          <w:p w14:paraId="2AD7062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14:paraId="2881E9D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14:paraId="408BEA4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05" w:type="dxa"/>
            <w:tcBorders>
              <w:top w:val="single" w:color="auto" w:sz="4" w:space="0"/>
              <w:left w:val="single" w:color="auto" w:sz="4" w:space="0"/>
              <w:bottom w:val="single" w:color="auto" w:sz="4" w:space="0"/>
              <w:right w:val="single" w:color="auto" w:sz="4" w:space="0"/>
            </w:tcBorders>
            <w:noWrap/>
          </w:tcPr>
          <w:p w14:paraId="4269ABB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87" w:type="dxa"/>
            <w:tcBorders>
              <w:top w:val="single" w:color="auto" w:sz="4" w:space="0"/>
              <w:left w:val="single" w:color="auto" w:sz="4" w:space="0"/>
              <w:bottom w:val="single" w:color="auto" w:sz="4" w:space="0"/>
              <w:right w:val="single" w:color="auto" w:sz="4" w:space="0"/>
            </w:tcBorders>
            <w:noWrap/>
          </w:tcPr>
          <w:p w14:paraId="3292ABA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16" w:type="dxa"/>
            <w:tcBorders>
              <w:top w:val="single" w:color="auto" w:sz="4" w:space="0"/>
              <w:left w:val="single" w:color="auto" w:sz="4" w:space="0"/>
              <w:bottom w:val="single" w:color="auto" w:sz="4" w:space="0"/>
              <w:right w:val="single" w:color="auto" w:sz="4" w:space="0"/>
            </w:tcBorders>
            <w:noWrap/>
          </w:tcPr>
          <w:p w14:paraId="4A78D19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tcPr>
          <w:p w14:paraId="583C482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23" w:type="dxa"/>
            <w:tcBorders>
              <w:top w:val="single" w:color="auto" w:sz="4" w:space="0"/>
              <w:left w:val="single" w:color="auto" w:sz="4" w:space="0"/>
              <w:bottom w:val="single" w:color="auto" w:sz="4" w:space="0"/>
              <w:right w:val="single" w:color="auto" w:sz="4" w:space="0"/>
            </w:tcBorders>
            <w:noWrap/>
          </w:tcPr>
          <w:p w14:paraId="6835DC0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tcPr>
          <w:p w14:paraId="1C66AE6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6510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Borders>
              <w:top w:val="single" w:color="auto" w:sz="4" w:space="0"/>
              <w:left w:val="single" w:color="auto" w:sz="4" w:space="0"/>
              <w:bottom w:val="single" w:color="auto" w:sz="4" w:space="0"/>
              <w:right w:val="single" w:color="auto" w:sz="4" w:space="0"/>
            </w:tcBorders>
            <w:noWrap/>
          </w:tcPr>
          <w:p w14:paraId="31C3CB4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31" w:type="dxa"/>
            <w:tcBorders>
              <w:top w:val="single" w:color="auto" w:sz="4" w:space="0"/>
              <w:left w:val="single" w:color="auto" w:sz="4" w:space="0"/>
              <w:bottom w:val="single" w:color="auto" w:sz="4" w:space="0"/>
              <w:right w:val="single" w:color="auto" w:sz="4" w:space="0"/>
            </w:tcBorders>
            <w:noWrap/>
            <w:vAlign w:val="center"/>
          </w:tcPr>
          <w:p w14:paraId="512DA7E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390" w:type="dxa"/>
            <w:tcBorders>
              <w:top w:val="single" w:color="auto" w:sz="4" w:space="0"/>
              <w:left w:val="single" w:color="auto" w:sz="4" w:space="0"/>
              <w:bottom w:val="single" w:color="auto" w:sz="4" w:space="0"/>
              <w:right w:val="single" w:color="auto" w:sz="4" w:space="0"/>
            </w:tcBorders>
            <w:noWrap/>
            <w:vAlign w:val="center"/>
          </w:tcPr>
          <w:p w14:paraId="60B9D83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地下、地下设施或建筑物的临时保护措施</w:t>
            </w:r>
          </w:p>
        </w:tc>
        <w:tc>
          <w:tcPr>
            <w:tcW w:w="1390" w:type="dxa"/>
            <w:tcBorders>
              <w:top w:val="single" w:color="auto" w:sz="4" w:space="0"/>
              <w:left w:val="single" w:color="auto" w:sz="4" w:space="0"/>
              <w:bottom w:val="single" w:color="auto" w:sz="4" w:space="0"/>
              <w:right w:val="single" w:color="auto" w:sz="4" w:space="0"/>
              <w:tr2bl w:val="single" w:color="auto" w:sz="4" w:space="0"/>
            </w:tcBorders>
            <w:noWrap/>
          </w:tcPr>
          <w:p w14:paraId="63C8D10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14:paraId="625513C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14:paraId="4B78FB3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05" w:type="dxa"/>
            <w:tcBorders>
              <w:top w:val="single" w:color="auto" w:sz="4" w:space="0"/>
              <w:left w:val="single" w:color="auto" w:sz="4" w:space="0"/>
              <w:bottom w:val="single" w:color="auto" w:sz="4" w:space="0"/>
              <w:right w:val="single" w:color="auto" w:sz="4" w:space="0"/>
            </w:tcBorders>
            <w:noWrap/>
          </w:tcPr>
          <w:p w14:paraId="1CF166F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87" w:type="dxa"/>
            <w:tcBorders>
              <w:top w:val="single" w:color="auto" w:sz="4" w:space="0"/>
              <w:left w:val="single" w:color="auto" w:sz="4" w:space="0"/>
              <w:bottom w:val="single" w:color="auto" w:sz="4" w:space="0"/>
              <w:right w:val="single" w:color="auto" w:sz="4" w:space="0"/>
            </w:tcBorders>
            <w:noWrap/>
          </w:tcPr>
          <w:p w14:paraId="3991C0A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16" w:type="dxa"/>
            <w:tcBorders>
              <w:top w:val="single" w:color="auto" w:sz="4" w:space="0"/>
              <w:left w:val="single" w:color="auto" w:sz="4" w:space="0"/>
              <w:bottom w:val="single" w:color="auto" w:sz="4" w:space="0"/>
              <w:right w:val="single" w:color="auto" w:sz="4" w:space="0"/>
            </w:tcBorders>
            <w:noWrap/>
          </w:tcPr>
          <w:p w14:paraId="3392584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tcPr>
          <w:p w14:paraId="6DE9EDB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23" w:type="dxa"/>
            <w:tcBorders>
              <w:top w:val="single" w:color="auto" w:sz="4" w:space="0"/>
              <w:left w:val="single" w:color="auto" w:sz="4" w:space="0"/>
              <w:bottom w:val="single" w:color="auto" w:sz="4" w:space="0"/>
              <w:right w:val="single" w:color="auto" w:sz="4" w:space="0"/>
            </w:tcBorders>
            <w:noWrap/>
          </w:tcPr>
          <w:p w14:paraId="39BE757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tcPr>
          <w:p w14:paraId="22E8741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759F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21" w:type="dxa"/>
            <w:tcBorders>
              <w:top w:val="single" w:color="auto" w:sz="4" w:space="0"/>
              <w:left w:val="single" w:color="auto" w:sz="4" w:space="0"/>
              <w:bottom w:val="single" w:color="auto" w:sz="4" w:space="0"/>
              <w:right w:val="single" w:color="auto" w:sz="4" w:space="0"/>
            </w:tcBorders>
            <w:noWrap/>
          </w:tcPr>
          <w:p w14:paraId="3786D0B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31" w:type="dxa"/>
            <w:tcBorders>
              <w:top w:val="single" w:color="auto" w:sz="4" w:space="0"/>
              <w:left w:val="single" w:color="auto" w:sz="4" w:space="0"/>
              <w:bottom w:val="single" w:color="auto" w:sz="4" w:space="0"/>
              <w:right w:val="single" w:color="auto" w:sz="4" w:space="0"/>
            </w:tcBorders>
            <w:noWrap/>
            <w:vAlign w:val="center"/>
          </w:tcPr>
          <w:p w14:paraId="7EC2222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390" w:type="dxa"/>
            <w:tcBorders>
              <w:top w:val="single" w:color="auto" w:sz="4" w:space="0"/>
              <w:left w:val="single" w:color="auto" w:sz="4" w:space="0"/>
              <w:bottom w:val="single" w:color="auto" w:sz="4" w:space="0"/>
              <w:right w:val="single" w:color="auto" w:sz="4" w:space="0"/>
            </w:tcBorders>
            <w:noWrap/>
            <w:vAlign w:val="center"/>
          </w:tcPr>
          <w:p w14:paraId="239BE16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w:t>
            </w:r>
          </w:p>
        </w:tc>
        <w:tc>
          <w:tcPr>
            <w:tcW w:w="1390" w:type="dxa"/>
            <w:tcBorders>
              <w:top w:val="single" w:color="auto" w:sz="4" w:space="0"/>
              <w:left w:val="single" w:color="auto" w:sz="4" w:space="0"/>
              <w:bottom w:val="single" w:color="auto" w:sz="4" w:space="0"/>
              <w:right w:val="single" w:color="auto" w:sz="4" w:space="0"/>
            </w:tcBorders>
            <w:noWrap/>
          </w:tcPr>
          <w:p w14:paraId="673F2F5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14:paraId="718A847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14:paraId="43C6A87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05" w:type="dxa"/>
            <w:tcBorders>
              <w:top w:val="single" w:color="auto" w:sz="4" w:space="0"/>
              <w:left w:val="single" w:color="auto" w:sz="4" w:space="0"/>
              <w:bottom w:val="single" w:color="auto" w:sz="4" w:space="0"/>
              <w:right w:val="single" w:color="auto" w:sz="4" w:space="0"/>
            </w:tcBorders>
            <w:noWrap/>
          </w:tcPr>
          <w:p w14:paraId="6D35B1C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87" w:type="dxa"/>
            <w:tcBorders>
              <w:top w:val="single" w:color="auto" w:sz="4" w:space="0"/>
              <w:left w:val="single" w:color="auto" w:sz="4" w:space="0"/>
              <w:bottom w:val="single" w:color="auto" w:sz="4" w:space="0"/>
              <w:right w:val="single" w:color="auto" w:sz="4" w:space="0"/>
            </w:tcBorders>
            <w:noWrap/>
          </w:tcPr>
          <w:p w14:paraId="6E893C2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16" w:type="dxa"/>
            <w:tcBorders>
              <w:top w:val="single" w:color="auto" w:sz="4" w:space="0"/>
              <w:left w:val="single" w:color="auto" w:sz="4" w:space="0"/>
              <w:bottom w:val="single" w:color="auto" w:sz="4" w:space="0"/>
              <w:right w:val="single" w:color="auto" w:sz="4" w:space="0"/>
            </w:tcBorders>
            <w:noWrap/>
          </w:tcPr>
          <w:p w14:paraId="67D2AB3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tcPr>
          <w:p w14:paraId="019FFC9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23" w:type="dxa"/>
            <w:tcBorders>
              <w:top w:val="single" w:color="auto" w:sz="4" w:space="0"/>
              <w:left w:val="single" w:color="auto" w:sz="4" w:space="0"/>
              <w:bottom w:val="single" w:color="auto" w:sz="4" w:space="0"/>
              <w:right w:val="single" w:color="auto" w:sz="4" w:space="0"/>
            </w:tcBorders>
            <w:noWrap/>
          </w:tcPr>
          <w:p w14:paraId="2200B2D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tcPr>
          <w:p w14:paraId="1C3F6EB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5164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21" w:type="dxa"/>
            <w:tcBorders>
              <w:top w:val="single" w:color="auto" w:sz="4" w:space="0"/>
              <w:left w:val="single" w:color="auto" w:sz="4" w:space="0"/>
              <w:bottom w:val="single" w:color="auto" w:sz="4" w:space="0"/>
              <w:right w:val="single" w:color="auto" w:sz="4" w:space="0"/>
            </w:tcBorders>
            <w:noWrap/>
          </w:tcPr>
          <w:p w14:paraId="6308DCC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31" w:type="dxa"/>
            <w:tcBorders>
              <w:top w:val="single" w:color="auto" w:sz="4" w:space="0"/>
              <w:left w:val="single" w:color="auto" w:sz="4" w:space="0"/>
              <w:bottom w:val="single" w:color="auto" w:sz="4" w:space="0"/>
              <w:right w:val="single" w:color="auto" w:sz="4" w:space="0"/>
            </w:tcBorders>
            <w:noWrap/>
          </w:tcPr>
          <w:p w14:paraId="0D660F8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390" w:type="dxa"/>
            <w:tcBorders>
              <w:top w:val="single" w:color="auto" w:sz="4" w:space="0"/>
              <w:left w:val="single" w:color="auto" w:sz="4" w:space="0"/>
              <w:bottom w:val="single" w:color="auto" w:sz="4" w:space="0"/>
              <w:right w:val="single" w:color="auto" w:sz="4" w:space="0"/>
            </w:tcBorders>
            <w:noWrap/>
            <w:vAlign w:val="center"/>
          </w:tcPr>
          <w:p w14:paraId="7558686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模板</w:t>
            </w:r>
          </w:p>
        </w:tc>
        <w:tc>
          <w:tcPr>
            <w:tcW w:w="1390" w:type="dxa"/>
            <w:tcBorders>
              <w:top w:val="single" w:color="auto" w:sz="4" w:space="0"/>
              <w:left w:val="single" w:color="auto" w:sz="4" w:space="0"/>
              <w:bottom w:val="single" w:color="auto" w:sz="4" w:space="0"/>
              <w:right w:val="single" w:color="auto" w:sz="4" w:space="0"/>
            </w:tcBorders>
            <w:noWrap/>
          </w:tcPr>
          <w:p w14:paraId="375C63A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14:paraId="15032E7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17" w:type="dxa"/>
            <w:tcBorders>
              <w:top w:val="single" w:color="auto" w:sz="4" w:space="0"/>
              <w:left w:val="single" w:color="auto" w:sz="4" w:space="0"/>
              <w:bottom w:val="single" w:color="auto" w:sz="4" w:space="0"/>
              <w:right w:val="single" w:color="auto" w:sz="4" w:space="0"/>
            </w:tcBorders>
            <w:noWrap/>
          </w:tcPr>
          <w:p w14:paraId="72AC3F6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05" w:type="dxa"/>
            <w:tcBorders>
              <w:top w:val="single" w:color="auto" w:sz="4" w:space="0"/>
              <w:left w:val="single" w:color="auto" w:sz="4" w:space="0"/>
              <w:bottom w:val="single" w:color="auto" w:sz="4" w:space="0"/>
              <w:right w:val="single" w:color="auto" w:sz="4" w:space="0"/>
            </w:tcBorders>
            <w:noWrap/>
          </w:tcPr>
          <w:p w14:paraId="209DD5D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87" w:type="dxa"/>
            <w:tcBorders>
              <w:top w:val="single" w:color="auto" w:sz="4" w:space="0"/>
              <w:left w:val="single" w:color="auto" w:sz="4" w:space="0"/>
              <w:bottom w:val="single" w:color="auto" w:sz="4" w:space="0"/>
              <w:right w:val="single" w:color="auto" w:sz="4" w:space="0"/>
            </w:tcBorders>
            <w:noWrap/>
          </w:tcPr>
          <w:p w14:paraId="34EDAB5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16" w:type="dxa"/>
            <w:tcBorders>
              <w:top w:val="single" w:color="auto" w:sz="4" w:space="0"/>
              <w:left w:val="single" w:color="auto" w:sz="4" w:space="0"/>
              <w:bottom w:val="single" w:color="auto" w:sz="4" w:space="0"/>
              <w:right w:val="single" w:color="auto" w:sz="4" w:space="0"/>
            </w:tcBorders>
            <w:noWrap/>
          </w:tcPr>
          <w:p w14:paraId="5027B8E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22" w:type="dxa"/>
            <w:gridSpan w:val="2"/>
            <w:tcBorders>
              <w:top w:val="single" w:color="auto" w:sz="4" w:space="0"/>
              <w:left w:val="single" w:color="auto" w:sz="4" w:space="0"/>
              <w:bottom w:val="single" w:color="auto" w:sz="4" w:space="0"/>
              <w:right w:val="single" w:color="auto" w:sz="4" w:space="0"/>
            </w:tcBorders>
            <w:noWrap/>
          </w:tcPr>
          <w:p w14:paraId="19E7C43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23" w:type="dxa"/>
            <w:tcBorders>
              <w:top w:val="single" w:color="auto" w:sz="4" w:space="0"/>
              <w:left w:val="single" w:color="auto" w:sz="4" w:space="0"/>
              <w:bottom w:val="single" w:color="auto" w:sz="4" w:space="0"/>
              <w:right w:val="single" w:color="auto" w:sz="4" w:space="0"/>
            </w:tcBorders>
            <w:noWrap/>
          </w:tcPr>
          <w:p w14:paraId="3EE7498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tcPr>
          <w:p w14:paraId="7F396F3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2292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71" w:type="dxa"/>
            <w:gridSpan w:val="7"/>
            <w:tcBorders>
              <w:top w:val="nil"/>
              <w:left w:val="single" w:color="auto" w:sz="4" w:space="0"/>
              <w:bottom w:val="single" w:color="auto" w:sz="4" w:space="0"/>
              <w:right w:val="single" w:color="auto" w:sz="4" w:space="0"/>
            </w:tcBorders>
            <w:noWrap/>
            <w:vAlign w:val="center"/>
          </w:tcPr>
          <w:p w14:paraId="7FF03BD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合    计</w:t>
            </w:r>
          </w:p>
        </w:tc>
        <w:tc>
          <w:tcPr>
            <w:tcW w:w="987" w:type="dxa"/>
            <w:tcBorders>
              <w:top w:val="single" w:color="auto" w:sz="4" w:space="0"/>
              <w:left w:val="single" w:color="auto" w:sz="4" w:space="0"/>
              <w:bottom w:val="single" w:color="auto" w:sz="4" w:space="0"/>
              <w:right w:val="single" w:color="auto" w:sz="4" w:space="0"/>
            </w:tcBorders>
            <w:noWrap/>
          </w:tcPr>
          <w:p w14:paraId="2E5062A9">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p>
        </w:tc>
        <w:tc>
          <w:tcPr>
            <w:tcW w:w="1216" w:type="dxa"/>
            <w:tcBorders>
              <w:top w:val="single" w:color="auto" w:sz="4" w:space="0"/>
              <w:left w:val="single" w:color="auto" w:sz="4" w:space="0"/>
              <w:bottom w:val="single" w:color="auto" w:sz="4" w:space="0"/>
              <w:right w:val="single" w:color="auto" w:sz="4" w:space="0"/>
            </w:tcBorders>
            <w:noWrap/>
          </w:tcPr>
          <w:p w14:paraId="783FBB76">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p>
        </w:tc>
        <w:tc>
          <w:tcPr>
            <w:tcW w:w="1216" w:type="dxa"/>
            <w:tcBorders>
              <w:top w:val="single" w:color="auto" w:sz="4" w:space="0"/>
              <w:left w:val="single" w:color="auto" w:sz="4" w:space="0"/>
              <w:bottom w:val="single" w:color="auto" w:sz="4" w:space="0"/>
              <w:right w:val="single" w:color="auto" w:sz="4" w:space="0"/>
            </w:tcBorders>
            <w:noWrap/>
          </w:tcPr>
          <w:p w14:paraId="3BE13CE2">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p>
        </w:tc>
        <w:tc>
          <w:tcPr>
            <w:tcW w:w="1029" w:type="dxa"/>
            <w:gridSpan w:val="2"/>
            <w:tcBorders>
              <w:top w:val="single" w:color="auto" w:sz="4" w:space="0"/>
              <w:left w:val="single" w:color="auto" w:sz="4" w:space="0"/>
              <w:bottom w:val="single" w:color="auto" w:sz="4" w:space="0"/>
              <w:right w:val="single" w:color="auto" w:sz="4" w:space="0"/>
            </w:tcBorders>
            <w:noWrap/>
          </w:tcPr>
          <w:p w14:paraId="68874D7B">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p>
        </w:tc>
        <w:tc>
          <w:tcPr>
            <w:tcW w:w="923" w:type="dxa"/>
            <w:tcBorders>
              <w:top w:val="single" w:color="auto" w:sz="4" w:space="0"/>
              <w:left w:val="single" w:color="auto" w:sz="4" w:space="0"/>
              <w:bottom w:val="single" w:color="auto" w:sz="4" w:space="0"/>
              <w:right w:val="single" w:color="auto" w:sz="4" w:space="0"/>
            </w:tcBorders>
            <w:noWrap/>
          </w:tcPr>
          <w:p w14:paraId="017D2F4A">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p>
        </w:tc>
      </w:tr>
    </w:tbl>
    <w:p w14:paraId="069F9477">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r>
        <w:rPr>
          <w:rFonts w:hint="eastAsia" w:ascii="宋体" w:hAnsi="宋体" w:cs="仿宋"/>
          <w:color w:val="auto"/>
          <w:highlight w:val="none"/>
        </w:rPr>
        <w:t>注：1. 本表适用于以“项”为单位计价和以“分部分项工程量清单项目综合单价”方式计价的技术措施项目。</w:t>
      </w:r>
    </w:p>
    <w:p w14:paraId="265ACD28">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r>
        <w:rPr>
          <w:rFonts w:hint="eastAsia" w:ascii="宋体" w:hAnsi="宋体" w:cs="仿宋"/>
          <w:color w:val="auto"/>
          <w:highlight w:val="none"/>
        </w:rPr>
        <w:t>2．措施项目应分整体措施项目和专业工程措施项目。如应用于整体措施项目，表头中只须填报工程名称；如应用于专业工程措施项目，表头中应分别填写工程名称、单位工程及专业工程名称。</w:t>
      </w:r>
    </w:p>
    <w:p w14:paraId="0A3ABD86">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r>
        <w:rPr>
          <w:rFonts w:hint="eastAsia" w:ascii="宋体" w:hAnsi="宋体" w:cs="仿宋"/>
          <w:color w:val="auto"/>
          <w:highlight w:val="none"/>
        </w:rPr>
        <w:t>3．以“分部分项工程量清单项目综合单价”方式计价的技术措施项目，表中第（1）～（5）栏由招标人提供；以“项”为单位计价的技术措施项目，表中第（4）栏项目特征不需要提供和填写。投标人根据施工方案对具体项目可作补充。</w:t>
      </w:r>
    </w:p>
    <w:p w14:paraId="7B51CB6C">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r>
        <w:rPr>
          <w:rFonts w:hint="eastAsia" w:ascii="宋体" w:hAnsi="宋体" w:cs="仿宋"/>
          <w:color w:val="auto"/>
          <w:highlight w:val="none"/>
        </w:rPr>
        <w:t>4．第（6）栏由招标人按需出要求，如招标人需要投标人提供清单项目综合单价的计算分析和工料机分析，请在备注中明确。</w:t>
      </w:r>
    </w:p>
    <w:p w14:paraId="2A184DDB">
      <w:pPr>
        <w:pStyle w:val="862"/>
        <w:keepNext w:val="0"/>
        <w:keepLines w:val="0"/>
        <w:pageBreakBefore w:val="0"/>
        <w:kinsoku/>
        <w:overflowPunct/>
        <w:topLinePunct w:val="0"/>
        <w:autoSpaceDE/>
        <w:autoSpaceDN/>
        <w:bidi w:val="0"/>
        <w:ind w:firstLine="480"/>
        <w:textAlignment w:val="auto"/>
        <w:outlineLvl w:val="9"/>
        <w:rPr>
          <w:color w:val="auto"/>
          <w:highlight w:val="none"/>
        </w:rPr>
      </w:pPr>
    </w:p>
    <w:p w14:paraId="23762667">
      <w:pPr>
        <w:keepNext w:val="0"/>
        <w:keepLines w:val="0"/>
        <w:pageBreakBefore w:val="0"/>
        <w:kinsoku/>
        <w:wordWrap w:val="0"/>
        <w:overflowPunct/>
        <w:topLinePunct w:val="0"/>
        <w:autoSpaceDE/>
        <w:autoSpaceDN/>
        <w:bidi w:val="0"/>
        <w:spacing w:line="460" w:lineRule="exact"/>
        <w:ind w:firstLine="420" w:firstLineChars="200"/>
        <w:textAlignment w:val="auto"/>
        <w:outlineLvl w:val="9"/>
        <w:rPr>
          <w:rFonts w:cs="仿宋"/>
          <w:color w:val="auto"/>
          <w:kern w:val="0"/>
          <w:szCs w:val="21"/>
          <w:highlight w:val="none"/>
        </w:rPr>
      </w:pPr>
    </w:p>
    <w:p w14:paraId="691E2E30">
      <w:pPr>
        <w:keepNext w:val="0"/>
        <w:keepLines w:val="0"/>
        <w:pageBreakBefore w:val="0"/>
        <w:kinsoku/>
        <w:overflowPunct/>
        <w:topLinePunct w:val="0"/>
        <w:autoSpaceDE/>
        <w:autoSpaceDN/>
        <w:bidi w:val="0"/>
        <w:ind w:firstLine="480"/>
        <w:textAlignment w:val="auto"/>
        <w:outlineLvl w:val="9"/>
        <w:rPr>
          <w:color w:val="auto"/>
          <w:highlight w:val="none"/>
        </w:rPr>
        <w:sectPr>
          <w:pgSz w:w="16838" w:h="11905" w:orient="landscape"/>
          <w:pgMar w:top="1417" w:right="1417" w:bottom="1417" w:left="1417" w:header="850" w:footer="992" w:gutter="0"/>
          <w:cols w:space="0" w:num="1"/>
          <w:titlePg/>
          <w:rtlGutter w:val="0"/>
          <w:docGrid w:linePitch="312" w:charSpace="0"/>
        </w:sectPr>
      </w:pPr>
    </w:p>
    <w:p w14:paraId="770F3601">
      <w:pPr>
        <w:keepNext w:val="0"/>
        <w:keepLines w:val="0"/>
        <w:pageBreakBefore w:val="0"/>
        <w:kinsoku/>
        <w:wordWrap w:val="0"/>
        <w:overflowPunct/>
        <w:topLinePunct w:val="0"/>
        <w:autoSpaceDE/>
        <w:autoSpaceDN/>
        <w:bidi w:val="0"/>
        <w:jc w:val="center"/>
        <w:textAlignment w:val="auto"/>
        <w:outlineLvl w:val="9"/>
        <w:rPr>
          <w:rFonts w:cs="仿宋"/>
          <w:b/>
          <w:bCs/>
          <w:color w:val="auto"/>
          <w:sz w:val="32"/>
          <w:szCs w:val="28"/>
          <w:highlight w:val="none"/>
        </w:rPr>
      </w:pPr>
      <w:r>
        <w:rPr>
          <w:rFonts w:hint="eastAsia" w:ascii="宋体" w:hAnsi="宋体" w:cs="仿宋"/>
          <w:b/>
          <w:bCs/>
          <w:color w:val="auto"/>
          <w:sz w:val="32"/>
          <w:szCs w:val="28"/>
          <w:highlight w:val="none"/>
        </w:rPr>
        <w:t>表1-3-A-1  安全文明施工措施项目清单及计价表</w:t>
      </w:r>
    </w:p>
    <w:p w14:paraId="5B83DAC7">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r>
        <w:rPr>
          <w:rFonts w:hint="eastAsia" w:ascii="宋体" w:hAnsi="宋体" w:cs="仿宋"/>
          <w:color w:val="auto"/>
          <w:highlight w:val="none"/>
        </w:rPr>
        <w:t>工程名称:                                                    第  页共  页</w:t>
      </w:r>
    </w:p>
    <w:tbl>
      <w:tblPr>
        <w:tblStyle w:val="62"/>
        <w:tblW w:w="4998" w:type="pct"/>
        <w:jc w:val="center"/>
        <w:tblLayout w:type="autofit"/>
        <w:tblCellMar>
          <w:top w:w="0" w:type="dxa"/>
          <w:left w:w="108" w:type="dxa"/>
          <w:bottom w:w="0" w:type="dxa"/>
          <w:right w:w="108" w:type="dxa"/>
        </w:tblCellMar>
      </w:tblPr>
      <w:tblGrid>
        <w:gridCol w:w="856"/>
        <w:gridCol w:w="3101"/>
        <w:gridCol w:w="617"/>
        <w:gridCol w:w="537"/>
        <w:gridCol w:w="1018"/>
        <w:gridCol w:w="1018"/>
        <w:gridCol w:w="2140"/>
      </w:tblGrid>
      <w:tr w14:paraId="27D9A6E7">
        <w:tblPrEx>
          <w:tblCellMar>
            <w:top w:w="0" w:type="dxa"/>
            <w:left w:w="108" w:type="dxa"/>
            <w:bottom w:w="0" w:type="dxa"/>
            <w:right w:w="108" w:type="dxa"/>
          </w:tblCellMar>
        </w:tblPrEx>
        <w:trPr>
          <w:cantSplit/>
          <w:trHeight w:val="340" w:hRule="atLeast"/>
          <w:tblHeader/>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0EB6E0FC">
            <w:pPr>
              <w:keepNext w:val="0"/>
              <w:keepLines w:val="0"/>
              <w:pageBreakBefore w:val="0"/>
              <w:kinsoku/>
              <w:wordWrap w:val="0"/>
              <w:overflowPunct/>
              <w:topLinePunct w:val="0"/>
              <w:autoSpaceDE/>
              <w:autoSpaceDN/>
              <w:bidi w:val="0"/>
              <w:adjustRightInd/>
              <w:spacing w:line="320" w:lineRule="exact"/>
              <w:ind w:left="-210" w:leftChars="-100" w:firstLine="210" w:firstLineChars="100"/>
              <w:jc w:val="center"/>
              <w:textAlignment w:val="auto"/>
              <w:outlineLvl w:val="9"/>
              <w:rPr>
                <w:rFonts w:cs="仿宋"/>
                <w:color w:val="auto"/>
                <w:highlight w:val="none"/>
              </w:rPr>
            </w:pPr>
            <w:r>
              <w:rPr>
                <w:rFonts w:hint="eastAsia" w:ascii="宋体" w:hAnsi="宋体" w:cs="仿宋"/>
                <w:color w:val="auto"/>
                <w:highlight w:val="none"/>
              </w:rPr>
              <w:t>序号</w:t>
            </w:r>
          </w:p>
        </w:tc>
        <w:tc>
          <w:tcPr>
            <w:tcW w:w="1167" w:type="pct"/>
            <w:tcBorders>
              <w:top w:val="single" w:color="auto" w:sz="4" w:space="0"/>
              <w:left w:val="nil"/>
              <w:bottom w:val="single" w:color="auto" w:sz="4" w:space="0"/>
              <w:right w:val="single" w:color="auto" w:sz="4" w:space="0"/>
            </w:tcBorders>
            <w:noWrap/>
            <w:vAlign w:val="center"/>
          </w:tcPr>
          <w:p w14:paraId="32D12D1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措施项目名称</w:t>
            </w:r>
          </w:p>
        </w:tc>
        <w:tc>
          <w:tcPr>
            <w:tcW w:w="455" w:type="pct"/>
            <w:tcBorders>
              <w:top w:val="single" w:color="auto" w:sz="4" w:space="0"/>
              <w:left w:val="nil"/>
              <w:bottom w:val="single" w:color="auto" w:sz="4" w:space="0"/>
              <w:right w:val="single" w:color="auto" w:sz="4" w:space="0"/>
            </w:tcBorders>
            <w:noWrap/>
            <w:vAlign w:val="center"/>
          </w:tcPr>
          <w:p w14:paraId="14AFA7E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单位</w:t>
            </w:r>
          </w:p>
        </w:tc>
        <w:tc>
          <w:tcPr>
            <w:tcW w:w="473" w:type="pct"/>
            <w:tcBorders>
              <w:top w:val="single" w:color="auto" w:sz="4" w:space="0"/>
              <w:left w:val="nil"/>
              <w:bottom w:val="single" w:color="auto" w:sz="4" w:space="0"/>
              <w:right w:val="single" w:color="auto" w:sz="4" w:space="0"/>
            </w:tcBorders>
            <w:noWrap/>
            <w:vAlign w:val="center"/>
          </w:tcPr>
          <w:p w14:paraId="288CEBA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数量</w:t>
            </w:r>
          </w:p>
        </w:tc>
        <w:tc>
          <w:tcPr>
            <w:tcW w:w="473" w:type="pct"/>
            <w:tcBorders>
              <w:top w:val="single" w:color="auto" w:sz="4" w:space="0"/>
              <w:left w:val="nil"/>
              <w:bottom w:val="single" w:color="auto" w:sz="4" w:space="0"/>
              <w:right w:val="single" w:color="auto" w:sz="4" w:space="0"/>
            </w:tcBorders>
            <w:noWrap/>
            <w:vAlign w:val="center"/>
          </w:tcPr>
          <w:p w14:paraId="3AFEE05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单价（元）</w:t>
            </w:r>
          </w:p>
        </w:tc>
        <w:tc>
          <w:tcPr>
            <w:tcW w:w="473" w:type="pct"/>
            <w:tcBorders>
              <w:top w:val="single" w:color="auto" w:sz="4" w:space="0"/>
              <w:left w:val="nil"/>
              <w:bottom w:val="single" w:color="auto" w:sz="4" w:space="0"/>
              <w:right w:val="single" w:color="auto" w:sz="4" w:space="0"/>
            </w:tcBorders>
            <w:noWrap/>
            <w:vAlign w:val="center"/>
          </w:tcPr>
          <w:p w14:paraId="16E0E5F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合价（元）</w:t>
            </w:r>
          </w:p>
        </w:tc>
        <w:tc>
          <w:tcPr>
            <w:tcW w:w="1317" w:type="pct"/>
            <w:tcBorders>
              <w:top w:val="single" w:color="auto" w:sz="4" w:space="0"/>
              <w:left w:val="nil"/>
              <w:bottom w:val="single" w:color="auto" w:sz="4" w:space="0"/>
              <w:right w:val="single" w:color="auto" w:sz="4" w:space="0"/>
            </w:tcBorders>
            <w:noWrap/>
            <w:vAlign w:val="center"/>
          </w:tcPr>
          <w:p w14:paraId="67F91DE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备注</w:t>
            </w:r>
          </w:p>
        </w:tc>
      </w:tr>
      <w:tr w14:paraId="02E970E9">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03361EB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1167" w:type="pct"/>
            <w:tcBorders>
              <w:top w:val="single" w:color="auto" w:sz="4" w:space="0"/>
              <w:left w:val="nil"/>
              <w:bottom w:val="single" w:color="auto" w:sz="4" w:space="0"/>
              <w:right w:val="single" w:color="auto" w:sz="4" w:space="0"/>
            </w:tcBorders>
            <w:noWrap/>
            <w:vAlign w:val="center"/>
          </w:tcPr>
          <w:p w14:paraId="6BF3B0B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455" w:type="pct"/>
            <w:tcBorders>
              <w:top w:val="single" w:color="auto" w:sz="4" w:space="0"/>
              <w:left w:val="nil"/>
              <w:bottom w:val="single" w:color="auto" w:sz="4" w:space="0"/>
              <w:right w:val="single" w:color="auto" w:sz="4" w:space="0"/>
            </w:tcBorders>
            <w:noWrap/>
            <w:vAlign w:val="center"/>
          </w:tcPr>
          <w:p w14:paraId="64CB313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（3）</w:t>
            </w:r>
          </w:p>
        </w:tc>
        <w:tc>
          <w:tcPr>
            <w:tcW w:w="473" w:type="pct"/>
            <w:tcBorders>
              <w:top w:val="single" w:color="auto" w:sz="4" w:space="0"/>
              <w:left w:val="nil"/>
              <w:bottom w:val="single" w:color="auto" w:sz="4" w:space="0"/>
              <w:right w:val="single" w:color="auto" w:sz="4" w:space="0"/>
            </w:tcBorders>
            <w:noWrap/>
            <w:vAlign w:val="center"/>
          </w:tcPr>
          <w:p w14:paraId="3C52550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0E8CDF6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80C7C1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191A183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02DC327E">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6A6E7F8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一</w:t>
            </w:r>
          </w:p>
        </w:tc>
        <w:tc>
          <w:tcPr>
            <w:tcW w:w="1167" w:type="pct"/>
            <w:tcBorders>
              <w:top w:val="single" w:color="auto" w:sz="4" w:space="0"/>
              <w:left w:val="nil"/>
              <w:bottom w:val="single" w:color="auto" w:sz="4" w:space="0"/>
              <w:right w:val="single" w:color="auto" w:sz="4" w:space="0"/>
            </w:tcBorders>
            <w:noWrap/>
            <w:vAlign w:val="center"/>
          </w:tcPr>
          <w:p w14:paraId="0ADCBC3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安全施工措施项目</w:t>
            </w:r>
          </w:p>
        </w:tc>
        <w:tc>
          <w:tcPr>
            <w:tcW w:w="455" w:type="pct"/>
            <w:tcBorders>
              <w:top w:val="single" w:color="auto" w:sz="4" w:space="0"/>
              <w:left w:val="nil"/>
              <w:bottom w:val="single" w:color="auto" w:sz="4" w:space="0"/>
              <w:right w:val="single" w:color="auto" w:sz="4" w:space="0"/>
            </w:tcBorders>
            <w:noWrap/>
            <w:vAlign w:val="center"/>
          </w:tcPr>
          <w:p w14:paraId="3CCA725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399BCA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9E8F49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4805E3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1B265EC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159A6F2B">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1F61080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（一）</w:t>
            </w:r>
          </w:p>
        </w:tc>
        <w:tc>
          <w:tcPr>
            <w:tcW w:w="1167" w:type="pct"/>
            <w:tcBorders>
              <w:top w:val="single" w:color="auto" w:sz="4" w:space="0"/>
              <w:left w:val="nil"/>
              <w:bottom w:val="single" w:color="auto" w:sz="4" w:space="0"/>
              <w:right w:val="single" w:color="auto" w:sz="4" w:space="0"/>
            </w:tcBorders>
            <w:noWrap/>
            <w:vAlign w:val="center"/>
          </w:tcPr>
          <w:p w14:paraId="1BA8EBC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基本安全防护</w:t>
            </w:r>
          </w:p>
        </w:tc>
        <w:tc>
          <w:tcPr>
            <w:tcW w:w="455" w:type="pct"/>
            <w:tcBorders>
              <w:top w:val="single" w:color="auto" w:sz="4" w:space="0"/>
              <w:left w:val="nil"/>
              <w:bottom w:val="single" w:color="auto" w:sz="4" w:space="0"/>
              <w:right w:val="single" w:color="auto" w:sz="4" w:space="0"/>
            </w:tcBorders>
            <w:noWrap/>
            <w:vAlign w:val="center"/>
          </w:tcPr>
          <w:p w14:paraId="106502E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326B2D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47CD0FA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3696A34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28CA1AF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73A1443E">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6E0B2E5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1167" w:type="pct"/>
            <w:tcBorders>
              <w:top w:val="single" w:color="auto" w:sz="4" w:space="0"/>
              <w:left w:val="nil"/>
              <w:bottom w:val="single" w:color="auto" w:sz="4" w:space="0"/>
              <w:right w:val="single" w:color="auto" w:sz="4" w:space="0"/>
            </w:tcBorders>
            <w:noWrap/>
            <w:vAlign w:val="center"/>
          </w:tcPr>
          <w:p w14:paraId="2C48C39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安全网</w:t>
            </w:r>
          </w:p>
        </w:tc>
        <w:tc>
          <w:tcPr>
            <w:tcW w:w="455" w:type="pct"/>
            <w:tcBorders>
              <w:top w:val="single" w:color="auto" w:sz="4" w:space="0"/>
              <w:left w:val="nil"/>
              <w:bottom w:val="single" w:color="auto" w:sz="4" w:space="0"/>
              <w:right w:val="single" w:color="auto" w:sz="4" w:space="0"/>
            </w:tcBorders>
            <w:noWrap/>
            <w:vAlign w:val="center"/>
          </w:tcPr>
          <w:p w14:paraId="3AE1D3D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30AC69F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1C71A49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41A7321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2B5759D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3BB85745">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3ADE363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1167" w:type="pct"/>
            <w:tcBorders>
              <w:top w:val="single" w:color="auto" w:sz="4" w:space="0"/>
              <w:left w:val="nil"/>
              <w:bottom w:val="single" w:color="auto" w:sz="4" w:space="0"/>
              <w:right w:val="single" w:color="auto" w:sz="4" w:space="0"/>
            </w:tcBorders>
            <w:noWrap/>
            <w:vAlign w:val="center"/>
          </w:tcPr>
          <w:p w14:paraId="3C48739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安全平网</w:t>
            </w:r>
          </w:p>
        </w:tc>
        <w:tc>
          <w:tcPr>
            <w:tcW w:w="455" w:type="pct"/>
            <w:tcBorders>
              <w:top w:val="single" w:color="auto" w:sz="4" w:space="0"/>
              <w:left w:val="nil"/>
              <w:bottom w:val="single" w:color="auto" w:sz="4" w:space="0"/>
              <w:right w:val="single" w:color="auto" w:sz="4" w:space="0"/>
            </w:tcBorders>
            <w:noWrap/>
            <w:vAlign w:val="center"/>
          </w:tcPr>
          <w:p w14:paraId="15C10DE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m2</w:t>
            </w:r>
          </w:p>
        </w:tc>
        <w:tc>
          <w:tcPr>
            <w:tcW w:w="473" w:type="pct"/>
            <w:tcBorders>
              <w:top w:val="single" w:color="auto" w:sz="4" w:space="0"/>
              <w:left w:val="nil"/>
              <w:bottom w:val="single" w:color="auto" w:sz="4" w:space="0"/>
              <w:right w:val="single" w:color="auto" w:sz="4" w:space="0"/>
            </w:tcBorders>
            <w:noWrap/>
            <w:vAlign w:val="center"/>
          </w:tcPr>
          <w:p w14:paraId="545B572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FC4FC9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391E575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27FEFF7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平面面积</w:t>
            </w:r>
          </w:p>
        </w:tc>
      </w:tr>
      <w:tr w14:paraId="26BE3980">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4568851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1167" w:type="pct"/>
            <w:tcBorders>
              <w:top w:val="single" w:color="auto" w:sz="4" w:space="0"/>
              <w:left w:val="nil"/>
              <w:bottom w:val="single" w:color="auto" w:sz="4" w:space="0"/>
              <w:right w:val="single" w:color="auto" w:sz="4" w:space="0"/>
            </w:tcBorders>
            <w:noWrap/>
            <w:vAlign w:val="center"/>
          </w:tcPr>
          <w:p w14:paraId="4820958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密目式立网</w:t>
            </w:r>
          </w:p>
        </w:tc>
        <w:tc>
          <w:tcPr>
            <w:tcW w:w="455" w:type="pct"/>
            <w:tcBorders>
              <w:top w:val="single" w:color="auto" w:sz="4" w:space="0"/>
              <w:left w:val="nil"/>
              <w:bottom w:val="single" w:color="auto" w:sz="4" w:space="0"/>
              <w:right w:val="single" w:color="auto" w:sz="4" w:space="0"/>
            </w:tcBorders>
            <w:noWrap/>
            <w:vAlign w:val="center"/>
          </w:tcPr>
          <w:p w14:paraId="519A469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m2</w:t>
            </w:r>
          </w:p>
        </w:tc>
        <w:tc>
          <w:tcPr>
            <w:tcW w:w="473" w:type="pct"/>
            <w:tcBorders>
              <w:top w:val="single" w:color="auto" w:sz="4" w:space="0"/>
              <w:left w:val="nil"/>
              <w:bottom w:val="single" w:color="auto" w:sz="4" w:space="0"/>
              <w:right w:val="single" w:color="auto" w:sz="4" w:space="0"/>
            </w:tcBorders>
            <w:noWrap/>
            <w:vAlign w:val="center"/>
          </w:tcPr>
          <w:p w14:paraId="1BAE401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4868898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93A78D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294DA69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垂直立面</w:t>
            </w:r>
          </w:p>
        </w:tc>
      </w:tr>
      <w:tr w14:paraId="34C33681">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1AEAD6D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1167" w:type="pct"/>
            <w:tcBorders>
              <w:top w:val="single" w:color="auto" w:sz="4" w:space="0"/>
              <w:left w:val="nil"/>
              <w:bottom w:val="single" w:color="auto" w:sz="4" w:space="0"/>
              <w:right w:val="single" w:color="auto" w:sz="4" w:space="0"/>
            </w:tcBorders>
            <w:noWrap/>
            <w:vAlign w:val="center"/>
          </w:tcPr>
          <w:p w14:paraId="6D9E424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防护栏杆</w:t>
            </w:r>
          </w:p>
        </w:tc>
        <w:tc>
          <w:tcPr>
            <w:tcW w:w="455" w:type="pct"/>
            <w:tcBorders>
              <w:top w:val="single" w:color="auto" w:sz="4" w:space="0"/>
              <w:left w:val="nil"/>
              <w:bottom w:val="single" w:color="auto" w:sz="4" w:space="0"/>
              <w:right w:val="single" w:color="auto" w:sz="4" w:space="0"/>
            </w:tcBorders>
            <w:noWrap/>
            <w:vAlign w:val="center"/>
          </w:tcPr>
          <w:p w14:paraId="658C101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5D1918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8978D2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3BEEA03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0F3AC17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按栏杆长度</w:t>
            </w:r>
          </w:p>
        </w:tc>
      </w:tr>
      <w:tr w14:paraId="5D2881F7">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6290E2C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1167" w:type="pct"/>
            <w:tcBorders>
              <w:top w:val="single" w:color="auto" w:sz="4" w:space="0"/>
              <w:left w:val="nil"/>
              <w:bottom w:val="single" w:color="auto" w:sz="4" w:space="0"/>
              <w:right w:val="single" w:color="auto" w:sz="4" w:space="0"/>
            </w:tcBorders>
            <w:noWrap/>
            <w:vAlign w:val="center"/>
          </w:tcPr>
          <w:p w14:paraId="1D44CB1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高处作业临边防护栏杆</w:t>
            </w:r>
          </w:p>
        </w:tc>
        <w:tc>
          <w:tcPr>
            <w:tcW w:w="455" w:type="pct"/>
            <w:tcBorders>
              <w:top w:val="single" w:color="auto" w:sz="4" w:space="0"/>
              <w:left w:val="nil"/>
              <w:bottom w:val="single" w:color="auto" w:sz="4" w:space="0"/>
              <w:right w:val="single" w:color="auto" w:sz="4" w:space="0"/>
            </w:tcBorders>
            <w:noWrap/>
            <w:vAlign w:val="center"/>
          </w:tcPr>
          <w:p w14:paraId="5F56031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m</w:t>
            </w:r>
          </w:p>
        </w:tc>
        <w:tc>
          <w:tcPr>
            <w:tcW w:w="473" w:type="pct"/>
            <w:tcBorders>
              <w:top w:val="single" w:color="auto" w:sz="4" w:space="0"/>
              <w:left w:val="nil"/>
              <w:bottom w:val="single" w:color="auto" w:sz="4" w:space="0"/>
              <w:right w:val="single" w:color="auto" w:sz="4" w:space="0"/>
            </w:tcBorders>
            <w:noWrap/>
            <w:vAlign w:val="center"/>
          </w:tcPr>
          <w:p w14:paraId="494B936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3DC849D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976FE3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416A498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3DD65CEC">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7F8DEC9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1167" w:type="pct"/>
            <w:tcBorders>
              <w:top w:val="single" w:color="auto" w:sz="4" w:space="0"/>
              <w:left w:val="nil"/>
              <w:bottom w:val="single" w:color="auto" w:sz="4" w:space="0"/>
              <w:right w:val="single" w:color="auto" w:sz="4" w:space="0"/>
            </w:tcBorders>
            <w:noWrap/>
            <w:vAlign w:val="center"/>
          </w:tcPr>
          <w:p w14:paraId="794E5ED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深基坑（槽）临边护栏</w:t>
            </w:r>
          </w:p>
        </w:tc>
        <w:tc>
          <w:tcPr>
            <w:tcW w:w="455" w:type="pct"/>
            <w:tcBorders>
              <w:top w:val="single" w:color="auto" w:sz="4" w:space="0"/>
              <w:left w:val="nil"/>
              <w:bottom w:val="single" w:color="auto" w:sz="4" w:space="0"/>
              <w:right w:val="single" w:color="auto" w:sz="4" w:space="0"/>
            </w:tcBorders>
            <w:noWrap/>
            <w:vAlign w:val="center"/>
          </w:tcPr>
          <w:p w14:paraId="0D702CF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m</w:t>
            </w:r>
          </w:p>
        </w:tc>
        <w:tc>
          <w:tcPr>
            <w:tcW w:w="473" w:type="pct"/>
            <w:tcBorders>
              <w:top w:val="single" w:color="auto" w:sz="4" w:space="0"/>
              <w:left w:val="nil"/>
              <w:bottom w:val="single" w:color="auto" w:sz="4" w:space="0"/>
              <w:right w:val="single" w:color="auto" w:sz="4" w:space="0"/>
            </w:tcBorders>
            <w:noWrap/>
            <w:vAlign w:val="center"/>
          </w:tcPr>
          <w:p w14:paraId="67F2FFE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1C49A56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4F4EC07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40D30C4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79FE4FAF">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616C2C1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（3）</w:t>
            </w:r>
          </w:p>
        </w:tc>
        <w:tc>
          <w:tcPr>
            <w:tcW w:w="1167" w:type="pct"/>
            <w:tcBorders>
              <w:top w:val="single" w:color="auto" w:sz="4" w:space="0"/>
              <w:left w:val="nil"/>
              <w:bottom w:val="single" w:color="auto" w:sz="4" w:space="0"/>
              <w:right w:val="single" w:color="auto" w:sz="4" w:space="0"/>
            </w:tcBorders>
            <w:noWrap/>
            <w:vAlign w:val="center"/>
          </w:tcPr>
          <w:p w14:paraId="287D889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其他防护栏杆</w:t>
            </w:r>
          </w:p>
        </w:tc>
        <w:tc>
          <w:tcPr>
            <w:tcW w:w="455" w:type="pct"/>
            <w:tcBorders>
              <w:top w:val="single" w:color="auto" w:sz="4" w:space="0"/>
              <w:left w:val="nil"/>
              <w:bottom w:val="single" w:color="auto" w:sz="4" w:space="0"/>
              <w:right w:val="single" w:color="auto" w:sz="4" w:space="0"/>
            </w:tcBorders>
            <w:noWrap/>
            <w:vAlign w:val="center"/>
          </w:tcPr>
          <w:p w14:paraId="49421B7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m</w:t>
            </w:r>
          </w:p>
        </w:tc>
        <w:tc>
          <w:tcPr>
            <w:tcW w:w="473" w:type="pct"/>
            <w:tcBorders>
              <w:top w:val="single" w:color="auto" w:sz="4" w:space="0"/>
              <w:left w:val="nil"/>
              <w:bottom w:val="single" w:color="auto" w:sz="4" w:space="0"/>
              <w:right w:val="single" w:color="auto" w:sz="4" w:space="0"/>
            </w:tcBorders>
            <w:noWrap/>
            <w:vAlign w:val="center"/>
          </w:tcPr>
          <w:p w14:paraId="4E546D4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AA1A9D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0675BF8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00D7304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0F90C04F">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7461056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3</w:t>
            </w:r>
          </w:p>
        </w:tc>
        <w:tc>
          <w:tcPr>
            <w:tcW w:w="1167" w:type="pct"/>
            <w:tcBorders>
              <w:top w:val="single" w:color="auto" w:sz="4" w:space="0"/>
              <w:left w:val="nil"/>
              <w:bottom w:val="single" w:color="auto" w:sz="4" w:space="0"/>
              <w:right w:val="single" w:color="auto" w:sz="4" w:space="0"/>
            </w:tcBorders>
            <w:noWrap/>
            <w:vAlign w:val="center"/>
          </w:tcPr>
          <w:p w14:paraId="4B2ADAB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防护门</w:t>
            </w:r>
          </w:p>
        </w:tc>
        <w:tc>
          <w:tcPr>
            <w:tcW w:w="455" w:type="pct"/>
            <w:tcBorders>
              <w:top w:val="single" w:color="auto" w:sz="4" w:space="0"/>
              <w:left w:val="nil"/>
              <w:bottom w:val="single" w:color="auto" w:sz="4" w:space="0"/>
              <w:right w:val="single" w:color="auto" w:sz="4" w:space="0"/>
            </w:tcBorders>
            <w:noWrap/>
            <w:vAlign w:val="center"/>
          </w:tcPr>
          <w:p w14:paraId="4C1F428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m2</w:t>
            </w:r>
          </w:p>
        </w:tc>
        <w:tc>
          <w:tcPr>
            <w:tcW w:w="473" w:type="pct"/>
            <w:tcBorders>
              <w:top w:val="single" w:color="auto" w:sz="4" w:space="0"/>
              <w:left w:val="nil"/>
              <w:bottom w:val="single" w:color="auto" w:sz="4" w:space="0"/>
              <w:right w:val="single" w:color="auto" w:sz="4" w:space="0"/>
            </w:tcBorders>
            <w:noWrap/>
            <w:vAlign w:val="center"/>
          </w:tcPr>
          <w:p w14:paraId="71E15DC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AAF484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49DABDB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25B70D7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03D19478">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29FA940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4</w:t>
            </w:r>
          </w:p>
        </w:tc>
        <w:tc>
          <w:tcPr>
            <w:tcW w:w="1167" w:type="pct"/>
            <w:tcBorders>
              <w:top w:val="single" w:color="auto" w:sz="4" w:space="0"/>
              <w:left w:val="nil"/>
              <w:bottom w:val="single" w:color="auto" w:sz="4" w:space="0"/>
              <w:right w:val="single" w:color="auto" w:sz="4" w:space="0"/>
            </w:tcBorders>
            <w:noWrap/>
            <w:vAlign w:val="center"/>
          </w:tcPr>
          <w:p w14:paraId="6D4FE27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防护棚</w:t>
            </w:r>
          </w:p>
        </w:tc>
        <w:tc>
          <w:tcPr>
            <w:tcW w:w="455" w:type="pct"/>
            <w:tcBorders>
              <w:top w:val="single" w:color="auto" w:sz="4" w:space="0"/>
              <w:left w:val="nil"/>
              <w:bottom w:val="single" w:color="auto" w:sz="4" w:space="0"/>
              <w:right w:val="single" w:color="auto" w:sz="4" w:space="0"/>
            </w:tcBorders>
            <w:noWrap/>
            <w:vAlign w:val="center"/>
          </w:tcPr>
          <w:p w14:paraId="286B739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A11C9C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1890CBC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FAD947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5F535EB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按防护面积</w:t>
            </w:r>
          </w:p>
        </w:tc>
      </w:tr>
      <w:tr w14:paraId="40F1B122">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5F454D1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1167" w:type="pct"/>
            <w:tcBorders>
              <w:top w:val="single" w:color="auto" w:sz="4" w:space="0"/>
              <w:left w:val="nil"/>
              <w:bottom w:val="single" w:color="auto" w:sz="4" w:space="0"/>
              <w:right w:val="single" w:color="auto" w:sz="4" w:space="0"/>
            </w:tcBorders>
            <w:noWrap/>
            <w:vAlign w:val="center"/>
          </w:tcPr>
          <w:p w14:paraId="06D30CC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通道防护棚</w:t>
            </w:r>
          </w:p>
        </w:tc>
        <w:tc>
          <w:tcPr>
            <w:tcW w:w="455" w:type="pct"/>
            <w:tcBorders>
              <w:top w:val="single" w:color="auto" w:sz="4" w:space="0"/>
              <w:left w:val="nil"/>
              <w:bottom w:val="single" w:color="auto" w:sz="4" w:space="0"/>
              <w:right w:val="single" w:color="auto" w:sz="4" w:space="0"/>
            </w:tcBorders>
            <w:noWrap/>
            <w:vAlign w:val="center"/>
          </w:tcPr>
          <w:p w14:paraId="3D8477A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m2</w:t>
            </w:r>
          </w:p>
        </w:tc>
        <w:tc>
          <w:tcPr>
            <w:tcW w:w="473" w:type="pct"/>
            <w:tcBorders>
              <w:top w:val="single" w:color="auto" w:sz="4" w:space="0"/>
              <w:left w:val="nil"/>
              <w:bottom w:val="single" w:color="auto" w:sz="4" w:space="0"/>
              <w:right w:val="single" w:color="auto" w:sz="4" w:space="0"/>
            </w:tcBorders>
            <w:noWrap/>
            <w:vAlign w:val="center"/>
          </w:tcPr>
          <w:p w14:paraId="60DF1F1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91126E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30049D4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184A706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666A1142">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6831B25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1167" w:type="pct"/>
            <w:tcBorders>
              <w:top w:val="single" w:color="auto" w:sz="4" w:space="0"/>
              <w:left w:val="nil"/>
              <w:bottom w:val="single" w:color="auto" w:sz="4" w:space="0"/>
              <w:right w:val="single" w:color="auto" w:sz="4" w:space="0"/>
            </w:tcBorders>
            <w:noWrap/>
            <w:vAlign w:val="center"/>
          </w:tcPr>
          <w:p w14:paraId="39C2D64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井架防护棚</w:t>
            </w:r>
          </w:p>
        </w:tc>
        <w:tc>
          <w:tcPr>
            <w:tcW w:w="455" w:type="pct"/>
            <w:tcBorders>
              <w:top w:val="single" w:color="auto" w:sz="4" w:space="0"/>
              <w:left w:val="nil"/>
              <w:bottom w:val="single" w:color="auto" w:sz="4" w:space="0"/>
              <w:right w:val="single" w:color="auto" w:sz="4" w:space="0"/>
            </w:tcBorders>
            <w:noWrap/>
            <w:vAlign w:val="center"/>
          </w:tcPr>
          <w:p w14:paraId="394539D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m2</w:t>
            </w:r>
          </w:p>
        </w:tc>
        <w:tc>
          <w:tcPr>
            <w:tcW w:w="473" w:type="pct"/>
            <w:tcBorders>
              <w:top w:val="single" w:color="auto" w:sz="4" w:space="0"/>
              <w:left w:val="nil"/>
              <w:bottom w:val="single" w:color="auto" w:sz="4" w:space="0"/>
              <w:right w:val="single" w:color="auto" w:sz="4" w:space="0"/>
            </w:tcBorders>
            <w:noWrap/>
            <w:vAlign w:val="center"/>
          </w:tcPr>
          <w:p w14:paraId="7C06F5F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0D1226A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012EB2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358D346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5C20991F">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6C29881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（3）</w:t>
            </w:r>
          </w:p>
        </w:tc>
        <w:tc>
          <w:tcPr>
            <w:tcW w:w="1167" w:type="pct"/>
            <w:tcBorders>
              <w:top w:val="single" w:color="auto" w:sz="4" w:space="0"/>
              <w:left w:val="nil"/>
              <w:bottom w:val="single" w:color="auto" w:sz="4" w:space="0"/>
              <w:right w:val="single" w:color="auto" w:sz="4" w:space="0"/>
            </w:tcBorders>
            <w:noWrap/>
            <w:vAlign w:val="center"/>
          </w:tcPr>
          <w:p w14:paraId="742A554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升降机防护棚</w:t>
            </w:r>
          </w:p>
        </w:tc>
        <w:tc>
          <w:tcPr>
            <w:tcW w:w="455" w:type="pct"/>
            <w:tcBorders>
              <w:top w:val="single" w:color="auto" w:sz="4" w:space="0"/>
              <w:left w:val="nil"/>
              <w:bottom w:val="single" w:color="auto" w:sz="4" w:space="0"/>
              <w:right w:val="single" w:color="auto" w:sz="4" w:space="0"/>
            </w:tcBorders>
            <w:noWrap/>
            <w:vAlign w:val="center"/>
          </w:tcPr>
          <w:p w14:paraId="13AC99C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m2</w:t>
            </w:r>
          </w:p>
        </w:tc>
        <w:tc>
          <w:tcPr>
            <w:tcW w:w="473" w:type="pct"/>
            <w:tcBorders>
              <w:top w:val="single" w:color="auto" w:sz="4" w:space="0"/>
              <w:left w:val="nil"/>
              <w:bottom w:val="single" w:color="auto" w:sz="4" w:space="0"/>
              <w:right w:val="single" w:color="auto" w:sz="4" w:space="0"/>
            </w:tcBorders>
            <w:noWrap/>
            <w:vAlign w:val="center"/>
          </w:tcPr>
          <w:p w14:paraId="2274717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8BF389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1ADCD0A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17A2266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含人货两用升降机、货用</w:t>
            </w:r>
          </w:p>
          <w:p w14:paraId="1F31943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升降机</w:t>
            </w:r>
          </w:p>
        </w:tc>
      </w:tr>
      <w:tr w14:paraId="762EE193">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0C15116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5</w:t>
            </w:r>
          </w:p>
        </w:tc>
        <w:tc>
          <w:tcPr>
            <w:tcW w:w="1167" w:type="pct"/>
            <w:tcBorders>
              <w:top w:val="single" w:color="auto" w:sz="4" w:space="0"/>
              <w:left w:val="nil"/>
              <w:bottom w:val="single" w:color="auto" w:sz="4" w:space="0"/>
              <w:right w:val="single" w:color="auto" w:sz="4" w:space="0"/>
            </w:tcBorders>
            <w:noWrap/>
            <w:vAlign w:val="center"/>
          </w:tcPr>
          <w:p w14:paraId="46DBC14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断头路阻挡墙</w:t>
            </w:r>
          </w:p>
        </w:tc>
        <w:tc>
          <w:tcPr>
            <w:tcW w:w="455" w:type="pct"/>
            <w:tcBorders>
              <w:top w:val="single" w:color="auto" w:sz="4" w:space="0"/>
              <w:left w:val="nil"/>
              <w:bottom w:val="single" w:color="auto" w:sz="4" w:space="0"/>
              <w:right w:val="single" w:color="auto" w:sz="4" w:space="0"/>
            </w:tcBorders>
            <w:noWrap/>
            <w:vAlign w:val="center"/>
          </w:tcPr>
          <w:p w14:paraId="407BD87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m3</w:t>
            </w:r>
          </w:p>
        </w:tc>
        <w:tc>
          <w:tcPr>
            <w:tcW w:w="473" w:type="pct"/>
            <w:tcBorders>
              <w:top w:val="single" w:color="auto" w:sz="4" w:space="0"/>
              <w:left w:val="nil"/>
              <w:bottom w:val="single" w:color="auto" w:sz="4" w:space="0"/>
              <w:right w:val="single" w:color="auto" w:sz="4" w:space="0"/>
            </w:tcBorders>
            <w:noWrap/>
            <w:vAlign w:val="center"/>
          </w:tcPr>
          <w:p w14:paraId="34A6993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4CEEB3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5C596A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273763F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267E9EB9">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0EB4307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6</w:t>
            </w:r>
          </w:p>
        </w:tc>
        <w:tc>
          <w:tcPr>
            <w:tcW w:w="1167" w:type="pct"/>
            <w:tcBorders>
              <w:top w:val="single" w:color="auto" w:sz="4" w:space="0"/>
              <w:left w:val="nil"/>
              <w:bottom w:val="single" w:color="auto" w:sz="4" w:space="0"/>
              <w:right w:val="single" w:color="auto" w:sz="4" w:space="0"/>
            </w:tcBorders>
            <w:noWrap/>
            <w:vAlign w:val="center"/>
          </w:tcPr>
          <w:p w14:paraId="047787A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安全隔离网</w:t>
            </w:r>
          </w:p>
        </w:tc>
        <w:tc>
          <w:tcPr>
            <w:tcW w:w="455" w:type="pct"/>
            <w:tcBorders>
              <w:top w:val="single" w:color="auto" w:sz="4" w:space="0"/>
              <w:left w:val="nil"/>
              <w:bottom w:val="single" w:color="auto" w:sz="4" w:space="0"/>
              <w:right w:val="single" w:color="auto" w:sz="4" w:space="0"/>
            </w:tcBorders>
            <w:noWrap/>
            <w:vAlign w:val="center"/>
          </w:tcPr>
          <w:p w14:paraId="010A34C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m2</w:t>
            </w:r>
          </w:p>
        </w:tc>
        <w:tc>
          <w:tcPr>
            <w:tcW w:w="473" w:type="pct"/>
            <w:tcBorders>
              <w:top w:val="single" w:color="auto" w:sz="4" w:space="0"/>
              <w:left w:val="nil"/>
              <w:bottom w:val="single" w:color="auto" w:sz="4" w:space="0"/>
              <w:right w:val="single" w:color="auto" w:sz="4" w:space="0"/>
            </w:tcBorders>
            <w:noWrap/>
            <w:vAlign w:val="center"/>
          </w:tcPr>
          <w:p w14:paraId="025BC4E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4BA09BA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9EE9EE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0774D7C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爆破工程</w:t>
            </w:r>
          </w:p>
        </w:tc>
      </w:tr>
      <w:tr w14:paraId="63B12DB4">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3FB87D4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7</w:t>
            </w:r>
          </w:p>
        </w:tc>
        <w:tc>
          <w:tcPr>
            <w:tcW w:w="1167" w:type="pct"/>
            <w:tcBorders>
              <w:top w:val="single" w:color="auto" w:sz="4" w:space="0"/>
              <w:left w:val="nil"/>
              <w:bottom w:val="single" w:color="auto" w:sz="4" w:space="0"/>
              <w:right w:val="single" w:color="auto" w:sz="4" w:space="0"/>
            </w:tcBorders>
            <w:noWrap/>
            <w:vAlign w:val="center"/>
          </w:tcPr>
          <w:p w14:paraId="222FCD6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对讲机</w:t>
            </w:r>
          </w:p>
        </w:tc>
        <w:tc>
          <w:tcPr>
            <w:tcW w:w="455" w:type="pct"/>
            <w:tcBorders>
              <w:top w:val="single" w:color="auto" w:sz="4" w:space="0"/>
              <w:left w:val="nil"/>
              <w:bottom w:val="single" w:color="auto" w:sz="4" w:space="0"/>
              <w:right w:val="single" w:color="auto" w:sz="4" w:space="0"/>
            </w:tcBorders>
            <w:noWrap/>
            <w:vAlign w:val="center"/>
          </w:tcPr>
          <w:p w14:paraId="7B88277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套</w:t>
            </w:r>
          </w:p>
        </w:tc>
        <w:tc>
          <w:tcPr>
            <w:tcW w:w="473" w:type="pct"/>
            <w:tcBorders>
              <w:top w:val="single" w:color="auto" w:sz="4" w:space="0"/>
              <w:left w:val="nil"/>
              <w:bottom w:val="single" w:color="auto" w:sz="4" w:space="0"/>
              <w:right w:val="single" w:color="auto" w:sz="4" w:space="0"/>
            </w:tcBorders>
            <w:noWrap/>
            <w:vAlign w:val="center"/>
          </w:tcPr>
          <w:p w14:paraId="31C94F7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0A0129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6D8AD8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10E13E7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616F528A">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7EA2C8C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（二）</w:t>
            </w:r>
          </w:p>
        </w:tc>
        <w:tc>
          <w:tcPr>
            <w:tcW w:w="1167" w:type="pct"/>
            <w:tcBorders>
              <w:top w:val="single" w:color="auto" w:sz="4" w:space="0"/>
              <w:left w:val="nil"/>
              <w:bottom w:val="single" w:color="auto" w:sz="4" w:space="0"/>
              <w:right w:val="single" w:color="auto" w:sz="4" w:space="0"/>
            </w:tcBorders>
            <w:noWrap/>
            <w:vAlign w:val="center"/>
          </w:tcPr>
          <w:p w14:paraId="2597CF7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高处作业</w:t>
            </w:r>
          </w:p>
        </w:tc>
        <w:tc>
          <w:tcPr>
            <w:tcW w:w="455" w:type="pct"/>
            <w:tcBorders>
              <w:top w:val="single" w:color="auto" w:sz="4" w:space="0"/>
              <w:left w:val="nil"/>
              <w:bottom w:val="single" w:color="auto" w:sz="4" w:space="0"/>
              <w:right w:val="single" w:color="auto" w:sz="4" w:space="0"/>
            </w:tcBorders>
            <w:noWrap/>
            <w:vAlign w:val="center"/>
          </w:tcPr>
          <w:p w14:paraId="26CC4A4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1461822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01FA809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3E210BE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05D438C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70B24A11">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724DC09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1167" w:type="pct"/>
            <w:tcBorders>
              <w:top w:val="single" w:color="auto" w:sz="4" w:space="0"/>
              <w:left w:val="nil"/>
              <w:bottom w:val="single" w:color="auto" w:sz="4" w:space="0"/>
              <w:right w:val="single" w:color="auto" w:sz="4" w:space="0"/>
            </w:tcBorders>
            <w:noWrap/>
            <w:vAlign w:val="center"/>
          </w:tcPr>
          <w:p w14:paraId="6A54A00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洞口水平隔离防护</w:t>
            </w:r>
          </w:p>
        </w:tc>
        <w:tc>
          <w:tcPr>
            <w:tcW w:w="455" w:type="pct"/>
            <w:tcBorders>
              <w:top w:val="single" w:color="auto" w:sz="4" w:space="0"/>
              <w:left w:val="nil"/>
              <w:bottom w:val="single" w:color="auto" w:sz="4" w:space="0"/>
              <w:right w:val="single" w:color="auto" w:sz="4" w:space="0"/>
            </w:tcBorders>
            <w:noWrap/>
            <w:vAlign w:val="center"/>
          </w:tcPr>
          <w:p w14:paraId="4B07E2E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m2</w:t>
            </w:r>
          </w:p>
        </w:tc>
        <w:tc>
          <w:tcPr>
            <w:tcW w:w="473" w:type="pct"/>
            <w:tcBorders>
              <w:top w:val="single" w:color="auto" w:sz="4" w:space="0"/>
              <w:left w:val="nil"/>
              <w:bottom w:val="single" w:color="auto" w:sz="4" w:space="0"/>
              <w:right w:val="single" w:color="auto" w:sz="4" w:space="0"/>
            </w:tcBorders>
            <w:noWrap/>
            <w:vAlign w:val="center"/>
          </w:tcPr>
          <w:p w14:paraId="4B28398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AC9588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135D0E6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0F8E024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按洞口水平面积</w:t>
            </w:r>
          </w:p>
        </w:tc>
      </w:tr>
      <w:tr w14:paraId="32B3882F">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7008A0D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1167" w:type="pct"/>
            <w:tcBorders>
              <w:top w:val="single" w:color="auto" w:sz="4" w:space="0"/>
              <w:left w:val="nil"/>
              <w:bottom w:val="single" w:color="auto" w:sz="4" w:space="0"/>
              <w:right w:val="single" w:color="auto" w:sz="4" w:space="0"/>
            </w:tcBorders>
            <w:noWrap/>
            <w:vAlign w:val="center"/>
          </w:tcPr>
          <w:p w14:paraId="32CE5FF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高压线安全措施</w:t>
            </w:r>
          </w:p>
        </w:tc>
        <w:tc>
          <w:tcPr>
            <w:tcW w:w="455" w:type="pct"/>
            <w:tcBorders>
              <w:top w:val="single" w:color="auto" w:sz="4" w:space="0"/>
              <w:left w:val="nil"/>
              <w:bottom w:val="single" w:color="auto" w:sz="4" w:space="0"/>
              <w:right w:val="single" w:color="auto" w:sz="4" w:space="0"/>
            </w:tcBorders>
            <w:noWrap/>
            <w:vAlign w:val="center"/>
          </w:tcPr>
          <w:p w14:paraId="7FF473C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元</w:t>
            </w:r>
          </w:p>
        </w:tc>
        <w:tc>
          <w:tcPr>
            <w:tcW w:w="473" w:type="pct"/>
            <w:tcBorders>
              <w:top w:val="single" w:color="auto" w:sz="4" w:space="0"/>
              <w:left w:val="nil"/>
              <w:bottom w:val="single" w:color="auto" w:sz="4" w:space="0"/>
              <w:right w:val="single" w:color="auto" w:sz="4" w:space="0"/>
            </w:tcBorders>
            <w:noWrap/>
            <w:vAlign w:val="center"/>
          </w:tcPr>
          <w:p w14:paraId="6B603F6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AEC0B3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40631B3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36AFE1A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0E49E938">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7F0F58E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3</w:t>
            </w:r>
          </w:p>
        </w:tc>
        <w:tc>
          <w:tcPr>
            <w:tcW w:w="1167" w:type="pct"/>
            <w:tcBorders>
              <w:top w:val="single" w:color="auto" w:sz="4" w:space="0"/>
              <w:left w:val="nil"/>
              <w:bottom w:val="single" w:color="auto" w:sz="4" w:space="0"/>
              <w:right w:val="single" w:color="auto" w:sz="4" w:space="0"/>
            </w:tcBorders>
            <w:noWrap/>
            <w:vAlign w:val="center"/>
          </w:tcPr>
          <w:p w14:paraId="5E22890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起重设备防护措施</w:t>
            </w:r>
          </w:p>
        </w:tc>
        <w:tc>
          <w:tcPr>
            <w:tcW w:w="455" w:type="pct"/>
            <w:tcBorders>
              <w:top w:val="single" w:color="auto" w:sz="4" w:space="0"/>
              <w:left w:val="nil"/>
              <w:bottom w:val="single" w:color="auto" w:sz="4" w:space="0"/>
              <w:right w:val="single" w:color="auto" w:sz="4" w:space="0"/>
            </w:tcBorders>
            <w:noWrap/>
            <w:vAlign w:val="center"/>
          </w:tcPr>
          <w:p w14:paraId="50F5FA5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元</w:t>
            </w:r>
          </w:p>
        </w:tc>
        <w:tc>
          <w:tcPr>
            <w:tcW w:w="473" w:type="pct"/>
            <w:tcBorders>
              <w:top w:val="single" w:color="auto" w:sz="4" w:space="0"/>
              <w:left w:val="nil"/>
              <w:bottom w:val="single" w:color="auto" w:sz="4" w:space="0"/>
              <w:right w:val="single" w:color="auto" w:sz="4" w:space="0"/>
            </w:tcBorders>
            <w:noWrap/>
            <w:vAlign w:val="center"/>
          </w:tcPr>
          <w:p w14:paraId="6670703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D42078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34BE612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6ADDE18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17ADFF0D">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2561371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4</w:t>
            </w:r>
          </w:p>
        </w:tc>
        <w:tc>
          <w:tcPr>
            <w:tcW w:w="1167" w:type="pct"/>
            <w:tcBorders>
              <w:top w:val="single" w:color="auto" w:sz="4" w:space="0"/>
              <w:left w:val="nil"/>
              <w:bottom w:val="single" w:color="auto" w:sz="4" w:space="0"/>
              <w:right w:val="single" w:color="auto" w:sz="4" w:space="0"/>
            </w:tcBorders>
            <w:noWrap/>
            <w:vAlign w:val="center"/>
          </w:tcPr>
          <w:p w14:paraId="02CE283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楼层呼唤器</w:t>
            </w:r>
          </w:p>
        </w:tc>
        <w:tc>
          <w:tcPr>
            <w:tcW w:w="455" w:type="pct"/>
            <w:tcBorders>
              <w:top w:val="single" w:color="auto" w:sz="4" w:space="0"/>
              <w:left w:val="nil"/>
              <w:bottom w:val="single" w:color="auto" w:sz="4" w:space="0"/>
              <w:right w:val="single" w:color="auto" w:sz="4" w:space="0"/>
            </w:tcBorders>
            <w:noWrap/>
            <w:vAlign w:val="center"/>
          </w:tcPr>
          <w:p w14:paraId="51669A3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套</w:t>
            </w:r>
          </w:p>
        </w:tc>
        <w:tc>
          <w:tcPr>
            <w:tcW w:w="473" w:type="pct"/>
            <w:tcBorders>
              <w:top w:val="single" w:color="auto" w:sz="4" w:space="0"/>
              <w:left w:val="nil"/>
              <w:bottom w:val="single" w:color="auto" w:sz="4" w:space="0"/>
              <w:right w:val="single" w:color="auto" w:sz="4" w:space="0"/>
            </w:tcBorders>
            <w:noWrap/>
            <w:vAlign w:val="center"/>
          </w:tcPr>
          <w:p w14:paraId="6BB93C3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3CC7808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489CD7F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3EE08FB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094FCB3D">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628632D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5</w:t>
            </w:r>
          </w:p>
        </w:tc>
        <w:tc>
          <w:tcPr>
            <w:tcW w:w="1167" w:type="pct"/>
            <w:tcBorders>
              <w:top w:val="single" w:color="auto" w:sz="4" w:space="0"/>
              <w:left w:val="nil"/>
              <w:bottom w:val="single" w:color="auto" w:sz="4" w:space="0"/>
              <w:right w:val="single" w:color="auto" w:sz="4" w:space="0"/>
            </w:tcBorders>
            <w:noWrap/>
            <w:vAlign w:val="center"/>
          </w:tcPr>
          <w:p w14:paraId="1D137C8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其他高处作业安全防护</w:t>
            </w:r>
          </w:p>
        </w:tc>
        <w:tc>
          <w:tcPr>
            <w:tcW w:w="455" w:type="pct"/>
            <w:tcBorders>
              <w:top w:val="single" w:color="auto" w:sz="4" w:space="0"/>
              <w:left w:val="nil"/>
              <w:bottom w:val="single" w:color="auto" w:sz="4" w:space="0"/>
              <w:right w:val="single" w:color="auto" w:sz="4" w:space="0"/>
            </w:tcBorders>
            <w:noWrap/>
            <w:vAlign w:val="center"/>
          </w:tcPr>
          <w:p w14:paraId="4960D6E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5D181B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4A848F6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B986AE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773E3ED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77B9F077">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1A76ACF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（三）</w:t>
            </w:r>
          </w:p>
        </w:tc>
        <w:tc>
          <w:tcPr>
            <w:tcW w:w="1167" w:type="pct"/>
            <w:tcBorders>
              <w:top w:val="single" w:color="auto" w:sz="4" w:space="0"/>
              <w:left w:val="nil"/>
              <w:bottom w:val="single" w:color="auto" w:sz="4" w:space="0"/>
              <w:right w:val="single" w:color="auto" w:sz="4" w:space="0"/>
            </w:tcBorders>
            <w:noWrap/>
            <w:vAlign w:val="center"/>
          </w:tcPr>
          <w:p w14:paraId="3989B5C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深基坑（槽）</w:t>
            </w:r>
          </w:p>
        </w:tc>
        <w:tc>
          <w:tcPr>
            <w:tcW w:w="455" w:type="pct"/>
            <w:tcBorders>
              <w:top w:val="single" w:color="auto" w:sz="4" w:space="0"/>
              <w:left w:val="nil"/>
              <w:bottom w:val="single" w:color="auto" w:sz="4" w:space="0"/>
              <w:right w:val="single" w:color="auto" w:sz="4" w:space="0"/>
            </w:tcBorders>
            <w:noWrap/>
            <w:vAlign w:val="center"/>
          </w:tcPr>
          <w:p w14:paraId="30884E8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50B6FD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1A490A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5025BE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1A4CD52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67E31D87">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19196E7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1167" w:type="pct"/>
            <w:tcBorders>
              <w:top w:val="single" w:color="auto" w:sz="4" w:space="0"/>
              <w:left w:val="nil"/>
              <w:bottom w:val="single" w:color="auto" w:sz="4" w:space="0"/>
              <w:right w:val="single" w:color="auto" w:sz="4" w:space="0"/>
            </w:tcBorders>
            <w:noWrap/>
            <w:vAlign w:val="center"/>
          </w:tcPr>
          <w:p w14:paraId="633318E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上下专用通道</w:t>
            </w:r>
          </w:p>
        </w:tc>
        <w:tc>
          <w:tcPr>
            <w:tcW w:w="455" w:type="pct"/>
            <w:tcBorders>
              <w:top w:val="single" w:color="auto" w:sz="4" w:space="0"/>
              <w:left w:val="nil"/>
              <w:bottom w:val="single" w:color="auto" w:sz="4" w:space="0"/>
              <w:right w:val="single" w:color="auto" w:sz="4" w:space="0"/>
            </w:tcBorders>
            <w:noWrap/>
            <w:vAlign w:val="center"/>
          </w:tcPr>
          <w:p w14:paraId="0CF44E9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m2</w:t>
            </w:r>
          </w:p>
        </w:tc>
        <w:tc>
          <w:tcPr>
            <w:tcW w:w="473" w:type="pct"/>
            <w:tcBorders>
              <w:top w:val="single" w:color="auto" w:sz="4" w:space="0"/>
              <w:left w:val="nil"/>
              <w:bottom w:val="single" w:color="auto" w:sz="4" w:space="0"/>
              <w:right w:val="single" w:color="auto" w:sz="4" w:space="0"/>
            </w:tcBorders>
            <w:noWrap/>
            <w:vAlign w:val="center"/>
          </w:tcPr>
          <w:p w14:paraId="6C21239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79367C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14E754D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1DEE1CA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含安全爬梯</w:t>
            </w:r>
          </w:p>
        </w:tc>
      </w:tr>
      <w:tr w14:paraId="5606B23A">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003AA36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1167" w:type="pct"/>
            <w:tcBorders>
              <w:top w:val="single" w:color="auto" w:sz="4" w:space="0"/>
              <w:left w:val="nil"/>
              <w:bottom w:val="single" w:color="auto" w:sz="4" w:space="0"/>
              <w:right w:val="single" w:color="auto" w:sz="4" w:space="0"/>
            </w:tcBorders>
            <w:noWrap/>
            <w:vAlign w:val="center"/>
          </w:tcPr>
          <w:p w14:paraId="16DCFB4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基坑支护变形监测</w:t>
            </w:r>
          </w:p>
        </w:tc>
        <w:tc>
          <w:tcPr>
            <w:tcW w:w="455" w:type="pct"/>
            <w:tcBorders>
              <w:top w:val="single" w:color="auto" w:sz="4" w:space="0"/>
              <w:left w:val="nil"/>
              <w:bottom w:val="single" w:color="auto" w:sz="4" w:space="0"/>
              <w:right w:val="single" w:color="auto" w:sz="4" w:space="0"/>
            </w:tcBorders>
            <w:noWrap/>
            <w:vAlign w:val="center"/>
          </w:tcPr>
          <w:p w14:paraId="2D72942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元</w:t>
            </w:r>
          </w:p>
        </w:tc>
        <w:tc>
          <w:tcPr>
            <w:tcW w:w="473" w:type="pct"/>
            <w:tcBorders>
              <w:top w:val="single" w:color="auto" w:sz="4" w:space="0"/>
              <w:left w:val="nil"/>
              <w:bottom w:val="single" w:color="auto" w:sz="4" w:space="0"/>
              <w:right w:val="single" w:color="auto" w:sz="4" w:space="0"/>
            </w:tcBorders>
            <w:noWrap/>
            <w:vAlign w:val="center"/>
          </w:tcPr>
          <w:p w14:paraId="4347D3E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1B31490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4F97FD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01BE5A0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794D499B">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5E4401B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3</w:t>
            </w:r>
          </w:p>
        </w:tc>
        <w:tc>
          <w:tcPr>
            <w:tcW w:w="1167" w:type="pct"/>
            <w:tcBorders>
              <w:top w:val="single" w:color="auto" w:sz="4" w:space="0"/>
              <w:left w:val="nil"/>
              <w:bottom w:val="single" w:color="auto" w:sz="4" w:space="0"/>
              <w:right w:val="single" w:color="auto" w:sz="4" w:space="0"/>
            </w:tcBorders>
            <w:noWrap/>
            <w:vAlign w:val="center"/>
          </w:tcPr>
          <w:p w14:paraId="30B4DC1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其他深基坑安全防护</w:t>
            </w:r>
          </w:p>
        </w:tc>
        <w:tc>
          <w:tcPr>
            <w:tcW w:w="455" w:type="pct"/>
            <w:tcBorders>
              <w:top w:val="single" w:color="auto" w:sz="4" w:space="0"/>
              <w:left w:val="nil"/>
              <w:bottom w:val="single" w:color="auto" w:sz="4" w:space="0"/>
              <w:right w:val="single" w:color="auto" w:sz="4" w:space="0"/>
            </w:tcBorders>
            <w:noWrap/>
            <w:vAlign w:val="center"/>
          </w:tcPr>
          <w:p w14:paraId="387FDC9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0DACBEE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3DCCDAC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A85993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1AEDCDB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1A806D23">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44F9416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（四）</w:t>
            </w:r>
          </w:p>
        </w:tc>
        <w:tc>
          <w:tcPr>
            <w:tcW w:w="1167" w:type="pct"/>
            <w:tcBorders>
              <w:top w:val="single" w:color="auto" w:sz="4" w:space="0"/>
              <w:left w:val="nil"/>
              <w:bottom w:val="single" w:color="auto" w:sz="4" w:space="0"/>
              <w:right w:val="single" w:color="auto" w:sz="4" w:space="0"/>
            </w:tcBorders>
            <w:noWrap/>
            <w:vAlign w:val="center"/>
          </w:tcPr>
          <w:p w14:paraId="2DBC618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脚手架</w:t>
            </w:r>
          </w:p>
        </w:tc>
        <w:tc>
          <w:tcPr>
            <w:tcW w:w="455" w:type="pct"/>
            <w:tcBorders>
              <w:top w:val="single" w:color="auto" w:sz="4" w:space="0"/>
              <w:left w:val="nil"/>
              <w:bottom w:val="single" w:color="auto" w:sz="4" w:space="0"/>
              <w:right w:val="single" w:color="auto" w:sz="4" w:space="0"/>
            </w:tcBorders>
            <w:noWrap/>
            <w:vAlign w:val="center"/>
          </w:tcPr>
          <w:p w14:paraId="587CCBC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41A8F9E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7A7FAA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055AAE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0FA6DF6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5C4A874E">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387BF08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1167" w:type="pct"/>
            <w:tcBorders>
              <w:top w:val="single" w:color="auto" w:sz="4" w:space="0"/>
              <w:left w:val="nil"/>
              <w:bottom w:val="single" w:color="auto" w:sz="4" w:space="0"/>
              <w:right w:val="single" w:color="auto" w:sz="4" w:space="0"/>
            </w:tcBorders>
            <w:noWrap/>
            <w:vAlign w:val="center"/>
          </w:tcPr>
          <w:p w14:paraId="5CC4EEC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水平隔离封闭设施</w:t>
            </w:r>
          </w:p>
        </w:tc>
        <w:tc>
          <w:tcPr>
            <w:tcW w:w="455" w:type="pct"/>
            <w:tcBorders>
              <w:top w:val="single" w:color="auto" w:sz="4" w:space="0"/>
              <w:left w:val="nil"/>
              <w:bottom w:val="single" w:color="auto" w:sz="4" w:space="0"/>
              <w:right w:val="single" w:color="auto" w:sz="4" w:space="0"/>
            </w:tcBorders>
            <w:noWrap/>
            <w:vAlign w:val="center"/>
          </w:tcPr>
          <w:p w14:paraId="63A071A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m</w:t>
            </w:r>
          </w:p>
        </w:tc>
        <w:tc>
          <w:tcPr>
            <w:tcW w:w="473" w:type="pct"/>
            <w:tcBorders>
              <w:top w:val="single" w:color="auto" w:sz="4" w:space="0"/>
              <w:left w:val="nil"/>
              <w:bottom w:val="single" w:color="auto" w:sz="4" w:space="0"/>
              <w:right w:val="single" w:color="auto" w:sz="4" w:space="0"/>
            </w:tcBorders>
            <w:noWrap/>
            <w:vAlign w:val="center"/>
          </w:tcPr>
          <w:p w14:paraId="502B8DE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4FA2F76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0D6D94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2E77BAB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0375291F">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63C135D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1167" w:type="pct"/>
            <w:tcBorders>
              <w:top w:val="single" w:color="auto" w:sz="4" w:space="0"/>
              <w:left w:val="nil"/>
              <w:bottom w:val="single" w:color="auto" w:sz="4" w:space="0"/>
              <w:right w:val="single" w:color="auto" w:sz="4" w:space="0"/>
            </w:tcBorders>
            <w:noWrap/>
            <w:vAlign w:val="center"/>
          </w:tcPr>
          <w:p w14:paraId="58BC31C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其他脚手架安全防护</w:t>
            </w:r>
          </w:p>
        </w:tc>
        <w:tc>
          <w:tcPr>
            <w:tcW w:w="455" w:type="pct"/>
            <w:tcBorders>
              <w:top w:val="single" w:color="auto" w:sz="4" w:space="0"/>
              <w:left w:val="nil"/>
              <w:bottom w:val="single" w:color="auto" w:sz="4" w:space="0"/>
              <w:right w:val="single" w:color="auto" w:sz="4" w:space="0"/>
            </w:tcBorders>
            <w:noWrap/>
            <w:vAlign w:val="center"/>
          </w:tcPr>
          <w:p w14:paraId="272EB7E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14914C2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3D46576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00C2161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07F4EC1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01A46ADC">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65ED5D2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（五）</w:t>
            </w:r>
          </w:p>
        </w:tc>
        <w:tc>
          <w:tcPr>
            <w:tcW w:w="1167" w:type="pct"/>
            <w:tcBorders>
              <w:top w:val="single" w:color="auto" w:sz="4" w:space="0"/>
              <w:left w:val="nil"/>
              <w:bottom w:val="single" w:color="auto" w:sz="4" w:space="0"/>
              <w:right w:val="single" w:color="auto" w:sz="4" w:space="0"/>
            </w:tcBorders>
            <w:noWrap/>
            <w:vAlign w:val="center"/>
          </w:tcPr>
          <w:p w14:paraId="56EFA95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井架</w:t>
            </w:r>
          </w:p>
        </w:tc>
        <w:tc>
          <w:tcPr>
            <w:tcW w:w="455" w:type="pct"/>
            <w:tcBorders>
              <w:top w:val="single" w:color="auto" w:sz="4" w:space="0"/>
              <w:left w:val="nil"/>
              <w:bottom w:val="single" w:color="auto" w:sz="4" w:space="0"/>
              <w:right w:val="single" w:color="auto" w:sz="4" w:space="0"/>
            </w:tcBorders>
            <w:noWrap/>
            <w:vAlign w:val="center"/>
          </w:tcPr>
          <w:p w14:paraId="09735F1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12C7AC6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15FDF1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0802466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17C0F2C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189D8811">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5FB0AB2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1167" w:type="pct"/>
            <w:tcBorders>
              <w:top w:val="single" w:color="auto" w:sz="4" w:space="0"/>
              <w:left w:val="nil"/>
              <w:bottom w:val="single" w:color="auto" w:sz="4" w:space="0"/>
              <w:right w:val="single" w:color="auto" w:sz="4" w:space="0"/>
            </w:tcBorders>
            <w:noWrap/>
            <w:vAlign w:val="center"/>
          </w:tcPr>
          <w:p w14:paraId="4FDFC0C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架体围护</w:t>
            </w:r>
          </w:p>
        </w:tc>
        <w:tc>
          <w:tcPr>
            <w:tcW w:w="455" w:type="pct"/>
            <w:tcBorders>
              <w:top w:val="single" w:color="auto" w:sz="4" w:space="0"/>
              <w:left w:val="nil"/>
              <w:bottom w:val="single" w:color="auto" w:sz="4" w:space="0"/>
              <w:right w:val="single" w:color="auto" w:sz="4" w:space="0"/>
            </w:tcBorders>
            <w:noWrap/>
            <w:vAlign w:val="center"/>
          </w:tcPr>
          <w:p w14:paraId="10F6356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m2</w:t>
            </w:r>
          </w:p>
        </w:tc>
        <w:tc>
          <w:tcPr>
            <w:tcW w:w="473" w:type="pct"/>
            <w:tcBorders>
              <w:top w:val="single" w:color="auto" w:sz="4" w:space="0"/>
              <w:left w:val="nil"/>
              <w:bottom w:val="single" w:color="auto" w:sz="4" w:space="0"/>
              <w:right w:val="single" w:color="auto" w:sz="4" w:space="0"/>
            </w:tcBorders>
            <w:noWrap/>
            <w:vAlign w:val="center"/>
          </w:tcPr>
          <w:p w14:paraId="35157F9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AF29DD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075EF2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6AD5E64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69838C28">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290AB3F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1167" w:type="pct"/>
            <w:tcBorders>
              <w:top w:val="single" w:color="auto" w:sz="4" w:space="0"/>
              <w:left w:val="nil"/>
              <w:bottom w:val="single" w:color="auto" w:sz="4" w:space="0"/>
              <w:right w:val="single" w:color="auto" w:sz="4" w:space="0"/>
            </w:tcBorders>
            <w:noWrap/>
            <w:vAlign w:val="center"/>
          </w:tcPr>
          <w:p w14:paraId="1EA2D6B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货用升降机操作室</w:t>
            </w:r>
          </w:p>
        </w:tc>
        <w:tc>
          <w:tcPr>
            <w:tcW w:w="455" w:type="pct"/>
            <w:tcBorders>
              <w:top w:val="single" w:color="auto" w:sz="4" w:space="0"/>
              <w:left w:val="nil"/>
              <w:bottom w:val="single" w:color="auto" w:sz="4" w:space="0"/>
              <w:right w:val="single" w:color="auto" w:sz="4" w:space="0"/>
            </w:tcBorders>
            <w:noWrap/>
            <w:vAlign w:val="center"/>
          </w:tcPr>
          <w:p w14:paraId="6EB406D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m2</w:t>
            </w:r>
          </w:p>
        </w:tc>
        <w:tc>
          <w:tcPr>
            <w:tcW w:w="473" w:type="pct"/>
            <w:tcBorders>
              <w:top w:val="single" w:color="auto" w:sz="4" w:space="0"/>
              <w:left w:val="nil"/>
              <w:bottom w:val="single" w:color="auto" w:sz="4" w:space="0"/>
              <w:right w:val="single" w:color="auto" w:sz="4" w:space="0"/>
            </w:tcBorders>
            <w:noWrap/>
            <w:vAlign w:val="center"/>
          </w:tcPr>
          <w:p w14:paraId="3DC141A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BD3B6F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1F2702A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55CBFFE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531C8008">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106556B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3</w:t>
            </w:r>
          </w:p>
        </w:tc>
        <w:tc>
          <w:tcPr>
            <w:tcW w:w="1167" w:type="pct"/>
            <w:tcBorders>
              <w:top w:val="single" w:color="auto" w:sz="4" w:space="0"/>
              <w:left w:val="nil"/>
              <w:bottom w:val="single" w:color="auto" w:sz="4" w:space="0"/>
              <w:right w:val="single" w:color="auto" w:sz="4" w:space="0"/>
            </w:tcBorders>
            <w:noWrap/>
            <w:vAlign w:val="center"/>
          </w:tcPr>
          <w:p w14:paraId="0D438F6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其他井架防护</w:t>
            </w:r>
          </w:p>
        </w:tc>
        <w:tc>
          <w:tcPr>
            <w:tcW w:w="455" w:type="pct"/>
            <w:tcBorders>
              <w:top w:val="single" w:color="auto" w:sz="4" w:space="0"/>
              <w:left w:val="nil"/>
              <w:bottom w:val="single" w:color="auto" w:sz="4" w:space="0"/>
              <w:right w:val="single" w:color="auto" w:sz="4" w:space="0"/>
            </w:tcBorders>
            <w:noWrap/>
            <w:vAlign w:val="center"/>
          </w:tcPr>
          <w:p w14:paraId="4E614BD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77E3B9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00EB98B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353185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7E9404E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017F808B">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4CCE05E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（六）</w:t>
            </w:r>
          </w:p>
        </w:tc>
        <w:tc>
          <w:tcPr>
            <w:tcW w:w="1167" w:type="pct"/>
            <w:tcBorders>
              <w:top w:val="single" w:color="auto" w:sz="4" w:space="0"/>
              <w:left w:val="nil"/>
              <w:bottom w:val="single" w:color="auto" w:sz="4" w:space="0"/>
              <w:right w:val="single" w:color="auto" w:sz="4" w:space="0"/>
            </w:tcBorders>
            <w:noWrap/>
            <w:vAlign w:val="center"/>
          </w:tcPr>
          <w:p w14:paraId="70B79F2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消防器材、设施</w:t>
            </w:r>
          </w:p>
        </w:tc>
        <w:tc>
          <w:tcPr>
            <w:tcW w:w="455" w:type="pct"/>
            <w:tcBorders>
              <w:top w:val="single" w:color="auto" w:sz="4" w:space="0"/>
              <w:left w:val="nil"/>
              <w:bottom w:val="single" w:color="auto" w:sz="4" w:space="0"/>
              <w:right w:val="single" w:color="auto" w:sz="4" w:space="0"/>
            </w:tcBorders>
            <w:noWrap/>
            <w:vAlign w:val="center"/>
          </w:tcPr>
          <w:p w14:paraId="051F3CA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1C43F92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98068A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7BA418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63EC01D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3EB9A438">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65A56E3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1167" w:type="pct"/>
            <w:tcBorders>
              <w:top w:val="single" w:color="auto" w:sz="4" w:space="0"/>
              <w:left w:val="nil"/>
              <w:bottom w:val="single" w:color="auto" w:sz="4" w:space="0"/>
              <w:right w:val="single" w:color="auto" w:sz="4" w:space="0"/>
            </w:tcBorders>
            <w:noWrap/>
            <w:vAlign w:val="center"/>
          </w:tcPr>
          <w:p w14:paraId="5D03DF6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灭火器</w:t>
            </w:r>
          </w:p>
        </w:tc>
        <w:tc>
          <w:tcPr>
            <w:tcW w:w="455" w:type="pct"/>
            <w:tcBorders>
              <w:top w:val="single" w:color="auto" w:sz="4" w:space="0"/>
              <w:left w:val="nil"/>
              <w:bottom w:val="single" w:color="auto" w:sz="4" w:space="0"/>
              <w:right w:val="single" w:color="auto" w:sz="4" w:space="0"/>
            </w:tcBorders>
            <w:noWrap/>
            <w:vAlign w:val="center"/>
          </w:tcPr>
          <w:p w14:paraId="4C9F6A3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只</w:t>
            </w:r>
          </w:p>
        </w:tc>
        <w:tc>
          <w:tcPr>
            <w:tcW w:w="473" w:type="pct"/>
            <w:tcBorders>
              <w:top w:val="single" w:color="auto" w:sz="4" w:space="0"/>
              <w:left w:val="nil"/>
              <w:bottom w:val="single" w:color="auto" w:sz="4" w:space="0"/>
              <w:right w:val="single" w:color="auto" w:sz="4" w:space="0"/>
            </w:tcBorders>
            <w:noWrap/>
            <w:vAlign w:val="center"/>
          </w:tcPr>
          <w:p w14:paraId="6377F0D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1BC0D4D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A80B3A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3737CE7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1709F1C8">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68F74BB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1167" w:type="pct"/>
            <w:tcBorders>
              <w:top w:val="single" w:color="auto" w:sz="4" w:space="0"/>
              <w:left w:val="nil"/>
              <w:bottom w:val="single" w:color="auto" w:sz="4" w:space="0"/>
              <w:right w:val="single" w:color="auto" w:sz="4" w:space="0"/>
            </w:tcBorders>
            <w:noWrap/>
            <w:vAlign w:val="center"/>
          </w:tcPr>
          <w:p w14:paraId="2A89EAB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消防水泵</w:t>
            </w:r>
          </w:p>
        </w:tc>
        <w:tc>
          <w:tcPr>
            <w:tcW w:w="455" w:type="pct"/>
            <w:tcBorders>
              <w:top w:val="single" w:color="auto" w:sz="4" w:space="0"/>
              <w:left w:val="nil"/>
              <w:bottom w:val="single" w:color="auto" w:sz="4" w:space="0"/>
              <w:right w:val="single" w:color="auto" w:sz="4" w:space="0"/>
            </w:tcBorders>
            <w:noWrap/>
            <w:vAlign w:val="center"/>
          </w:tcPr>
          <w:p w14:paraId="66FB324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台</w:t>
            </w:r>
          </w:p>
        </w:tc>
        <w:tc>
          <w:tcPr>
            <w:tcW w:w="473" w:type="pct"/>
            <w:tcBorders>
              <w:top w:val="single" w:color="auto" w:sz="4" w:space="0"/>
              <w:left w:val="nil"/>
              <w:bottom w:val="single" w:color="auto" w:sz="4" w:space="0"/>
              <w:right w:val="single" w:color="auto" w:sz="4" w:space="0"/>
            </w:tcBorders>
            <w:noWrap/>
            <w:vAlign w:val="center"/>
          </w:tcPr>
          <w:p w14:paraId="6C5F125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33FC77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0BDA64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613BFAC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134DEF85">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656F067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3</w:t>
            </w:r>
          </w:p>
        </w:tc>
        <w:tc>
          <w:tcPr>
            <w:tcW w:w="1167" w:type="pct"/>
            <w:tcBorders>
              <w:top w:val="single" w:color="auto" w:sz="4" w:space="0"/>
              <w:left w:val="nil"/>
              <w:bottom w:val="single" w:color="auto" w:sz="4" w:space="0"/>
              <w:right w:val="single" w:color="auto" w:sz="4" w:space="0"/>
            </w:tcBorders>
            <w:noWrap/>
            <w:vAlign w:val="center"/>
          </w:tcPr>
          <w:p w14:paraId="29CA1DE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水枪、水带</w:t>
            </w:r>
          </w:p>
        </w:tc>
        <w:tc>
          <w:tcPr>
            <w:tcW w:w="455" w:type="pct"/>
            <w:tcBorders>
              <w:top w:val="single" w:color="auto" w:sz="4" w:space="0"/>
              <w:left w:val="nil"/>
              <w:bottom w:val="single" w:color="auto" w:sz="4" w:space="0"/>
              <w:right w:val="single" w:color="auto" w:sz="4" w:space="0"/>
            </w:tcBorders>
            <w:noWrap/>
            <w:vAlign w:val="center"/>
          </w:tcPr>
          <w:p w14:paraId="1502BF0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套</w:t>
            </w:r>
          </w:p>
        </w:tc>
        <w:tc>
          <w:tcPr>
            <w:tcW w:w="473" w:type="pct"/>
            <w:tcBorders>
              <w:top w:val="single" w:color="auto" w:sz="4" w:space="0"/>
              <w:left w:val="nil"/>
              <w:bottom w:val="single" w:color="auto" w:sz="4" w:space="0"/>
              <w:right w:val="single" w:color="auto" w:sz="4" w:space="0"/>
            </w:tcBorders>
            <w:noWrap/>
            <w:vAlign w:val="center"/>
          </w:tcPr>
          <w:p w14:paraId="1E61D1B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30D3580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44DBD37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1921601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5F30241D">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74BB4A4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4</w:t>
            </w:r>
          </w:p>
        </w:tc>
        <w:tc>
          <w:tcPr>
            <w:tcW w:w="1167" w:type="pct"/>
            <w:tcBorders>
              <w:top w:val="single" w:color="auto" w:sz="4" w:space="0"/>
              <w:left w:val="nil"/>
              <w:bottom w:val="single" w:color="auto" w:sz="4" w:space="0"/>
              <w:right w:val="single" w:color="auto" w:sz="4" w:space="0"/>
            </w:tcBorders>
            <w:noWrap/>
            <w:vAlign w:val="center"/>
          </w:tcPr>
          <w:p w14:paraId="7AF212C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消防箱</w:t>
            </w:r>
          </w:p>
        </w:tc>
        <w:tc>
          <w:tcPr>
            <w:tcW w:w="455" w:type="pct"/>
            <w:tcBorders>
              <w:top w:val="single" w:color="auto" w:sz="4" w:space="0"/>
              <w:left w:val="nil"/>
              <w:bottom w:val="single" w:color="auto" w:sz="4" w:space="0"/>
              <w:right w:val="single" w:color="auto" w:sz="4" w:space="0"/>
            </w:tcBorders>
            <w:noWrap/>
            <w:vAlign w:val="center"/>
          </w:tcPr>
          <w:p w14:paraId="5E0BF40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只</w:t>
            </w:r>
          </w:p>
        </w:tc>
        <w:tc>
          <w:tcPr>
            <w:tcW w:w="473" w:type="pct"/>
            <w:tcBorders>
              <w:top w:val="single" w:color="auto" w:sz="4" w:space="0"/>
              <w:left w:val="nil"/>
              <w:bottom w:val="single" w:color="auto" w:sz="4" w:space="0"/>
              <w:right w:val="single" w:color="auto" w:sz="4" w:space="0"/>
            </w:tcBorders>
            <w:noWrap/>
            <w:vAlign w:val="center"/>
          </w:tcPr>
          <w:p w14:paraId="643601A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10F115D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03B122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4F69460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50E88906">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659A9F3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5</w:t>
            </w:r>
          </w:p>
        </w:tc>
        <w:tc>
          <w:tcPr>
            <w:tcW w:w="1167" w:type="pct"/>
            <w:tcBorders>
              <w:top w:val="single" w:color="auto" w:sz="4" w:space="0"/>
              <w:left w:val="nil"/>
              <w:bottom w:val="single" w:color="auto" w:sz="4" w:space="0"/>
              <w:right w:val="single" w:color="auto" w:sz="4" w:space="0"/>
            </w:tcBorders>
            <w:noWrap/>
            <w:vAlign w:val="center"/>
          </w:tcPr>
          <w:p w14:paraId="1DA8E8E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消防立管</w:t>
            </w:r>
          </w:p>
        </w:tc>
        <w:tc>
          <w:tcPr>
            <w:tcW w:w="455" w:type="pct"/>
            <w:tcBorders>
              <w:top w:val="single" w:color="auto" w:sz="4" w:space="0"/>
              <w:left w:val="nil"/>
              <w:bottom w:val="single" w:color="auto" w:sz="4" w:space="0"/>
              <w:right w:val="single" w:color="auto" w:sz="4" w:space="0"/>
            </w:tcBorders>
            <w:noWrap/>
            <w:vAlign w:val="center"/>
          </w:tcPr>
          <w:p w14:paraId="39FB765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m</w:t>
            </w:r>
          </w:p>
        </w:tc>
        <w:tc>
          <w:tcPr>
            <w:tcW w:w="473" w:type="pct"/>
            <w:tcBorders>
              <w:top w:val="single" w:color="auto" w:sz="4" w:space="0"/>
              <w:left w:val="nil"/>
              <w:bottom w:val="single" w:color="auto" w:sz="4" w:space="0"/>
              <w:right w:val="single" w:color="auto" w:sz="4" w:space="0"/>
            </w:tcBorders>
            <w:noWrap/>
            <w:vAlign w:val="center"/>
          </w:tcPr>
          <w:p w14:paraId="160428E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4313151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3A6FDBC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152C278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303628CD">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3462A33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6</w:t>
            </w:r>
          </w:p>
        </w:tc>
        <w:tc>
          <w:tcPr>
            <w:tcW w:w="1167" w:type="pct"/>
            <w:tcBorders>
              <w:top w:val="single" w:color="auto" w:sz="4" w:space="0"/>
              <w:left w:val="nil"/>
              <w:bottom w:val="single" w:color="auto" w:sz="4" w:space="0"/>
              <w:right w:val="single" w:color="auto" w:sz="4" w:space="0"/>
            </w:tcBorders>
            <w:noWrap/>
            <w:vAlign w:val="center"/>
          </w:tcPr>
          <w:p w14:paraId="6D49262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危险品仓库搭建</w:t>
            </w:r>
          </w:p>
        </w:tc>
        <w:tc>
          <w:tcPr>
            <w:tcW w:w="455" w:type="pct"/>
            <w:tcBorders>
              <w:top w:val="single" w:color="auto" w:sz="4" w:space="0"/>
              <w:left w:val="nil"/>
              <w:bottom w:val="single" w:color="auto" w:sz="4" w:space="0"/>
              <w:right w:val="single" w:color="auto" w:sz="4" w:space="0"/>
            </w:tcBorders>
            <w:noWrap/>
            <w:vAlign w:val="center"/>
          </w:tcPr>
          <w:p w14:paraId="4D0A8D2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m2</w:t>
            </w:r>
          </w:p>
        </w:tc>
        <w:tc>
          <w:tcPr>
            <w:tcW w:w="473" w:type="pct"/>
            <w:tcBorders>
              <w:top w:val="single" w:color="auto" w:sz="4" w:space="0"/>
              <w:left w:val="nil"/>
              <w:bottom w:val="single" w:color="auto" w:sz="4" w:space="0"/>
              <w:right w:val="single" w:color="auto" w:sz="4" w:space="0"/>
            </w:tcBorders>
            <w:noWrap/>
            <w:vAlign w:val="center"/>
          </w:tcPr>
          <w:p w14:paraId="6BB7DC3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F20B85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081BA04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1161893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3F42F41C">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1B2EC7D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7</w:t>
            </w:r>
          </w:p>
        </w:tc>
        <w:tc>
          <w:tcPr>
            <w:tcW w:w="1167" w:type="pct"/>
            <w:tcBorders>
              <w:top w:val="single" w:color="auto" w:sz="4" w:space="0"/>
              <w:left w:val="nil"/>
              <w:bottom w:val="single" w:color="auto" w:sz="4" w:space="0"/>
              <w:right w:val="single" w:color="auto" w:sz="4" w:space="0"/>
            </w:tcBorders>
            <w:noWrap/>
            <w:vAlign w:val="center"/>
          </w:tcPr>
          <w:p w14:paraId="2BE15E5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防雷设施</w:t>
            </w:r>
          </w:p>
        </w:tc>
        <w:tc>
          <w:tcPr>
            <w:tcW w:w="455" w:type="pct"/>
            <w:tcBorders>
              <w:top w:val="single" w:color="auto" w:sz="4" w:space="0"/>
              <w:left w:val="nil"/>
              <w:bottom w:val="single" w:color="auto" w:sz="4" w:space="0"/>
              <w:right w:val="single" w:color="auto" w:sz="4" w:space="0"/>
            </w:tcBorders>
            <w:noWrap/>
            <w:vAlign w:val="center"/>
          </w:tcPr>
          <w:p w14:paraId="024E100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元</w:t>
            </w:r>
          </w:p>
        </w:tc>
        <w:tc>
          <w:tcPr>
            <w:tcW w:w="473" w:type="pct"/>
            <w:tcBorders>
              <w:top w:val="single" w:color="auto" w:sz="4" w:space="0"/>
              <w:left w:val="nil"/>
              <w:bottom w:val="single" w:color="auto" w:sz="4" w:space="0"/>
              <w:right w:val="single" w:color="auto" w:sz="4" w:space="0"/>
            </w:tcBorders>
            <w:noWrap/>
            <w:vAlign w:val="center"/>
          </w:tcPr>
          <w:p w14:paraId="0197668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5F000B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45A9E87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1D7149B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24B31923">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725C295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8</w:t>
            </w:r>
          </w:p>
        </w:tc>
        <w:tc>
          <w:tcPr>
            <w:tcW w:w="1167" w:type="pct"/>
            <w:tcBorders>
              <w:top w:val="single" w:color="auto" w:sz="4" w:space="0"/>
              <w:left w:val="nil"/>
              <w:bottom w:val="single" w:color="auto" w:sz="4" w:space="0"/>
              <w:right w:val="single" w:color="auto" w:sz="4" w:space="0"/>
            </w:tcBorders>
            <w:noWrap/>
            <w:vAlign w:val="center"/>
          </w:tcPr>
          <w:p w14:paraId="2D12898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其他</w:t>
            </w:r>
          </w:p>
        </w:tc>
        <w:tc>
          <w:tcPr>
            <w:tcW w:w="455" w:type="pct"/>
            <w:tcBorders>
              <w:top w:val="single" w:color="auto" w:sz="4" w:space="0"/>
              <w:left w:val="nil"/>
              <w:bottom w:val="single" w:color="auto" w:sz="4" w:space="0"/>
              <w:right w:val="single" w:color="auto" w:sz="4" w:space="0"/>
            </w:tcBorders>
            <w:noWrap/>
            <w:vAlign w:val="center"/>
          </w:tcPr>
          <w:p w14:paraId="057278D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0908FE3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0A711AC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3BC4759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5D32421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6F7D6875">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7862E11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（七）</w:t>
            </w:r>
          </w:p>
        </w:tc>
        <w:tc>
          <w:tcPr>
            <w:tcW w:w="1167" w:type="pct"/>
            <w:tcBorders>
              <w:top w:val="single" w:color="auto" w:sz="4" w:space="0"/>
              <w:left w:val="nil"/>
              <w:bottom w:val="single" w:color="auto" w:sz="4" w:space="0"/>
              <w:right w:val="single" w:color="auto" w:sz="4" w:space="0"/>
            </w:tcBorders>
            <w:noWrap/>
            <w:vAlign w:val="center"/>
          </w:tcPr>
          <w:p w14:paraId="1445C65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特殊工程安全措施</w:t>
            </w:r>
          </w:p>
        </w:tc>
        <w:tc>
          <w:tcPr>
            <w:tcW w:w="455" w:type="pct"/>
            <w:tcBorders>
              <w:top w:val="single" w:color="auto" w:sz="4" w:space="0"/>
              <w:left w:val="nil"/>
              <w:bottom w:val="single" w:color="auto" w:sz="4" w:space="0"/>
              <w:right w:val="single" w:color="auto" w:sz="4" w:space="0"/>
            </w:tcBorders>
            <w:noWrap/>
            <w:vAlign w:val="center"/>
          </w:tcPr>
          <w:p w14:paraId="58C9A99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0320C04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47126C9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7A5B2C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239F2FC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1801078B">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2B0F1A2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1167" w:type="pct"/>
            <w:tcBorders>
              <w:top w:val="single" w:color="auto" w:sz="4" w:space="0"/>
              <w:left w:val="nil"/>
              <w:bottom w:val="single" w:color="auto" w:sz="4" w:space="0"/>
              <w:right w:val="single" w:color="auto" w:sz="4" w:space="0"/>
            </w:tcBorders>
            <w:noWrap/>
            <w:vAlign w:val="center"/>
          </w:tcPr>
          <w:p w14:paraId="4AA069E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特殊作业防护用品</w:t>
            </w:r>
          </w:p>
        </w:tc>
        <w:tc>
          <w:tcPr>
            <w:tcW w:w="455" w:type="pct"/>
            <w:tcBorders>
              <w:top w:val="single" w:color="auto" w:sz="4" w:space="0"/>
              <w:left w:val="nil"/>
              <w:bottom w:val="single" w:color="auto" w:sz="4" w:space="0"/>
              <w:right w:val="single" w:color="auto" w:sz="4" w:space="0"/>
            </w:tcBorders>
            <w:noWrap/>
            <w:vAlign w:val="center"/>
          </w:tcPr>
          <w:p w14:paraId="19BCA70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元</w:t>
            </w:r>
          </w:p>
        </w:tc>
        <w:tc>
          <w:tcPr>
            <w:tcW w:w="473" w:type="pct"/>
            <w:tcBorders>
              <w:top w:val="single" w:color="auto" w:sz="4" w:space="0"/>
              <w:left w:val="nil"/>
              <w:bottom w:val="single" w:color="auto" w:sz="4" w:space="0"/>
              <w:right w:val="single" w:color="auto" w:sz="4" w:space="0"/>
            </w:tcBorders>
            <w:noWrap/>
            <w:vAlign w:val="center"/>
          </w:tcPr>
          <w:p w14:paraId="41DF97B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07083D0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39A1A6F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2ACE1F5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0BEBF063">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468A52A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1167" w:type="pct"/>
            <w:tcBorders>
              <w:top w:val="single" w:color="auto" w:sz="4" w:space="0"/>
              <w:left w:val="nil"/>
              <w:bottom w:val="single" w:color="auto" w:sz="4" w:space="0"/>
              <w:right w:val="single" w:color="auto" w:sz="4" w:space="0"/>
            </w:tcBorders>
            <w:noWrap/>
            <w:vAlign w:val="center"/>
          </w:tcPr>
          <w:p w14:paraId="579CEFA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救生设施</w:t>
            </w:r>
          </w:p>
        </w:tc>
        <w:tc>
          <w:tcPr>
            <w:tcW w:w="455" w:type="pct"/>
            <w:tcBorders>
              <w:top w:val="single" w:color="auto" w:sz="4" w:space="0"/>
              <w:left w:val="nil"/>
              <w:bottom w:val="single" w:color="auto" w:sz="4" w:space="0"/>
              <w:right w:val="single" w:color="auto" w:sz="4" w:space="0"/>
            </w:tcBorders>
            <w:noWrap/>
            <w:vAlign w:val="center"/>
          </w:tcPr>
          <w:p w14:paraId="1B33C59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元</w:t>
            </w:r>
          </w:p>
        </w:tc>
        <w:tc>
          <w:tcPr>
            <w:tcW w:w="473" w:type="pct"/>
            <w:tcBorders>
              <w:top w:val="single" w:color="auto" w:sz="4" w:space="0"/>
              <w:left w:val="nil"/>
              <w:bottom w:val="single" w:color="auto" w:sz="4" w:space="0"/>
              <w:right w:val="single" w:color="auto" w:sz="4" w:space="0"/>
            </w:tcBorders>
            <w:noWrap/>
            <w:vAlign w:val="center"/>
          </w:tcPr>
          <w:p w14:paraId="7B291E5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964B3C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F38D3B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68B6D03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含救生衣、救生圈等</w:t>
            </w:r>
          </w:p>
        </w:tc>
      </w:tr>
      <w:tr w14:paraId="3DEBA5DD">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78C22EF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3</w:t>
            </w:r>
          </w:p>
        </w:tc>
        <w:tc>
          <w:tcPr>
            <w:tcW w:w="1167" w:type="pct"/>
            <w:tcBorders>
              <w:top w:val="single" w:color="auto" w:sz="4" w:space="0"/>
              <w:left w:val="nil"/>
              <w:bottom w:val="single" w:color="auto" w:sz="4" w:space="0"/>
              <w:right w:val="single" w:color="auto" w:sz="4" w:space="0"/>
            </w:tcBorders>
            <w:noWrap/>
            <w:vAlign w:val="center"/>
          </w:tcPr>
          <w:p w14:paraId="44CEC6D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防毒面具</w:t>
            </w:r>
          </w:p>
        </w:tc>
        <w:tc>
          <w:tcPr>
            <w:tcW w:w="455" w:type="pct"/>
            <w:tcBorders>
              <w:top w:val="single" w:color="auto" w:sz="4" w:space="0"/>
              <w:left w:val="nil"/>
              <w:bottom w:val="single" w:color="auto" w:sz="4" w:space="0"/>
              <w:right w:val="single" w:color="auto" w:sz="4" w:space="0"/>
            </w:tcBorders>
            <w:noWrap/>
            <w:vAlign w:val="center"/>
          </w:tcPr>
          <w:p w14:paraId="4B473FE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付</w:t>
            </w:r>
          </w:p>
        </w:tc>
        <w:tc>
          <w:tcPr>
            <w:tcW w:w="473" w:type="pct"/>
            <w:tcBorders>
              <w:top w:val="single" w:color="auto" w:sz="4" w:space="0"/>
              <w:left w:val="nil"/>
              <w:bottom w:val="single" w:color="auto" w:sz="4" w:space="0"/>
              <w:right w:val="single" w:color="auto" w:sz="4" w:space="0"/>
            </w:tcBorders>
            <w:noWrap/>
            <w:vAlign w:val="center"/>
          </w:tcPr>
          <w:p w14:paraId="42A1ED9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4B91D19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FB086F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69FCF80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472DFA77">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272C003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4</w:t>
            </w:r>
          </w:p>
        </w:tc>
        <w:tc>
          <w:tcPr>
            <w:tcW w:w="1167" w:type="pct"/>
            <w:tcBorders>
              <w:top w:val="single" w:color="auto" w:sz="4" w:space="0"/>
              <w:left w:val="nil"/>
              <w:bottom w:val="single" w:color="auto" w:sz="4" w:space="0"/>
              <w:right w:val="single" w:color="auto" w:sz="4" w:space="0"/>
            </w:tcBorders>
            <w:noWrap/>
            <w:vAlign w:val="center"/>
          </w:tcPr>
          <w:p w14:paraId="1E5BA99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有毒气体检测仪器</w:t>
            </w:r>
          </w:p>
        </w:tc>
        <w:tc>
          <w:tcPr>
            <w:tcW w:w="455" w:type="pct"/>
            <w:tcBorders>
              <w:top w:val="single" w:color="auto" w:sz="4" w:space="0"/>
              <w:left w:val="nil"/>
              <w:bottom w:val="single" w:color="auto" w:sz="4" w:space="0"/>
              <w:right w:val="single" w:color="auto" w:sz="4" w:space="0"/>
            </w:tcBorders>
            <w:noWrap/>
            <w:vAlign w:val="center"/>
          </w:tcPr>
          <w:p w14:paraId="668B7FE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套</w:t>
            </w:r>
          </w:p>
        </w:tc>
        <w:tc>
          <w:tcPr>
            <w:tcW w:w="473" w:type="pct"/>
            <w:tcBorders>
              <w:top w:val="single" w:color="auto" w:sz="4" w:space="0"/>
              <w:left w:val="nil"/>
              <w:bottom w:val="single" w:color="auto" w:sz="4" w:space="0"/>
              <w:right w:val="single" w:color="auto" w:sz="4" w:space="0"/>
            </w:tcBorders>
            <w:noWrap/>
            <w:vAlign w:val="center"/>
          </w:tcPr>
          <w:p w14:paraId="68D3F2B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65F7A9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1769F9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422FF13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48380A09">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48AFE41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5</w:t>
            </w:r>
          </w:p>
        </w:tc>
        <w:tc>
          <w:tcPr>
            <w:tcW w:w="1167" w:type="pct"/>
            <w:tcBorders>
              <w:top w:val="single" w:color="auto" w:sz="4" w:space="0"/>
              <w:left w:val="nil"/>
              <w:bottom w:val="single" w:color="auto" w:sz="4" w:space="0"/>
              <w:right w:val="single" w:color="auto" w:sz="4" w:space="0"/>
            </w:tcBorders>
            <w:noWrap/>
            <w:vAlign w:val="center"/>
          </w:tcPr>
          <w:p w14:paraId="7087A26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其他特殊安全防护</w:t>
            </w:r>
          </w:p>
        </w:tc>
        <w:tc>
          <w:tcPr>
            <w:tcW w:w="455" w:type="pct"/>
            <w:tcBorders>
              <w:top w:val="single" w:color="auto" w:sz="4" w:space="0"/>
              <w:left w:val="nil"/>
              <w:bottom w:val="single" w:color="auto" w:sz="4" w:space="0"/>
              <w:right w:val="single" w:color="auto" w:sz="4" w:space="0"/>
            </w:tcBorders>
            <w:noWrap/>
            <w:vAlign w:val="center"/>
          </w:tcPr>
          <w:p w14:paraId="38083F2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396F1B9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1E4D8D6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1884C4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6510848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2A84A25D">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0148459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（八）</w:t>
            </w:r>
          </w:p>
        </w:tc>
        <w:tc>
          <w:tcPr>
            <w:tcW w:w="1167" w:type="pct"/>
            <w:tcBorders>
              <w:top w:val="single" w:color="auto" w:sz="4" w:space="0"/>
              <w:left w:val="nil"/>
              <w:bottom w:val="single" w:color="auto" w:sz="4" w:space="0"/>
              <w:right w:val="single" w:color="auto" w:sz="4" w:space="0"/>
            </w:tcBorders>
            <w:noWrap/>
            <w:vAlign w:val="center"/>
          </w:tcPr>
          <w:p w14:paraId="4852F3E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安全标志</w:t>
            </w:r>
          </w:p>
        </w:tc>
        <w:tc>
          <w:tcPr>
            <w:tcW w:w="455" w:type="pct"/>
            <w:tcBorders>
              <w:top w:val="single" w:color="auto" w:sz="4" w:space="0"/>
              <w:left w:val="nil"/>
              <w:bottom w:val="single" w:color="auto" w:sz="4" w:space="0"/>
              <w:right w:val="single" w:color="auto" w:sz="4" w:space="0"/>
            </w:tcBorders>
            <w:noWrap/>
            <w:vAlign w:val="center"/>
          </w:tcPr>
          <w:p w14:paraId="43E465B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3A02179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0DA3496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F5BB5B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1BFDCC4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77A7F2E7">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597FC98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1167" w:type="pct"/>
            <w:tcBorders>
              <w:top w:val="single" w:color="auto" w:sz="4" w:space="0"/>
              <w:left w:val="nil"/>
              <w:bottom w:val="single" w:color="auto" w:sz="4" w:space="0"/>
              <w:right w:val="single" w:color="auto" w:sz="4" w:space="0"/>
            </w:tcBorders>
            <w:noWrap/>
            <w:vAlign w:val="center"/>
          </w:tcPr>
          <w:p w14:paraId="6F364F9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安全警示标牌、标识</w:t>
            </w:r>
          </w:p>
        </w:tc>
        <w:tc>
          <w:tcPr>
            <w:tcW w:w="455" w:type="pct"/>
            <w:tcBorders>
              <w:top w:val="single" w:color="auto" w:sz="4" w:space="0"/>
              <w:left w:val="nil"/>
              <w:bottom w:val="single" w:color="auto" w:sz="4" w:space="0"/>
              <w:right w:val="single" w:color="auto" w:sz="4" w:space="0"/>
            </w:tcBorders>
            <w:noWrap/>
            <w:vAlign w:val="center"/>
          </w:tcPr>
          <w:p w14:paraId="7C062A2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元</w:t>
            </w:r>
          </w:p>
        </w:tc>
        <w:tc>
          <w:tcPr>
            <w:tcW w:w="473" w:type="pct"/>
            <w:tcBorders>
              <w:top w:val="single" w:color="auto" w:sz="4" w:space="0"/>
              <w:left w:val="nil"/>
              <w:bottom w:val="single" w:color="auto" w:sz="4" w:space="0"/>
              <w:right w:val="single" w:color="auto" w:sz="4" w:space="0"/>
            </w:tcBorders>
            <w:noWrap/>
            <w:vAlign w:val="center"/>
          </w:tcPr>
          <w:p w14:paraId="49EA099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303BCFE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DA70B8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1465923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62C10118">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726E4C2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1167" w:type="pct"/>
            <w:tcBorders>
              <w:top w:val="single" w:color="auto" w:sz="4" w:space="0"/>
              <w:left w:val="nil"/>
              <w:bottom w:val="single" w:color="auto" w:sz="4" w:space="0"/>
              <w:right w:val="single" w:color="auto" w:sz="4" w:space="0"/>
            </w:tcBorders>
            <w:noWrap/>
            <w:vAlign w:val="center"/>
          </w:tcPr>
          <w:p w14:paraId="04752ED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警示灯</w:t>
            </w:r>
          </w:p>
        </w:tc>
        <w:tc>
          <w:tcPr>
            <w:tcW w:w="455" w:type="pct"/>
            <w:tcBorders>
              <w:top w:val="single" w:color="auto" w:sz="4" w:space="0"/>
              <w:left w:val="nil"/>
              <w:bottom w:val="single" w:color="auto" w:sz="4" w:space="0"/>
              <w:right w:val="single" w:color="auto" w:sz="4" w:space="0"/>
            </w:tcBorders>
            <w:noWrap/>
            <w:vAlign w:val="center"/>
          </w:tcPr>
          <w:p w14:paraId="279DE98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处</w:t>
            </w:r>
          </w:p>
        </w:tc>
        <w:tc>
          <w:tcPr>
            <w:tcW w:w="473" w:type="pct"/>
            <w:tcBorders>
              <w:top w:val="single" w:color="auto" w:sz="4" w:space="0"/>
              <w:left w:val="nil"/>
              <w:bottom w:val="single" w:color="auto" w:sz="4" w:space="0"/>
              <w:right w:val="single" w:color="auto" w:sz="4" w:space="0"/>
            </w:tcBorders>
            <w:noWrap/>
            <w:vAlign w:val="center"/>
          </w:tcPr>
          <w:p w14:paraId="3212BE6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3B4BE4A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972866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707F9C5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42AC28D2">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78B4A91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3</w:t>
            </w:r>
          </w:p>
        </w:tc>
        <w:tc>
          <w:tcPr>
            <w:tcW w:w="1167" w:type="pct"/>
            <w:tcBorders>
              <w:top w:val="single" w:color="auto" w:sz="4" w:space="0"/>
              <w:left w:val="nil"/>
              <w:bottom w:val="single" w:color="auto" w:sz="4" w:space="0"/>
              <w:right w:val="single" w:color="auto" w:sz="4" w:space="0"/>
            </w:tcBorders>
            <w:noWrap/>
            <w:vAlign w:val="center"/>
          </w:tcPr>
          <w:p w14:paraId="3A00DC7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航标灯</w:t>
            </w:r>
          </w:p>
        </w:tc>
        <w:tc>
          <w:tcPr>
            <w:tcW w:w="455" w:type="pct"/>
            <w:tcBorders>
              <w:top w:val="single" w:color="auto" w:sz="4" w:space="0"/>
              <w:left w:val="nil"/>
              <w:bottom w:val="single" w:color="auto" w:sz="4" w:space="0"/>
              <w:right w:val="single" w:color="auto" w:sz="4" w:space="0"/>
            </w:tcBorders>
            <w:noWrap/>
            <w:vAlign w:val="center"/>
          </w:tcPr>
          <w:p w14:paraId="0478A13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处</w:t>
            </w:r>
          </w:p>
        </w:tc>
        <w:tc>
          <w:tcPr>
            <w:tcW w:w="473" w:type="pct"/>
            <w:tcBorders>
              <w:top w:val="single" w:color="auto" w:sz="4" w:space="0"/>
              <w:left w:val="nil"/>
              <w:bottom w:val="single" w:color="auto" w:sz="4" w:space="0"/>
              <w:right w:val="single" w:color="auto" w:sz="4" w:space="0"/>
            </w:tcBorders>
            <w:noWrap/>
            <w:vAlign w:val="center"/>
          </w:tcPr>
          <w:p w14:paraId="26CB27A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2BD6DC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1FD20B2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3F73A94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通航要求</w:t>
            </w:r>
          </w:p>
        </w:tc>
      </w:tr>
      <w:tr w14:paraId="4765F167">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13EF6DC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4</w:t>
            </w:r>
          </w:p>
        </w:tc>
        <w:tc>
          <w:tcPr>
            <w:tcW w:w="1167" w:type="pct"/>
            <w:tcBorders>
              <w:top w:val="single" w:color="auto" w:sz="4" w:space="0"/>
              <w:left w:val="nil"/>
              <w:bottom w:val="single" w:color="auto" w:sz="4" w:space="0"/>
              <w:right w:val="single" w:color="auto" w:sz="4" w:space="0"/>
            </w:tcBorders>
            <w:noWrap/>
            <w:vAlign w:val="center"/>
          </w:tcPr>
          <w:p w14:paraId="50A0D74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其他安全标志</w:t>
            </w:r>
          </w:p>
        </w:tc>
        <w:tc>
          <w:tcPr>
            <w:tcW w:w="455" w:type="pct"/>
            <w:tcBorders>
              <w:top w:val="single" w:color="auto" w:sz="4" w:space="0"/>
              <w:left w:val="nil"/>
              <w:bottom w:val="single" w:color="auto" w:sz="4" w:space="0"/>
              <w:right w:val="single" w:color="auto" w:sz="4" w:space="0"/>
            </w:tcBorders>
            <w:noWrap/>
            <w:vAlign w:val="center"/>
          </w:tcPr>
          <w:p w14:paraId="3003B01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1F0F2DE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19CECA3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4D7FEB4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338CF5B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140373A9">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4BE3886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（九）</w:t>
            </w:r>
          </w:p>
        </w:tc>
        <w:tc>
          <w:tcPr>
            <w:tcW w:w="1167" w:type="pct"/>
            <w:tcBorders>
              <w:top w:val="single" w:color="auto" w:sz="4" w:space="0"/>
              <w:left w:val="nil"/>
              <w:bottom w:val="single" w:color="auto" w:sz="4" w:space="0"/>
              <w:right w:val="single" w:color="auto" w:sz="4" w:space="0"/>
            </w:tcBorders>
            <w:noWrap/>
            <w:vAlign w:val="center"/>
          </w:tcPr>
          <w:p w14:paraId="351E861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安全专项检测</w:t>
            </w:r>
          </w:p>
        </w:tc>
        <w:tc>
          <w:tcPr>
            <w:tcW w:w="455" w:type="pct"/>
            <w:tcBorders>
              <w:top w:val="single" w:color="auto" w:sz="4" w:space="0"/>
              <w:left w:val="nil"/>
              <w:bottom w:val="single" w:color="auto" w:sz="4" w:space="0"/>
              <w:right w:val="single" w:color="auto" w:sz="4" w:space="0"/>
            </w:tcBorders>
            <w:noWrap/>
            <w:vAlign w:val="center"/>
          </w:tcPr>
          <w:p w14:paraId="110A7B3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B17954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A1F2A9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194570A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2140BC7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68EF0E1B">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6E0E55C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1167" w:type="pct"/>
            <w:tcBorders>
              <w:top w:val="single" w:color="auto" w:sz="4" w:space="0"/>
              <w:left w:val="nil"/>
              <w:bottom w:val="single" w:color="auto" w:sz="4" w:space="0"/>
              <w:right w:val="single" w:color="auto" w:sz="4" w:space="0"/>
            </w:tcBorders>
            <w:noWrap/>
            <w:vAlign w:val="center"/>
          </w:tcPr>
          <w:p w14:paraId="4B3C381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起重机械检测费</w:t>
            </w:r>
          </w:p>
        </w:tc>
        <w:tc>
          <w:tcPr>
            <w:tcW w:w="455" w:type="pct"/>
            <w:tcBorders>
              <w:top w:val="single" w:color="auto" w:sz="4" w:space="0"/>
              <w:left w:val="nil"/>
              <w:bottom w:val="single" w:color="auto" w:sz="4" w:space="0"/>
              <w:right w:val="single" w:color="auto" w:sz="4" w:space="0"/>
            </w:tcBorders>
            <w:noWrap/>
            <w:vAlign w:val="center"/>
          </w:tcPr>
          <w:p w14:paraId="55DDF8D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元</w:t>
            </w:r>
          </w:p>
        </w:tc>
        <w:tc>
          <w:tcPr>
            <w:tcW w:w="473" w:type="pct"/>
            <w:tcBorders>
              <w:top w:val="single" w:color="auto" w:sz="4" w:space="0"/>
              <w:left w:val="nil"/>
              <w:bottom w:val="single" w:color="auto" w:sz="4" w:space="0"/>
              <w:right w:val="single" w:color="auto" w:sz="4" w:space="0"/>
            </w:tcBorders>
            <w:noWrap/>
            <w:vAlign w:val="center"/>
          </w:tcPr>
          <w:p w14:paraId="1ABF02C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A8B9AB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0C32D16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0C8AA2C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塔吊、升降机等</w:t>
            </w:r>
          </w:p>
        </w:tc>
      </w:tr>
      <w:tr w14:paraId="247A67C7">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76BACFF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1167" w:type="pct"/>
            <w:tcBorders>
              <w:top w:val="single" w:color="auto" w:sz="4" w:space="0"/>
              <w:left w:val="nil"/>
              <w:bottom w:val="single" w:color="auto" w:sz="4" w:space="0"/>
              <w:right w:val="single" w:color="auto" w:sz="4" w:space="0"/>
            </w:tcBorders>
            <w:noWrap/>
            <w:vAlign w:val="center"/>
          </w:tcPr>
          <w:p w14:paraId="3A25FDC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钢管、扣件检测费</w:t>
            </w:r>
          </w:p>
        </w:tc>
        <w:tc>
          <w:tcPr>
            <w:tcW w:w="455" w:type="pct"/>
            <w:tcBorders>
              <w:top w:val="single" w:color="auto" w:sz="4" w:space="0"/>
              <w:left w:val="nil"/>
              <w:bottom w:val="single" w:color="auto" w:sz="4" w:space="0"/>
              <w:right w:val="single" w:color="auto" w:sz="4" w:space="0"/>
            </w:tcBorders>
            <w:noWrap/>
            <w:vAlign w:val="center"/>
          </w:tcPr>
          <w:p w14:paraId="762C42A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元</w:t>
            </w:r>
          </w:p>
        </w:tc>
        <w:tc>
          <w:tcPr>
            <w:tcW w:w="473" w:type="pct"/>
            <w:tcBorders>
              <w:top w:val="single" w:color="auto" w:sz="4" w:space="0"/>
              <w:left w:val="nil"/>
              <w:bottom w:val="single" w:color="auto" w:sz="4" w:space="0"/>
              <w:right w:val="single" w:color="auto" w:sz="4" w:space="0"/>
            </w:tcBorders>
            <w:noWrap/>
            <w:vAlign w:val="center"/>
          </w:tcPr>
          <w:p w14:paraId="6F16E85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17F9F3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3C3A2C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58CC5A7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2F3CE267">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4EB467A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3</w:t>
            </w:r>
          </w:p>
        </w:tc>
        <w:tc>
          <w:tcPr>
            <w:tcW w:w="1167" w:type="pct"/>
            <w:tcBorders>
              <w:top w:val="single" w:color="auto" w:sz="4" w:space="0"/>
              <w:left w:val="nil"/>
              <w:bottom w:val="single" w:color="auto" w:sz="4" w:space="0"/>
              <w:right w:val="single" w:color="auto" w:sz="4" w:space="0"/>
            </w:tcBorders>
            <w:noWrap/>
            <w:vAlign w:val="center"/>
          </w:tcPr>
          <w:p w14:paraId="33E1624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高处作业吊篮检测费</w:t>
            </w:r>
          </w:p>
        </w:tc>
        <w:tc>
          <w:tcPr>
            <w:tcW w:w="455" w:type="pct"/>
            <w:tcBorders>
              <w:top w:val="single" w:color="auto" w:sz="4" w:space="0"/>
              <w:left w:val="nil"/>
              <w:bottom w:val="single" w:color="auto" w:sz="4" w:space="0"/>
              <w:right w:val="single" w:color="auto" w:sz="4" w:space="0"/>
            </w:tcBorders>
            <w:noWrap/>
            <w:vAlign w:val="center"/>
          </w:tcPr>
          <w:p w14:paraId="5B4F32C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元</w:t>
            </w:r>
          </w:p>
        </w:tc>
        <w:tc>
          <w:tcPr>
            <w:tcW w:w="473" w:type="pct"/>
            <w:tcBorders>
              <w:top w:val="single" w:color="auto" w:sz="4" w:space="0"/>
              <w:left w:val="nil"/>
              <w:bottom w:val="single" w:color="auto" w:sz="4" w:space="0"/>
              <w:right w:val="single" w:color="auto" w:sz="4" w:space="0"/>
            </w:tcBorders>
            <w:noWrap/>
            <w:vAlign w:val="center"/>
          </w:tcPr>
          <w:p w14:paraId="71DBB83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ABB596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35E7C1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18E0525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6F54A7D4">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64814B5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4</w:t>
            </w:r>
          </w:p>
        </w:tc>
        <w:tc>
          <w:tcPr>
            <w:tcW w:w="1167" w:type="pct"/>
            <w:tcBorders>
              <w:top w:val="single" w:color="auto" w:sz="4" w:space="0"/>
              <w:left w:val="nil"/>
              <w:bottom w:val="single" w:color="auto" w:sz="4" w:space="0"/>
              <w:right w:val="single" w:color="auto" w:sz="4" w:space="0"/>
            </w:tcBorders>
            <w:noWrap/>
            <w:vAlign w:val="center"/>
          </w:tcPr>
          <w:p w14:paraId="6265CFE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防坠器专项检测费</w:t>
            </w:r>
          </w:p>
        </w:tc>
        <w:tc>
          <w:tcPr>
            <w:tcW w:w="455" w:type="pct"/>
            <w:tcBorders>
              <w:top w:val="single" w:color="auto" w:sz="4" w:space="0"/>
              <w:left w:val="nil"/>
              <w:bottom w:val="single" w:color="auto" w:sz="4" w:space="0"/>
              <w:right w:val="single" w:color="auto" w:sz="4" w:space="0"/>
            </w:tcBorders>
            <w:noWrap/>
            <w:vAlign w:val="center"/>
          </w:tcPr>
          <w:p w14:paraId="2349AAF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元</w:t>
            </w:r>
          </w:p>
        </w:tc>
        <w:tc>
          <w:tcPr>
            <w:tcW w:w="473" w:type="pct"/>
            <w:tcBorders>
              <w:top w:val="single" w:color="auto" w:sz="4" w:space="0"/>
              <w:left w:val="nil"/>
              <w:bottom w:val="single" w:color="auto" w:sz="4" w:space="0"/>
              <w:right w:val="single" w:color="auto" w:sz="4" w:space="0"/>
            </w:tcBorders>
            <w:noWrap/>
            <w:vAlign w:val="center"/>
          </w:tcPr>
          <w:p w14:paraId="2C4C4AA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D36D6A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347EE1F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1AE2929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6DD72D96">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3FE02DD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5</w:t>
            </w:r>
          </w:p>
        </w:tc>
        <w:tc>
          <w:tcPr>
            <w:tcW w:w="1167" w:type="pct"/>
            <w:tcBorders>
              <w:top w:val="single" w:color="auto" w:sz="4" w:space="0"/>
              <w:left w:val="nil"/>
              <w:bottom w:val="single" w:color="auto" w:sz="4" w:space="0"/>
              <w:right w:val="single" w:color="auto" w:sz="4" w:space="0"/>
            </w:tcBorders>
            <w:noWrap/>
            <w:vAlign w:val="center"/>
          </w:tcPr>
          <w:p w14:paraId="5848F4A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其他安全检测</w:t>
            </w:r>
          </w:p>
        </w:tc>
        <w:tc>
          <w:tcPr>
            <w:tcW w:w="455" w:type="pct"/>
            <w:tcBorders>
              <w:top w:val="single" w:color="auto" w:sz="4" w:space="0"/>
              <w:left w:val="nil"/>
              <w:bottom w:val="single" w:color="auto" w:sz="4" w:space="0"/>
              <w:right w:val="single" w:color="auto" w:sz="4" w:space="0"/>
            </w:tcBorders>
            <w:noWrap/>
            <w:vAlign w:val="center"/>
          </w:tcPr>
          <w:p w14:paraId="49E7271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05493A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2C9B57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68C0D5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1B337C8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069955A8">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6562633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（十）</w:t>
            </w:r>
          </w:p>
        </w:tc>
        <w:tc>
          <w:tcPr>
            <w:tcW w:w="1167" w:type="pct"/>
            <w:tcBorders>
              <w:top w:val="single" w:color="auto" w:sz="4" w:space="0"/>
              <w:left w:val="nil"/>
              <w:bottom w:val="single" w:color="auto" w:sz="4" w:space="0"/>
              <w:right w:val="single" w:color="auto" w:sz="4" w:space="0"/>
            </w:tcBorders>
            <w:noWrap/>
            <w:vAlign w:val="center"/>
          </w:tcPr>
          <w:p w14:paraId="3CE8331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智慧工地</w:t>
            </w:r>
          </w:p>
        </w:tc>
        <w:tc>
          <w:tcPr>
            <w:tcW w:w="455" w:type="pct"/>
            <w:tcBorders>
              <w:top w:val="single" w:color="auto" w:sz="4" w:space="0"/>
              <w:left w:val="nil"/>
              <w:bottom w:val="single" w:color="auto" w:sz="4" w:space="0"/>
              <w:right w:val="single" w:color="auto" w:sz="4" w:space="0"/>
            </w:tcBorders>
            <w:noWrap/>
            <w:vAlign w:val="center"/>
          </w:tcPr>
          <w:p w14:paraId="10A27F2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33E8C0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E290EA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8A3216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5B681C8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5BB00A76">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0F71B92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1167" w:type="pct"/>
            <w:tcBorders>
              <w:top w:val="single" w:color="auto" w:sz="4" w:space="0"/>
              <w:left w:val="nil"/>
              <w:bottom w:val="single" w:color="auto" w:sz="4" w:space="0"/>
              <w:right w:val="single" w:color="auto" w:sz="4" w:space="0"/>
            </w:tcBorders>
            <w:noWrap/>
            <w:vAlign w:val="center"/>
          </w:tcPr>
          <w:p w14:paraId="72814B3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实名制信息采集及考勤设备、软件及管理</w:t>
            </w:r>
          </w:p>
        </w:tc>
        <w:tc>
          <w:tcPr>
            <w:tcW w:w="455" w:type="pct"/>
            <w:tcBorders>
              <w:top w:val="single" w:color="auto" w:sz="4" w:space="0"/>
              <w:left w:val="nil"/>
              <w:bottom w:val="single" w:color="auto" w:sz="4" w:space="0"/>
              <w:right w:val="single" w:color="auto" w:sz="4" w:space="0"/>
            </w:tcBorders>
            <w:noWrap/>
            <w:vAlign w:val="center"/>
          </w:tcPr>
          <w:p w14:paraId="0816AB4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元</w:t>
            </w:r>
          </w:p>
        </w:tc>
        <w:tc>
          <w:tcPr>
            <w:tcW w:w="473" w:type="pct"/>
            <w:tcBorders>
              <w:top w:val="single" w:color="auto" w:sz="4" w:space="0"/>
              <w:left w:val="nil"/>
              <w:bottom w:val="single" w:color="auto" w:sz="4" w:space="0"/>
              <w:right w:val="single" w:color="auto" w:sz="4" w:space="0"/>
            </w:tcBorders>
            <w:noWrap/>
            <w:vAlign w:val="center"/>
          </w:tcPr>
          <w:p w14:paraId="5420D2E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95F6CB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120280D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505571E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4199580E">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44B77C7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1167" w:type="pct"/>
            <w:tcBorders>
              <w:top w:val="single" w:color="auto" w:sz="4" w:space="0"/>
              <w:left w:val="nil"/>
              <w:bottom w:val="single" w:color="auto" w:sz="4" w:space="0"/>
              <w:right w:val="single" w:color="auto" w:sz="4" w:space="0"/>
            </w:tcBorders>
            <w:noWrap/>
            <w:vAlign w:val="center"/>
          </w:tcPr>
          <w:p w14:paraId="4E9B657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扬尘在线视频监测设备、软件及管理</w:t>
            </w:r>
          </w:p>
        </w:tc>
        <w:tc>
          <w:tcPr>
            <w:tcW w:w="455" w:type="pct"/>
            <w:tcBorders>
              <w:top w:val="single" w:color="auto" w:sz="4" w:space="0"/>
              <w:left w:val="nil"/>
              <w:bottom w:val="single" w:color="auto" w:sz="4" w:space="0"/>
              <w:right w:val="single" w:color="auto" w:sz="4" w:space="0"/>
            </w:tcBorders>
            <w:noWrap/>
            <w:vAlign w:val="center"/>
          </w:tcPr>
          <w:p w14:paraId="24D2F71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元</w:t>
            </w:r>
          </w:p>
        </w:tc>
        <w:tc>
          <w:tcPr>
            <w:tcW w:w="473" w:type="pct"/>
            <w:tcBorders>
              <w:top w:val="single" w:color="auto" w:sz="4" w:space="0"/>
              <w:left w:val="nil"/>
              <w:bottom w:val="single" w:color="auto" w:sz="4" w:space="0"/>
              <w:right w:val="single" w:color="auto" w:sz="4" w:space="0"/>
            </w:tcBorders>
            <w:noWrap/>
            <w:vAlign w:val="center"/>
          </w:tcPr>
          <w:p w14:paraId="51D3C11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F69C1B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4635A80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5D3D864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7E39C770">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0F893DE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3</w:t>
            </w:r>
          </w:p>
        </w:tc>
        <w:tc>
          <w:tcPr>
            <w:tcW w:w="1167" w:type="pct"/>
            <w:tcBorders>
              <w:top w:val="single" w:color="auto" w:sz="4" w:space="0"/>
              <w:left w:val="nil"/>
              <w:bottom w:val="single" w:color="auto" w:sz="4" w:space="0"/>
              <w:right w:val="single" w:color="auto" w:sz="4" w:space="0"/>
            </w:tcBorders>
            <w:noWrap/>
            <w:vAlign w:val="center"/>
          </w:tcPr>
          <w:p w14:paraId="15812E5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远程高清视频监控设备、软件及管理</w:t>
            </w:r>
          </w:p>
        </w:tc>
        <w:tc>
          <w:tcPr>
            <w:tcW w:w="455" w:type="pct"/>
            <w:tcBorders>
              <w:top w:val="single" w:color="auto" w:sz="4" w:space="0"/>
              <w:left w:val="nil"/>
              <w:bottom w:val="single" w:color="auto" w:sz="4" w:space="0"/>
              <w:right w:val="single" w:color="auto" w:sz="4" w:space="0"/>
            </w:tcBorders>
            <w:noWrap/>
            <w:vAlign w:val="center"/>
          </w:tcPr>
          <w:p w14:paraId="465FF16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元</w:t>
            </w:r>
          </w:p>
        </w:tc>
        <w:tc>
          <w:tcPr>
            <w:tcW w:w="473" w:type="pct"/>
            <w:tcBorders>
              <w:top w:val="single" w:color="auto" w:sz="4" w:space="0"/>
              <w:left w:val="nil"/>
              <w:bottom w:val="single" w:color="auto" w:sz="4" w:space="0"/>
              <w:right w:val="single" w:color="auto" w:sz="4" w:space="0"/>
            </w:tcBorders>
            <w:noWrap/>
            <w:vAlign w:val="center"/>
          </w:tcPr>
          <w:p w14:paraId="0AE1A30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FED575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1F0EA08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1227A01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5B3491DC">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0104927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4</w:t>
            </w:r>
          </w:p>
        </w:tc>
        <w:tc>
          <w:tcPr>
            <w:tcW w:w="1167" w:type="pct"/>
            <w:tcBorders>
              <w:top w:val="single" w:color="auto" w:sz="4" w:space="0"/>
              <w:left w:val="nil"/>
              <w:bottom w:val="single" w:color="auto" w:sz="4" w:space="0"/>
              <w:right w:val="single" w:color="auto" w:sz="4" w:space="0"/>
            </w:tcBorders>
            <w:noWrap/>
            <w:vAlign w:val="center"/>
          </w:tcPr>
          <w:p w14:paraId="09524DC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起重机械安全监控设备、软件及管理</w:t>
            </w:r>
          </w:p>
        </w:tc>
        <w:tc>
          <w:tcPr>
            <w:tcW w:w="455" w:type="pct"/>
            <w:tcBorders>
              <w:top w:val="single" w:color="auto" w:sz="4" w:space="0"/>
              <w:left w:val="nil"/>
              <w:bottom w:val="single" w:color="auto" w:sz="4" w:space="0"/>
              <w:right w:val="single" w:color="auto" w:sz="4" w:space="0"/>
            </w:tcBorders>
            <w:noWrap/>
            <w:vAlign w:val="center"/>
          </w:tcPr>
          <w:p w14:paraId="1D7FE68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元</w:t>
            </w:r>
          </w:p>
        </w:tc>
        <w:tc>
          <w:tcPr>
            <w:tcW w:w="473" w:type="pct"/>
            <w:tcBorders>
              <w:top w:val="single" w:color="auto" w:sz="4" w:space="0"/>
              <w:left w:val="nil"/>
              <w:bottom w:val="single" w:color="auto" w:sz="4" w:space="0"/>
              <w:right w:val="single" w:color="auto" w:sz="4" w:space="0"/>
            </w:tcBorders>
            <w:noWrap/>
            <w:vAlign w:val="center"/>
          </w:tcPr>
          <w:p w14:paraId="299DFB3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6BAE03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912973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565A677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7332420A">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2E70795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5</w:t>
            </w:r>
          </w:p>
        </w:tc>
        <w:tc>
          <w:tcPr>
            <w:tcW w:w="1167" w:type="pct"/>
            <w:tcBorders>
              <w:top w:val="single" w:color="auto" w:sz="4" w:space="0"/>
              <w:left w:val="nil"/>
              <w:bottom w:val="single" w:color="auto" w:sz="4" w:space="0"/>
              <w:right w:val="single" w:color="auto" w:sz="4" w:space="0"/>
            </w:tcBorders>
            <w:noWrap/>
            <w:vAlign w:val="center"/>
          </w:tcPr>
          <w:p w14:paraId="3A69152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其他管理设施</w:t>
            </w:r>
          </w:p>
        </w:tc>
        <w:tc>
          <w:tcPr>
            <w:tcW w:w="455" w:type="pct"/>
            <w:tcBorders>
              <w:top w:val="single" w:color="auto" w:sz="4" w:space="0"/>
              <w:left w:val="nil"/>
              <w:bottom w:val="single" w:color="auto" w:sz="4" w:space="0"/>
              <w:right w:val="single" w:color="auto" w:sz="4" w:space="0"/>
            </w:tcBorders>
            <w:noWrap/>
            <w:vAlign w:val="center"/>
          </w:tcPr>
          <w:p w14:paraId="6EDE71F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元</w:t>
            </w:r>
          </w:p>
        </w:tc>
        <w:tc>
          <w:tcPr>
            <w:tcW w:w="473" w:type="pct"/>
            <w:tcBorders>
              <w:top w:val="single" w:color="auto" w:sz="4" w:space="0"/>
              <w:left w:val="nil"/>
              <w:bottom w:val="single" w:color="auto" w:sz="4" w:space="0"/>
              <w:right w:val="single" w:color="auto" w:sz="4" w:space="0"/>
            </w:tcBorders>
            <w:noWrap/>
            <w:vAlign w:val="center"/>
          </w:tcPr>
          <w:p w14:paraId="2482CA5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48E0B4E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4246E1D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119CC2C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2F801331">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136C2C2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（十一）</w:t>
            </w:r>
          </w:p>
        </w:tc>
        <w:tc>
          <w:tcPr>
            <w:tcW w:w="1167" w:type="pct"/>
            <w:tcBorders>
              <w:top w:val="single" w:color="auto" w:sz="4" w:space="0"/>
              <w:left w:val="nil"/>
              <w:bottom w:val="single" w:color="auto" w:sz="4" w:space="0"/>
              <w:right w:val="single" w:color="auto" w:sz="4" w:space="0"/>
            </w:tcBorders>
            <w:noWrap/>
            <w:vAlign w:val="center"/>
          </w:tcPr>
          <w:p w14:paraId="2275197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安全教育培训</w:t>
            </w:r>
          </w:p>
        </w:tc>
        <w:tc>
          <w:tcPr>
            <w:tcW w:w="455" w:type="pct"/>
            <w:tcBorders>
              <w:top w:val="single" w:color="auto" w:sz="4" w:space="0"/>
              <w:left w:val="nil"/>
              <w:bottom w:val="single" w:color="auto" w:sz="4" w:space="0"/>
              <w:right w:val="single" w:color="auto" w:sz="4" w:space="0"/>
            </w:tcBorders>
            <w:noWrap/>
            <w:vAlign w:val="center"/>
          </w:tcPr>
          <w:p w14:paraId="073CB72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元</w:t>
            </w:r>
          </w:p>
        </w:tc>
        <w:tc>
          <w:tcPr>
            <w:tcW w:w="473" w:type="pct"/>
            <w:tcBorders>
              <w:top w:val="single" w:color="auto" w:sz="4" w:space="0"/>
              <w:left w:val="nil"/>
              <w:bottom w:val="single" w:color="auto" w:sz="4" w:space="0"/>
              <w:right w:val="single" w:color="auto" w:sz="4" w:space="0"/>
            </w:tcBorders>
            <w:noWrap/>
            <w:vAlign w:val="center"/>
          </w:tcPr>
          <w:p w14:paraId="2E14441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9C729C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BC2477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6AFBD07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2F92171B">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3212FA2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（十二）</w:t>
            </w:r>
          </w:p>
        </w:tc>
        <w:tc>
          <w:tcPr>
            <w:tcW w:w="1167" w:type="pct"/>
            <w:tcBorders>
              <w:top w:val="single" w:color="auto" w:sz="4" w:space="0"/>
              <w:left w:val="nil"/>
              <w:bottom w:val="single" w:color="auto" w:sz="4" w:space="0"/>
              <w:right w:val="single" w:color="auto" w:sz="4" w:space="0"/>
            </w:tcBorders>
            <w:noWrap/>
            <w:vAlign w:val="center"/>
          </w:tcPr>
          <w:p w14:paraId="7844118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现场安全保卫</w:t>
            </w:r>
          </w:p>
        </w:tc>
        <w:tc>
          <w:tcPr>
            <w:tcW w:w="455" w:type="pct"/>
            <w:tcBorders>
              <w:top w:val="single" w:color="auto" w:sz="4" w:space="0"/>
              <w:left w:val="nil"/>
              <w:bottom w:val="single" w:color="auto" w:sz="4" w:space="0"/>
              <w:right w:val="single" w:color="auto" w:sz="4" w:space="0"/>
            </w:tcBorders>
            <w:noWrap/>
            <w:vAlign w:val="center"/>
          </w:tcPr>
          <w:p w14:paraId="475328C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元</w:t>
            </w:r>
          </w:p>
        </w:tc>
        <w:tc>
          <w:tcPr>
            <w:tcW w:w="473" w:type="pct"/>
            <w:tcBorders>
              <w:top w:val="single" w:color="auto" w:sz="4" w:space="0"/>
              <w:left w:val="nil"/>
              <w:bottom w:val="single" w:color="auto" w:sz="4" w:space="0"/>
              <w:right w:val="single" w:color="auto" w:sz="4" w:space="0"/>
            </w:tcBorders>
            <w:noWrap/>
            <w:vAlign w:val="center"/>
          </w:tcPr>
          <w:p w14:paraId="63B4D71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537499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E6017C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4D8334F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6AEE6B90">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1DE792D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（十三）</w:t>
            </w:r>
          </w:p>
        </w:tc>
        <w:tc>
          <w:tcPr>
            <w:tcW w:w="1167" w:type="pct"/>
            <w:tcBorders>
              <w:top w:val="single" w:color="auto" w:sz="4" w:space="0"/>
              <w:left w:val="nil"/>
              <w:bottom w:val="single" w:color="auto" w:sz="4" w:space="0"/>
              <w:right w:val="single" w:color="auto" w:sz="4" w:space="0"/>
            </w:tcBorders>
            <w:noWrap/>
            <w:vAlign w:val="center"/>
          </w:tcPr>
          <w:p w14:paraId="1287A7E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其他安全施工措施</w:t>
            </w:r>
          </w:p>
        </w:tc>
        <w:tc>
          <w:tcPr>
            <w:tcW w:w="455" w:type="pct"/>
            <w:tcBorders>
              <w:top w:val="single" w:color="auto" w:sz="4" w:space="0"/>
              <w:left w:val="nil"/>
              <w:bottom w:val="single" w:color="auto" w:sz="4" w:space="0"/>
              <w:right w:val="single" w:color="auto" w:sz="4" w:space="0"/>
            </w:tcBorders>
            <w:noWrap/>
            <w:vAlign w:val="center"/>
          </w:tcPr>
          <w:p w14:paraId="1E45BD9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34585AE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2DA30E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45410C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3CA5051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5ABDD245">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726EBC3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二</w:t>
            </w:r>
          </w:p>
        </w:tc>
        <w:tc>
          <w:tcPr>
            <w:tcW w:w="1167" w:type="pct"/>
            <w:tcBorders>
              <w:top w:val="single" w:color="auto" w:sz="4" w:space="0"/>
              <w:left w:val="nil"/>
              <w:bottom w:val="single" w:color="auto" w:sz="4" w:space="0"/>
              <w:right w:val="single" w:color="auto" w:sz="4" w:space="0"/>
            </w:tcBorders>
            <w:noWrap/>
            <w:vAlign w:val="center"/>
          </w:tcPr>
          <w:p w14:paraId="26DA832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文明施工措施项目</w:t>
            </w:r>
          </w:p>
        </w:tc>
        <w:tc>
          <w:tcPr>
            <w:tcW w:w="455" w:type="pct"/>
            <w:tcBorders>
              <w:top w:val="single" w:color="auto" w:sz="4" w:space="0"/>
              <w:left w:val="nil"/>
              <w:bottom w:val="single" w:color="auto" w:sz="4" w:space="0"/>
              <w:right w:val="single" w:color="auto" w:sz="4" w:space="0"/>
            </w:tcBorders>
            <w:noWrap/>
            <w:vAlign w:val="center"/>
          </w:tcPr>
          <w:p w14:paraId="0FDE329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87DD5D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3BCFD76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397573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7D13CFE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0BAD72B8">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19EF3A7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1167" w:type="pct"/>
            <w:tcBorders>
              <w:top w:val="single" w:color="auto" w:sz="4" w:space="0"/>
              <w:left w:val="nil"/>
              <w:bottom w:val="single" w:color="auto" w:sz="4" w:space="0"/>
              <w:right w:val="single" w:color="auto" w:sz="4" w:space="0"/>
            </w:tcBorders>
            <w:noWrap/>
            <w:vAlign w:val="center"/>
          </w:tcPr>
          <w:p w14:paraId="7532BE8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围墙</w:t>
            </w:r>
          </w:p>
        </w:tc>
        <w:tc>
          <w:tcPr>
            <w:tcW w:w="455" w:type="pct"/>
            <w:tcBorders>
              <w:top w:val="single" w:color="auto" w:sz="4" w:space="0"/>
              <w:left w:val="nil"/>
              <w:bottom w:val="single" w:color="auto" w:sz="4" w:space="0"/>
              <w:right w:val="single" w:color="auto" w:sz="4" w:space="0"/>
            </w:tcBorders>
            <w:noWrap/>
            <w:vAlign w:val="center"/>
          </w:tcPr>
          <w:p w14:paraId="387F755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m</w:t>
            </w:r>
          </w:p>
        </w:tc>
        <w:tc>
          <w:tcPr>
            <w:tcW w:w="473" w:type="pct"/>
            <w:tcBorders>
              <w:top w:val="single" w:color="auto" w:sz="4" w:space="0"/>
              <w:left w:val="nil"/>
              <w:bottom w:val="single" w:color="auto" w:sz="4" w:space="0"/>
              <w:right w:val="single" w:color="auto" w:sz="4" w:space="0"/>
            </w:tcBorders>
            <w:noWrap/>
            <w:vAlign w:val="center"/>
          </w:tcPr>
          <w:p w14:paraId="07768A3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09FE89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7F6760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6FCAAAC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按标准设置</w:t>
            </w:r>
          </w:p>
        </w:tc>
      </w:tr>
      <w:tr w14:paraId="574FA027">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337713E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1167" w:type="pct"/>
            <w:tcBorders>
              <w:top w:val="single" w:color="auto" w:sz="4" w:space="0"/>
              <w:left w:val="nil"/>
              <w:bottom w:val="single" w:color="auto" w:sz="4" w:space="0"/>
              <w:right w:val="single" w:color="auto" w:sz="4" w:space="0"/>
            </w:tcBorders>
            <w:noWrap/>
            <w:vAlign w:val="center"/>
          </w:tcPr>
          <w:p w14:paraId="41B4B51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大门、门楼</w:t>
            </w:r>
          </w:p>
        </w:tc>
        <w:tc>
          <w:tcPr>
            <w:tcW w:w="455" w:type="pct"/>
            <w:tcBorders>
              <w:top w:val="single" w:color="auto" w:sz="4" w:space="0"/>
              <w:left w:val="nil"/>
              <w:bottom w:val="single" w:color="auto" w:sz="4" w:space="0"/>
              <w:right w:val="single" w:color="auto" w:sz="4" w:space="0"/>
            </w:tcBorders>
            <w:noWrap/>
            <w:vAlign w:val="center"/>
          </w:tcPr>
          <w:p w14:paraId="43E537D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块</w:t>
            </w:r>
          </w:p>
        </w:tc>
        <w:tc>
          <w:tcPr>
            <w:tcW w:w="473" w:type="pct"/>
            <w:tcBorders>
              <w:top w:val="single" w:color="auto" w:sz="4" w:space="0"/>
              <w:left w:val="nil"/>
              <w:bottom w:val="single" w:color="auto" w:sz="4" w:space="0"/>
              <w:right w:val="single" w:color="auto" w:sz="4" w:space="0"/>
            </w:tcBorders>
            <w:noWrap/>
            <w:vAlign w:val="center"/>
          </w:tcPr>
          <w:p w14:paraId="6CDBD39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05788C9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38C8C7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1480AB4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3428FEC1">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1135312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3</w:t>
            </w:r>
          </w:p>
        </w:tc>
        <w:tc>
          <w:tcPr>
            <w:tcW w:w="1167" w:type="pct"/>
            <w:tcBorders>
              <w:top w:val="single" w:color="auto" w:sz="4" w:space="0"/>
              <w:left w:val="nil"/>
              <w:bottom w:val="single" w:color="auto" w:sz="4" w:space="0"/>
              <w:right w:val="single" w:color="auto" w:sz="4" w:space="0"/>
            </w:tcBorders>
            <w:noWrap/>
            <w:vAlign w:val="center"/>
          </w:tcPr>
          <w:p w14:paraId="7ACDA38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标牌</w:t>
            </w:r>
          </w:p>
        </w:tc>
        <w:tc>
          <w:tcPr>
            <w:tcW w:w="455" w:type="pct"/>
            <w:tcBorders>
              <w:top w:val="single" w:color="auto" w:sz="4" w:space="0"/>
              <w:left w:val="nil"/>
              <w:bottom w:val="single" w:color="auto" w:sz="4" w:space="0"/>
              <w:right w:val="single" w:color="auto" w:sz="4" w:space="0"/>
            </w:tcBorders>
            <w:noWrap/>
            <w:vAlign w:val="center"/>
          </w:tcPr>
          <w:p w14:paraId="0ACD415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块</w:t>
            </w:r>
          </w:p>
        </w:tc>
        <w:tc>
          <w:tcPr>
            <w:tcW w:w="473" w:type="pct"/>
            <w:tcBorders>
              <w:top w:val="single" w:color="auto" w:sz="4" w:space="0"/>
              <w:left w:val="nil"/>
              <w:bottom w:val="single" w:color="auto" w:sz="4" w:space="0"/>
              <w:right w:val="single" w:color="auto" w:sz="4" w:space="0"/>
            </w:tcBorders>
            <w:noWrap/>
            <w:vAlign w:val="center"/>
          </w:tcPr>
          <w:p w14:paraId="246BA6F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4220A94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A7E1E0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7DEB91B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0BC2D5A8">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7ACE817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4</w:t>
            </w:r>
          </w:p>
        </w:tc>
        <w:tc>
          <w:tcPr>
            <w:tcW w:w="1167" w:type="pct"/>
            <w:tcBorders>
              <w:top w:val="single" w:color="auto" w:sz="4" w:space="0"/>
              <w:left w:val="nil"/>
              <w:bottom w:val="single" w:color="auto" w:sz="4" w:space="0"/>
              <w:right w:val="single" w:color="auto" w:sz="4" w:space="0"/>
            </w:tcBorders>
            <w:noWrap/>
            <w:vAlign w:val="center"/>
          </w:tcPr>
          <w:p w14:paraId="646F978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效果图</w:t>
            </w:r>
          </w:p>
        </w:tc>
        <w:tc>
          <w:tcPr>
            <w:tcW w:w="455" w:type="pct"/>
            <w:tcBorders>
              <w:top w:val="single" w:color="auto" w:sz="4" w:space="0"/>
              <w:left w:val="nil"/>
              <w:bottom w:val="single" w:color="auto" w:sz="4" w:space="0"/>
              <w:right w:val="single" w:color="auto" w:sz="4" w:space="0"/>
            </w:tcBorders>
            <w:noWrap/>
            <w:vAlign w:val="center"/>
          </w:tcPr>
          <w:p w14:paraId="42CF079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块</w:t>
            </w:r>
          </w:p>
        </w:tc>
        <w:tc>
          <w:tcPr>
            <w:tcW w:w="473" w:type="pct"/>
            <w:tcBorders>
              <w:top w:val="single" w:color="auto" w:sz="4" w:space="0"/>
              <w:left w:val="nil"/>
              <w:bottom w:val="single" w:color="auto" w:sz="4" w:space="0"/>
              <w:right w:val="single" w:color="auto" w:sz="4" w:space="0"/>
            </w:tcBorders>
            <w:noWrap/>
            <w:vAlign w:val="center"/>
          </w:tcPr>
          <w:p w14:paraId="1A597F7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12075B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09F662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5720D2D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05E0D48F">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0289FDD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5</w:t>
            </w:r>
          </w:p>
        </w:tc>
        <w:tc>
          <w:tcPr>
            <w:tcW w:w="1167" w:type="pct"/>
            <w:tcBorders>
              <w:top w:val="single" w:color="auto" w:sz="4" w:space="0"/>
              <w:left w:val="nil"/>
              <w:bottom w:val="single" w:color="auto" w:sz="4" w:space="0"/>
              <w:right w:val="single" w:color="auto" w:sz="4" w:space="0"/>
            </w:tcBorders>
            <w:noWrap/>
            <w:vAlign w:val="center"/>
          </w:tcPr>
          <w:p w14:paraId="32C1B68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彩钢板围档</w:t>
            </w:r>
          </w:p>
        </w:tc>
        <w:tc>
          <w:tcPr>
            <w:tcW w:w="455" w:type="pct"/>
            <w:tcBorders>
              <w:top w:val="single" w:color="auto" w:sz="4" w:space="0"/>
              <w:left w:val="nil"/>
              <w:bottom w:val="single" w:color="auto" w:sz="4" w:space="0"/>
              <w:right w:val="single" w:color="auto" w:sz="4" w:space="0"/>
            </w:tcBorders>
            <w:noWrap/>
            <w:vAlign w:val="center"/>
          </w:tcPr>
          <w:p w14:paraId="6F782E3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m</w:t>
            </w:r>
          </w:p>
        </w:tc>
        <w:tc>
          <w:tcPr>
            <w:tcW w:w="473" w:type="pct"/>
            <w:tcBorders>
              <w:top w:val="single" w:color="auto" w:sz="4" w:space="0"/>
              <w:left w:val="nil"/>
              <w:bottom w:val="single" w:color="auto" w:sz="4" w:space="0"/>
              <w:right w:val="single" w:color="auto" w:sz="4" w:space="0"/>
            </w:tcBorders>
            <w:noWrap/>
            <w:vAlign w:val="center"/>
          </w:tcPr>
          <w:p w14:paraId="28281E4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4E94249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D5CC62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3B516B9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按标准设置</w:t>
            </w:r>
          </w:p>
        </w:tc>
      </w:tr>
      <w:tr w14:paraId="6317E4D6">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1165607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6</w:t>
            </w:r>
          </w:p>
        </w:tc>
        <w:tc>
          <w:tcPr>
            <w:tcW w:w="1167" w:type="pct"/>
            <w:tcBorders>
              <w:top w:val="single" w:color="auto" w:sz="4" w:space="0"/>
              <w:left w:val="nil"/>
              <w:bottom w:val="single" w:color="auto" w:sz="4" w:space="0"/>
              <w:right w:val="single" w:color="auto" w:sz="4" w:space="0"/>
            </w:tcBorders>
            <w:noWrap/>
            <w:vAlign w:val="center"/>
          </w:tcPr>
          <w:p w14:paraId="2935230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地坪硬化</w:t>
            </w:r>
          </w:p>
        </w:tc>
        <w:tc>
          <w:tcPr>
            <w:tcW w:w="455" w:type="pct"/>
            <w:tcBorders>
              <w:top w:val="single" w:color="auto" w:sz="4" w:space="0"/>
              <w:left w:val="nil"/>
              <w:bottom w:val="single" w:color="auto" w:sz="4" w:space="0"/>
              <w:right w:val="single" w:color="auto" w:sz="4" w:space="0"/>
            </w:tcBorders>
            <w:noWrap/>
            <w:vAlign w:val="center"/>
          </w:tcPr>
          <w:p w14:paraId="374F1CA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m2</w:t>
            </w:r>
          </w:p>
        </w:tc>
        <w:tc>
          <w:tcPr>
            <w:tcW w:w="473" w:type="pct"/>
            <w:tcBorders>
              <w:top w:val="single" w:color="auto" w:sz="4" w:space="0"/>
              <w:left w:val="nil"/>
              <w:bottom w:val="single" w:color="auto" w:sz="4" w:space="0"/>
              <w:right w:val="single" w:color="auto" w:sz="4" w:space="0"/>
            </w:tcBorders>
            <w:noWrap/>
            <w:vAlign w:val="center"/>
          </w:tcPr>
          <w:p w14:paraId="6DFA659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1EB6312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9B03C5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3455F43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73FC9FA0">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518AEB2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7</w:t>
            </w:r>
          </w:p>
        </w:tc>
        <w:tc>
          <w:tcPr>
            <w:tcW w:w="1167" w:type="pct"/>
            <w:tcBorders>
              <w:top w:val="single" w:color="auto" w:sz="4" w:space="0"/>
              <w:left w:val="nil"/>
              <w:bottom w:val="single" w:color="auto" w:sz="4" w:space="0"/>
              <w:right w:val="single" w:color="auto" w:sz="4" w:space="0"/>
            </w:tcBorders>
            <w:noWrap/>
            <w:vAlign w:val="center"/>
          </w:tcPr>
          <w:p w14:paraId="263A7E4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其他文明施工措施</w:t>
            </w:r>
          </w:p>
        </w:tc>
        <w:tc>
          <w:tcPr>
            <w:tcW w:w="455" w:type="pct"/>
            <w:tcBorders>
              <w:top w:val="single" w:color="auto" w:sz="4" w:space="0"/>
              <w:left w:val="nil"/>
              <w:bottom w:val="single" w:color="auto" w:sz="4" w:space="0"/>
              <w:right w:val="single" w:color="auto" w:sz="4" w:space="0"/>
            </w:tcBorders>
            <w:noWrap/>
            <w:vAlign w:val="center"/>
          </w:tcPr>
          <w:p w14:paraId="065614B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E0AE83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3FD195B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04E24F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7E12A2B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42F3D261">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07E76E1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三</w:t>
            </w:r>
          </w:p>
        </w:tc>
        <w:tc>
          <w:tcPr>
            <w:tcW w:w="1167" w:type="pct"/>
            <w:tcBorders>
              <w:top w:val="single" w:color="auto" w:sz="4" w:space="0"/>
              <w:left w:val="nil"/>
              <w:bottom w:val="single" w:color="auto" w:sz="4" w:space="0"/>
              <w:right w:val="single" w:color="auto" w:sz="4" w:space="0"/>
            </w:tcBorders>
            <w:noWrap/>
            <w:vAlign w:val="center"/>
          </w:tcPr>
          <w:p w14:paraId="3AF290F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环境保护措施项目</w:t>
            </w:r>
          </w:p>
        </w:tc>
        <w:tc>
          <w:tcPr>
            <w:tcW w:w="455" w:type="pct"/>
            <w:tcBorders>
              <w:top w:val="single" w:color="auto" w:sz="4" w:space="0"/>
              <w:left w:val="nil"/>
              <w:bottom w:val="single" w:color="auto" w:sz="4" w:space="0"/>
              <w:right w:val="single" w:color="auto" w:sz="4" w:space="0"/>
            </w:tcBorders>
            <w:noWrap/>
            <w:vAlign w:val="center"/>
          </w:tcPr>
          <w:p w14:paraId="3B349B0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121E81F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448055E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4238797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43A34AE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含扬尘污染防治措施</w:t>
            </w:r>
          </w:p>
        </w:tc>
      </w:tr>
      <w:tr w14:paraId="060F8E3E">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452F459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1167" w:type="pct"/>
            <w:tcBorders>
              <w:top w:val="single" w:color="auto" w:sz="4" w:space="0"/>
              <w:left w:val="nil"/>
              <w:bottom w:val="single" w:color="auto" w:sz="4" w:space="0"/>
              <w:right w:val="single" w:color="auto" w:sz="4" w:space="0"/>
            </w:tcBorders>
            <w:noWrap/>
            <w:vAlign w:val="center"/>
          </w:tcPr>
          <w:p w14:paraId="4C8C16A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现场绿化</w:t>
            </w:r>
          </w:p>
        </w:tc>
        <w:tc>
          <w:tcPr>
            <w:tcW w:w="455" w:type="pct"/>
            <w:tcBorders>
              <w:top w:val="single" w:color="auto" w:sz="4" w:space="0"/>
              <w:left w:val="nil"/>
              <w:bottom w:val="single" w:color="auto" w:sz="4" w:space="0"/>
              <w:right w:val="single" w:color="auto" w:sz="4" w:space="0"/>
            </w:tcBorders>
            <w:noWrap/>
            <w:vAlign w:val="center"/>
          </w:tcPr>
          <w:p w14:paraId="0E93F32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m2</w:t>
            </w:r>
          </w:p>
        </w:tc>
        <w:tc>
          <w:tcPr>
            <w:tcW w:w="473" w:type="pct"/>
            <w:tcBorders>
              <w:top w:val="single" w:color="auto" w:sz="4" w:space="0"/>
              <w:left w:val="nil"/>
              <w:bottom w:val="single" w:color="auto" w:sz="4" w:space="0"/>
              <w:right w:val="single" w:color="auto" w:sz="4" w:space="0"/>
            </w:tcBorders>
            <w:noWrap/>
            <w:vAlign w:val="center"/>
          </w:tcPr>
          <w:p w14:paraId="6AE1472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FE714F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4BCB39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3BB4B19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2FA7E2F2">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7C2556C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1167" w:type="pct"/>
            <w:tcBorders>
              <w:top w:val="single" w:color="auto" w:sz="4" w:space="0"/>
              <w:left w:val="nil"/>
              <w:bottom w:val="single" w:color="auto" w:sz="4" w:space="0"/>
              <w:right w:val="single" w:color="auto" w:sz="4" w:space="0"/>
            </w:tcBorders>
            <w:noWrap/>
            <w:vAlign w:val="center"/>
          </w:tcPr>
          <w:p w14:paraId="2A72D15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防尘网布</w:t>
            </w:r>
          </w:p>
        </w:tc>
        <w:tc>
          <w:tcPr>
            <w:tcW w:w="455" w:type="pct"/>
            <w:tcBorders>
              <w:top w:val="single" w:color="auto" w:sz="4" w:space="0"/>
              <w:left w:val="nil"/>
              <w:bottom w:val="single" w:color="auto" w:sz="4" w:space="0"/>
              <w:right w:val="single" w:color="auto" w:sz="4" w:space="0"/>
            </w:tcBorders>
            <w:noWrap/>
            <w:vAlign w:val="center"/>
          </w:tcPr>
          <w:p w14:paraId="7BE7F31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m2</w:t>
            </w:r>
          </w:p>
        </w:tc>
        <w:tc>
          <w:tcPr>
            <w:tcW w:w="473" w:type="pct"/>
            <w:tcBorders>
              <w:top w:val="single" w:color="auto" w:sz="4" w:space="0"/>
              <w:left w:val="nil"/>
              <w:bottom w:val="single" w:color="auto" w:sz="4" w:space="0"/>
              <w:right w:val="single" w:color="auto" w:sz="4" w:space="0"/>
            </w:tcBorders>
            <w:noWrap/>
            <w:vAlign w:val="center"/>
          </w:tcPr>
          <w:p w14:paraId="0F41C11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3DBA5BB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7E55F1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5D0B4C3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0C842420">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78568E8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3</w:t>
            </w:r>
          </w:p>
        </w:tc>
        <w:tc>
          <w:tcPr>
            <w:tcW w:w="1167" w:type="pct"/>
            <w:tcBorders>
              <w:top w:val="single" w:color="auto" w:sz="4" w:space="0"/>
              <w:left w:val="nil"/>
              <w:bottom w:val="single" w:color="auto" w:sz="4" w:space="0"/>
              <w:right w:val="single" w:color="auto" w:sz="4" w:space="0"/>
            </w:tcBorders>
            <w:noWrap/>
            <w:vAlign w:val="center"/>
          </w:tcPr>
          <w:p w14:paraId="61676A9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车辆冲洗设施</w:t>
            </w:r>
          </w:p>
        </w:tc>
        <w:tc>
          <w:tcPr>
            <w:tcW w:w="455" w:type="pct"/>
            <w:tcBorders>
              <w:top w:val="single" w:color="auto" w:sz="4" w:space="0"/>
              <w:left w:val="nil"/>
              <w:bottom w:val="single" w:color="auto" w:sz="4" w:space="0"/>
              <w:right w:val="single" w:color="auto" w:sz="4" w:space="0"/>
            </w:tcBorders>
            <w:noWrap/>
            <w:vAlign w:val="center"/>
          </w:tcPr>
          <w:p w14:paraId="729EFD8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套</w:t>
            </w:r>
          </w:p>
        </w:tc>
        <w:tc>
          <w:tcPr>
            <w:tcW w:w="473" w:type="pct"/>
            <w:tcBorders>
              <w:top w:val="single" w:color="auto" w:sz="4" w:space="0"/>
              <w:left w:val="nil"/>
              <w:bottom w:val="single" w:color="auto" w:sz="4" w:space="0"/>
              <w:right w:val="single" w:color="auto" w:sz="4" w:space="0"/>
            </w:tcBorders>
            <w:noWrap/>
            <w:vAlign w:val="center"/>
          </w:tcPr>
          <w:p w14:paraId="4D28A9A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4791DA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1A76A6C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3753A5C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含洗车槽、自动冲洗或</w:t>
            </w:r>
          </w:p>
          <w:p w14:paraId="0F586D4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其他冲洗设备等</w:t>
            </w:r>
          </w:p>
        </w:tc>
      </w:tr>
      <w:tr w14:paraId="062E8279">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7B1C9CC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4</w:t>
            </w:r>
          </w:p>
        </w:tc>
        <w:tc>
          <w:tcPr>
            <w:tcW w:w="1167" w:type="pct"/>
            <w:tcBorders>
              <w:top w:val="single" w:color="auto" w:sz="4" w:space="0"/>
              <w:left w:val="nil"/>
              <w:bottom w:val="single" w:color="auto" w:sz="4" w:space="0"/>
              <w:right w:val="single" w:color="auto" w:sz="4" w:space="0"/>
            </w:tcBorders>
            <w:noWrap/>
            <w:vAlign w:val="center"/>
          </w:tcPr>
          <w:p w14:paraId="1E769B6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喷淋设施</w:t>
            </w:r>
          </w:p>
        </w:tc>
        <w:tc>
          <w:tcPr>
            <w:tcW w:w="455" w:type="pct"/>
            <w:tcBorders>
              <w:top w:val="single" w:color="auto" w:sz="4" w:space="0"/>
              <w:left w:val="nil"/>
              <w:bottom w:val="single" w:color="auto" w:sz="4" w:space="0"/>
              <w:right w:val="single" w:color="auto" w:sz="4" w:space="0"/>
            </w:tcBorders>
            <w:noWrap/>
            <w:vAlign w:val="center"/>
          </w:tcPr>
          <w:p w14:paraId="3E5E61B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C79DFC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0D091FE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2941BC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0889B04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30C13A60">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7F66D88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1167" w:type="pct"/>
            <w:tcBorders>
              <w:top w:val="single" w:color="auto" w:sz="4" w:space="0"/>
              <w:left w:val="nil"/>
              <w:bottom w:val="single" w:color="auto" w:sz="4" w:space="0"/>
              <w:right w:val="single" w:color="auto" w:sz="4" w:space="0"/>
            </w:tcBorders>
            <w:noWrap/>
            <w:vAlign w:val="center"/>
          </w:tcPr>
          <w:p w14:paraId="290471A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塔吊喷淋</w:t>
            </w:r>
          </w:p>
        </w:tc>
        <w:tc>
          <w:tcPr>
            <w:tcW w:w="455" w:type="pct"/>
            <w:tcBorders>
              <w:top w:val="single" w:color="auto" w:sz="4" w:space="0"/>
              <w:left w:val="nil"/>
              <w:bottom w:val="single" w:color="auto" w:sz="4" w:space="0"/>
              <w:right w:val="single" w:color="auto" w:sz="4" w:space="0"/>
            </w:tcBorders>
            <w:noWrap/>
            <w:vAlign w:val="center"/>
          </w:tcPr>
          <w:p w14:paraId="18B4BDA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套</w:t>
            </w:r>
          </w:p>
        </w:tc>
        <w:tc>
          <w:tcPr>
            <w:tcW w:w="473" w:type="pct"/>
            <w:tcBorders>
              <w:top w:val="single" w:color="auto" w:sz="4" w:space="0"/>
              <w:left w:val="nil"/>
              <w:bottom w:val="single" w:color="auto" w:sz="4" w:space="0"/>
              <w:right w:val="single" w:color="auto" w:sz="4" w:space="0"/>
            </w:tcBorders>
            <w:noWrap/>
            <w:vAlign w:val="center"/>
          </w:tcPr>
          <w:p w14:paraId="3AF0121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23BBC0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84ADFA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1BE279E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7244786C">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2EBCFD3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1167" w:type="pct"/>
            <w:tcBorders>
              <w:top w:val="single" w:color="auto" w:sz="4" w:space="0"/>
              <w:left w:val="nil"/>
              <w:bottom w:val="single" w:color="auto" w:sz="4" w:space="0"/>
              <w:right w:val="single" w:color="auto" w:sz="4" w:space="0"/>
            </w:tcBorders>
            <w:noWrap/>
            <w:vAlign w:val="center"/>
          </w:tcPr>
          <w:p w14:paraId="792B7E4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外架喷淋</w:t>
            </w:r>
          </w:p>
        </w:tc>
        <w:tc>
          <w:tcPr>
            <w:tcW w:w="455" w:type="pct"/>
            <w:tcBorders>
              <w:top w:val="single" w:color="auto" w:sz="4" w:space="0"/>
              <w:left w:val="nil"/>
              <w:bottom w:val="single" w:color="auto" w:sz="4" w:space="0"/>
              <w:right w:val="single" w:color="auto" w:sz="4" w:space="0"/>
            </w:tcBorders>
            <w:noWrap/>
            <w:vAlign w:val="center"/>
          </w:tcPr>
          <w:p w14:paraId="0A634AB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套</w:t>
            </w:r>
          </w:p>
        </w:tc>
        <w:tc>
          <w:tcPr>
            <w:tcW w:w="473" w:type="pct"/>
            <w:tcBorders>
              <w:top w:val="single" w:color="auto" w:sz="4" w:space="0"/>
              <w:left w:val="nil"/>
              <w:bottom w:val="single" w:color="auto" w:sz="4" w:space="0"/>
              <w:right w:val="single" w:color="auto" w:sz="4" w:space="0"/>
            </w:tcBorders>
            <w:noWrap/>
            <w:vAlign w:val="center"/>
          </w:tcPr>
          <w:p w14:paraId="1B19E6B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1C884B2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028EF21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7AC6E48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1754109E">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016EEF8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（3）</w:t>
            </w:r>
          </w:p>
        </w:tc>
        <w:tc>
          <w:tcPr>
            <w:tcW w:w="1167" w:type="pct"/>
            <w:tcBorders>
              <w:top w:val="single" w:color="auto" w:sz="4" w:space="0"/>
              <w:left w:val="nil"/>
              <w:bottom w:val="single" w:color="auto" w:sz="4" w:space="0"/>
              <w:right w:val="single" w:color="auto" w:sz="4" w:space="0"/>
            </w:tcBorders>
            <w:noWrap/>
            <w:vAlign w:val="center"/>
          </w:tcPr>
          <w:p w14:paraId="1ED166C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场地喷淋</w:t>
            </w:r>
          </w:p>
        </w:tc>
        <w:tc>
          <w:tcPr>
            <w:tcW w:w="455" w:type="pct"/>
            <w:tcBorders>
              <w:top w:val="single" w:color="auto" w:sz="4" w:space="0"/>
              <w:left w:val="nil"/>
              <w:bottom w:val="single" w:color="auto" w:sz="4" w:space="0"/>
              <w:right w:val="single" w:color="auto" w:sz="4" w:space="0"/>
            </w:tcBorders>
            <w:noWrap/>
            <w:vAlign w:val="center"/>
          </w:tcPr>
          <w:p w14:paraId="5CF4160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套</w:t>
            </w:r>
          </w:p>
        </w:tc>
        <w:tc>
          <w:tcPr>
            <w:tcW w:w="473" w:type="pct"/>
            <w:tcBorders>
              <w:top w:val="single" w:color="auto" w:sz="4" w:space="0"/>
              <w:left w:val="nil"/>
              <w:bottom w:val="single" w:color="auto" w:sz="4" w:space="0"/>
              <w:right w:val="single" w:color="auto" w:sz="4" w:space="0"/>
            </w:tcBorders>
            <w:noWrap/>
            <w:vAlign w:val="center"/>
          </w:tcPr>
          <w:p w14:paraId="0093C00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4315CB9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3194D56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0EC4754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56485CE7">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01443A8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5</w:t>
            </w:r>
          </w:p>
        </w:tc>
        <w:tc>
          <w:tcPr>
            <w:tcW w:w="1167" w:type="pct"/>
            <w:tcBorders>
              <w:top w:val="single" w:color="auto" w:sz="4" w:space="0"/>
              <w:left w:val="nil"/>
              <w:bottom w:val="single" w:color="auto" w:sz="4" w:space="0"/>
              <w:right w:val="single" w:color="auto" w:sz="4" w:space="0"/>
            </w:tcBorders>
            <w:noWrap/>
            <w:vAlign w:val="center"/>
          </w:tcPr>
          <w:p w14:paraId="329525D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防尘雾炮</w:t>
            </w:r>
          </w:p>
        </w:tc>
        <w:tc>
          <w:tcPr>
            <w:tcW w:w="455" w:type="pct"/>
            <w:tcBorders>
              <w:top w:val="single" w:color="auto" w:sz="4" w:space="0"/>
              <w:left w:val="nil"/>
              <w:bottom w:val="single" w:color="auto" w:sz="4" w:space="0"/>
              <w:right w:val="single" w:color="auto" w:sz="4" w:space="0"/>
            </w:tcBorders>
            <w:noWrap/>
            <w:vAlign w:val="center"/>
          </w:tcPr>
          <w:p w14:paraId="626C39E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台</w:t>
            </w:r>
          </w:p>
        </w:tc>
        <w:tc>
          <w:tcPr>
            <w:tcW w:w="473" w:type="pct"/>
            <w:tcBorders>
              <w:top w:val="single" w:color="auto" w:sz="4" w:space="0"/>
              <w:left w:val="nil"/>
              <w:bottom w:val="single" w:color="auto" w:sz="4" w:space="0"/>
              <w:right w:val="single" w:color="auto" w:sz="4" w:space="0"/>
            </w:tcBorders>
            <w:noWrap/>
            <w:vAlign w:val="center"/>
          </w:tcPr>
          <w:p w14:paraId="285AC8D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F25E95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D6B06A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2D112AB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3CF5C340">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32963EA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6</w:t>
            </w:r>
          </w:p>
        </w:tc>
        <w:tc>
          <w:tcPr>
            <w:tcW w:w="1167" w:type="pct"/>
            <w:tcBorders>
              <w:top w:val="single" w:color="auto" w:sz="4" w:space="0"/>
              <w:left w:val="nil"/>
              <w:bottom w:val="single" w:color="auto" w:sz="4" w:space="0"/>
              <w:right w:val="single" w:color="auto" w:sz="4" w:space="0"/>
            </w:tcBorders>
            <w:noWrap/>
            <w:vAlign w:val="center"/>
          </w:tcPr>
          <w:p w14:paraId="04ACCE2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其他扬尘控制费用</w:t>
            </w:r>
          </w:p>
        </w:tc>
        <w:tc>
          <w:tcPr>
            <w:tcW w:w="455" w:type="pct"/>
            <w:tcBorders>
              <w:top w:val="single" w:color="auto" w:sz="4" w:space="0"/>
              <w:left w:val="nil"/>
              <w:bottom w:val="single" w:color="auto" w:sz="4" w:space="0"/>
              <w:right w:val="single" w:color="auto" w:sz="4" w:space="0"/>
            </w:tcBorders>
            <w:noWrap/>
            <w:vAlign w:val="center"/>
          </w:tcPr>
          <w:p w14:paraId="4996DF4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元</w:t>
            </w:r>
          </w:p>
        </w:tc>
        <w:tc>
          <w:tcPr>
            <w:tcW w:w="473" w:type="pct"/>
            <w:tcBorders>
              <w:top w:val="single" w:color="auto" w:sz="4" w:space="0"/>
              <w:left w:val="nil"/>
              <w:bottom w:val="single" w:color="auto" w:sz="4" w:space="0"/>
              <w:right w:val="single" w:color="auto" w:sz="4" w:space="0"/>
            </w:tcBorders>
            <w:noWrap/>
            <w:vAlign w:val="center"/>
          </w:tcPr>
          <w:p w14:paraId="3F0BD16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29E126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4AF1511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5A32613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55B4899B">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1BC47F1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7</w:t>
            </w:r>
          </w:p>
        </w:tc>
        <w:tc>
          <w:tcPr>
            <w:tcW w:w="1167" w:type="pct"/>
            <w:tcBorders>
              <w:top w:val="single" w:color="auto" w:sz="4" w:space="0"/>
              <w:left w:val="nil"/>
              <w:bottom w:val="single" w:color="auto" w:sz="4" w:space="0"/>
              <w:right w:val="single" w:color="auto" w:sz="4" w:space="0"/>
            </w:tcBorders>
            <w:noWrap/>
            <w:vAlign w:val="center"/>
          </w:tcPr>
          <w:p w14:paraId="79D770F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噪声控制费用</w:t>
            </w:r>
          </w:p>
        </w:tc>
        <w:tc>
          <w:tcPr>
            <w:tcW w:w="455" w:type="pct"/>
            <w:tcBorders>
              <w:top w:val="single" w:color="auto" w:sz="4" w:space="0"/>
              <w:left w:val="nil"/>
              <w:bottom w:val="single" w:color="auto" w:sz="4" w:space="0"/>
              <w:right w:val="single" w:color="auto" w:sz="4" w:space="0"/>
            </w:tcBorders>
            <w:noWrap/>
            <w:vAlign w:val="center"/>
          </w:tcPr>
          <w:p w14:paraId="11AEB02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元</w:t>
            </w:r>
          </w:p>
        </w:tc>
        <w:tc>
          <w:tcPr>
            <w:tcW w:w="473" w:type="pct"/>
            <w:tcBorders>
              <w:top w:val="single" w:color="auto" w:sz="4" w:space="0"/>
              <w:left w:val="nil"/>
              <w:bottom w:val="single" w:color="auto" w:sz="4" w:space="0"/>
              <w:right w:val="single" w:color="auto" w:sz="4" w:space="0"/>
            </w:tcBorders>
            <w:noWrap/>
            <w:vAlign w:val="center"/>
          </w:tcPr>
          <w:p w14:paraId="36187A9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74CF1A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1D12A07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4401D19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730F95F5">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313FEEC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8</w:t>
            </w:r>
          </w:p>
        </w:tc>
        <w:tc>
          <w:tcPr>
            <w:tcW w:w="1167" w:type="pct"/>
            <w:tcBorders>
              <w:top w:val="single" w:color="auto" w:sz="4" w:space="0"/>
              <w:left w:val="nil"/>
              <w:bottom w:val="single" w:color="auto" w:sz="4" w:space="0"/>
              <w:right w:val="single" w:color="auto" w:sz="4" w:space="0"/>
            </w:tcBorders>
            <w:noWrap/>
            <w:vAlign w:val="center"/>
          </w:tcPr>
          <w:p w14:paraId="0745AE6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污水处理费用</w:t>
            </w:r>
          </w:p>
        </w:tc>
        <w:tc>
          <w:tcPr>
            <w:tcW w:w="455" w:type="pct"/>
            <w:tcBorders>
              <w:top w:val="single" w:color="auto" w:sz="4" w:space="0"/>
              <w:left w:val="nil"/>
              <w:bottom w:val="single" w:color="auto" w:sz="4" w:space="0"/>
              <w:right w:val="single" w:color="auto" w:sz="4" w:space="0"/>
            </w:tcBorders>
            <w:noWrap/>
            <w:vAlign w:val="center"/>
          </w:tcPr>
          <w:p w14:paraId="0EF4A36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元</w:t>
            </w:r>
          </w:p>
        </w:tc>
        <w:tc>
          <w:tcPr>
            <w:tcW w:w="473" w:type="pct"/>
            <w:tcBorders>
              <w:top w:val="single" w:color="auto" w:sz="4" w:space="0"/>
              <w:left w:val="nil"/>
              <w:bottom w:val="single" w:color="auto" w:sz="4" w:space="0"/>
              <w:right w:val="single" w:color="auto" w:sz="4" w:space="0"/>
            </w:tcBorders>
            <w:noWrap/>
            <w:vAlign w:val="center"/>
          </w:tcPr>
          <w:p w14:paraId="0F52002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6E88C1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D89E43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28AEB81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特殊工程要求</w:t>
            </w:r>
          </w:p>
        </w:tc>
      </w:tr>
      <w:tr w14:paraId="3ED0F122">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3859E2D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9</w:t>
            </w:r>
          </w:p>
        </w:tc>
        <w:tc>
          <w:tcPr>
            <w:tcW w:w="1167" w:type="pct"/>
            <w:tcBorders>
              <w:top w:val="single" w:color="auto" w:sz="4" w:space="0"/>
              <w:left w:val="nil"/>
              <w:bottom w:val="single" w:color="auto" w:sz="4" w:space="0"/>
              <w:right w:val="single" w:color="auto" w:sz="4" w:space="0"/>
            </w:tcBorders>
            <w:noWrap/>
            <w:vAlign w:val="center"/>
          </w:tcPr>
          <w:p w14:paraId="3A0FAD5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车辆密封费用</w:t>
            </w:r>
          </w:p>
        </w:tc>
        <w:tc>
          <w:tcPr>
            <w:tcW w:w="455" w:type="pct"/>
            <w:tcBorders>
              <w:top w:val="single" w:color="auto" w:sz="4" w:space="0"/>
              <w:left w:val="nil"/>
              <w:bottom w:val="single" w:color="auto" w:sz="4" w:space="0"/>
              <w:right w:val="single" w:color="auto" w:sz="4" w:space="0"/>
            </w:tcBorders>
            <w:noWrap/>
            <w:vAlign w:val="center"/>
          </w:tcPr>
          <w:p w14:paraId="0D21E07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元</w:t>
            </w:r>
          </w:p>
        </w:tc>
        <w:tc>
          <w:tcPr>
            <w:tcW w:w="473" w:type="pct"/>
            <w:tcBorders>
              <w:top w:val="single" w:color="auto" w:sz="4" w:space="0"/>
              <w:left w:val="nil"/>
              <w:bottom w:val="single" w:color="auto" w:sz="4" w:space="0"/>
              <w:right w:val="single" w:color="auto" w:sz="4" w:space="0"/>
            </w:tcBorders>
            <w:noWrap/>
            <w:vAlign w:val="center"/>
          </w:tcPr>
          <w:p w14:paraId="67ACDB6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90695D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83AAED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3D02800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166050E4">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18D1914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10</w:t>
            </w:r>
          </w:p>
        </w:tc>
        <w:tc>
          <w:tcPr>
            <w:tcW w:w="1167" w:type="pct"/>
            <w:tcBorders>
              <w:top w:val="single" w:color="auto" w:sz="4" w:space="0"/>
              <w:left w:val="nil"/>
              <w:bottom w:val="single" w:color="auto" w:sz="4" w:space="0"/>
              <w:right w:val="single" w:color="auto" w:sz="4" w:space="0"/>
            </w:tcBorders>
            <w:noWrap/>
            <w:vAlign w:val="center"/>
          </w:tcPr>
          <w:p w14:paraId="3D4A7DA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工地食堂油烟净化设备</w:t>
            </w:r>
          </w:p>
        </w:tc>
        <w:tc>
          <w:tcPr>
            <w:tcW w:w="455" w:type="pct"/>
            <w:tcBorders>
              <w:top w:val="single" w:color="auto" w:sz="4" w:space="0"/>
              <w:left w:val="nil"/>
              <w:bottom w:val="single" w:color="auto" w:sz="4" w:space="0"/>
              <w:right w:val="single" w:color="auto" w:sz="4" w:space="0"/>
            </w:tcBorders>
            <w:noWrap/>
            <w:vAlign w:val="center"/>
          </w:tcPr>
          <w:p w14:paraId="75CCE89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套</w:t>
            </w:r>
          </w:p>
        </w:tc>
        <w:tc>
          <w:tcPr>
            <w:tcW w:w="473" w:type="pct"/>
            <w:tcBorders>
              <w:top w:val="single" w:color="auto" w:sz="4" w:space="0"/>
              <w:left w:val="nil"/>
              <w:bottom w:val="single" w:color="auto" w:sz="4" w:space="0"/>
              <w:right w:val="single" w:color="auto" w:sz="4" w:space="0"/>
            </w:tcBorders>
            <w:noWrap/>
            <w:vAlign w:val="center"/>
          </w:tcPr>
          <w:p w14:paraId="1830075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0204031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0B0F3E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34314AC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37FE4DF1">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7266402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11</w:t>
            </w:r>
          </w:p>
        </w:tc>
        <w:tc>
          <w:tcPr>
            <w:tcW w:w="1167" w:type="pct"/>
            <w:tcBorders>
              <w:top w:val="single" w:color="auto" w:sz="4" w:space="0"/>
              <w:left w:val="nil"/>
              <w:bottom w:val="single" w:color="auto" w:sz="4" w:space="0"/>
              <w:right w:val="single" w:color="auto" w:sz="4" w:space="0"/>
            </w:tcBorders>
            <w:noWrap/>
            <w:vAlign w:val="center"/>
          </w:tcPr>
          <w:p w14:paraId="5425E2F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其他环境保护措施</w:t>
            </w:r>
          </w:p>
        </w:tc>
        <w:tc>
          <w:tcPr>
            <w:tcW w:w="455" w:type="pct"/>
            <w:tcBorders>
              <w:top w:val="single" w:color="auto" w:sz="4" w:space="0"/>
              <w:left w:val="nil"/>
              <w:bottom w:val="single" w:color="auto" w:sz="4" w:space="0"/>
              <w:right w:val="single" w:color="auto" w:sz="4" w:space="0"/>
            </w:tcBorders>
            <w:noWrap/>
            <w:vAlign w:val="center"/>
          </w:tcPr>
          <w:p w14:paraId="3874E82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057D1AC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15D7B21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419A885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1A885D7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39C4D7A4">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08B5A9F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四</w:t>
            </w:r>
          </w:p>
        </w:tc>
        <w:tc>
          <w:tcPr>
            <w:tcW w:w="1167" w:type="pct"/>
            <w:tcBorders>
              <w:top w:val="single" w:color="auto" w:sz="4" w:space="0"/>
              <w:left w:val="nil"/>
              <w:bottom w:val="single" w:color="auto" w:sz="4" w:space="0"/>
              <w:right w:val="single" w:color="auto" w:sz="4" w:space="0"/>
            </w:tcBorders>
            <w:noWrap/>
            <w:vAlign w:val="center"/>
          </w:tcPr>
          <w:p w14:paraId="572A51E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临时设施措施项目</w:t>
            </w:r>
          </w:p>
        </w:tc>
        <w:tc>
          <w:tcPr>
            <w:tcW w:w="455" w:type="pct"/>
            <w:tcBorders>
              <w:top w:val="single" w:color="auto" w:sz="4" w:space="0"/>
              <w:left w:val="nil"/>
              <w:bottom w:val="single" w:color="auto" w:sz="4" w:space="0"/>
              <w:right w:val="single" w:color="auto" w:sz="4" w:space="0"/>
            </w:tcBorders>
            <w:noWrap/>
            <w:vAlign w:val="center"/>
          </w:tcPr>
          <w:p w14:paraId="109964E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9AE59D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15D1C5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BDA1FF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6E6590F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5A419A82">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05ED6A3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（一）</w:t>
            </w:r>
          </w:p>
        </w:tc>
        <w:tc>
          <w:tcPr>
            <w:tcW w:w="1167" w:type="pct"/>
            <w:tcBorders>
              <w:top w:val="single" w:color="auto" w:sz="4" w:space="0"/>
              <w:left w:val="nil"/>
              <w:bottom w:val="single" w:color="auto" w:sz="4" w:space="0"/>
              <w:right w:val="single" w:color="auto" w:sz="4" w:space="0"/>
            </w:tcBorders>
            <w:noWrap/>
            <w:vAlign w:val="center"/>
          </w:tcPr>
          <w:p w14:paraId="3A5A50C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办公用房</w:t>
            </w:r>
          </w:p>
        </w:tc>
        <w:tc>
          <w:tcPr>
            <w:tcW w:w="455" w:type="pct"/>
            <w:tcBorders>
              <w:top w:val="single" w:color="auto" w:sz="4" w:space="0"/>
              <w:left w:val="nil"/>
              <w:bottom w:val="single" w:color="auto" w:sz="4" w:space="0"/>
              <w:right w:val="single" w:color="auto" w:sz="4" w:space="0"/>
            </w:tcBorders>
            <w:noWrap/>
            <w:vAlign w:val="center"/>
          </w:tcPr>
          <w:p w14:paraId="3177F91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m2</w:t>
            </w:r>
          </w:p>
        </w:tc>
        <w:tc>
          <w:tcPr>
            <w:tcW w:w="473" w:type="pct"/>
            <w:tcBorders>
              <w:top w:val="single" w:color="auto" w:sz="4" w:space="0"/>
              <w:left w:val="nil"/>
              <w:bottom w:val="single" w:color="auto" w:sz="4" w:space="0"/>
              <w:right w:val="single" w:color="auto" w:sz="4" w:space="0"/>
            </w:tcBorders>
            <w:noWrap/>
            <w:vAlign w:val="center"/>
          </w:tcPr>
          <w:p w14:paraId="194D901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3927FC7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DD5B1C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49EF4E0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0B3BC512">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16B5A88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（二）</w:t>
            </w:r>
          </w:p>
        </w:tc>
        <w:tc>
          <w:tcPr>
            <w:tcW w:w="1167" w:type="pct"/>
            <w:tcBorders>
              <w:top w:val="single" w:color="auto" w:sz="4" w:space="0"/>
              <w:left w:val="nil"/>
              <w:bottom w:val="single" w:color="auto" w:sz="4" w:space="0"/>
              <w:right w:val="single" w:color="auto" w:sz="4" w:space="0"/>
            </w:tcBorders>
            <w:noWrap/>
            <w:vAlign w:val="center"/>
          </w:tcPr>
          <w:p w14:paraId="40E76FD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生活用房</w:t>
            </w:r>
          </w:p>
        </w:tc>
        <w:tc>
          <w:tcPr>
            <w:tcW w:w="455" w:type="pct"/>
            <w:tcBorders>
              <w:top w:val="single" w:color="auto" w:sz="4" w:space="0"/>
              <w:left w:val="nil"/>
              <w:bottom w:val="single" w:color="auto" w:sz="4" w:space="0"/>
              <w:right w:val="single" w:color="auto" w:sz="4" w:space="0"/>
            </w:tcBorders>
            <w:noWrap/>
            <w:vAlign w:val="center"/>
          </w:tcPr>
          <w:p w14:paraId="008F0DE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C4A262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310BA94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D97712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4EA1D00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45633542">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22A0639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1167" w:type="pct"/>
            <w:tcBorders>
              <w:top w:val="single" w:color="auto" w:sz="4" w:space="0"/>
              <w:left w:val="nil"/>
              <w:bottom w:val="single" w:color="auto" w:sz="4" w:space="0"/>
              <w:right w:val="single" w:color="auto" w:sz="4" w:space="0"/>
            </w:tcBorders>
            <w:noWrap/>
            <w:vAlign w:val="center"/>
          </w:tcPr>
          <w:p w14:paraId="21592DC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宿舍</w:t>
            </w:r>
          </w:p>
        </w:tc>
        <w:tc>
          <w:tcPr>
            <w:tcW w:w="455" w:type="pct"/>
            <w:tcBorders>
              <w:top w:val="single" w:color="auto" w:sz="4" w:space="0"/>
              <w:left w:val="nil"/>
              <w:bottom w:val="single" w:color="auto" w:sz="4" w:space="0"/>
              <w:right w:val="single" w:color="auto" w:sz="4" w:space="0"/>
            </w:tcBorders>
            <w:noWrap/>
            <w:vAlign w:val="center"/>
          </w:tcPr>
          <w:p w14:paraId="7A01920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m2</w:t>
            </w:r>
          </w:p>
        </w:tc>
        <w:tc>
          <w:tcPr>
            <w:tcW w:w="473" w:type="pct"/>
            <w:tcBorders>
              <w:top w:val="single" w:color="auto" w:sz="4" w:space="0"/>
              <w:left w:val="nil"/>
              <w:bottom w:val="single" w:color="auto" w:sz="4" w:space="0"/>
              <w:right w:val="single" w:color="auto" w:sz="4" w:space="0"/>
            </w:tcBorders>
            <w:noWrap/>
            <w:vAlign w:val="center"/>
          </w:tcPr>
          <w:p w14:paraId="7E9186E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1F22062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1CE92CF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7D87359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072B36DB">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3C30102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1167" w:type="pct"/>
            <w:tcBorders>
              <w:top w:val="single" w:color="auto" w:sz="4" w:space="0"/>
              <w:left w:val="nil"/>
              <w:bottom w:val="single" w:color="auto" w:sz="4" w:space="0"/>
              <w:right w:val="single" w:color="auto" w:sz="4" w:space="0"/>
            </w:tcBorders>
            <w:noWrap/>
            <w:vAlign w:val="center"/>
          </w:tcPr>
          <w:p w14:paraId="6B94972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食堂</w:t>
            </w:r>
          </w:p>
        </w:tc>
        <w:tc>
          <w:tcPr>
            <w:tcW w:w="455" w:type="pct"/>
            <w:tcBorders>
              <w:top w:val="single" w:color="auto" w:sz="4" w:space="0"/>
              <w:left w:val="nil"/>
              <w:bottom w:val="single" w:color="auto" w:sz="4" w:space="0"/>
              <w:right w:val="single" w:color="auto" w:sz="4" w:space="0"/>
            </w:tcBorders>
            <w:noWrap/>
            <w:vAlign w:val="center"/>
          </w:tcPr>
          <w:p w14:paraId="5B17A92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m2</w:t>
            </w:r>
          </w:p>
        </w:tc>
        <w:tc>
          <w:tcPr>
            <w:tcW w:w="473" w:type="pct"/>
            <w:tcBorders>
              <w:top w:val="single" w:color="auto" w:sz="4" w:space="0"/>
              <w:left w:val="nil"/>
              <w:bottom w:val="single" w:color="auto" w:sz="4" w:space="0"/>
              <w:right w:val="single" w:color="auto" w:sz="4" w:space="0"/>
            </w:tcBorders>
            <w:noWrap/>
            <w:vAlign w:val="center"/>
          </w:tcPr>
          <w:p w14:paraId="2558EFE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34BE1F2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38AE95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2162061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782607CA">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6CFEB5D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3</w:t>
            </w:r>
          </w:p>
        </w:tc>
        <w:tc>
          <w:tcPr>
            <w:tcW w:w="1167" w:type="pct"/>
            <w:tcBorders>
              <w:top w:val="single" w:color="auto" w:sz="4" w:space="0"/>
              <w:left w:val="nil"/>
              <w:bottom w:val="single" w:color="auto" w:sz="4" w:space="0"/>
              <w:right w:val="single" w:color="auto" w:sz="4" w:space="0"/>
            </w:tcBorders>
            <w:noWrap/>
            <w:vAlign w:val="center"/>
          </w:tcPr>
          <w:p w14:paraId="6508A02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厕所</w:t>
            </w:r>
          </w:p>
        </w:tc>
        <w:tc>
          <w:tcPr>
            <w:tcW w:w="455" w:type="pct"/>
            <w:tcBorders>
              <w:top w:val="single" w:color="auto" w:sz="4" w:space="0"/>
              <w:left w:val="nil"/>
              <w:bottom w:val="single" w:color="auto" w:sz="4" w:space="0"/>
              <w:right w:val="single" w:color="auto" w:sz="4" w:space="0"/>
            </w:tcBorders>
            <w:noWrap/>
            <w:vAlign w:val="center"/>
          </w:tcPr>
          <w:p w14:paraId="35ECF9C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m2</w:t>
            </w:r>
          </w:p>
        </w:tc>
        <w:tc>
          <w:tcPr>
            <w:tcW w:w="473" w:type="pct"/>
            <w:tcBorders>
              <w:top w:val="single" w:color="auto" w:sz="4" w:space="0"/>
              <w:left w:val="nil"/>
              <w:bottom w:val="single" w:color="auto" w:sz="4" w:space="0"/>
              <w:right w:val="single" w:color="auto" w:sz="4" w:space="0"/>
            </w:tcBorders>
            <w:noWrap/>
            <w:vAlign w:val="center"/>
          </w:tcPr>
          <w:p w14:paraId="11CF5DA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1EDB047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0E21775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5FA09C3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697D3CDF">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69995BF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4</w:t>
            </w:r>
          </w:p>
        </w:tc>
        <w:tc>
          <w:tcPr>
            <w:tcW w:w="1167" w:type="pct"/>
            <w:tcBorders>
              <w:top w:val="single" w:color="auto" w:sz="4" w:space="0"/>
              <w:left w:val="nil"/>
              <w:bottom w:val="single" w:color="auto" w:sz="4" w:space="0"/>
              <w:right w:val="single" w:color="auto" w:sz="4" w:space="0"/>
            </w:tcBorders>
            <w:noWrap/>
            <w:vAlign w:val="center"/>
          </w:tcPr>
          <w:p w14:paraId="1D57C36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浴室</w:t>
            </w:r>
          </w:p>
        </w:tc>
        <w:tc>
          <w:tcPr>
            <w:tcW w:w="455" w:type="pct"/>
            <w:tcBorders>
              <w:top w:val="single" w:color="auto" w:sz="4" w:space="0"/>
              <w:left w:val="nil"/>
              <w:bottom w:val="single" w:color="auto" w:sz="4" w:space="0"/>
              <w:right w:val="single" w:color="auto" w:sz="4" w:space="0"/>
            </w:tcBorders>
            <w:noWrap/>
            <w:vAlign w:val="center"/>
          </w:tcPr>
          <w:p w14:paraId="4D8ED0E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m2</w:t>
            </w:r>
          </w:p>
        </w:tc>
        <w:tc>
          <w:tcPr>
            <w:tcW w:w="473" w:type="pct"/>
            <w:tcBorders>
              <w:top w:val="single" w:color="auto" w:sz="4" w:space="0"/>
              <w:left w:val="nil"/>
              <w:bottom w:val="single" w:color="auto" w:sz="4" w:space="0"/>
              <w:right w:val="single" w:color="auto" w:sz="4" w:space="0"/>
            </w:tcBorders>
            <w:noWrap/>
            <w:vAlign w:val="center"/>
          </w:tcPr>
          <w:p w14:paraId="7CDF8CE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1D68962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0055849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53DD4DB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1EC863BB">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269C403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5</w:t>
            </w:r>
          </w:p>
        </w:tc>
        <w:tc>
          <w:tcPr>
            <w:tcW w:w="1167" w:type="pct"/>
            <w:tcBorders>
              <w:top w:val="single" w:color="auto" w:sz="4" w:space="0"/>
              <w:left w:val="nil"/>
              <w:bottom w:val="single" w:color="auto" w:sz="4" w:space="0"/>
              <w:right w:val="single" w:color="auto" w:sz="4" w:space="0"/>
            </w:tcBorders>
            <w:noWrap/>
            <w:vAlign w:val="center"/>
          </w:tcPr>
          <w:p w14:paraId="6A7823E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其他生活设施</w:t>
            </w:r>
          </w:p>
        </w:tc>
        <w:tc>
          <w:tcPr>
            <w:tcW w:w="455" w:type="pct"/>
            <w:tcBorders>
              <w:top w:val="single" w:color="auto" w:sz="4" w:space="0"/>
              <w:left w:val="nil"/>
              <w:bottom w:val="single" w:color="auto" w:sz="4" w:space="0"/>
              <w:right w:val="single" w:color="auto" w:sz="4" w:space="0"/>
            </w:tcBorders>
            <w:noWrap/>
            <w:vAlign w:val="center"/>
          </w:tcPr>
          <w:p w14:paraId="6DD94EE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46D91CD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6D64BB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22C173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2530BA7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休息场所、文化娱乐设施等</w:t>
            </w:r>
          </w:p>
        </w:tc>
      </w:tr>
      <w:tr w14:paraId="71C1042C">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6C22EEC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（三）</w:t>
            </w:r>
          </w:p>
        </w:tc>
        <w:tc>
          <w:tcPr>
            <w:tcW w:w="1167" w:type="pct"/>
            <w:tcBorders>
              <w:top w:val="single" w:color="auto" w:sz="4" w:space="0"/>
              <w:left w:val="nil"/>
              <w:bottom w:val="single" w:color="auto" w:sz="4" w:space="0"/>
              <w:right w:val="single" w:color="auto" w:sz="4" w:space="0"/>
            </w:tcBorders>
            <w:noWrap/>
            <w:vAlign w:val="center"/>
          </w:tcPr>
          <w:p w14:paraId="68D4FDC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生产用房（仓库）</w:t>
            </w:r>
          </w:p>
        </w:tc>
        <w:tc>
          <w:tcPr>
            <w:tcW w:w="455" w:type="pct"/>
            <w:tcBorders>
              <w:top w:val="single" w:color="auto" w:sz="4" w:space="0"/>
              <w:left w:val="nil"/>
              <w:bottom w:val="single" w:color="auto" w:sz="4" w:space="0"/>
              <w:right w:val="single" w:color="auto" w:sz="4" w:space="0"/>
            </w:tcBorders>
            <w:noWrap/>
            <w:vAlign w:val="center"/>
          </w:tcPr>
          <w:p w14:paraId="3FB3EBA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m2</w:t>
            </w:r>
          </w:p>
        </w:tc>
        <w:tc>
          <w:tcPr>
            <w:tcW w:w="473" w:type="pct"/>
            <w:tcBorders>
              <w:top w:val="single" w:color="auto" w:sz="4" w:space="0"/>
              <w:left w:val="nil"/>
              <w:bottom w:val="single" w:color="auto" w:sz="4" w:space="0"/>
              <w:right w:val="single" w:color="auto" w:sz="4" w:space="0"/>
            </w:tcBorders>
            <w:noWrap/>
            <w:vAlign w:val="center"/>
          </w:tcPr>
          <w:p w14:paraId="13EB068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0E3C2F1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0CF83CD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03CCC70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7E7D09DB">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232CD2E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（四）</w:t>
            </w:r>
          </w:p>
        </w:tc>
        <w:tc>
          <w:tcPr>
            <w:tcW w:w="1167" w:type="pct"/>
            <w:tcBorders>
              <w:top w:val="single" w:color="auto" w:sz="4" w:space="0"/>
              <w:left w:val="nil"/>
              <w:bottom w:val="single" w:color="auto" w:sz="4" w:space="0"/>
              <w:right w:val="single" w:color="auto" w:sz="4" w:space="0"/>
            </w:tcBorders>
            <w:noWrap/>
            <w:vAlign w:val="center"/>
          </w:tcPr>
          <w:p w14:paraId="091C252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临时用电设施</w:t>
            </w:r>
          </w:p>
        </w:tc>
        <w:tc>
          <w:tcPr>
            <w:tcW w:w="455" w:type="pct"/>
            <w:tcBorders>
              <w:top w:val="single" w:color="auto" w:sz="4" w:space="0"/>
              <w:left w:val="nil"/>
              <w:bottom w:val="single" w:color="auto" w:sz="4" w:space="0"/>
              <w:right w:val="single" w:color="auto" w:sz="4" w:space="0"/>
            </w:tcBorders>
            <w:noWrap/>
            <w:vAlign w:val="center"/>
          </w:tcPr>
          <w:p w14:paraId="373E211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12D6A58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A098B8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4A9DE37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76C6CFF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2E5BC959">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1F1DED7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1167" w:type="pct"/>
            <w:tcBorders>
              <w:top w:val="single" w:color="auto" w:sz="4" w:space="0"/>
              <w:left w:val="nil"/>
              <w:bottom w:val="single" w:color="auto" w:sz="4" w:space="0"/>
              <w:right w:val="single" w:color="auto" w:sz="4" w:space="0"/>
            </w:tcBorders>
            <w:noWrap/>
            <w:vAlign w:val="center"/>
          </w:tcPr>
          <w:p w14:paraId="18C8334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总配电箱</w:t>
            </w:r>
          </w:p>
        </w:tc>
        <w:tc>
          <w:tcPr>
            <w:tcW w:w="455" w:type="pct"/>
            <w:tcBorders>
              <w:top w:val="single" w:color="auto" w:sz="4" w:space="0"/>
              <w:left w:val="nil"/>
              <w:bottom w:val="single" w:color="auto" w:sz="4" w:space="0"/>
              <w:right w:val="single" w:color="auto" w:sz="4" w:space="0"/>
            </w:tcBorders>
            <w:noWrap/>
            <w:vAlign w:val="center"/>
          </w:tcPr>
          <w:p w14:paraId="2F4E0EE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只</w:t>
            </w:r>
          </w:p>
        </w:tc>
        <w:tc>
          <w:tcPr>
            <w:tcW w:w="473" w:type="pct"/>
            <w:tcBorders>
              <w:top w:val="single" w:color="auto" w:sz="4" w:space="0"/>
              <w:left w:val="nil"/>
              <w:bottom w:val="single" w:color="auto" w:sz="4" w:space="0"/>
              <w:right w:val="single" w:color="auto" w:sz="4" w:space="0"/>
            </w:tcBorders>
            <w:noWrap/>
            <w:vAlign w:val="center"/>
          </w:tcPr>
          <w:p w14:paraId="4BAA96E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0135928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069E754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3AFFEF0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4706A810">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1D272B7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1167" w:type="pct"/>
            <w:tcBorders>
              <w:top w:val="single" w:color="auto" w:sz="4" w:space="0"/>
              <w:left w:val="nil"/>
              <w:bottom w:val="single" w:color="auto" w:sz="4" w:space="0"/>
              <w:right w:val="single" w:color="auto" w:sz="4" w:space="0"/>
            </w:tcBorders>
            <w:noWrap/>
            <w:vAlign w:val="center"/>
          </w:tcPr>
          <w:p w14:paraId="7F18635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分配电箱</w:t>
            </w:r>
          </w:p>
        </w:tc>
        <w:tc>
          <w:tcPr>
            <w:tcW w:w="455" w:type="pct"/>
            <w:tcBorders>
              <w:top w:val="single" w:color="auto" w:sz="4" w:space="0"/>
              <w:left w:val="nil"/>
              <w:bottom w:val="single" w:color="auto" w:sz="4" w:space="0"/>
              <w:right w:val="single" w:color="auto" w:sz="4" w:space="0"/>
            </w:tcBorders>
            <w:noWrap/>
            <w:vAlign w:val="center"/>
          </w:tcPr>
          <w:p w14:paraId="1A5CD54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只</w:t>
            </w:r>
          </w:p>
        </w:tc>
        <w:tc>
          <w:tcPr>
            <w:tcW w:w="473" w:type="pct"/>
            <w:tcBorders>
              <w:top w:val="single" w:color="auto" w:sz="4" w:space="0"/>
              <w:left w:val="nil"/>
              <w:bottom w:val="single" w:color="auto" w:sz="4" w:space="0"/>
              <w:right w:val="single" w:color="auto" w:sz="4" w:space="0"/>
            </w:tcBorders>
            <w:noWrap/>
            <w:vAlign w:val="center"/>
          </w:tcPr>
          <w:p w14:paraId="178EBCC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7E0FCB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40475E4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0D4C334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26F14663">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401A78D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3</w:t>
            </w:r>
          </w:p>
        </w:tc>
        <w:tc>
          <w:tcPr>
            <w:tcW w:w="1167" w:type="pct"/>
            <w:tcBorders>
              <w:top w:val="single" w:color="auto" w:sz="4" w:space="0"/>
              <w:left w:val="nil"/>
              <w:bottom w:val="single" w:color="auto" w:sz="4" w:space="0"/>
              <w:right w:val="single" w:color="auto" w:sz="4" w:space="0"/>
            </w:tcBorders>
            <w:noWrap/>
            <w:vAlign w:val="center"/>
          </w:tcPr>
          <w:p w14:paraId="2AB97C7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开关箱</w:t>
            </w:r>
          </w:p>
        </w:tc>
        <w:tc>
          <w:tcPr>
            <w:tcW w:w="455" w:type="pct"/>
            <w:tcBorders>
              <w:top w:val="single" w:color="auto" w:sz="4" w:space="0"/>
              <w:left w:val="nil"/>
              <w:bottom w:val="single" w:color="auto" w:sz="4" w:space="0"/>
              <w:right w:val="single" w:color="auto" w:sz="4" w:space="0"/>
            </w:tcBorders>
            <w:noWrap/>
            <w:vAlign w:val="center"/>
          </w:tcPr>
          <w:p w14:paraId="0D43BDE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只</w:t>
            </w:r>
          </w:p>
        </w:tc>
        <w:tc>
          <w:tcPr>
            <w:tcW w:w="473" w:type="pct"/>
            <w:tcBorders>
              <w:top w:val="single" w:color="auto" w:sz="4" w:space="0"/>
              <w:left w:val="nil"/>
              <w:bottom w:val="single" w:color="auto" w:sz="4" w:space="0"/>
              <w:right w:val="single" w:color="auto" w:sz="4" w:space="0"/>
            </w:tcBorders>
            <w:noWrap/>
            <w:vAlign w:val="center"/>
          </w:tcPr>
          <w:p w14:paraId="316A067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CBF2DD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36B9FF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7EB1DB7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1505DED6">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1B47207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4</w:t>
            </w:r>
          </w:p>
        </w:tc>
        <w:tc>
          <w:tcPr>
            <w:tcW w:w="1167" w:type="pct"/>
            <w:tcBorders>
              <w:top w:val="single" w:color="auto" w:sz="4" w:space="0"/>
              <w:left w:val="nil"/>
              <w:bottom w:val="single" w:color="auto" w:sz="4" w:space="0"/>
              <w:right w:val="single" w:color="auto" w:sz="4" w:space="0"/>
            </w:tcBorders>
            <w:noWrap/>
            <w:vAlign w:val="center"/>
          </w:tcPr>
          <w:p w14:paraId="0CE4352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临时用电线路</w:t>
            </w:r>
          </w:p>
        </w:tc>
        <w:tc>
          <w:tcPr>
            <w:tcW w:w="455" w:type="pct"/>
            <w:tcBorders>
              <w:top w:val="single" w:color="auto" w:sz="4" w:space="0"/>
              <w:left w:val="nil"/>
              <w:bottom w:val="single" w:color="auto" w:sz="4" w:space="0"/>
              <w:right w:val="single" w:color="auto" w:sz="4" w:space="0"/>
            </w:tcBorders>
            <w:noWrap/>
            <w:vAlign w:val="center"/>
          </w:tcPr>
          <w:p w14:paraId="5F40EE3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m</w:t>
            </w:r>
          </w:p>
        </w:tc>
        <w:tc>
          <w:tcPr>
            <w:tcW w:w="473" w:type="pct"/>
            <w:tcBorders>
              <w:top w:val="single" w:color="auto" w:sz="4" w:space="0"/>
              <w:left w:val="nil"/>
              <w:bottom w:val="single" w:color="auto" w:sz="4" w:space="0"/>
              <w:right w:val="single" w:color="auto" w:sz="4" w:space="0"/>
            </w:tcBorders>
            <w:noWrap/>
            <w:vAlign w:val="center"/>
          </w:tcPr>
          <w:p w14:paraId="0C67FAF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4BD67C8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6804AB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086572A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16208688">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2E23B00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5</w:t>
            </w:r>
          </w:p>
        </w:tc>
        <w:tc>
          <w:tcPr>
            <w:tcW w:w="1167" w:type="pct"/>
            <w:tcBorders>
              <w:top w:val="single" w:color="auto" w:sz="4" w:space="0"/>
              <w:left w:val="nil"/>
              <w:bottom w:val="single" w:color="auto" w:sz="4" w:space="0"/>
              <w:right w:val="single" w:color="auto" w:sz="4" w:space="0"/>
            </w:tcBorders>
            <w:noWrap/>
            <w:vAlign w:val="center"/>
          </w:tcPr>
          <w:p w14:paraId="6F6C109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用电保护装置</w:t>
            </w:r>
          </w:p>
        </w:tc>
        <w:tc>
          <w:tcPr>
            <w:tcW w:w="455" w:type="pct"/>
            <w:tcBorders>
              <w:top w:val="single" w:color="auto" w:sz="4" w:space="0"/>
              <w:left w:val="nil"/>
              <w:bottom w:val="single" w:color="auto" w:sz="4" w:space="0"/>
              <w:right w:val="single" w:color="auto" w:sz="4" w:space="0"/>
            </w:tcBorders>
            <w:noWrap/>
            <w:vAlign w:val="center"/>
          </w:tcPr>
          <w:p w14:paraId="56F31F7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处</w:t>
            </w:r>
          </w:p>
        </w:tc>
        <w:tc>
          <w:tcPr>
            <w:tcW w:w="473" w:type="pct"/>
            <w:tcBorders>
              <w:top w:val="single" w:color="auto" w:sz="4" w:space="0"/>
              <w:left w:val="nil"/>
              <w:bottom w:val="single" w:color="auto" w:sz="4" w:space="0"/>
              <w:right w:val="single" w:color="auto" w:sz="4" w:space="0"/>
            </w:tcBorders>
            <w:noWrap/>
            <w:vAlign w:val="center"/>
          </w:tcPr>
          <w:p w14:paraId="2E335BA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53E6C0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3D9DA47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2600DE7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3353DD31">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1C05688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6</w:t>
            </w:r>
          </w:p>
        </w:tc>
        <w:tc>
          <w:tcPr>
            <w:tcW w:w="1167" w:type="pct"/>
            <w:tcBorders>
              <w:top w:val="single" w:color="auto" w:sz="4" w:space="0"/>
              <w:left w:val="nil"/>
              <w:bottom w:val="single" w:color="auto" w:sz="4" w:space="0"/>
              <w:right w:val="single" w:color="auto" w:sz="4" w:space="0"/>
            </w:tcBorders>
            <w:noWrap/>
            <w:vAlign w:val="center"/>
          </w:tcPr>
          <w:p w14:paraId="5322B2A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发电机</w:t>
            </w:r>
          </w:p>
        </w:tc>
        <w:tc>
          <w:tcPr>
            <w:tcW w:w="455" w:type="pct"/>
            <w:tcBorders>
              <w:top w:val="single" w:color="auto" w:sz="4" w:space="0"/>
              <w:left w:val="nil"/>
              <w:bottom w:val="single" w:color="auto" w:sz="4" w:space="0"/>
              <w:right w:val="single" w:color="auto" w:sz="4" w:space="0"/>
            </w:tcBorders>
            <w:noWrap/>
            <w:vAlign w:val="center"/>
          </w:tcPr>
          <w:p w14:paraId="414892D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台</w:t>
            </w:r>
          </w:p>
        </w:tc>
        <w:tc>
          <w:tcPr>
            <w:tcW w:w="473" w:type="pct"/>
            <w:tcBorders>
              <w:top w:val="single" w:color="auto" w:sz="4" w:space="0"/>
              <w:left w:val="nil"/>
              <w:bottom w:val="single" w:color="auto" w:sz="4" w:space="0"/>
              <w:right w:val="single" w:color="auto" w:sz="4" w:space="0"/>
            </w:tcBorders>
            <w:noWrap/>
            <w:vAlign w:val="center"/>
          </w:tcPr>
          <w:p w14:paraId="1CB243D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0B5E4D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305809F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669FE83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1B857941">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29BE818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7</w:t>
            </w:r>
          </w:p>
        </w:tc>
        <w:tc>
          <w:tcPr>
            <w:tcW w:w="1167" w:type="pct"/>
            <w:tcBorders>
              <w:top w:val="single" w:color="auto" w:sz="4" w:space="0"/>
              <w:left w:val="nil"/>
              <w:bottom w:val="single" w:color="auto" w:sz="4" w:space="0"/>
              <w:right w:val="single" w:color="auto" w:sz="4" w:space="0"/>
            </w:tcBorders>
            <w:noWrap/>
            <w:vAlign w:val="center"/>
          </w:tcPr>
          <w:p w14:paraId="34D178E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其他临时用电设施</w:t>
            </w:r>
          </w:p>
        </w:tc>
        <w:tc>
          <w:tcPr>
            <w:tcW w:w="455" w:type="pct"/>
            <w:tcBorders>
              <w:top w:val="single" w:color="auto" w:sz="4" w:space="0"/>
              <w:left w:val="nil"/>
              <w:bottom w:val="single" w:color="auto" w:sz="4" w:space="0"/>
              <w:right w:val="single" w:color="auto" w:sz="4" w:space="0"/>
            </w:tcBorders>
            <w:noWrap/>
            <w:vAlign w:val="center"/>
          </w:tcPr>
          <w:p w14:paraId="27B6D48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19D5E9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0187957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AA4BC0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6F11A56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附近外电线路</w:t>
            </w:r>
          </w:p>
          <w:p w14:paraId="0B5CECC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防护设施等</w:t>
            </w:r>
          </w:p>
        </w:tc>
      </w:tr>
      <w:tr w14:paraId="5883E4B2">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13EAD73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（五）</w:t>
            </w:r>
          </w:p>
        </w:tc>
        <w:tc>
          <w:tcPr>
            <w:tcW w:w="1167" w:type="pct"/>
            <w:tcBorders>
              <w:top w:val="single" w:color="auto" w:sz="4" w:space="0"/>
              <w:left w:val="nil"/>
              <w:bottom w:val="single" w:color="auto" w:sz="4" w:space="0"/>
              <w:right w:val="single" w:color="auto" w:sz="4" w:space="0"/>
            </w:tcBorders>
            <w:noWrap/>
            <w:vAlign w:val="center"/>
          </w:tcPr>
          <w:p w14:paraId="1138E30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临时供水</w:t>
            </w:r>
          </w:p>
        </w:tc>
        <w:tc>
          <w:tcPr>
            <w:tcW w:w="455" w:type="pct"/>
            <w:tcBorders>
              <w:top w:val="single" w:color="auto" w:sz="4" w:space="0"/>
              <w:left w:val="nil"/>
              <w:bottom w:val="single" w:color="auto" w:sz="4" w:space="0"/>
              <w:right w:val="single" w:color="auto" w:sz="4" w:space="0"/>
            </w:tcBorders>
            <w:noWrap/>
            <w:vAlign w:val="center"/>
          </w:tcPr>
          <w:p w14:paraId="61BAE5A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m</w:t>
            </w:r>
          </w:p>
        </w:tc>
        <w:tc>
          <w:tcPr>
            <w:tcW w:w="473" w:type="pct"/>
            <w:tcBorders>
              <w:top w:val="single" w:color="auto" w:sz="4" w:space="0"/>
              <w:left w:val="nil"/>
              <w:bottom w:val="single" w:color="auto" w:sz="4" w:space="0"/>
              <w:right w:val="single" w:color="auto" w:sz="4" w:space="0"/>
            </w:tcBorders>
            <w:noWrap/>
            <w:vAlign w:val="center"/>
          </w:tcPr>
          <w:p w14:paraId="7DFF43C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6D4B59E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25437EB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159FE38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按管道长度</w:t>
            </w:r>
          </w:p>
        </w:tc>
      </w:tr>
      <w:tr w14:paraId="5F557036">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0AAB84F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（六）</w:t>
            </w:r>
          </w:p>
        </w:tc>
        <w:tc>
          <w:tcPr>
            <w:tcW w:w="1167" w:type="pct"/>
            <w:tcBorders>
              <w:top w:val="single" w:color="auto" w:sz="4" w:space="0"/>
              <w:left w:val="nil"/>
              <w:bottom w:val="single" w:color="auto" w:sz="4" w:space="0"/>
              <w:right w:val="single" w:color="auto" w:sz="4" w:space="0"/>
            </w:tcBorders>
            <w:noWrap/>
            <w:vAlign w:val="center"/>
          </w:tcPr>
          <w:p w14:paraId="0812FC8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临时排水</w:t>
            </w:r>
          </w:p>
        </w:tc>
        <w:tc>
          <w:tcPr>
            <w:tcW w:w="455" w:type="pct"/>
            <w:tcBorders>
              <w:top w:val="single" w:color="auto" w:sz="4" w:space="0"/>
              <w:left w:val="nil"/>
              <w:bottom w:val="single" w:color="auto" w:sz="4" w:space="0"/>
              <w:right w:val="single" w:color="auto" w:sz="4" w:space="0"/>
            </w:tcBorders>
            <w:noWrap/>
            <w:vAlign w:val="center"/>
          </w:tcPr>
          <w:p w14:paraId="41D8EAFC">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m</w:t>
            </w:r>
          </w:p>
        </w:tc>
        <w:tc>
          <w:tcPr>
            <w:tcW w:w="473" w:type="pct"/>
            <w:tcBorders>
              <w:top w:val="single" w:color="auto" w:sz="4" w:space="0"/>
              <w:left w:val="nil"/>
              <w:bottom w:val="single" w:color="auto" w:sz="4" w:space="0"/>
              <w:right w:val="single" w:color="auto" w:sz="4" w:space="0"/>
            </w:tcBorders>
            <w:noWrap/>
            <w:vAlign w:val="center"/>
          </w:tcPr>
          <w:p w14:paraId="6A0F1AB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0A5E4F20">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134601B8">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678DE26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按管道长度</w:t>
            </w:r>
          </w:p>
        </w:tc>
      </w:tr>
      <w:tr w14:paraId="52E4AC8D">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1323DB8E">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（七）</w:t>
            </w:r>
          </w:p>
        </w:tc>
        <w:tc>
          <w:tcPr>
            <w:tcW w:w="1167" w:type="pct"/>
            <w:tcBorders>
              <w:top w:val="single" w:color="auto" w:sz="4" w:space="0"/>
              <w:left w:val="nil"/>
              <w:bottom w:val="single" w:color="auto" w:sz="4" w:space="0"/>
              <w:right w:val="single" w:color="auto" w:sz="4" w:space="0"/>
            </w:tcBorders>
            <w:noWrap/>
            <w:vAlign w:val="center"/>
          </w:tcPr>
          <w:p w14:paraId="46A6B33D">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其他临时设施</w:t>
            </w:r>
          </w:p>
        </w:tc>
        <w:tc>
          <w:tcPr>
            <w:tcW w:w="455" w:type="pct"/>
            <w:tcBorders>
              <w:top w:val="single" w:color="auto" w:sz="4" w:space="0"/>
              <w:left w:val="nil"/>
              <w:bottom w:val="single" w:color="auto" w:sz="4" w:space="0"/>
              <w:right w:val="single" w:color="auto" w:sz="4" w:space="0"/>
            </w:tcBorders>
            <w:noWrap/>
            <w:vAlign w:val="center"/>
          </w:tcPr>
          <w:p w14:paraId="6389A5D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3EF4064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ACBD08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3D564FA1">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1F272E2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5462D5B7">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120A5BFB">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167" w:type="pct"/>
            <w:tcBorders>
              <w:top w:val="single" w:color="auto" w:sz="4" w:space="0"/>
              <w:left w:val="nil"/>
              <w:bottom w:val="single" w:color="auto" w:sz="4" w:space="0"/>
              <w:right w:val="single" w:color="auto" w:sz="4" w:space="0"/>
            </w:tcBorders>
            <w:noWrap/>
            <w:vAlign w:val="center"/>
          </w:tcPr>
          <w:p w14:paraId="204E6F93">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55" w:type="pct"/>
            <w:tcBorders>
              <w:top w:val="single" w:color="auto" w:sz="4" w:space="0"/>
              <w:left w:val="nil"/>
              <w:bottom w:val="single" w:color="auto" w:sz="4" w:space="0"/>
              <w:right w:val="single" w:color="auto" w:sz="4" w:space="0"/>
            </w:tcBorders>
            <w:noWrap/>
            <w:vAlign w:val="center"/>
          </w:tcPr>
          <w:p w14:paraId="44A6F97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05938927">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82A302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5A63D64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417D906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504BE57C">
        <w:tblPrEx>
          <w:tblCellMar>
            <w:top w:w="0" w:type="dxa"/>
            <w:left w:w="108" w:type="dxa"/>
            <w:bottom w:w="0" w:type="dxa"/>
            <w:right w:w="108" w:type="dxa"/>
          </w:tblCellMar>
        </w:tblPrEx>
        <w:trPr>
          <w:cantSplit/>
          <w:trHeight w:val="340" w:hRule="atLeast"/>
          <w:jc w:val="center"/>
        </w:trPr>
        <w:tc>
          <w:tcPr>
            <w:tcW w:w="639" w:type="pct"/>
            <w:tcBorders>
              <w:top w:val="single" w:color="auto" w:sz="4" w:space="0"/>
              <w:left w:val="single" w:color="auto" w:sz="4" w:space="0"/>
              <w:bottom w:val="single" w:color="auto" w:sz="4" w:space="0"/>
              <w:right w:val="single" w:color="auto" w:sz="4" w:space="0"/>
            </w:tcBorders>
            <w:noWrap/>
            <w:vAlign w:val="center"/>
          </w:tcPr>
          <w:p w14:paraId="032A101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167" w:type="pct"/>
            <w:tcBorders>
              <w:top w:val="single" w:color="auto" w:sz="4" w:space="0"/>
              <w:left w:val="nil"/>
              <w:bottom w:val="single" w:color="auto" w:sz="4" w:space="0"/>
              <w:right w:val="single" w:color="auto" w:sz="4" w:space="0"/>
            </w:tcBorders>
            <w:noWrap/>
            <w:vAlign w:val="center"/>
          </w:tcPr>
          <w:p w14:paraId="4E02501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55" w:type="pct"/>
            <w:tcBorders>
              <w:top w:val="single" w:color="auto" w:sz="4" w:space="0"/>
              <w:left w:val="nil"/>
              <w:bottom w:val="single" w:color="auto" w:sz="4" w:space="0"/>
              <w:right w:val="single" w:color="auto" w:sz="4" w:space="0"/>
            </w:tcBorders>
            <w:noWrap/>
            <w:vAlign w:val="center"/>
          </w:tcPr>
          <w:p w14:paraId="2C5375EF">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08BC0CD5">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0CB4AD22">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473" w:type="pct"/>
            <w:tcBorders>
              <w:top w:val="single" w:color="auto" w:sz="4" w:space="0"/>
              <w:left w:val="nil"/>
              <w:bottom w:val="single" w:color="auto" w:sz="4" w:space="0"/>
              <w:right w:val="single" w:color="auto" w:sz="4" w:space="0"/>
            </w:tcBorders>
            <w:noWrap/>
            <w:vAlign w:val="center"/>
          </w:tcPr>
          <w:p w14:paraId="7494887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31717676">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r w14:paraId="065342F4">
        <w:tblPrEx>
          <w:tblCellMar>
            <w:top w:w="0" w:type="dxa"/>
            <w:left w:w="108" w:type="dxa"/>
            <w:bottom w:w="0" w:type="dxa"/>
            <w:right w:w="108" w:type="dxa"/>
          </w:tblCellMar>
        </w:tblPrEx>
        <w:trPr>
          <w:cantSplit/>
          <w:trHeight w:val="340" w:hRule="atLeast"/>
          <w:jc w:val="center"/>
        </w:trPr>
        <w:tc>
          <w:tcPr>
            <w:tcW w:w="3209" w:type="pct"/>
            <w:gridSpan w:val="5"/>
            <w:tcBorders>
              <w:top w:val="single" w:color="auto" w:sz="4" w:space="0"/>
              <w:left w:val="single" w:color="auto" w:sz="4" w:space="0"/>
              <w:bottom w:val="single" w:color="auto" w:sz="4" w:space="0"/>
              <w:right w:val="single" w:color="auto" w:sz="4" w:space="0"/>
            </w:tcBorders>
            <w:noWrap/>
            <w:vAlign w:val="center"/>
          </w:tcPr>
          <w:p w14:paraId="5F8DF454">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r>
              <w:rPr>
                <w:rFonts w:hint="eastAsia" w:ascii="宋体" w:hAnsi="宋体" w:cs="仿宋"/>
                <w:color w:val="auto"/>
                <w:highlight w:val="none"/>
              </w:rPr>
              <w:t>合计</w:t>
            </w:r>
          </w:p>
        </w:tc>
        <w:tc>
          <w:tcPr>
            <w:tcW w:w="473" w:type="pct"/>
            <w:tcBorders>
              <w:top w:val="single" w:color="auto" w:sz="4" w:space="0"/>
              <w:left w:val="nil"/>
              <w:bottom w:val="single" w:color="auto" w:sz="4" w:space="0"/>
              <w:right w:val="single" w:color="auto" w:sz="4" w:space="0"/>
            </w:tcBorders>
            <w:noWrap/>
            <w:vAlign w:val="center"/>
          </w:tcPr>
          <w:p w14:paraId="74FABB39">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c>
          <w:tcPr>
            <w:tcW w:w="1317" w:type="pct"/>
            <w:tcBorders>
              <w:top w:val="single" w:color="auto" w:sz="4" w:space="0"/>
              <w:left w:val="nil"/>
              <w:bottom w:val="single" w:color="auto" w:sz="4" w:space="0"/>
              <w:right w:val="single" w:color="auto" w:sz="4" w:space="0"/>
            </w:tcBorders>
            <w:noWrap/>
            <w:vAlign w:val="center"/>
          </w:tcPr>
          <w:p w14:paraId="144947EA">
            <w:pPr>
              <w:keepNext w:val="0"/>
              <w:keepLines w:val="0"/>
              <w:pageBreakBefore w:val="0"/>
              <w:kinsoku/>
              <w:wordWrap w:val="0"/>
              <w:overflowPunct/>
              <w:topLinePunct w:val="0"/>
              <w:autoSpaceDE/>
              <w:autoSpaceDN/>
              <w:bidi w:val="0"/>
              <w:adjustRightInd/>
              <w:spacing w:line="320" w:lineRule="exact"/>
              <w:jc w:val="center"/>
              <w:textAlignment w:val="auto"/>
              <w:outlineLvl w:val="9"/>
              <w:rPr>
                <w:rFonts w:cs="仿宋"/>
                <w:color w:val="auto"/>
                <w:highlight w:val="none"/>
              </w:rPr>
            </w:pPr>
          </w:p>
        </w:tc>
      </w:tr>
    </w:tbl>
    <w:p w14:paraId="694758A0">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p>
    <w:p w14:paraId="0267478B">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r>
        <w:rPr>
          <w:rFonts w:hint="eastAsia" w:ascii="宋体" w:hAnsi="宋体" w:cs="仿宋"/>
          <w:color w:val="auto"/>
          <w:highlight w:val="none"/>
        </w:rPr>
        <w:t>注：表中（1）～（3）栏由招标人根据具体工程特点提供，投标人可补充。安全文明施工措施项目及费用应按招标项目整体报价。</w:t>
      </w:r>
    </w:p>
    <w:p w14:paraId="3C08C14D">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p>
    <w:p w14:paraId="16640514">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p>
    <w:p w14:paraId="2A543DD8">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p>
    <w:p w14:paraId="22CC1196">
      <w:pPr>
        <w:keepNext w:val="0"/>
        <w:keepLines w:val="0"/>
        <w:pageBreakBefore w:val="0"/>
        <w:kinsoku/>
        <w:wordWrap w:val="0"/>
        <w:overflowPunct/>
        <w:topLinePunct w:val="0"/>
        <w:autoSpaceDE/>
        <w:autoSpaceDN/>
        <w:bidi w:val="0"/>
        <w:jc w:val="center"/>
        <w:textAlignment w:val="auto"/>
        <w:outlineLvl w:val="9"/>
        <w:rPr>
          <w:rFonts w:cs="仿宋"/>
          <w:b/>
          <w:bCs/>
          <w:color w:val="auto"/>
          <w:sz w:val="32"/>
          <w:szCs w:val="28"/>
          <w:highlight w:val="none"/>
        </w:rPr>
      </w:pPr>
      <w:r>
        <w:rPr>
          <w:rFonts w:hint="eastAsia" w:ascii="宋体" w:hAnsi="宋体" w:cs="仿宋"/>
          <w:b/>
          <w:bCs/>
          <w:color w:val="auto"/>
          <w:sz w:val="32"/>
          <w:szCs w:val="28"/>
          <w:highlight w:val="none"/>
        </w:rPr>
        <w:br w:type="page"/>
      </w:r>
      <w:r>
        <w:rPr>
          <w:rFonts w:hint="eastAsia" w:ascii="宋体" w:hAnsi="宋体" w:cs="仿宋"/>
          <w:b/>
          <w:bCs/>
          <w:color w:val="auto"/>
          <w:sz w:val="32"/>
          <w:szCs w:val="28"/>
          <w:highlight w:val="none"/>
        </w:rPr>
        <w:t>表1-4  其他项目清单及计价表</w:t>
      </w:r>
    </w:p>
    <w:p w14:paraId="37CB51B9">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 xml:space="preserve">工程名称： </w:t>
      </w:r>
    </w:p>
    <w:p w14:paraId="45E92B5D">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单位工程名称：                                                     第  页共 页</w:t>
      </w:r>
    </w:p>
    <w:tbl>
      <w:tblPr>
        <w:tblStyle w:val="62"/>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7CA3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4B55895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序号</w:t>
            </w:r>
          </w:p>
        </w:tc>
        <w:tc>
          <w:tcPr>
            <w:tcW w:w="2687" w:type="dxa"/>
            <w:tcBorders>
              <w:top w:val="single" w:color="auto" w:sz="4" w:space="0"/>
              <w:left w:val="single" w:color="auto" w:sz="4" w:space="0"/>
              <w:bottom w:val="single" w:color="auto" w:sz="4" w:space="0"/>
              <w:right w:val="single" w:color="auto" w:sz="4" w:space="0"/>
            </w:tcBorders>
            <w:noWrap/>
            <w:vAlign w:val="center"/>
          </w:tcPr>
          <w:p w14:paraId="0A4A92C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项目名称</w:t>
            </w:r>
          </w:p>
        </w:tc>
        <w:tc>
          <w:tcPr>
            <w:tcW w:w="3178" w:type="dxa"/>
            <w:tcBorders>
              <w:top w:val="single" w:color="auto" w:sz="4" w:space="0"/>
              <w:left w:val="single" w:color="auto" w:sz="4" w:space="0"/>
              <w:bottom w:val="single" w:color="auto" w:sz="4" w:space="0"/>
              <w:right w:val="single" w:color="auto" w:sz="4" w:space="0"/>
            </w:tcBorders>
            <w:noWrap/>
            <w:vAlign w:val="center"/>
          </w:tcPr>
          <w:p w14:paraId="584699C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金额(元)</w:t>
            </w:r>
          </w:p>
        </w:tc>
        <w:tc>
          <w:tcPr>
            <w:tcW w:w="2546" w:type="dxa"/>
            <w:tcBorders>
              <w:top w:val="single" w:color="auto" w:sz="4" w:space="0"/>
              <w:left w:val="single" w:color="auto" w:sz="4" w:space="0"/>
              <w:bottom w:val="single" w:color="auto" w:sz="4" w:space="0"/>
              <w:right w:val="single" w:color="auto" w:sz="4" w:space="0"/>
            </w:tcBorders>
            <w:noWrap/>
            <w:vAlign w:val="center"/>
          </w:tcPr>
          <w:p w14:paraId="6A533D4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备注</w:t>
            </w:r>
          </w:p>
        </w:tc>
      </w:tr>
      <w:tr w14:paraId="5139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3EA1CD4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2687" w:type="dxa"/>
            <w:tcBorders>
              <w:top w:val="single" w:color="auto" w:sz="4" w:space="0"/>
              <w:left w:val="single" w:color="auto" w:sz="4" w:space="0"/>
              <w:bottom w:val="single" w:color="auto" w:sz="4" w:space="0"/>
              <w:right w:val="single" w:color="auto" w:sz="4" w:space="0"/>
            </w:tcBorders>
            <w:noWrap/>
            <w:vAlign w:val="center"/>
          </w:tcPr>
          <w:p w14:paraId="750D44C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暂列金额</w:t>
            </w:r>
          </w:p>
        </w:tc>
        <w:tc>
          <w:tcPr>
            <w:tcW w:w="3178" w:type="dxa"/>
            <w:tcBorders>
              <w:top w:val="single" w:color="auto" w:sz="4" w:space="0"/>
              <w:left w:val="single" w:color="auto" w:sz="4" w:space="0"/>
              <w:bottom w:val="single" w:color="auto" w:sz="4" w:space="0"/>
              <w:right w:val="single" w:color="auto" w:sz="4" w:space="0"/>
            </w:tcBorders>
            <w:noWrap/>
            <w:vAlign w:val="center"/>
          </w:tcPr>
          <w:p w14:paraId="72E3B49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4D33D93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2A70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5C08BD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2687" w:type="dxa"/>
            <w:tcBorders>
              <w:top w:val="single" w:color="auto" w:sz="4" w:space="0"/>
              <w:left w:val="single" w:color="auto" w:sz="4" w:space="0"/>
              <w:bottom w:val="single" w:color="auto" w:sz="4" w:space="0"/>
              <w:right w:val="single" w:color="auto" w:sz="4" w:space="0"/>
            </w:tcBorders>
            <w:noWrap/>
            <w:vAlign w:val="center"/>
          </w:tcPr>
          <w:p w14:paraId="1B05051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计日工</w:t>
            </w:r>
          </w:p>
        </w:tc>
        <w:tc>
          <w:tcPr>
            <w:tcW w:w="3178" w:type="dxa"/>
            <w:tcBorders>
              <w:top w:val="single" w:color="auto" w:sz="4" w:space="0"/>
              <w:left w:val="single" w:color="auto" w:sz="4" w:space="0"/>
              <w:bottom w:val="single" w:color="auto" w:sz="4" w:space="0"/>
              <w:right w:val="single" w:color="auto" w:sz="4" w:space="0"/>
            </w:tcBorders>
            <w:noWrap/>
            <w:vAlign w:val="center"/>
          </w:tcPr>
          <w:p w14:paraId="1B7E1C7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019BE6E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明细表详见1-4-1</w:t>
            </w:r>
          </w:p>
        </w:tc>
      </w:tr>
      <w:tr w14:paraId="16D5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78982E4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3</w:t>
            </w:r>
          </w:p>
        </w:tc>
        <w:tc>
          <w:tcPr>
            <w:tcW w:w="2687" w:type="dxa"/>
            <w:tcBorders>
              <w:top w:val="single" w:color="auto" w:sz="4" w:space="0"/>
              <w:left w:val="single" w:color="auto" w:sz="4" w:space="0"/>
              <w:bottom w:val="single" w:color="auto" w:sz="4" w:space="0"/>
              <w:right w:val="single" w:color="auto" w:sz="4" w:space="0"/>
            </w:tcBorders>
            <w:noWrap/>
            <w:vAlign w:val="center"/>
          </w:tcPr>
          <w:p w14:paraId="7747D9C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总承包服务费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1F00E57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BCA8A6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明细表详见1-4-2</w:t>
            </w:r>
          </w:p>
        </w:tc>
      </w:tr>
      <w:tr w14:paraId="2FC6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48AC4A2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4</w:t>
            </w:r>
          </w:p>
        </w:tc>
        <w:tc>
          <w:tcPr>
            <w:tcW w:w="2687" w:type="dxa"/>
            <w:tcBorders>
              <w:top w:val="single" w:color="auto" w:sz="4" w:space="0"/>
              <w:left w:val="single" w:color="auto" w:sz="4" w:space="0"/>
              <w:bottom w:val="single" w:color="auto" w:sz="4" w:space="0"/>
              <w:right w:val="single" w:color="auto" w:sz="4" w:space="0"/>
            </w:tcBorders>
            <w:noWrap/>
            <w:vAlign w:val="center"/>
          </w:tcPr>
          <w:p w14:paraId="2B40AB4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标化工地增加费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7CFC558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4C9980D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暂列费用</w:t>
            </w:r>
          </w:p>
        </w:tc>
      </w:tr>
      <w:tr w14:paraId="484A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7F47A04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5</w:t>
            </w:r>
          </w:p>
        </w:tc>
        <w:tc>
          <w:tcPr>
            <w:tcW w:w="2687" w:type="dxa"/>
            <w:tcBorders>
              <w:top w:val="single" w:color="auto" w:sz="4" w:space="0"/>
              <w:left w:val="single" w:color="auto" w:sz="4" w:space="0"/>
              <w:bottom w:val="single" w:color="auto" w:sz="4" w:space="0"/>
              <w:right w:val="single" w:color="auto" w:sz="4" w:space="0"/>
            </w:tcBorders>
            <w:noWrap/>
            <w:vAlign w:val="center"/>
          </w:tcPr>
          <w:p w14:paraId="194125D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优质工程增加费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05F7AAD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0ECD936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暂列费用</w:t>
            </w:r>
          </w:p>
        </w:tc>
      </w:tr>
      <w:tr w14:paraId="66D2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420C668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7A55EC2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3178" w:type="dxa"/>
            <w:tcBorders>
              <w:top w:val="single" w:color="auto" w:sz="4" w:space="0"/>
              <w:left w:val="single" w:color="auto" w:sz="4" w:space="0"/>
              <w:bottom w:val="single" w:color="auto" w:sz="4" w:space="0"/>
              <w:right w:val="single" w:color="auto" w:sz="4" w:space="0"/>
            </w:tcBorders>
            <w:noWrap/>
            <w:vAlign w:val="center"/>
          </w:tcPr>
          <w:p w14:paraId="4CDE1F3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31003B3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5294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B6F025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1E22F4B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合计</w:t>
            </w:r>
          </w:p>
        </w:tc>
        <w:tc>
          <w:tcPr>
            <w:tcW w:w="3178" w:type="dxa"/>
            <w:tcBorders>
              <w:top w:val="single" w:color="auto" w:sz="4" w:space="0"/>
              <w:left w:val="single" w:color="auto" w:sz="4" w:space="0"/>
              <w:bottom w:val="single" w:color="auto" w:sz="4" w:space="0"/>
              <w:right w:val="single" w:color="auto" w:sz="4" w:space="0"/>
            </w:tcBorders>
            <w:noWrap/>
            <w:vAlign w:val="center"/>
          </w:tcPr>
          <w:p w14:paraId="360C72B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7782C12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bl>
    <w:p w14:paraId="4001ACD0">
      <w:pPr>
        <w:keepNext w:val="0"/>
        <w:keepLines w:val="0"/>
        <w:pageBreakBefore w:val="0"/>
        <w:kinsoku/>
        <w:wordWrap w:val="0"/>
        <w:overflowPunct/>
        <w:topLinePunct w:val="0"/>
        <w:autoSpaceDE/>
        <w:autoSpaceDN/>
        <w:bidi w:val="0"/>
        <w:jc w:val="center"/>
        <w:textAlignment w:val="auto"/>
        <w:outlineLvl w:val="9"/>
        <w:rPr>
          <w:rFonts w:cs="仿宋"/>
          <w:b/>
          <w:bCs/>
          <w:color w:val="auto"/>
          <w:sz w:val="32"/>
          <w:szCs w:val="28"/>
          <w:highlight w:val="none"/>
        </w:rPr>
      </w:pPr>
      <w:r>
        <w:rPr>
          <w:rFonts w:hint="eastAsia" w:ascii="宋体" w:hAnsi="宋体" w:cs="仿宋"/>
          <w:b/>
          <w:bCs/>
          <w:color w:val="auto"/>
          <w:sz w:val="32"/>
          <w:szCs w:val="28"/>
          <w:highlight w:val="none"/>
        </w:rPr>
        <w:br w:type="page"/>
      </w:r>
      <w:r>
        <w:rPr>
          <w:rFonts w:hint="eastAsia" w:ascii="宋体" w:hAnsi="宋体" w:cs="仿宋"/>
          <w:b/>
          <w:bCs/>
          <w:color w:val="auto"/>
          <w:sz w:val="32"/>
          <w:szCs w:val="28"/>
          <w:highlight w:val="none"/>
        </w:rPr>
        <w:t>表1-4-1  计日工表</w:t>
      </w:r>
    </w:p>
    <w:p w14:paraId="7133C1C7">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 xml:space="preserve">工程名称：                                   </w:t>
      </w:r>
    </w:p>
    <w:p w14:paraId="6E7E4539">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单位工程名称：                                     第  页共  页</w:t>
      </w:r>
    </w:p>
    <w:tbl>
      <w:tblPr>
        <w:tblStyle w:val="62"/>
        <w:tblW w:w="9189" w:type="dxa"/>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880"/>
        <w:gridCol w:w="960"/>
        <w:gridCol w:w="1506"/>
        <w:gridCol w:w="1509"/>
        <w:gridCol w:w="1506"/>
      </w:tblGrid>
      <w:tr w14:paraId="7547A7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8" w:space="0"/>
              <w:left w:val="single" w:color="auto" w:sz="8" w:space="0"/>
              <w:bottom w:val="single" w:color="auto" w:sz="6" w:space="0"/>
              <w:right w:val="single" w:color="auto" w:sz="6" w:space="0"/>
            </w:tcBorders>
            <w:noWrap/>
            <w:vAlign w:val="center"/>
          </w:tcPr>
          <w:p w14:paraId="2119909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编号</w:t>
            </w:r>
          </w:p>
        </w:tc>
        <w:tc>
          <w:tcPr>
            <w:tcW w:w="2880" w:type="dxa"/>
            <w:tcBorders>
              <w:top w:val="single" w:color="auto" w:sz="8" w:space="0"/>
              <w:left w:val="single" w:color="auto" w:sz="6" w:space="0"/>
              <w:bottom w:val="single" w:color="auto" w:sz="6" w:space="0"/>
              <w:right w:val="single" w:color="auto" w:sz="6" w:space="0"/>
            </w:tcBorders>
            <w:noWrap/>
            <w:vAlign w:val="center"/>
          </w:tcPr>
          <w:p w14:paraId="02FA6E0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项 目 名 称</w:t>
            </w:r>
          </w:p>
        </w:tc>
        <w:tc>
          <w:tcPr>
            <w:tcW w:w="960" w:type="dxa"/>
            <w:tcBorders>
              <w:top w:val="single" w:color="auto" w:sz="8" w:space="0"/>
              <w:left w:val="single" w:color="auto" w:sz="6" w:space="0"/>
              <w:bottom w:val="single" w:color="auto" w:sz="6" w:space="0"/>
              <w:right w:val="single" w:color="auto" w:sz="6" w:space="0"/>
            </w:tcBorders>
            <w:noWrap/>
            <w:vAlign w:val="center"/>
          </w:tcPr>
          <w:p w14:paraId="0BA839F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单位</w:t>
            </w:r>
          </w:p>
        </w:tc>
        <w:tc>
          <w:tcPr>
            <w:tcW w:w="1506" w:type="dxa"/>
            <w:tcBorders>
              <w:top w:val="single" w:color="auto" w:sz="8" w:space="0"/>
              <w:left w:val="single" w:color="auto" w:sz="6" w:space="0"/>
              <w:bottom w:val="single" w:color="auto" w:sz="6" w:space="0"/>
              <w:right w:val="single" w:color="auto" w:sz="6" w:space="0"/>
            </w:tcBorders>
            <w:noWrap/>
            <w:vAlign w:val="center"/>
          </w:tcPr>
          <w:p w14:paraId="5084D08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数量</w:t>
            </w:r>
          </w:p>
        </w:tc>
        <w:tc>
          <w:tcPr>
            <w:tcW w:w="1509" w:type="dxa"/>
            <w:tcBorders>
              <w:top w:val="single" w:color="auto" w:sz="8" w:space="0"/>
              <w:left w:val="single" w:color="auto" w:sz="6" w:space="0"/>
              <w:bottom w:val="single" w:color="auto" w:sz="6" w:space="0"/>
              <w:right w:val="single" w:color="auto" w:sz="6" w:space="0"/>
            </w:tcBorders>
            <w:noWrap/>
            <w:vAlign w:val="center"/>
          </w:tcPr>
          <w:p w14:paraId="5CC4E42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综合单价（元）</w:t>
            </w:r>
          </w:p>
        </w:tc>
        <w:tc>
          <w:tcPr>
            <w:tcW w:w="1506" w:type="dxa"/>
            <w:tcBorders>
              <w:top w:val="single" w:color="auto" w:sz="8" w:space="0"/>
              <w:left w:val="single" w:color="auto" w:sz="6" w:space="0"/>
              <w:bottom w:val="single" w:color="auto" w:sz="6" w:space="0"/>
              <w:right w:val="single" w:color="auto" w:sz="8" w:space="0"/>
            </w:tcBorders>
            <w:noWrap/>
            <w:vAlign w:val="center"/>
          </w:tcPr>
          <w:p w14:paraId="441D7FF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合价（元）</w:t>
            </w:r>
          </w:p>
        </w:tc>
      </w:tr>
      <w:tr w14:paraId="6C0169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14:paraId="1B562D5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2880" w:type="dxa"/>
            <w:tcBorders>
              <w:top w:val="single" w:color="auto" w:sz="6" w:space="0"/>
              <w:left w:val="single" w:color="auto" w:sz="6" w:space="0"/>
              <w:bottom w:val="single" w:color="auto" w:sz="6" w:space="0"/>
              <w:right w:val="single" w:color="auto" w:sz="6" w:space="0"/>
            </w:tcBorders>
            <w:noWrap/>
            <w:vAlign w:val="center"/>
          </w:tcPr>
          <w:p w14:paraId="7AA3F8F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960" w:type="dxa"/>
            <w:tcBorders>
              <w:top w:val="single" w:color="auto" w:sz="6" w:space="0"/>
              <w:left w:val="single" w:color="auto" w:sz="6" w:space="0"/>
              <w:bottom w:val="single" w:color="auto" w:sz="6" w:space="0"/>
              <w:right w:val="single" w:color="auto" w:sz="6" w:space="0"/>
            </w:tcBorders>
            <w:noWrap/>
            <w:vAlign w:val="center"/>
          </w:tcPr>
          <w:p w14:paraId="5BF4800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（3）</w:t>
            </w:r>
          </w:p>
        </w:tc>
        <w:tc>
          <w:tcPr>
            <w:tcW w:w="1506" w:type="dxa"/>
            <w:tcBorders>
              <w:top w:val="single" w:color="auto" w:sz="6" w:space="0"/>
              <w:left w:val="single" w:color="auto" w:sz="6" w:space="0"/>
              <w:bottom w:val="single" w:color="auto" w:sz="6" w:space="0"/>
              <w:right w:val="single" w:color="auto" w:sz="6" w:space="0"/>
            </w:tcBorders>
            <w:noWrap/>
            <w:vAlign w:val="center"/>
          </w:tcPr>
          <w:p w14:paraId="69E4CE7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（4）</w:t>
            </w:r>
          </w:p>
        </w:tc>
        <w:tc>
          <w:tcPr>
            <w:tcW w:w="1509" w:type="dxa"/>
            <w:tcBorders>
              <w:top w:val="single" w:color="auto" w:sz="6" w:space="0"/>
              <w:left w:val="single" w:color="auto" w:sz="6" w:space="0"/>
              <w:bottom w:val="single" w:color="auto" w:sz="6" w:space="0"/>
              <w:right w:val="single" w:color="auto" w:sz="6" w:space="0"/>
            </w:tcBorders>
            <w:noWrap/>
            <w:vAlign w:val="center"/>
          </w:tcPr>
          <w:p w14:paraId="7B2B2A2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14:paraId="0DEB3EA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157280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14:paraId="59A8634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一</w:t>
            </w:r>
          </w:p>
        </w:tc>
        <w:tc>
          <w:tcPr>
            <w:tcW w:w="2880" w:type="dxa"/>
            <w:tcBorders>
              <w:top w:val="single" w:color="auto" w:sz="6" w:space="0"/>
              <w:left w:val="single" w:color="auto" w:sz="6" w:space="0"/>
              <w:bottom w:val="single" w:color="auto" w:sz="6" w:space="0"/>
              <w:right w:val="single" w:color="auto" w:sz="6" w:space="0"/>
            </w:tcBorders>
            <w:noWrap/>
            <w:vAlign w:val="center"/>
          </w:tcPr>
          <w:p w14:paraId="51EFAA3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人    工</w:t>
            </w:r>
          </w:p>
        </w:tc>
        <w:tc>
          <w:tcPr>
            <w:tcW w:w="960" w:type="dxa"/>
            <w:tcBorders>
              <w:top w:val="single" w:color="auto" w:sz="6" w:space="0"/>
              <w:left w:val="single" w:color="auto" w:sz="6" w:space="0"/>
              <w:bottom w:val="single" w:color="auto" w:sz="6" w:space="0"/>
              <w:right w:val="single" w:color="auto" w:sz="6" w:space="0"/>
            </w:tcBorders>
            <w:noWrap/>
            <w:vAlign w:val="center"/>
          </w:tcPr>
          <w:p w14:paraId="3C26677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14:paraId="283E6FB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14:paraId="07F6CCB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14:paraId="7701024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565BB43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14:paraId="5644C73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2880" w:type="dxa"/>
            <w:tcBorders>
              <w:top w:val="single" w:color="auto" w:sz="6" w:space="0"/>
              <w:left w:val="single" w:color="auto" w:sz="6" w:space="0"/>
              <w:bottom w:val="single" w:color="auto" w:sz="6" w:space="0"/>
              <w:right w:val="single" w:color="auto" w:sz="6" w:space="0"/>
            </w:tcBorders>
            <w:noWrap/>
            <w:vAlign w:val="center"/>
          </w:tcPr>
          <w:p w14:paraId="1D6F298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14:paraId="7BAC8FA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14:paraId="08C21FB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14:paraId="60EC8F7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14:paraId="7363A5D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6A795B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14:paraId="5C8AE00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2880" w:type="dxa"/>
            <w:tcBorders>
              <w:top w:val="single" w:color="auto" w:sz="6" w:space="0"/>
              <w:left w:val="single" w:color="auto" w:sz="6" w:space="0"/>
              <w:bottom w:val="single" w:color="auto" w:sz="6" w:space="0"/>
              <w:right w:val="single" w:color="auto" w:sz="6" w:space="0"/>
            </w:tcBorders>
            <w:noWrap/>
            <w:vAlign w:val="center"/>
          </w:tcPr>
          <w:p w14:paraId="1FED471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14:paraId="6252F7A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14:paraId="0239013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14:paraId="2E1ACF9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14:paraId="6C4CA5B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0CC67D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14:paraId="5AC2AB1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3</w:t>
            </w:r>
          </w:p>
        </w:tc>
        <w:tc>
          <w:tcPr>
            <w:tcW w:w="2880" w:type="dxa"/>
            <w:tcBorders>
              <w:top w:val="single" w:color="auto" w:sz="6" w:space="0"/>
              <w:left w:val="single" w:color="auto" w:sz="6" w:space="0"/>
              <w:bottom w:val="single" w:color="auto" w:sz="6" w:space="0"/>
              <w:right w:val="single" w:color="auto" w:sz="6" w:space="0"/>
            </w:tcBorders>
            <w:noWrap/>
            <w:vAlign w:val="center"/>
          </w:tcPr>
          <w:p w14:paraId="1706098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14:paraId="07BA000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14:paraId="1CF8931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14:paraId="6530CA0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14:paraId="032CF15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561CA56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14:paraId="6096117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4</w:t>
            </w:r>
          </w:p>
        </w:tc>
        <w:tc>
          <w:tcPr>
            <w:tcW w:w="2880" w:type="dxa"/>
            <w:tcBorders>
              <w:top w:val="single" w:color="auto" w:sz="6" w:space="0"/>
              <w:left w:val="single" w:color="auto" w:sz="6" w:space="0"/>
              <w:bottom w:val="single" w:color="auto" w:sz="6" w:space="0"/>
              <w:right w:val="single" w:color="auto" w:sz="6" w:space="0"/>
            </w:tcBorders>
            <w:noWrap/>
            <w:vAlign w:val="center"/>
          </w:tcPr>
          <w:p w14:paraId="194DF6A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14:paraId="64C9734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14:paraId="52534F0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14:paraId="2F3A3D0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14:paraId="3312370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3BE952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tcBorders>
              <w:top w:val="single" w:color="auto" w:sz="6" w:space="0"/>
              <w:left w:val="single" w:color="auto" w:sz="8" w:space="0"/>
              <w:bottom w:val="single" w:color="auto" w:sz="6" w:space="0"/>
              <w:right w:val="single" w:color="auto" w:sz="6" w:space="0"/>
            </w:tcBorders>
            <w:noWrap/>
            <w:vAlign w:val="center"/>
          </w:tcPr>
          <w:p w14:paraId="032C7A6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人 工 小 计</w:t>
            </w:r>
          </w:p>
        </w:tc>
        <w:tc>
          <w:tcPr>
            <w:tcW w:w="1506" w:type="dxa"/>
            <w:tcBorders>
              <w:top w:val="single" w:color="auto" w:sz="6" w:space="0"/>
              <w:left w:val="single" w:color="auto" w:sz="6" w:space="0"/>
              <w:bottom w:val="single" w:color="auto" w:sz="6" w:space="0"/>
              <w:right w:val="single" w:color="auto" w:sz="8" w:space="0"/>
            </w:tcBorders>
            <w:noWrap/>
            <w:vAlign w:val="center"/>
          </w:tcPr>
          <w:p w14:paraId="3F59D40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4C93BA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14:paraId="6FE1F04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二</w:t>
            </w:r>
          </w:p>
        </w:tc>
        <w:tc>
          <w:tcPr>
            <w:tcW w:w="2880" w:type="dxa"/>
            <w:tcBorders>
              <w:top w:val="single" w:color="auto" w:sz="6" w:space="0"/>
              <w:left w:val="single" w:color="auto" w:sz="6" w:space="0"/>
              <w:bottom w:val="single" w:color="auto" w:sz="6" w:space="0"/>
              <w:right w:val="single" w:color="auto" w:sz="6" w:space="0"/>
            </w:tcBorders>
            <w:noWrap/>
            <w:vAlign w:val="center"/>
          </w:tcPr>
          <w:p w14:paraId="1EEC02D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材    料</w:t>
            </w:r>
          </w:p>
        </w:tc>
        <w:tc>
          <w:tcPr>
            <w:tcW w:w="960" w:type="dxa"/>
            <w:tcBorders>
              <w:top w:val="single" w:color="auto" w:sz="6" w:space="0"/>
              <w:left w:val="single" w:color="auto" w:sz="6" w:space="0"/>
              <w:bottom w:val="single" w:color="auto" w:sz="6" w:space="0"/>
              <w:right w:val="single" w:color="auto" w:sz="6" w:space="0"/>
            </w:tcBorders>
            <w:noWrap/>
            <w:vAlign w:val="center"/>
          </w:tcPr>
          <w:p w14:paraId="4106150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14:paraId="7038A38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14:paraId="6FC8F4A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14:paraId="4A2E0F9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078674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14:paraId="2673AD9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2880" w:type="dxa"/>
            <w:tcBorders>
              <w:top w:val="single" w:color="auto" w:sz="6" w:space="0"/>
              <w:left w:val="single" w:color="auto" w:sz="6" w:space="0"/>
              <w:bottom w:val="single" w:color="auto" w:sz="6" w:space="0"/>
              <w:right w:val="single" w:color="auto" w:sz="6" w:space="0"/>
            </w:tcBorders>
            <w:noWrap/>
            <w:vAlign w:val="center"/>
          </w:tcPr>
          <w:p w14:paraId="4C330A9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14:paraId="05D1761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14:paraId="04D1BB0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14:paraId="0DB5121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14:paraId="57F8ACF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0D9B7D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14:paraId="0F420AE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2880" w:type="dxa"/>
            <w:tcBorders>
              <w:top w:val="single" w:color="auto" w:sz="6" w:space="0"/>
              <w:left w:val="single" w:color="auto" w:sz="6" w:space="0"/>
              <w:bottom w:val="single" w:color="auto" w:sz="6" w:space="0"/>
              <w:right w:val="single" w:color="auto" w:sz="6" w:space="0"/>
            </w:tcBorders>
            <w:noWrap/>
            <w:vAlign w:val="center"/>
          </w:tcPr>
          <w:p w14:paraId="3B1A6B1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14:paraId="0FE6590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14:paraId="35F3904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14:paraId="1ECB962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14:paraId="7540E02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448A1A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14:paraId="07FAD18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3</w:t>
            </w:r>
          </w:p>
        </w:tc>
        <w:tc>
          <w:tcPr>
            <w:tcW w:w="2880" w:type="dxa"/>
            <w:tcBorders>
              <w:top w:val="single" w:color="auto" w:sz="6" w:space="0"/>
              <w:left w:val="single" w:color="auto" w:sz="6" w:space="0"/>
              <w:bottom w:val="single" w:color="auto" w:sz="6" w:space="0"/>
              <w:right w:val="single" w:color="auto" w:sz="6" w:space="0"/>
            </w:tcBorders>
            <w:noWrap/>
            <w:vAlign w:val="center"/>
          </w:tcPr>
          <w:p w14:paraId="4D7DAE0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14:paraId="3A875A2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14:paraId="3A05E4B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14:paraId="328E600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14:paraId="3516D89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650AB5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14:paraId="22F642B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4</w:t>
            </w:r>
          </w:p>
        </w:tc>
        <w:tc>
          <w:tcPr>
            <w:tcW w:w="2880" w:type="dxa"/>
            <w:tcBorders>
              <w:top w:val="single" w:color="auto" w:sz="6" w:space="0"/>
              <w:left w:val="single" w:color="auto" w:sz="6" w:space="0"/>
              <w:bottom w:val="single" w:color="auto" w:sz="6" w:space="0"/>
              <w:right w:val="single" w:color="auto" w:sz="6" w:space="0"/>
            </w:tcBorders>
            <w:noWrap/>
            <w:vAlign w:val="center"/>
          </w:tcPr>
          <w:p w14:paraId="0AD8D61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14:paraId="7ECA75F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14:paraId="6A80AC2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14:paraId="4919278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14:paraId="14C30D0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020860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tcBorders>
              <w:top w:val="single" w:color="auto" w:sz="6" w:space="0"/>
              <w:left w:val="single" w:color="auto" w:sz="8" w:space="0"/>
              <w:bottom w:val="single" w:color="auto" w:sz="6" w:space="0"/>
              <w:right w:val="single" w:color="auto" w:sz="6" w:space="0"/>
            </w:tcBorders>
            <w:noWrap/>
            <w:vAlign w:val="center"/>
          </w:tcPr>
          <w:p w14:paraId="7C532F9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材 料 小 计</w:t>
            </w:r>
          </w:p>
        </w:tc>
        <w:tc>
          <w:tcPr>
            <w:tcW w:w="1506" w:type="dxa"/>
            <w:tcBorders>
              <w:top w:val="single" w:color="auto" w:sz="6" w:space="0"/>
              <w:left w:val="single" w:color="auto" w:sz="6" w:space="0"/>
              <w:bottom w:val="single" w:color="auto" w:sz="6" w:space="0"/>
              <w:right w:val="single" w:color="auto" w:sz="8" w:space="0"/>
            </w:tcBorders>
            <w:noWrap/>
            <w:vAlign w:val="center"/>
          </w:tcPr>
          <w:p w14:paraId="775740D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45D66B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14:paraId="0590D81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三</w:t>
            </w:r>
          </w:p>
        </w:tc>
        <w:tc>
          <w:tcPr>
            <w:tcW w:w="2880" w:type="dxa"/>
            <w:tcBorders>
              <w:top w:val="single" w:color="auto" w:sz="6" w:space="0"/>
              <w:left w:val="single" w:color="auto" w:sz="6" w:space="0"/>
              <w:bottom w:val="single" w:color="auto" w:sz="6" w:space="0"/>
              <w:right w:val="single" w:color="auto" w:sz="6" w:space="0"/>
            </w:tcBorders>
            <w:noWrap/>
            <w:vAlign w:val="center"/>
          </w:tcPr>
          <w:p w14:paraId="022A088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施工机械</w:t>
            </w:r>
          </w:p>
        </w:tc>
        <w:tc>
          <w:tcPr>
            <w:tcW w:w="960" w:type="dxa"/>
            <w:tcBorders>
              <w:top w:val="single" w:color="auto" w:sz="6" w:space="0"/>
              <w:left w:val="single" w:color="auto" w:sz="6" w:space="0"/>
              <w:bottom w:val="single" w:color="auto" w:sz="6" w:space="0"/>
              <w:right w:val="single" w:color="auto" w:sz="6" w:space="0"/>
            </w:tcBorders>
            <w:noWrap/>
            <w:vAlign w:val="center"/>
          </w:tcPr>
          <w:p w14:paraId="397C089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14:paraId="45FC811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14:paraId="37A036C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14:paraId="285E25B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66091E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14:paraId="6DEC6C4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2880" w:type="dxa"/>
            <w:tcBorders>
              <w:top w:val="single" w:color="auto" w:sz="6" w:space="0"/>
              <w:left w:val="single" w:color="auto" w:sz="6" w:space="0"/>
              <w:bottom w:val="single" w:color="auto" w:sz="6" w:space="0"/>
              <w:right w:val="single" w:color="auto" w:sz="6" w:space="0"/>
            </w:tcBorders>
            <w:noWrap/>
            <w:vAlign w:val="center"/>
          </w:tcPr>
          <w:p w14:paraId="340A3DB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14:paraId="17ACFA8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14:paraId="7336E99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14:paraId="0015C3A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14:paraId="041B33A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400336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14:paraId="1F54E7F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2880" w:type="dxa"/>
            <w:tcBorders>
              <w:top w:val="single" w:color="auto" w:sz="6" w:space="0"/>
              <w:left w:val="single" w:color="auto" w:sz="6" w:space="0"/>
              <w:bottom w:val="single" w:color="auto" w:sz="6" w:space="0"/>
              <w:right w:val="single" w:color="auto" w:sz="6" w:space="0"/>
            </w:tcBorders>
            <w:noWrap/>
            <w:vAlign w:val="center"/>
          </w:tcPr>
          <w:p w14:paraId="300E6E3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14:paraId="3CF4E84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14:paraId="4390B5C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14:paraId="6C4B3E6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14:paraId="359E988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3EC887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14:paraId="3D041FB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3</w:t>
            </w:r>
          </w:p>
        </w:tc>
        <w:tc>
          <w:tcPr>
            <w:tcW w:w="2880" w:type="dxa"/>
            <w:tcBorders>
              <w:top w:val="single" w:color="auto" w:sz="6" w:space="0"/>
              <w:left w:val="single" w:color="auto" w:sz="6" w:space="0"/>
              <w:bottom w:val="single" w:color="auto" w:sz="6" w:space="0"/>
              <w:right w:val="single" w:color="auto" w:sz="6" w:space="0"/>
            </w:tcBorders>
            <w:noWrap/>
            <w:vAlign w:val="center"/>
          </w:tcPr>
          <w:p w14:paraId="7BA48AB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14:paraId="760B8CF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14:paraId="65D9FC4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14:paraId="192F953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14:paraId="70CBCB8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470811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tcBorders>
              <w:top w:val="single" w:color="auto" w:sz="6" w:space="0"/>
              <w:left w:val="single" w:color="auto" w:sz="8" w:space="0"/>
              <w:bottom w:val="single" w:color="auto" w:sz="6" w:space="0"/>
              <w:right w:val="single" w:color="auto" w:sz="6" w:space="0"/>
            </w:tcBorders>
            <w:noWrap/>
            <w:vAlign w:val="center"/>
          </w:tcPr>
          <w:p w14:paraId="60E2408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4</w:t>
            </w:r>
          </w:p>
        </w:tc>
        <w:tc>
          <w:tcPr>
            <w:tcW w:w="2880" w:type="dxa"/>
            <w:tcBorders>
              <w:top w:val="single" w:color="auto" w:sz="6" w:space="0"/>
              <w:left w:val="single" w:color="auto" w:sz="6" w:space="0"/>
              <w:bottom w:val="single" w:color="auto" w:sz="6" w:space="0"/>
              <w:right w:val="single" w:color="auto" w:sz="6" w:space="0"/>
            </w:tcBorders>
            <w:noWrap/>
            <w:vAlign w:val="center"/>
          </w:tcPr>
          <w:p w14:paraId="0CD564E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60" w:type="dxa"/>
            <w:tcBorders>
              <w:top w:val="single" w:color="auto" w:sz="6" w:space="0"/>
              <w:left w:val="single" w:color="auto" w:sz="6" w:space="0"/>
              <w:bottom w:val="single" w:color="auto" w:sz="6" w:space="0"/>
              <w:right w:val="single" w:color="auto" w:sz="6" w:space="0"/>
            </w:tcBorders>
            <w:noWrap/>
            <w:vAlign w:val="center"/>
          </w:tcPr>
          <w:p w14:paraId="255B419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6" w:type="dxa"/>
            <w:tcBorders>
              <w:top w:val="single" w:color="auto" w:sz="6" w:space="0"/>
              <w:left w:val="single" w:color="auto" w:sz="6" w:space="0"/>
              <w:bottom w:val="single" w:color="auto" w:sz="6" w:space="0"/>
              <w:right w:val="single" w:color="auto" w:sz="6" w:space="0"/>
            </w:tcBorders>
            <w:noWrap/>
            <w:vAlign w:val="center"/>
          </w:tcPr>
          <w:p w14:paraId="1813B5D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9" w:type="dxa"/>
            <w:tcBorders>
              <w:top w:val="single" w:color="auto" w:sz="6" w:space="0"/>
              <w:left w:val="single" w:color="auto" w:sz="6" w:space="0"/>
              <w:bottom w:val="single" w:color="auto" w:sz="6" w:space="0"/>
              <w:right w:val="single" w:color="auto" w:sz="6" w:space="0"/>
            </w:tcBorders>
            <w:noWrap/>
            <w:vAlign w:val="center"/>
          </w:tcPr>
          <w:p w14:paraId="1ACC452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06" w:type="dxa"/>
            <w:tcBorders>
              <w:top w:val="single" w:color="auto" w:sz="6" w:space="0"/>
              <w:left w:val="single" w:color="auto" w:sz="6" w:space="0"/>
              <w:bottom w:val="single" w:color="auto" w:sz="6" w:space="0"/>
              <w:right w:val="single" w:color="auto" w:sz="8" w:space="0"/>
            </w:tcBorders>
            <w:noWrap/>
            <w:vAlign w:val="center"/>
          </w:tcPr>
          <w:p w14:paraId="143A0C7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2AC4BF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tcBorders>
              <w:top w:val="single" w:color="auto" w:sz="6" w:space="0"/>
              <w:left w:val="single" w:color="auto" w:sz="8" w:space="0"/>
              <w:bottom w:val="single" w:color="auto" w:sz="6" w:space="0"/>
              <w:right w:val="single" w:color="auto" w:sz="6" w:space="0"/>
            </w:tcBorders>
            <w:noWrap/>
            <w:vAlign w:val="center"/>
          </w:tcPr>
          <w:p w14:paraId="17582D4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施工机械小计</w:t>
            </w:r>
          </w:p>
        </w:tc>
        <w:tc>
          <w:tcPr>
            <w:tcW w:w="1506" w:type="dxa"/>
            <w:tcBorders>
              <w:top w:val="single" w:color="auto" w:sz="6" w:space="0"/>
              <w:left w:val="single" w:color="auto" w:sz="6" w:space="0"/>
              <w:bottom w:val="single" w:color="auto" w:sz="6" w:space="0"/>
              <w:right w:val="single" w:color="auto" w:sz="8" w:space="0"/>
            </w:tcBorders>
            <w:noWrap/>
            <w:vAlign w:val="center"/>
          </w:tcPr>
          <w:p w14:paraId="1C49EEE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1D2CCE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tcBorders>
              <w:top w:val="single" w:color="auto" w:sz="6" w:space="0"/>
              <w:left w:val="single" w:color="auto" w:sz="8" w:space="0"/>
              <w:bottom w:val="single" w:color="auto" w:sz="8" w:space="0"/>
              <w:right w:val="single" w:color="auto" w:sz="6" w:space="0"/>
            </w:tcBorders>
            <w:noWrap/>
            <w:vAlign w:val="center"/>
          </w:tcPr>
          <w:p w14:paraId="2ED2165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合    计</w:t>
            </w:r>
          </w:p>
        </w:tc>
        <w:tc>
          <w:tcPr>
            <w:tcW w:w="1506" w:type="dxa"/>
            <w:tcBorders>
              <w:top w:val="single" w:color="auto" w:sz="6" w:space="0"/>
              <w:left w:val="single" w:color="auto" w:sz="6" w:space="0"/>
              <w:bottom w:val="single" w:color="auto" w:sz="8" w:space="0"/>
              <w:right w:val="single" w:color="auto" w:sz="8" w:space="0"/>
            </w:tcBorders>
            <w:noWrap/>
            <w:vAlign w:val="center"/>
          </w:tcPr>
          <w:p w14:paraId="006EF5C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bl>
    <w:p w14:paraId="4E932137">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r>
        <w:rPr>
          <w:rFonts w:hint="eastAsia" w:ascii="宋体" w:hAnsi="宋体" w:cs="仿宋"/>
          <w:color w:val="auto"/>
          <w:highlight w:val="none"/>
        </w:rPr>
        <w:t>注：表中（1）～（4）由招标人按需要提出，其中第（4）栏数量为暂定。</w:t>
      </w:r>
    </w:p>
    <w:p w14:paraId="5B8C2F23">
      <w:pPr>
        <w:keepNext w:val="0"/>
        <w:keepLines w:val="0"/>
        <w:pageBreakBefore w:val="0"/>
        <w:kinsoku/>
        <w:wordWrap w:val="0"/>
        <w:overflowPunct/>
        <w:topLinePunct w:val="0"/>
        <w:autoSpaceDE/>
        <w:autoSpaceDN/>
        <w:bidi w:val="0"/>
        <w:jc w:val="center"/>
        <w:textAlignment w:val="auto"/>
        <w:outlineLvl w:val="9"/>
        <w:rPr>
          <w:rFonts w:cs="仿宋"/>
          <w:b/>
          <w:bCs/>
          <w:color w:val="auto"/>
          <w:sz w:val="32"/>
          <w:szCs w:val="28"/>
          <w:highlight w:val="none"/>
        </w:rPr>
      </w:pPr>
      <w:r>
        <w:rPr>
          <w:rFonts w:hint="eastAsia" w:ascii="宋体" w:hAnsi="宋体" w:cs="仿宋"/>
          <w:b/>
          <w:bCs/>
          <w:color w:val="auto"/>
          <w:sz w:val="32"/>
          <w:szCs w:val="28"/>
          <w:highlight w:val="none"/>
        </w:rPr>
        <w:br w:type="page"/>
      </w:r>
      <w:r>
        <w:rPr>
          <w:rFonts w:hint="eastAsia" w:ascii="宋体" w:hAnsi="宋体" w:cs="仿宋"/>
          <w:b/>
          <w:bCs/>
          <w:color w:val="auto"/>
          <w:sz w:val="32"/>
          <w:szCs w:val="28"/>
          <w:highlight w:val="none"/>
        </w:rPr>
        <w:t>表1-4-2  总承包服务费项目及计价表</w:t>
      </w:r>
    </w:p>
    <w:p w14:paraId="6BF17AAC">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工程名称：                                                    第   页 共   页</w:t>
      </w:r>
    </w:p>
    <w:tbl>
      <w:tblPr>
        <w:tblStyle w:val="62"/>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782"/>
        <w:gridCol w:w="2636"/>
        <w:gridCol w:w="1686"/>
        <w:gridCol w:w="1391"/>
        <w:gridCol w:w="1396"/>
        <w:gridCol w:w="1392"/>
      </w:tblGrid>
      <w:tr w14:paraId="4030D7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432" w:type="pct"/>
            <w:tcBorders>
              <w:top w:val="single" w:color="auto" w:sz="8" w:space="0"/>
              <w:left w:val="single" w:color="auto" w:sz="8" w:space="0"/>
              <w:bottom w:val="single" w:color="auto" w:sz="6" w:space="0"/>
              <w:right w:val="single" w:color="auto" w:sz="6" w:space="0"/>
            </w:tcBorders>
            <w:noWrap/>
            <w:vAlign w:val="center"/>
          </w:tcPr>
          <w:p w14:paraId="553A647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序号</w:t>
            </w:r>
          </w:p>
        </w:tc>
        <w:tc>
          <w:tcPr>
            <w:tcW w:w="1430" w:type="pct"/>
            <w:tcBorders>
              <w:top w:val="single" w:color="auto" w:sz="8" w:space="0"/>
              <w:left w:val="single" w:color="auto" w:sz="6" w:space="0"/>
              <w:bottom w:val="single" w:color="auto" w:sz="6" w:space="0"/>
              <w:right w:val="single" w:color="auto" w:sz="6" w:space="0"/>
            </w:tcBorders>
            <w:noWrap/>
            <w:vAlign w:val="center"/>
          </w:tcPr>
          <w:p w14:paraId="7999317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项 目 名 称</w:t>
            </w:r>
          </w:p>
        </w:tc>
        <w:tc>
          <w:tcPr>
            <w:tcW w:w="855" w:type="pct"/>
            <w:tcBorders>
              <w:top w:val="single" w:color="auto" w:sz="8" w:space="0"/>
              <w:left w:val="single" w:color="auto" w:sz="6" w:space="0"/>
              <w:bottom w:val="single" w:color="auto" w:sz="6" w:space="0"/>
              <w:right w:val="single" w:color="auto" w:sz="6" w:space="0"/>
            </w:tcBorders>
            <w:noWrap/>
            <w:vAlign w:val="center"/>
          </w:tcPr>
          <w:p w14:paraId="094F2A0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项目价值（元）</w:t>
            </w:r>
          </w:p>
        </w:tc>
        <w:tc>
          <w:tcPr>
            <w:tcW w:w="760" w:type="pct"/>
            <w:tcBorders>
              <w:top w:val="single" w:color="auto" w:sz="8" w:space="0"/>
              <w:left w:val="single" w:color="auto" w:sz="6" w:space="0"/>
              <w:bottom w:val="single" w:color="auto" w:sz="6" w:space="0"/>
              <w:right w:val="single" w:color="auto" w:sz="6" w:space="0"/>
            </w:tcBorders>
            <w:noWrap/>
            <w:vAlign w:val="center"/>
          </w:tcPr>
          <w:p w14:paraId="54C5A90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服务内容</w:t>
            </w:r>
          </w:p>
        </w:tc>
        <w:tc>
          <w:tcPr>
            <w:tcW w:w="760" w:type="pct"/>
            <w:tcBorders>
              <w:top w:val="single" w:color="auto" w:sz="8" w:space="0"/>
              <w:left w:val="single" w:color="auto" w:sz="6" w:space="0"/>
              <w:bottom w:val="single" w:color="auto" w:sz="6" w:space="0"/>
              <w:right w:val="single" w:color="auto" w:sz="6" w:space="0"/>
            </w:tcBorders>
            <w:noWrap/>
            <w:vAlign w:val="center"/>
          </w:tcPr>
          <w:p w14:paraId="01267D2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费率（%）</w:t>
            </w:r>
          </w:p>
        </w:tc>
        <w:tc>
          <w:tcPr>
            <w:tcW w:w="760" w:type="pct"/>
            <w:tcBorders>
              <w:top w:val="single" w:color="auto" w:sz="8" w:space="0"/>
              <w:left w:val="single" w:color="auto" w:sz="6" w:space="0"/>
              <w:bottom w:val="single" w:color="auto" w:sz="6" w:space="0"/>
              <w:right w:val="single" w:color="auto" w:sz="8" w:space="0"/>
            </w:tcBorders>
            <w:noWrap/>
            <w:vAlign w:val="center"/>
          </w:tcPr>
          <w:p w14:paraId="6AAA2C0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金额（元）</w:t>
            </w:r>
          </w:p>
        </w:tc>
      </w:tr>
      <w:tr w14:paraId="06CAA0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432" w:type="pct"/>
            <w:tcBorders>
              <w:top w:val="single" w:color="auto" w:sz="6" w:space="0"/>
              <w:left w:val="single" w:color="auto" w:sz="8" w:space="0"/>
              <w:bottom w:val="single" w:color="auto" w:sz="6" w:space="0"/>
              <w:right w:val="single" w:color="auto" w:sz="6" w:space="0"/>
            </w:tcBorders>
            <w:noWrap/>
            <w:vAlign w:val="center"/>
          </w:tcPr>
          <w:p w14:paraId="4D6A10D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1430" w:type="pct"/>
            <w:tcBorders>
              <w:top w:val="single" w:color="auto" w:sz="6" w:space="0"/>
              <w:left w:val="single" w:color="auto" w:sz="6" w:space="0"/>
              <w:bottom w:val="single" w:color="auto" w:sz="6" w:space="0"/>
              <w:right w:val="single" w:color="auto" w:sz="6" w:space="0"/>
            </w:tcBorders>
            <w:noWrap/>
            <w:vAlign w:val="center"/>
          </w:tcPr>
          <w:p w14:paraId="1183538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855" w:type="pct"/>
            <w:tcBorders>
              <w:top w:val="single" w:color="auto" w:sz="6" w:space="0"/>
              <w:left w:val="single" w:color="auto" w:sz="6" w:space="0"/>
              <w:bottom w:val="single" w:color="auto" w:sz="6" w:space="0"/>
              <w:right w:val="single" w:color="auto" w:sz="6" w:space="0"/>
            </w:tcBorders>
            <w:noWrap/>
            <w:vAlign w:val="center"/>
          </w:tcPr>
          <w:p w14:paraId="0AEAEF3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（3）</w:t>
            </w:r>
          </w:p>
        </w:tc>
        <w:tc>
          <w:tcPr>
            <w:tcW w:w="760" w:type="pct"/>
            <w:tcBorders>
              <w:top w:val="single" w:color="auto" w:sz="6" w:space="0"/>
              <w:left w:val="single" w:color="auto" w:sz="6" w:space="0"/>
              <w:bottom w:val="single" w:color="auto" w:sz="6" w:space="0"/>
              <w:right w:val="single" w:color="auto" w:sz="6" w:space="0"/>
            </w:tcBorders>
            <w:noWrap/>
            <w:vAlign w:val="center"/>
          </w:tcPr>
          <w:p w14:paraId="3078DDF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（4）</w:t>
            </w:r>
          </w:p>
        </w:tc>
        <w:tc>
          <w:tcPr>
            <w:tcW w:w="760" w:type="pct"/>
            <w:tcBorders>
              <w:top w:val="single" w:color="auto" w:sz="6" w:space="0"/>
              <w:left w:val="single" w:color="auto" w:sz="6" w:space="0"/>
              <w:bottom w:val="single" w:color="auto" w:sz="6" w:space="0"/>
              <w:right w:val="single" w:color="auto" w:sz="6" w:space="0"/>
            </w:tcBorders>
            <w:noWrap/>
            <w:vAlign w:val="center"/>
          </w:tcPr>
          <w:p w14:paraId="4E2C561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8" w:space="0"/>
            </w:tcBorders>
            <w:noWrap/>
            <w:vAlign w:val="center"/>
          </w:tcPr>
          <w:p w14:paraId="7290A22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1C96AF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432" w:type="pct"/>
            <w:tcBorders>
              <w:top w:val="single" w:color="auto" w:sz="6" w:space="0"/>
              <w:left w:val="single" w:color="auto" w:sz="8" w:space="0"/>
              <w:bottom w:val="single" w:color="auto" w:sz="6" w:space="0"/>
              <w:right w:val="single" w:color="auto" w:sz="6" w:space="0"/>
            </w:tcBorders>
            <w:noWrap/>
            <w:vAlign w:val="center"/>
          </w:tcPr>
          <w:p w14:paraId="5C638C0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1430" w:type="pct"/>
            <w:tcBorders>
              <w:top w:val="single" w:color="auto" w:sz="6" w:space="0"/>
              <w:left w:val="single" w:color="auto" w:sz="6" w:space="0"/>
              <w:bottom w:val="single" w:color="auto" w:sz="6" w:space="0"/>
              <w:right w:val="single" w:color="auto" w:sz="6" w:space="0"/>
            </w:tcBorders>
            <w:noWrap/>
            <w:vAlign w:val="center"/>
          </w:tcPr>
          <w:p w14:paraId="6CC5F5D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发包人分包专业工程</w:t>
            </w:r>
          </w:p>
        </w:tc>
        <w:tc>
          <w:tcPr>
            <w:tcW w:w="855" w:type="pct"/>
            <w:tcBorders>
              <w:top w:val="single" w:color="auto" w:sz="6" w:space="0"/>
              <w:left w:val="single" w:color="auto" w:sz="6" w:space="0"/>
              <w:bottom w:val="single" w:color="auto" w:sz="6" w:space="0"/>
              <w:right w:val="single" w:color="auto" w:sz="6" w:space="0"/>
            </w:tcBorders>
            <w:noWrap/>
            <w:vAlign w:val="center"/>
          </w:tcPr>
          <w:p w14:paraId="3140B92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6" w:space="0"/>
            </w:tcBorders>
            <w:noWrap/>
            <w:vAlign w:val="center"/>
          </w:tcPr>
          <w:p w14:paraId="118DB00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6" w:space="0"/>
            </w:tcBorders>
            <w:noWrap/>
            <w:vAlign w:val="center"/>
          </w:tcPr>
          <w:p w14:paraId="4395046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8" w:space="0"/>
            </w:tcBorders>
            <w:noWrap/>
            <w:vAlign w:val="center"/>
          </w:tcPr>
          <w:p w14:paraId="55F3C43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79C80F7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432" w:type="pct"/>
            <w:tcBorders>
              <w:top w:val="single" w:color="auto" w:sz="6" w:space="0"/>
              <w:left w:val="single" w:color="auto" w:sz="8" w:space="0"/>
              <w:bottom w:val="single" w:color="auto" w:sz="6" w:space="0"/>
              <w:right w:val="single" w:color="auto" w:sz="6" w:space="0"/>
            </w:tcBorders>
            <w:noWrap/>
            <w:vAlign w:val="center"/>
          </w:tcPr>
          <w:p w14:paraId="5D3BA12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1430" w:type="pct"/>
            <w:tcBorders>
              <w:top w:val="single" w:color="auto" w:sz="6" w:space="0"/>
              <w:left w:val="single" w:color="auto" w:sz="6" w:space="0"/>
              <w:bottom w:val="single" w:color="auto" w:sz="6" w:space="0"/>
              <w:right w:val="single" w:color="auto" w:sz="6" w:space="0"/>
            </w:tcBorders>
            <w:noWrap/>
            <w:vAlign w:val="center"/>
          </w:tcPr>
          <w:p w14:paraId="3D37325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发包人供应材料</w:t>
            </w:r>
          </w:p>
        </w:tc>
        <w:tc>
          <w:tcPr>
            <w:tcW w:w="855" w:type="pct"/>
            <w:tcBorders>
              <w:top w:val="single" w:color="auto" w:sz="6" w:space="0"/>
              <w:left w:val="single" w:color="auto" w:sz="6" w:space="0"/>
              <w:bottom w:val="single" w:color="auto" w:sz="6" w:space="0"/>
              <w:right w:val="single" w:color="auto" w:sz="6" w:space="0"/>
            </w:tcBorders>
            <w:noWrap/>
            <w:vAlign w:val="center"/>
          </w:tcPr>
          <w:p w14:paraId="02ECA30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6" w:space="0"/>
            </w:tcBorders>
            <w:noWrap/>
            <w:vAlign w:val="center"/>
          </w:tcPr>
          <w:p w14:paraId="2C0FA78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6" w:space="0"/>
            </w:tcBorders>
            <w:noWrap/>
            <w:vAlign w:val="center"/>
          </w:tcPr>
          <w:p w14:paraId="1CCD092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8" w:space="0"/>
            </w:tcBorders>
            <w:noWrap/>
            <w:vAlign w:val="center"/>
          </w:tcPr>
          <w:p w14:paraId="7B363E3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2925B1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432" w:type="pct"/>
            <w:tcBorders>
              <w:top w:val="single" w:color="auto" w:sz="6" w:space="0"/>
              <w:left w:val="single" w:color="auto" w:sz="8" w:space="0"/>
              <w:bottom w:val="single" w:color="auto" w:sz="6" w:space="0"/>
              <w:right w:val="single" w:color="auto" w:sz="6" w:space="0"/>
            </w:tcBorders>
            <w:noWrap/>
            <w:vAlign w:val="center"/>
          </w:tcPr>
          <w:p w14:paraId="074F108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30" w:type="pct"/>
            <w:tcBorders>
              <w:top w:val="single" w:color="auto" w:sz="6" w:space="0"/>
              <w:left w:val="single" w:color="auto" w:sz="6" w:space="0"/>
              <w:bottom w:val="single" w:color="auto" w:sz="6" w:space="0"/>
              <w:right w:val="single" w:color="auto" w:sz="6" w:space="0"/>
            </w:tcBorders>
            <w:noWrap/>
            <w:vAlign w:val="center"/>
          </w:tcPr>
          <w:p w14:paraId="1141B20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55" w:type="pct"/>
            <w:tcBorders>
              <w:top w:val="single" w:color="auto" w:sz="6" w:space="0"/>
              <w:left w:val="single" w:color="auto" w:sz="6" w:space="0"/>
              <w:bottom w:val="single" w:color="auto" w:sz="6" w:space="0"/>
              <w:right w:val="single" w:color="auto" w:sz="6" w:space="0"/>
            </w:tcBorders>
            <w:noWrap/>
            <w:vAlign w:val="center"/>
          </w:tcPr>
          <w:p w14:paraId="7B6B6BD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6" w:space="0"/>
            </w:tcBorders>
            <w:noWrap/>
            <w:vAlign w:val="center"/>
          </w:tcPr>
          <w:p w14:paraId="1F9B87B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6" w:space="0"/>
            </w:tcBorders>
            <w:noWrap/>
            <w:vAlign w:val="center"/>
          </w:tcPr>
          <w:p w14:paraId="3FC2AB8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8" w:space="0"/>
            </w:tcBorders>
            <w:noWrap/>
            <w:vAlign w:val="center"/>
          </w:tcPr>
          <w:p w14:paraId="0A32AFD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7DE962A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432" w:type="pct"/>
            <w:tcBorders>
              <w:top w:val="single" w:color="auto" w:sz="6" w:space="0"/>
              <w:left w:val="single" w:color="auto" w:sz="8" w:space="0"/>
              <w:bottom w:val="single" w:color="auto" w:sz="6" w:space="0"/>
              <w:right w:val="single" w:color="auto" w:sz="6" w:space="0"/>
            </w:tcBorders>
            <w:noWrap/>
            <w:vAlign w:val="center"/>
          </w:tcPr>
          <w:p w14:paraId="5F19F59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30" w:type="pct"/>
            <w:tcBorders>
              <w:top w:val="single" w:color="auto" w:sz="6" w:space="0"/>
              <w:left w:val="single" w:color="auto" w:sz="6" w:space="0"/>
              <w:bottom w:val="single" w:color="auto" w:sz="6" w:space="0"/>
              <w:right w:val="single" w:color="auto" w:sz="6" w:space="0"/>
            </w:tcBorders>
            <w:noWrap/>
            <w:vAlign w:val="center"/>
          </w:tcPr>
          <w:p w14:paraId="794028E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55" w:type="pct"/>
            <w:tcBorders>
              <w:top w:val="single" w:color="auto" w:sz="6" w:space="0"/>
              <w:left w:val="single" w:color="auto" w:sz="6" w:space="0"/>
              <w:bottom w:val="single" w:color="auto" w:sz="6" w:space="0"/>
              <w:right w:val="single" w:color="auto" w:sz="6" w:space="0"/>
            </w:tcBorders>
            <w:noWrap/>
            <w:vAlign w:val="center"/>
          </w:tcPr>
          <w:p w14:paraId="3A21FA2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6" w:space="0"/>
            </w:tcBorders>
            <w:noWrap/>
            <w:vAlign w:val="center"/>
          </w:tcPr>
          <w:p w14:paraId="2B58DD5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6" w:space="0"/>
            </w:tcBorders>
            <w:noWrap/>
            <w:vAlign w:val="center"/>
          </w:tcPr>
          <w:p w14:paraId="5C8E558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8" w:space="0"/>
            </w:tcBorders>
            <w:noWrap/>
            <w:vAlign w:val="center"/>
          </w:tcPr>
          <w:p w14:paraId="6CB2275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1AC720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432" w:type="pct"/>
            <w:tcBorders>
              <w:top w:val="single" w:color="auto" w:sz="6" w:space="0"/>
              <w:left w:val="single" w:color="auto" w:sz="8" w:space="0"/>
              <w:bottom w:val="single" w:color="auto" w:sz="6" w:space="0"/>
              <w:right w:val="single" w:color="auto" w:sz="6" w:space="0"/>
            </w:tcBorders>
            <w:noWrap/>
            <w:vAlign w:val="center"/>
          </w:tcPr>
          <w:p w14:paraId="254EC13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30" w:type="pct"/>
            <w:tcBorders>
              <w:top w:val="single" w:color="auto" w:sz="6" w:space="0"/>
              <w:left w:val="single" w:color="auto" w:sz="6" w:space="0"/>
              <w:bottom w:val="single" w:color="auto" w:sz="6" w:space="0"/>
              <w:right w:val="single" w:color="auto" w:sz="6" w:space="0"/>
            </w:tcBorders>
            <w:noWrap/>
            <w:vAlign w:val="center"/>
          </w:tcPr>
          <w:p w14:paraId="235BE5D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55" w:type="pct"/>
            <w:tcBorders>
              <w:top w:val="single" w:color="auto" w:sz="6" w:space="0"/>
              <w:left w:val="single" w:color="auto" w:sz="6" w:space="0"/>
              <w:bottom w:val="single" w:color="auto" w:sz="6" w:space="0"/>
              <w:right w:val="single" w:color="auto" w:sz="6" w:space="0"/>
            </w:tcBorders>
            <w:noWrap/>
            <w:vAlign w:val="center"/>
          </w:tcPr>
          <w:p w14:paraId="36FDD40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6" w:space="0"/>
            </w:tcBorders>
            <w:noWrap/>
            <w:vAlign w:val="center"/>
          </w:tcPr>
          <w:p w14:paraId="09633F2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6" w:space="0"/>
            </w:tcBorders>
            <w:noWrap/>
            <w:vAlign w:val="center"/>
          </w:tcPr>
          <w:p w14:paraId="5ED0A06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8" w:space="0"/>
            </w:tcBorders>
            <w:noWrap/>
            <w:vAlign w:val="center"/>
          </w:tcPr>
          <w:p w14:paraId="3512683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4D22D1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432" w:type="pct"/>
            <w:tcBorders>
              <w:top w:val="single" w:color="auto" w:sz="6" w:space="0"/>
              <w:left w:val="single" w:color="auto" w:sz="8" w:space="0"/>
              <w:bottom w:val="single" w:color="auto" w:sz="6" w:space="0"/>
              <w:right w:val="single" w:color="auto" w:sz="6" w:space="0"/>
            </w:tcBorders>
            <w:noWrap/>
            <w:vAlign w:val="center"/>
          </w:tcPr>
          <w:p w14:paraId="5394850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30" w:type="pct"/>
            <w:tcBorders>
              <w:top w:val="single" w:color="auto" w:sz="6" w:space="0"/>
              <w:left w:val="single" w:color="auto" w:sz="6" w:space="0"/>
              <w:bottom w:val="single" w:color="auto" w:sz="6" w:space="0"/>
              <w:right w:val="single" w:color="auto" w:sz="6" w:space="0"/>
            </w:tcBorders>
            <w:noWrap/>
            <w:vAlign w:val="center"/>
          </w:tcPr>
          <w:p w14:paraId="13E504C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55" w:type="pct"/>
            <w:tcBorders>
              <w:top w:val="single" w:color="auto" w:sz="6" w:space="0"/>
              <w:left w:val="single" w:color="auto" w:sz="6" w:space="0"/>
              <w:bottom w:val="single" w:color="auto" w:sz="6" w:space="0"/>
              <w:right w:val="single" w:color="auto" w:sz="6" w:space="0"/>
            </w:tcBorders>
            <w:noWrap/>
            <w:vAlign w:val="center"/>
          </w:tcPr>
          <w:p w14:paraId="1FBDB72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6" w:space="0"/>
            </w:tcBorders>
            <w:noWrap/>
            <w:vAlign w:val="center"/>
          </w:tcPr>
          <w:p w14:paraId="316DF93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6" w:space="0"/>
            </w:tcBorders>
            <w:noWrap/>
            <w:vAlign w:val="center"/>
          </w:tcPr>
          <w:p w14:paraId="7A65F65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8" w:space="0"/>
            </w:tcBorders>
            <w:noWrap/>
            <w:vAlign w:val="center"/>
          </w:tcPr>
          <w:p w14:paraId="69C4A25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739156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432" w:type="pct"/>
            <w:tcBorders>
              <w:top w:val="single" w:color="auto" w:sz="6" w:space="0"/>
              <w:left w:val="single" w:color="auto" w:sz="8" w:space="0"/>
              <w:bottom w:val="single" w:color="auto" w:sz="6" w:space="0"/>
              <w:right w:val="single" w:color="auto" w:sz="6" w:space="0"/>
            </w:tcBorders>
            <w:noWrap/>
            <w:vAlign w:val="center"/>
          </w:tcPr>
          <w:p w14:paraId="22B3FD1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30" w:type="pct"/>
            <w:tcBorders>
              <w:top w:val="single" w:color="auto" w:sz="6" w:space="0"/>
              <w:left w:val="single" w:color="auto" w:sz="6" w:space="0"/>
              <w:bottom w:val="single" w:color="auto" w:sz="6" w:space="0"/>
              <w:right w:val="single" w:color="auto" w:sz="6" w:space="0"/>
            </w:tcBorders>
            <w:noWrap/>
            <w:vAlign w:val="center"/>
          </w:tcPr>
          <w:p w14:paraId="442DAF0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55" w:type="pct"/>
            <w:tcBorders>
              <w:top w:val="single" w:color="auto" w:sz="6" w:space="0"/>
              <w:left w:val="single" w:color="auto" w:sz="6" w:space="0"/>
              <w:bottom w:val="single" w:color="auto" w:sz="6" w:space="0"/>
              <w:right w:val="single" w:color="auto" w:sz="6" w:space="0"/>
            </w:tcBorders>
            <w:noWrap/>
            <w:vAlign w:val="center"/>
          </w:tcPr>
          <w:p w14:paraId="202B180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6" w:space="0"/>
            </w:tcBorders>
            <w:noWrap/>
            <w:vAlign w:val="center"/>
          </w:tcPr>
          <w:p w14:paraId="4ABE0C8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6" w:space="0"/>
            </w:tcBorders>
            <w:noWrap/>
            <w:vAlign w:val="center"/>
          </w:tcPr>
          <w:p w14:paraId="7C9955B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8" w:space="0"/>
            </w:tcBorders>
            <w:noWrap/>
            <w:vAlign w:val="center"/>
          </w:tcPr>
          <w:p w14:paraId="5EACBDB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290FE1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432" w:type="pct"/>
            <w:tcBorders>
              <w:top w:val="single" w:color="auto" w:sz="6" w:space="0"/>
              <w:left w:val="single" w:color="auto" w:sz="8" w:space="0"/>
              <w:bottom w:val="single" w:color="auto" w:sz="6" w:space="0"/>
              <w:right w:val="single" w:color="auto" w:sz="6" w:space="0"/>
            </w:tcBorders>
            <w:noWrap/>
            <w:vAlign w:val="center"/>
          </w:tcPr>
          <w:p w14:paraId="080004A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30" w:type="pct"/>
            <w:tcBorders>
              <w:top w:val="single" w:color="auto" w:sz="6" w:space="0"/>
              <w:left w:val="single" w:color="auto" w:sz="6" w:space="0"/>
              <w:bottom w:val="single" w:color="auto" w:sz="6" w:space="0"/>
              <w:right w:val="single" w:color="auto" w:sz="6" w:space="0"/>
            </w:tcBorders>
            <w:noWrap/>
            <w:vAlign w:val="center"/>
          </w:tcPr>
          <w:p w14:paraId="35EE7DE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55" w:type="pct"/>
            <w:tcBorders>
              <w:top w:val="single" w:color="auto" w:sz="6" w:space="0"/>
              <w:left w:val="single" w:color="auto" w:sz="6" w:space="0"/>
              <w:bottom w:val="single" w:color="auto" w:sz="6" w:space="0"/>
              <w:right w:val="single" w:color="auto" w:sz="6" w:space="0"/>
            </w:tcBorders>
            <w:noWrap/>
            <w:vAlign w:val="center"/>
          </w:tcPr>
          <w:p w14:paraId="477882F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6" w:space="0"/>
            </w:tcBorders>
            <w:noWrap/>
            <w:vAlign w:val="center"/>
          </w:tcPr>
          <w:p w14:paraId="1E66C57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6" w:space="0"/>
            </w:tcBorders>
            <w:noWrap/>
            <w:vAlign w:val="center"/>
          </w:tcPr>
          <w:p w14:paraId="13A1D0E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8" w:space="0"/>
            </w:tcBorders>
            <w:noWrap/>
            <w:vAlign w:val="center"/>
          </w:tcPr>
          <w:p w14:paraId="667CEC9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75B52C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432" w:type="pct"/>
            <w:tcBorders>
              <w:top w:val="single" w:color="auto" w:sz="6" w:space="0"/>
              <w:left w:val="single" w:color="auto" w:sz="8" w:space="0"/>
              <w:bottom w:val="single" w:color="auto" w:sz="6" w:space="0"/>
              <w:right w:val="single" w:color="auto" w:sz="6" w:space="0"/>
            </w:tcBorders>
            <w:noWrap/>
            <w:vAlign w:val="center"/>
          </w:tcPr>
          <w:p w14:paraId="5352AAC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30" w:type="pct"/>
            <w:tcBorders>
              <w:top w:val="single" w:color="auto" w:sz="6" w:space="0"/>
              <w:left w:val="single" w:color="auto" w:sz="6" w:space="0"/>
              <w:bottom w:val="single" w:color="auto" w:sz="6" w:space="0"/>
              <w:right w:val="single" w:color="auto" w:sz="6" w:space="0"/>
            </w:tcBorders>
            <w:noWrap/>
            <w:vAlign w:val="center"/>
          </w:tcPr>
          <w:p w14:paraId="6EA7813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55" w:type="pct"/>
            <w:tcBorders>
              <w:top w:val="single" w:color="auto" w:sz="6" w:space="0"/>
              <w:left w:val="single" w:color="auto" w:sz="6" w:space="0"/>
              <w:bottom w:val="single" w:color="auto" w:sz="6" w:space="0"/>
              <w:right w:val="single" w:color="auto" w:sz="6" w:space="0"/>
            </w:tcBorders>
            <w:noWrap/>
            <w:vAlign w:val="center"/>
          </w:tcPr>
          <w:p w14:paraId="7EC2064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6" w:space="0"/>
            </w:tcBorders>
            <w:noWrap/>
            <w:vAlign w:val="center"/>
          </w:tcPr>
          <w:p w14:paraId="7FD618F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6" w:space="0"/>
            </w:tcBorders>
            <w:noWrap/>
            <w:vAlign w:val="center"/>
          </w:tcPr>
          <w:p w14:paraId="4C8BD1F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8" w:space="0"/>
            </w:tcBorders>
            <w:noWrap/>
            <w:vAlign w:val="center"/>
          </w:tcPr>
          <w:p w14:paraId="6C4D419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65DB17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432" w:type="pct"/>
            <w:tcBorders>
              <w:top w:val="single" w:color="auto" w:sz="6" w:space="0"/>
              <w:left w:val="single" w:color="auto" w:sz="8" w:space="0"/>
              <w:bottom w:val="single" w:color="auto" w:sz="6" w:space="0"/>
              <w:right w:val="single" w:color="auto" w:sz="6" w:space="0"/>
            </w:tcBorders>
            <w:noWrap/>
            <w:vAlign w:val="center"/>
          </w:tcPr>
          <w:p w14:paraId="091EE7D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30" w:type="pct"/>
            <w:tcBorders>
              <w:top w:val="single" w:color="auto" w:sz="6" w:space="0"/>
              <w:left w:val="single" w:color="auto" w:sz="6" w:space="0"/>
              <w:bottom w:val="single" w:color="auto" w:sz="6" w:space="0"/>
              <w:right w:val="single" w:color="auto" w:sz="6" w:space="0"/>
            </w:tcBorders>
            <w:noWrap/>
            <w:vAlign w:val="center"/>
          </w:tcPr>
          <w:p w14:paraId="32EE340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55" w:type="pct"/>
            <w:tcBorders>
              <w:top w:val="single" w:color="auto" w:sz="6" w:space="0"/>
              <w:left w:val="single" w:color="auto" w:sz="6" w:space="0"/>
              <w:bottom w:val="single" w:color="auto" w:sz="6" w:space="0"/>
              <w:right w:val="single" w:color="auto" w:sz="6" w:space="0"/>
            </w:tcBorders>
            <w:noWrap/>
            <w:vAlign w:val="center"/>
          </w:tcPr>
          <w:p w14:paraId="7E3AB84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6" w:space="0"/>
            </w:tcBorders>
            <w:noWrap/>
            <w:vAlign w:val="center"/>
          </w:tcPr>
          <w:p w14:paraId="60C8301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6" w:space="0"/>
            </w:tcBorders>
            <w:noWrap/>
            <w:vAlign w:val="center"/>
          </w:tcPr>
          <w:p w14:paraId="0B19CF1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8" w:space="0"/>
            </w:tcBorders>
            <w:noWrap/>
            <w:vAlign w:val="center"/>
          </w:tcPr>
          <w:p w14:paraId="2E85CA0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434493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432" w:type="pct"/>
            <w:tcBorders>
              <w:top w:val="single" w:color="auto" w:sz="6" w:space="0"/>
              <w:left w:val="single" w:color="auto" w:sz="8" w:space="0"/>
              <w:bottom w:val="single" w:color="auto" w:sz="6" w:space="0"/>
              <w:right w:val="single" w:color="auto" w:sz="6" w:space="0"/>
            </w:tcBorders>
            <w:noWrap/>
            <w:vAlign w:val="center"/>
          </w:tcPr>
          <w:p w14:paraId="15E985D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30" w:type="pct"/>
            <w:tcBorders>
              <w:top w:val="single" w:color="auto" w:sz="6" w:space="0"/>
              <w:left w:val="single" w:color="auto" w:sz="6" w:space="0"/>
              <w:bottom w:val="single" w:color="auto" w:sz="6" w:space="0"/>
              <w:right w:val="single" w:color="auto" w:sz="6" w:space="0"/>
            </w:tcBorders>
            <w:noWrap/>
            <w:vAlign w:val="center"/>
          </w:tcPr>
          <w:p w14:paraId="0EC631A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55" w:type="pct"/>
            <w:tcBorders>
              <w:top w:val="single" w:color="auto" w:sz="6" w:space="0"/>
              <w:left w:val="single" w:color="auto" w:sz="6" w:space="0"/>
              <w:bottom w:val="single" w:color="auto" w:sz="6" w:space="0"/>
              <w:right w:val="single" w:color="auto" w:sz="6" w:space="0"/>
            </w:tcBorders>
            <w:noWrap/>
            <w:vAlign w:val="center"/>
          </w:tcPr>
          <w:p w14:paraId="3D0F0CE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6" w:space="0"/>
            </w:tcBorders>
            <w:noWrap/>
            <w:vAlign w:val="center"/>
          </w:tcPr>
          <w:p w14:paraId="7DC5490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6" w:space="0"/>
            </w:tcBorders>
            <w:noWrap/>
            <w:vAlign w:val="center"/>
          </w:tcPr>
          <w:p w14:paraId="1572BF3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60" w:type="pct"/>
            <w:tcBorders>
              <w:top w:val="single" w:color="auto" w:sz="6" w:space="0"/>
              <w:left w:val="single" w:color="auto" w:sz="6" w:space="0"/>
              <w:bottom w:val="single" w:color="auto" w:sz="6" w:space="0"/>
              <w:right w:val="single" w:color="auto" w:sz="8" w:space="0"/>
            </w:tcBorders>
            <w:noWrap/>
            <w:vAlign w:val="center"/>
          </w:tcPr>
          <w:p w14:paraId="40D541D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511B6D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4239" w:type="pct"/>
            <w:gridSpan w:val="5"/>
            <w:tcBorders>
              <w:top w:val="single" w:color="auto" w:sz="6" w:space="0"/>
              <w:left w:val="single" w:color="auto" w:sz="8" w:space="0"/>
              <w:bottom w:val="single" w:color="auto" w:sz="8" w:space="0"/>
              <w:right w:val="single" w:color="auto" w:sz="6" w:space="0"/>
            </w:tcBorders>
            <w:noWrap/>
            <w:vAlign w:val="center"/>
          </w:tcPr>
          <w:p w14:paraId="05FBF8B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合    计</w:t>
            </w:r>
          </w:p>
        </w:tc>
        <w:tc>
          <w:tcPr>
            <w:tcW w:w="760" w:type="pct"/>
            <w:tcBorders>
              <w:top w:val="single" w:color="auto" w:sz="6" w:space="0"/>
              <w:left w:val="single" w:color="auto" w:sz="6" w:space="0"/>
              <w:bottom w:val="single" w:color="auto" w:sz="8" w:space="0"/>
              <w:right w:val="single" w:color="auto" w:sz="8" w:space="0"/>
            </w:tcBorders>
            <w:noWrap/>
            <w:vAlign w:val="center"/>
          </w:tcPr>
          <w:p w14:paraId="447E890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bl>
    <w:p w14:paraId="56E41259">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r>
        <w:rPr>
          <w:rFonts w:hint="eastAsia" w:ascii="宋体" w:hAnsi="宋体" w:cs="仿宋"/>
          <w:color w:val="auto"/>
          <w:highlight w:val="none"/>
        </w:rPr>
        <w:t>注：表中（1）～（4）由招标人按需要提出。</w:t>
      </w:r>
    </w:p>
    <w:p w14:paraId="44C608CB">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p>
    <w:p w14:paraId="411C1A80">
      <w:pPr>
        <w:keepNext w:val="0"/>
        <w:keepLines w:val="0"/>
        <w:pageBreakBefore w:val="0"/>
        <w:kinsoku/>
        <w:wordWrap w:val="0"/>
        <w:overflowPunct/>
        <w:topLinePunct w:val="0"/>
        <w:autoSpaceDE/>
        <w:autoSpaceDN/>
        <w:bidi w:val="0"/>
        <w:jc w:val="center"/>
        <w:textAlignment w:val="auto"/>
        <w:outlineLvl w:val="9"/>
        <w:rPr>
          <w:rFonts w:cs="仿宋"/>
          <w:b/>
          <w:bCs/>
          <w:color w:val="auto"/>
          <w:sz w:val="32"/>
          <w:szCs w:val="28"/>
          <w:highlight w:val="none"/>
        </w:rPr>
      </w:pPr>
      <w:r>
        <w:rPr>
          <w:rFonts w:hint="eastAsia" w:ascii="宋体" w:hAnsi="宋体" w:cs="仿宋"/>
          <w:b/>
          <w:bCs/>
          <w:color w:val="auto"/>
          <w:sz w:val="32"/>
          <w:szCs w:val="28"/>
          <w:highlight w:val="none"/>
        </w:rPr>
        <w:br w:type="page"/>
      </w:r>
      <w:r>
        <w:rPr>
          <w:rFonts w:hint="eastAsia" w:ascii="宋体" w:hAnsi="宋体" w:cs="仿宋"/>
          <w:b/>
          <w:bCs/>
          <w:color w:val="auto"/>
          <w:sz w:val="32"/>
          <w:szCs w:val="28"/>
          <w:highlight w:val="none"/>
        </w:rPr>
        <w:t>表1-5  主要工日价格表</w:t>
      </w:r>
    </w:p>
    <w:p w14:paraId="6AAB1D5C">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r>
        <w:rPr>
          <w:rFonts w:hint="eastAsia" w:ascii="宋体" w:hAnsi="宋体" w:cs="仿宋"/>
          <w:color w:val="auto"/>
          <w:highlight w:val="none"/>
        </w:rPr>
        <w:t>工程名称：                                           第  页共  页</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2935"/>
        <w:gridCol w:w="1265"/>
        <w:gridCol w:w="1688"/>
        <w:gridCol w:w="2322"/>
      </w:tblGrid>
      <w:tr w14:paraId="3856E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578" w:type="pct"/>
            <w:tcBorders>
              <w:top w:val="single" w:color="auto" w:sz="4" w:space="0"/>
              <w:left w:val="single" w:color="auto" w:sz="4" w:space="0"/>
              <w:bottom w:val="single" w:color="auto" w:sz="4" w:space="0"/>
              <w:right w:val="single" w:color="auto" w:sz="4" w:space="0"/>
            </w:tcBorders>
            <w:noWrap/>
            <w:vAlign w:val="center"/>
          </w:tcPr>
          <w:p w14:paraId="7AA9026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序号</w:t>
            </w:r>
          </w:p>
        </w:tc>
        <w:tc>
          <w:tcPr>
            <w:tcW w:w="1580" w:type="pct"/>
            <w:tcBorders>
              <w:top w:val="single" w:color="auto" w:sz="4" w:space="0"/>
              <w:left w:val="single" w:color="auto" w:sz="4" w:space="0"/>
              <w:bottom w:val="single" w:color="auto" w:sz="4" w:space="0"/>
              <w:right w:val="single" w:color="auto" w:sz="4" w:space="0"/>
            </w:tcBorders>
            <w:noWrap/>
            <w:vAlign w:val="center"/>
          </w:tcPr>
          <w:p w14:paraId="1C605AC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工  种</w:t>
            </w:r>
          </w:p>
        </w:tc>
        <w:tc>
          <w:tcPr>
            <w:tcW w:w="681" w:type="pct"/>
            <w:tcBorders>
              <w:top w:val="single" w:color="auto" w:sz="4" w:space="0"/>
              <w:left w:val="single" w:color="auto" w:sz="4" w:space="0"/>
              <w:bottom w:val="single" w:color="auto" w:sz="4" w:space="0"/>
              <w:right w:val="single" w:color="auto" w:sz="4" w:space="0"/>
            </w:tcBorders>
            <w:noWrap/>
            <w:vAlign w:val="center"/>
          </w:tcPr>
          <w:p w14:paraId="4FA2F36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单位</w:t>
            </w:r>
          </w:p>
        </w:tc>
        <w:tc>
          <w:tcPr>
            <w:tcW w:w="909" w:type="pct"/>
            <w:tcBorders>
              <w:top w:val="single" w:color="auto" w:sz="4" w:space="0"/>
              <w:left w:val="single" w:color="auto" w:sz="4" w:space="0"/>
              <w:bottom w:val="single" w:color="auto" w:sz="4" w:space="0"/>
              <w:right w:val="single" w:color="auto" w:sz="4" w:space="0"/>
            </w:tcBorders>
            <w:noWrap/>
            <w:vAlign w:val="center"/>
          </w:tcPr>
          <w:p w14:paraId="3C36C90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数 量</w:t>
            </w:r>
          </w:p>
        </w:tc>
        <w:tc>
          <w:tcPr>
            <w:tcW w:w="1250" w:type="pct"/>
            <w:tcBorders>
              <w:top w:val="single" w:color="auto" w:sz="4" w:space="0"/>
              <w:left w:val="single" w:color="auto" w:sz="4" w:space="0"/>
              <w:bottom w:val="single" w:color="auto" w:sz="4" w:space="0"/>
              <w:right w:val="single" w:color="auto" w:sz="4" w:space="0"/>
            </w:tcBorders>
            <w:noWrap/>
            <w:vAlign w:val="center"/>
          </w:tcPr>
          <w:p w14:paraId="51FA4B2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单 价（元）</w:t>
            </w:r>
          </w:p>
        </w:tc>
      </w:tr>
      <w:tr w14:paraId="1EFE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78" w:type="pct"/>
            <w:tcBorders>
              <w:top w:val="single" w:color="auto" w:sz="4" w:space="0"/>
              <w:left w:val="single" w:color="auto" w:sz="4" w:space="0"/>
              <w:bottom w:val="single" w:color="auto" w:sz="4" w:space="0"/>
              <w:right w:val="single" w:color="auto" w:sz="4" w:space="0"/>
            </w:tcBorders>
            <w:noWrap/>
          </w:tcPr>
          <w:p w14:paraId="338F1ED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1580" w:type="pct"/>
            <w:tcBorders>
              <w:top w:val="single" w:color="auto" w:sz="4" w:space="0"/>
              <w:left w:val="single" w:color="auto" w:sz="4" w:space="0"/>
              <w:bottom w:val="single" w:color="auto" w:sz="4" w:space="0"/>
              <w:right w:val="single" w:color="auto" w:sz="4" w:space="0"/>
            </w:tcBorders>
            <w:noWrap/>
          </w:tcPr>
          <w:p w14:paraId="3497A51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681" w:type="pct"/>
            <w:tcBorders>
              <w:top w:val="single" w:color="auto" w:sz="4" w:space="0"/>
              <w:left w:val="single" w:color="auto" w:sz="4" w:space="0"/>
              <w:bottom w:val="single" w:color="auto" w:sz="4" w:space="0"/>
              <w:right w:val="single" w:color="auto" w:sz="4" w:space="0"/>
            </w:tcBorders>
            <w:noWrap/>
          </w:tcPr>
          <w:p w14:paraId="235E7C9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工日</w:t>
            </w:r>
          </w:p>
        </w:tc>
        <w:tc>
          <w:tcPr>
            <w:tcW w:w="909" w:type="pct"/>
            <w:tcBorders>
              <w:top w:val="single" w:color="auto" w:sz="4" w:space="0"/>
              <w:left w:val="single" w:color="auto" w:sz="4" w:space="0"/>
              <w:bottom w:val="single" w:color="auto" w:sz="4" w:space="0"/>
              <w:right w:val="single" w:color="auto" w:sz="4" w:space="0"/>
            </w:tcBorders>
            <w:noWrap/>
          </w:tcPr>
          <w:p w14:paraId="5B7F35E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50" w:type="pct"/>
            <w:tcBorders>
              <w:top w:val="single" w:color="auto" w:sz="4" w:space="0"/>
              <w:left w:val="single" w:color="auto" w:sz="4" w:space="0"/>
              <w:bottom w:val="single" w:color="auto" w:sz="4" w:space="0"/>
              <w:right w:val="single" w:color="auto" w:sz="4" w:space="0"/>
            </w:tcBorders>
            <w:noWrap/>
          </w:tcPr>
          <w:p w14:paraId="078535B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0E34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78" w:type="pct"/>
            <w:tcBorders>
              <w:top w:val="single" w:color="auto" w:sz="4" w:space="0"/>
              <w:left w:val="single" w:color="auto" w:sz="4" w:space="0"/>
              <w:bottom w:val="single" w:color="auto" w:sz="4" w:space="0"/>
              <w:right w:val="single" w:color="auto" w:sz="4" w:space="0"/>
            </w:tcBorders>
            <w:noWrap/>
          </w:tcPr>
          <w:p w14:paraId="1C7FD09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80" w:type="pct"/>
            <w:tcBorders>
              <w:top w:val="single" w:color="auto" w:sz="4" w:space="0"/>
              <w:left w:val="single" w:color="auto" w:sz="4" w:space="0"/>
              <w:bottom w:val="single" w:color="auto" w:sz="4" w:space="0"/>
              <w:right w:val="single" w:color="auto" w:sz="4" w:space="0"/>
            </w:tcBorders>
            <w:noWrap/>
          </w:tcPr>
          <w:p w14:paraId="2446C89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81" w:type="pct"/>
            <w:tcBorders>
              <w:top w:val="single" w:color="auto" w:sz="4" w:space="0"/>
              <w:left w:val="single" w:color="auto" w:sz="4" w:space="0"/>
              <w:bottom w:val="single" w:color="auto" w:sz="4" w:space="0"/>
              <w:right w:val="single" w:color="auto" w:sz="4" w:space="0"/>
            </w:tcBorders>
            <w:noWrap/>
          </w:tcPr>
          <w:p w14:paraId="3B6F1EB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9" w:type="pct"/>
            <w:tcBorders>
              <w:top w:val="single" w:color="auto" w:sz="4" w:space="0"/>
              <w:left w:val="single" w:color="auto" w:sz="4" w:space="0"/>
              <w:bottom w:val="single" w:color="auto" w:sz="4" w:space="0"/>
              <w:right w:val="single" w:color="auto" w:sz="4" w:space="0"/>
            </w:tcBorders>
            <w:noWrap/>
          </w:tcPr>
          <w:p w14:paraId="0BA46BC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50" w:type="pct"/>
            <w:tcBorders>
              <w:top w:val="single" w:color="auto" w:sz="4" w:space="0"/>
              <w:left w:val="single" w:color="auto" w:sz="4" w:space="0"/>
              <w:bottom w:val="single" w:color="auto" w:sz="4" w:space="0"/>
              <w:right w:val="single" w:color="auto" w:sz="4" w:space="0"/>
            </w:tcBorders>
            <w:noWrap/>
          </w:tcPr>
          <w:p w14:paraId="5B221E2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0C76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78" w:type="pct"/>
            <w:tcBorders>
              <w:top w:val="single" w:color="auto" w:sz="4" w:space="0"/>
              <w:left w:val="single" w:color="auto" w:sz="4" w:space="0"/>
              <w:bottom w:val="single" w:color="auto" w:sz="4" w:space="0"/>
              <w:right w:val="single" w:color="auto" w:sz="4" w:space="0"/>
            </w:tcBorders>
            <w:noWrap/>
          </w:tcPr>
          <w:p w14:paraId="565518A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80" w:type="pct"/>
            <w:tcBorders>
              <w:top w:val="single" w:color="auto" w:sz="4" w:space="0"/>
              <w:left w:val="single" w:color="auto" w:sz="4" w:space="0"/>
              <w:bottom w:val="single" w:color="auto" w:sz="4" w:space="0"/>
              <w:right w:val="single" w:color="auto" w:sz="4" w:space="0"/>
            </w:tcBorders>
            <w:noWrap/>
          </w:tcPr>
          <w:p w14:paraId="312C850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81" w:type="pct"/>
            <w:tcBorders>
              <w:top w:val="single" w:color="auto" w:sz="4" w:space="0"/>
              <w:left w:val="single" w:color="auto" w:sz="4" w:space="0"/>
              <w:bottom w:val="single" w:color="auto" w:sz="4" w:space="0"/>
              <w:right w:val="single" w:color="auto" w:sz="4" w:space="0"/>
            </w:tcBorders>
            <w:noWrap/>
          </w:tcPr>
          <w:p w14:paraId="5B2FF69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9" w:type="pct"/>
            <w:tcBorders>
              <w:top w:val="single" w:color="auto" w:sz="4" w:space="0"/>
              <w:left w:val="single" w:color="auto" w:sz="4" w:space="0"/>
              <w:bottom w:val="single" w:color="auto" w:sz="4" w:space="0"/>
              <w:right w:val="single" w:color="auto" w:sz="4" w:space="0"/>
            </w:tcBorders>
            <w:noWrap/>
          </w:tcPr>
          <w:p w14:paraId="041D213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50" w:type="pct"/>
            <w:tcBorders>
              <w:top w:val="single" w:color="auto" w:sz="4" w:space="0"/>
              <w:left w:val="single" w:color="auto" w:sz="4" w:space="0"/>
              <w:bottom w:val="single" w:color="auto" w:sz="4" w:space="0"/>
              <w:right w:val="single" w:color="auto" w:sz="4" w:space="0"/>
            </w:tcBorders>
            <w:noWrap/>
          </w:tcPr>
          <w:p w14:paraId="08621BF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7858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78" w:type="pct"/>
            <w:tcBorders>
              <w:top w:val="single" w:color="auto" w:sz="4" w:space="0"/>
              <w:left w:val="single" w:color="auto" w:sz="4" w:space="0"/>
              <w:bottom w:val="single" w:color="auto" w:sz="4" w:space="0"/>
              <w:right w:val="single" w:color="auto" w:sz="4" w:space="0"/>
            </w:tcBorders>
            <w:noWrap/>
          </w:tcPr>
          <w:p w14:paraId="1DC2F4C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80" w:type="pct"/>
            <w:tcBorders>
              <w:top w:val="single" w:color="auto" w:sz="4" w:space="0"/>
              <w:left w:val="single" w:color="auto" w:sz="4" w:space="0"/>
              <w:bottom w:val="single" w:color="auto" w:sz="4" w:space="0"/>
              <w:right w:val="single" w:color="auto" w:sz="4" w:space="0"/>
            </w:tcBorders>
            <w:noWrap/>
          </w:tcPr>
          <w:p w14:paraId="5B2BF96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81" w:type="pct"/>
            <w:tcBorders>
              <w:top w:val="single" w:color="auto" w:sz="4" w:space="0"/>
              <w:left w:val="single" w:color="auto" w:sz="4" w:space="0"/>
              <w:bottom w:val="single" w:color="auto" w:sz="4" w:space="0"/>
              <w:right w:val="single" w:color="auto" w:sz="4" w:space="0"/>
            </w:tcBorders>
            <w:noWrap/>
          </w:tcPr>
          <w:p w14:paraId="026AD01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9" w:type="pct"/>
            <w:tcBorders>
              <w:top w:val="single" w:color="auto" w:sz="4" w:space="0"/>
              <w:left w:val="single" w:color="auto" w:sz="4" w:space="0"/>
              <w:bottom w:val="single" w:color="auto" w:sz="4" w:space="0"/>
              <w:right w:val="single" w:color="auto" w:sz="4" w:space="0"/>
            </w:tcBorders>
            <w:noWrap/>
          </w:tcPr>
          <w:p w14:paraId="03C9C89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50" w:type="pct"/>
            <w:tcBorders>
              <w:top w:val="single" w:color="auto" w:sz="4" w:space="0"/>
              <w:left w:val="single" w:color="auto" w:sz="4" w:space="0"/>
              <w:bottom w:val="single" w:color="auto" w:sz="4" w:space="0"/>
              <w:right w:val="single" w:color="auto" w:sz="4" w:space="0"/>
            </w:tcBorders>
            <w:noWrap/>
          </w:tcPr>
          <w:p w14:paraId="1B6DEF7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411C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78" w:type="pct"/>
            <w:tcBorders>
              <w:top w:val="single" w:color="auto" w:sz="4" w:space="0"/>
              <w:left w:val="single" w:color="auto" w:sz="4" w:space="0"/>
              <w:bottom w:val="single" w:color="auto" w:sz="4" w:space="0"/>
              <w:right w:val="single" w:color="auto" w:sz="4" w:space="0"/>
            </w:tcBorders>
            <w:noWrap/>
          </w:tcPr>
          <w:p w14:paraId="0A2D38E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80" w:type="pct"/>
            <w:tcBorders>
              <w:top w:val="single" w:color="auto" w:sz="4" w:space="0"/>
              <w:left w:val="single" w:color="auto" w:sz="4" w:space="0"/>
              <w:bottom w:val="single" w:color="auto" w:sz="4" w:space="0"/>
              <w:right w:val="single" w:color="auto" w:sz="4" w:space="0"/>
            </w:tcBorders>
            <w:noWrap/>
          </w:tcPr>
          <w:p w14:paraId="555CE47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81" w:type="pct"/>
            <w:tcBorders>
              <w:top w:val="single" w:color="auto" w:sz="4" w:space="0"/>
              <w:left w:val="single" w:color="auto" w:sz="4" w:space="0"/>
              <w:bottom w:val="single" w:color="auto" w:sz="4" w:space="0"/>
              <w:right w:val="single" w:color="auto" w:sz="4" w:space="0"/>
            </w:tcBorders>
            <w:noWrap/>
          </w:tcPr>
          <w:p w14:paraId="214AD6F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9" w:type="pct"/>
            <w:tcBorders>
              <w:top w:val="single" w:color="auto" w:sz="4" w:space="0"/>
              <w:left w:val="single" w:color="auto" w:sz="4" w:space="0"/>
              <w:bottom w:val="single" w:color="auto" w:sz="4" w:space="0"/>
              <w:right w:val="single" w:color="auto" w:sz="4" w:space="0"/>
            </w:tcBorders>
            <w:noWrap/>
          </w:tcPr>
          <w:p w14:paraId="4FA7317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50" w:type="pct"/>
            <w:tcBorders>
              <w:top w:val="single" w:color="auto" w:sz="4" w:space="0"/>
              <w:left w:val="single" w:color="auto" w:sz="4" w:space="0"/>
              <w:bottom w:val="single" w:color="auto" w:sz="4" w:space="0"/>
              <w:right w:val="single" w:color="auto" w:sz="4" w:space="0"/>
            </w:tcBorders>
            <w:noWrap/>
          </w:tcPr>
          <w:p w14:paraId="6BD09B1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6D89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78" w:type="pct"/>
            <w:tcBorders>
              <w:top w:val="single" w:color="auto" w:sz="4" w:space="0"/>
              <w:left w:val="single" w:color="auto" w:sz="4" w:space="0"/>
              <w:bottom w:val="single" w:color="auto" w:sz="4" w:space="0"/>
              <w:right w:val="single" w:color="auto" w:sz="4" w:space="0"/>
            </w:tcBorders>
            <w:noWrap/>
          </w:tcPr>
          <w:p w14:paraId="1820A70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80" w:type="pct"/>
            <w:tcBorders>
              <w:top w:val="single" w:color="auto" w:sz="4" w:space="0"/>
              <w:left w:val="single" w:color="auto" w:sz="4" w:space="0"/>
              <w:bottom w:val="single" w:color="auto" w:sz="4" w:space="0"/>
              <w:right w:val="single" w:color="auto" w:sz="4" w:space="0"/>
            </w:tcBorders>
            <w:noWrap/>
          </w:tcPr>
          <w:p w14:paraId="09BF8FE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81" w:type="pct"/>
            <w:tcBorders>
              <w:top w:val="single" w:color="auto" w:sz="4" w:space="0"/>
              <w:left w:val="single" w:color="auto" w:sz="4" w:space="0"/>
              <w:bottom w:val="single" w:color="auto" w:sz="4" w:space="0"/>
              <w:right w:val="single" w:color="auto" w:sz="4" w:space="0"/>
            </w:tcBorders>
            <w:noWrap/>
          </w:tcPr>
          <w:p w14:paraId="3B403FE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9" w:type="pct"/>
            <w:tcBorders>
              <w:top w:val="single" w:color="auto" w:sz="4" w:space="0"/>
              <w:left w:val="single" w:color="auto" w:sz="4" w:space="0"/>
              <w:bottom w:val="single" w:color="auto" w:sz="4" w:space="0"/>
              <w:right w:val="single" w:color="auto" w:sz="4" w:space="0"/>
            </w:tcBorders>
            <w:noWrap/>
          </w:tcPr>
          <w:p w14:paraId="5BBB5BB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50" w:type="pct"/>
            <w:tcBorders>
              <w:top w:val="single" w:color="auto" w:sz="4" w:space="0"/>
              <w:left w:val="single" w:color="auto" w:sz="4" w:space="0"/>
              <w:bottom w:val="single" w:color="auto" w:sz="4" w:space="0"/>
              <w:right w:val="single" w:color="auto" w:sz="4" w:space="0"/>
            </w:tcBorders>
            <w:noWrap/>
          </w:tcPr>
          <w:p w14:paraId="3B1391B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2A4A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78" w:type="pct"/>
            <w:tcBorders>
              <w:top w:val="single" w:color="auto" w:sz="4" w:space="0"/>
              <w:left w:val="single" w:color="auto" w:sz="4" w:space="0"/>
              <w:bottom w:val="single" w:color="auto" w:sz="4" w:space="0"/>
              <w:right w:val="single" w:color="auto" w:sz="4" w:space="0"/>
            </w:tcBorders>
            <w:noWrap/>
          </w:tcPr>
          <w:p w14:paraId="3BC1A9A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80" w:type="pct"/>
            <w:tcBorders>
              <w:top w:val="single" w:color="auto" w:sz="4" w:space="0"/>
              <w:left w:val="single" w:color="auto" w:sz="4" w:space="0"/>
              <w:bottom w:val="single" w:color="auto" w:sz="4" w:space="0"/>
              <w:right w:val="single" w:color="auto" w:sz="4" w:space="0"/>
            </w:tcBorders>
            <w:noWrap/>
          </w:tcPr>
          <w:p w14:paraId="559B1AC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81" w:type="pct"/>
            <w:tcBorders>
              <w:top w:val="single" w:color="auto" w:sz="4" w:space="0"/>
              <w:left w:val="single" w:color="auto" w:sz="4" w:space="0"/>
              <w:bottom w:val="single" w:color="auto" w:sz="4" w:space="0"/>
              <w:right w:val="single" w:color="auto" w:sz="4" w:space="0"/>
            </w:tcBorders>
            <w:noWrap/>
          </w:tcPr>
          <w:p w14:paraId="138E719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9" w:type="pct"/>
            <w:tcBorders>
              <w:top w:val="single" w:color="auto" w:sz="4" w:space="0"/>
              <w:left w:val="single" w:color="auto" w:sz="4" w:space="0"/>
              <w:bottom w:val="single" w:color="auto" w:sz="4" w:space="0"/>
              <w:right w:val="single" w:color="auto" w:sz="4" w:space="0"/>
            </w:tcBorders>
            <w:noWrap/>
          </w:tcPr>
          <w:p w14:paraId="7FDA6C9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50" w:type="pct"/>
            <w:tcBorders>
              <w:top w:val="single" w:color="auto" w:sz="4" w:space="0"/>
              <w:left w:val="single" w:color="auto" w:sz="4" w:space="0"/>
              <w:bottom w:val="single" w:color="auto" w:sz="4" w:space="0"/>
              <w:right w:val="single" w:color="auto" w:sz="4" w:space="0"/>
            </w:tcBorders>
            <w:noWrap/>
          </w:tcPr>
          <w:p w14:paraId="4EC2278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3012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78" w:type="pct"/>
            <w:tcBorders>
              <w:top w:val="single" w:color="auto" w:sz="4" w:space="0"/>
              <w:left w:val="single" w:color="auto" w:sz="4" w:space="0"/>
              <w:bottom w:val="single" w:color="auto" w:sz="4" w:space="0"/>
              <w:right w:val="single" w:color="auto" w:sz="4" w:space="0"/>
            </w:tcBorders>
            <w:noWrap/>
          </w:tcPr>
          <w:p w14:paraId="4DC95FB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80" w:type="pct"/>
            <w:tcBorders>
              <w:top w:val="single" w:color="auto" w:sz="4" w:space="0"/>
              <w:left w:val="single" w:color="auto" w:sz="4" w:space="0"/>
              <w:bottom w:val="single" w:color="auto" w:sz="4" w:space="0"/>
              <w:right w:val="single" w:color="auto" w:sz="4" w:space="0"/>
            </w:tcBorders>
            <w:noWrap/>
          </w:tcPr>
          <w:p w14:paraId="4FBB800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81" w:type="pct"/>
            <w:tcBorders>
              <w:top w:val="single" w:color="auto" w:sz="4" w:space="0"/>
              <w:left w:val="single" w:color="auto" w:sz="4" w:space="0"/>
              <w:bottom w:val="single" w:color="auto" w:sz="4" w:space="0"/>
              <w:right w:val="single" w:color="auto" w:sz="4" w:space="0"/>
            </w:tcBorders>
            <w:noWrap/>
          </w:tcPr>
          <w:p w14:paraId="6C565B4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9" w:type="pct"/>
            <w:tcBorders>
              <w:top w:val="single" w:color="auto" w:sz="4" w:space="0"/>
              <w:left w:val="single" w:color="auto" w:sz="4" w:space="0"/>
              <w:bottom w:val="single" w:color="auto" w:sz="4" w:space="0"/>
              <w:right w:val="single" w:color="auto" w:sz="4" w:space="0"/>
            </w:tcBorders>
            <w:noWrap/>
          </w:tcPr>
          <w:p w14:paraId="0C9F714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50" w:type="pct"/>
            <w:tcBorders>
              <w:top w:val="single" w:color="auto" w:sz="4" w:space="0"/>
              <w:left w:val="single" w:color="auto" w:sz="4" w:space="0"/>
              <w:bottom w:val="single" w:color="auto" w:sz="4" w:space="0"/>
              <w:right w:val="single" w:color="auto" w:sz="4" w:space="0"/>
            </w:tcBorders>
            <w:noWrap/>
          </w:tcPr>
          <w:p w14:paraId="5595C82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73EF8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78" w:type="pct"/>
            <w:tcBorders>
              <w:top w:val="single" w:color="auto" w:sz="4" w:space="0"/>
              <w:left w:val="single" w:color="auto" w:sz="4" w:space="0"/>
              <w:bottom w:val="single" w:color="auto" w:sz="4" w:space="0"/>
              <w:right w:val="single" w:color="auto" w:sz="4" w:space="0"/>
            </w:tcBorders>
            <w:noWrap/>
          </w:tcPr>
          <w:p w14:paraId="1CCC6D2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80" w:type="pct"/>
            <w:tcBorders>
              <w:top w:val="single" w:color="auto" w:sz="4" w:space="0"/>
              <w:left w:val="single" w:color="auto" w:sz="4" w:space="0"/>
              <w:bottom w:val="single" w:color="auto" w:sz="4" w:space="0"/>
              <w:right w:val="single" w:color="auto" w:sz="4" w:space="0"/>
            </w:tcBorders>
            <w:noWrap/>
          </w:tcPr>
          <w:p w14:paraId="528B9C2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81" w:type="pct"/>
            <w:tcBorders>
              <w:top w:val="single" w:color="auto" w:sz="4" w:space="0"/>
              <w:left w:val="single" w:color="auto" w:sz="4" w:space="0"/>
              <w:bottom w:val="single" w:color="auto" w:sz="4" w:space="0"/>
              <w:right w:val="single" w:color="auto" w:sz="4" w:space="0"/>
            </w:tcBorders>
            <w:noWrap/>
          </w:tcPr>
          <w:p w14:paraId="5668DDC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9" w:type="pct"/>
            <w:tcBorders>
              <w:top w:val="single" w:color="auto" w:sz="4" w:space="0"/>
              <w:left w:val="single" w:color="auto" w:sz="4" w:space="0"/>
              <w:bottom w:val="single" w:color="auto" w:sz="4" w:space="0"/>
              <w:right w:val="single" w:color="auto" w:sz="4" w:space="0"/>
            </w:tcBorders>
            <w:noWrap/>
          </w:tcPr>
          <w:p w14:paraId="6F19975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50" w:type="pct"/>
            <w:tcBorders>
              <w:top w:val="single" w:color="auto" w:sz="4" w:space="0"/>
              <w:left w:val="single" w:color="auto" w:sz="4" w:space="0"/>
              <w:bottom w:val="single" w:color="auto" w:sz="4" w:space="0"/>
              <w:right w:val="single" w:color="auto" w:sz="4" w:space="0"/>
            </w:tcBorders>
            <w:noWrap/>
          </w:tcPr>
          <w:p w14:paraId="309E843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4F21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78" w:type="pct"/>
            <w:tcBorders>
              <w:top w:val="single" w:color="auto" w:sz="4" w:space="0"/>
              <w:left w:val="single" w:color="auto" w:sz="4" w:space="0"/>
              <w:bottom w:val="single" w:color="auto" w:sz="4" w:space="0"/>
              <w:right w:val="single" w:color="auto" w:sz="4" w:space="0"/>
            </w:tcBorders>
            <w:noWrap/>
          </w:tcPr>
          <w:p w14:paraId="14EDD05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80" w:type="pct"/>
            <w:tcBorders>
              <w:top w:val="single" w:color="auto" w:sz="4" w:space="0"/>
              <w:left w:val="single" w:color="auto" w:sz="4" w:space="0"/>
              <w:bottom w:val="single" w:color="auto" w:sz="4" w:space="0"/>
              <w:right w:val="single" w:color="auto" w:sz="4" w:space="0"/>
            </w:tcBorders>
            <w:noWrap/>
          </w:tcPr>
          <w:p w14:paraId="74BD511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81" w:type="pct"/>
            <w:tcBorders>
              <w:top w:val="single" w:color="auto" w:sz="4" w:space="0"/>
              <w:left w:val="single" w:color="auto" w:sz="4" w:space="0"/>
              <w:bottom w:val="single" w:color="auto" w:sz="4" w:space="0"/>
              <w:right w:val="single" w:color="auto" w:sz="4" w:space="0"/>
            </w:tcBorders>
            <w:noWrap/>
          </w:tcPr>
          <w:p w14:paraId="3BBD909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9" w:type="pct"/>
            <w:tcBorders>
              <w:top w:val="single" w:color="auto" w:sz="4" w:space="0"/>
              <w:left w:val="single" w:color="auto" w:sz="4" w:space="0"/>
              <w:bottom w:val="single" w:color="auto" w:sz="4" w:space="0"/>
              <w:right w:val="single" w:color="auto" w:sz="4" w:space="0"/>
            </w:tcBorders>
            <w:noWrap/>
          </w:tcPr>
          <w:p w14:paraId="31A91A5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50" w:type="pct"/>
            <w:tcBorders>
              <w:top w:val="single" w:color="auto" w:sz="4" w:space="0"/>
              <w:left w:val="single" w:color="auto" w:sz="4" w:space="0"/>
              <w:bottom w:val="single" w:color="auto" w:sz="4" w:space="0"/>
              <w:right w:val="single" w:color="auto" w:sz="4" w:space="0"/>
            </w:tcBorders>
            <w:noWrap/>
          </w:tcPr>
          <w:p w14:paraId="0E27D8B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0D50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78" w:type="pct"/>
            <w:tcBorders>
              <w:top w:val="single" w:color="auto" w:sz="4" w:space="0"/>
              <w:left w:val="single" w:color="auto" w:sz="4" w:space="0"/>
              <w:bottom w:val="single" w:color="auto" w:sz="4" w:space="0"/>
              <w:right w:val="single" w:color="auto" w:sz="4" w:space="0"/>
            </w:tcBorders>
            <w:noWrap/>
          </w:tcPr>
          <w:p w14:paraId="46E4FCA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80" w:type="pct"/>
            <w:tcBorders>
              <w:top w:val="single" w:color="auto" w:sz="4" w:space="0"/>
              <w:left w:val="single" w:color="auto" w:sz="4" w:space="0"/>
              <w:bottom w:val="single" w:color="auto" w:sz="4" w:space="0"/>
              <w:right w:val="single" w:color="auto" w:sz="4" w:space="0"/>
            </w:tcBorders>
            <w:noWrap/>
          </w:tcPr>
          <w:p w14:paraId="4690FB3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81" w:type="pct"/>
            <w:tcBorders>
              <w:top w:val="single" w:color="auto" w:sz="4" w:space="0"/>
              <w:left w:val="single" w:color="auto" w:sz="4" w:space="0"/>
              <w:bottom w:val="single" w:color="auto" w:sz="4" w:space="0"/>
              <w:right w:val="single" w:color="auto" w:sz="4" w:space="0"/>
            </w:tcBorders>
            <w:noWrap/>
          </w:tcPr>
          <w:p w14:paraId="0AE4D06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9" w:type="pct"/>
            <w:tcBorders>
              <w:top w:val="single" w:color="auto" w:sz="4" w:space="0"/>
              <w:left w:val="single" w:color="auto" w:sz="4" w:space="0"/>
              <w:bottom w:val="single" w:color="auto" w:sz="4" w:space="0"/>
              <w:right w:val="single" w:color="auto" w:sz="4" w:space="0"/>
            </w:tcBorders>
            <w:noWrap/>
          </w:tcPr>
          <w:p w14:paraId="55CF48B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50" w:type="pct"/>
            <w:tcBorders>
              <w:top w:val="single" w:color="auto" w:sz="4" w:space="0"/>
              <w:left w:val="single" w:color="auto" w:sz="4" w:space="0"/>
              <w:bottom w:val="single" w:color="auto" w:sz="4" w:space="0"/>
              <w:right w:val="single" w:color="auto" w:sz="4" w:space="0"/>
            </w:tcBorders>
            <w:noWrap/>
          </w:tcPr>
          <w:p w14:paraId="0419913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bl>
    <w:p w14:paraId="73CA2E6E">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r>
        <w:rPr>
          <w:rFonts w:hint="eastAsia" w:ascii="宋体" w:hAnsi="宋体" w:cs="仿宋"/>
          <w:color w:val="auto"/>
          <w:highlight w:val="none"/>
        </w:rPr>
        <w:t>注：本表（1）、（2）栏由招标人按需要提出。</w:t>
      </w:r>
    </w:p>
    <w:p w14:paraId="72D79A9D">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p>
    <w:p w14:paraId="49F2ACA0">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p>
    <w:p w14:paraId="7DC99CA6">
      <w:pPr>
        <w:keepNext w:val="0"/>
        <w:keepLines w:val="0"/>
        <w:pageBreakBefore w:val="0"/>
        <w:kinsoku/>
        <w:overflowPunct/>
        <w:topLinePunct w:val="0"/>
        <w:autoSpaceDE/>
        <w:autoSpaceDN/>
        <w:bidi w:val="0"/>
        <w:ind w:firstLine="480"/>
        <w:textAlignment w:val="auto"/>
        <w:outlineLvl w:val="9"/>
        <w:rPr>
          <w:color w:val="auto"/>
          <w:highlight w:val="none"/>
        </w:rPr>
        <w:sectPr>
          <w:pgSz w:w="11905" w:h="16838"/>
          <w:pgMar w:top="1417" w:right="1417" w:bottom="1417" w:left="1417" w:header="850" w:footer="992" w:gutter="0"/>
          <w:cols w:space="0" w:num="1"/>
          <w:titlePg/>
          <w:rtlGutter w:val="0"/>
          <w:docGrid w:linePitch="312" w:charSpace="0"/>
        </w:sectPr>
      </w:pPr>
    </w:p>
    <w:p w14:paraId="3C3E2243">
      <w:pPr>
        <w:keepNext w:val="0"/>
        <w:keepLines w:val="0"/>
        <w:pageBreakBefore w:val="0"/>
        <w:kinsoku/>
        <w:wordWrap w:val="0"/>
        <w:overflowPunct/>
        <w:topLinePunct w:val="0"/>
        <w:autoSpaceDE/>
        <w:autoSpaceDN/>
        <w:bidi w:val="0"/>
        <w:jc w:val="center"/>
        <w:textAlignment w:val="auto"/>
        <w:outlineLvl w:val="9"/>
        <w:rPr>
          <w:rFonts w:cs="仿宋"/>
          <w:b/>
          <w:bCs/>
          <w:color w:val="auto"/>
          <w:sz w:val="32"/>
          <w:szCs w:val="28"/>
          <w:highlight w:val="none"/>
        </w:rPr>
      </w:pPr>
      <w:r>
        <w:rPr>
          <w:rFonts w:hint="eastAsia" w:ascii="宋体" w:hAnsi="宋体" w:cs="仿宋"/>
          <w:b/>
          <w:bCs/>
          <w:color w:val="auto"/>
          <w:sz w:val="32"/>
          <w:szCs w:val="28"/>
          <w:highlight w:val="none"/>
        </w:rPr>
        <w:t>表1-6  主要材料及设备价格表</w:t>
      </w:r>
    </w:p>
    <w:p w14:paraId="5CA96400">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工程名称：                                                         第  页 共  页</w:t>
      </w:r>
    </w:p>
    <w:tbl>
      <w:tblPr>
        <w:tblStyle w:val="6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946"/>
        <w:gridCol w:w="1686"/>
        <w:gridCol w:w="1266"/>
        <w:gridCol w:w="1112"/>
        <w:gridCol w:w="1112"/>
        <w:gridCol w:w="1266"/>
        <w:gridCol w:w="1112"/>
      </w:tblGrid>
      <w:tr w14:paraId="6D11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15894ED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序号</w:t>
            </w:r>
          </w:p>
        </w:tc>
        <w:tc>
          <w:tcPr>
            <w:tcW w:w="535" w:type="pct"/>
            <w:tcBorders>
              <w:top w:val="single" w:color="auto" w:sz="4" w:space="0"/>
              <w:left w:val="single" w:color="auto" w:sz="4" w:space="0"/>
              <w:bottom w:val="single" w:color="auto" w:sz="4" w:space="0"/>
              <w:right w:val="single" w:color="auto" w:sz="4" w:space="0"/>
            </w:tcBorders>
            <w:noWrap/>
            <w:vAlign w:val="center"/>
          </w:tcPr>
          <w:p w14:paraId="1143E7E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编码</w:t>
            </w:r>
          </w:p>
        </w:tc>
        <w:tc>
          <w:tcPr>
            <w:tcW w:w="893" w:type="pct"/>
            <w:tcBorders>
              <w:top w:val="single" w:color="auto" w:sz="4" w:space="0"/>
              <w:left w:val="single" w:color="auto" w:sz="4" w:space="0"/>
              <w:bottom w:val="single" w:color="auto" w:sz="4" w:space="0"/>
              <w:right w:val="single" w:color="auto" w:sz="4" w:space="0"/>
            </w:tcBorders>
            <w:noWrap/>
            <w:vAlign w:val="center"/>
          </w:tcPr>
          <w:p w14:paraId="76E9DAF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材料或设备名称</w:t>
            </w:r>
          </w:p>
        </w:tc>
        <w:tc>
          <w:tcPr>
            <w:tcW w:w="624" w:type="pct"/>
            <w:tcBorders>
              <w:top w:val="single" w:color="auto" w:sz="4" w:space="0"/>
              <w:left w:val="single" w:color="auto" w:sz="4" w:space="0"/>
              <w:bottom w:val="single" w:color="auto" w:sz="4" w:space="0"/>
              <w:right w:val="single" w:color="auto" w:sz="4" w:space="0"/>
            </w:tcBorders>
            <w:noWrap/>
            <w:vAlign w:val="center"/>
          </w:tcPr>
          <w:p w14:paraId="5804E47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规格、型号</w:t>
            </w:r>
          </w:p>
        </w:tc>
        <w:tc>
          <w:tcPr>
            <w:tcW w:w="624" w:type="pct"/>
            <w:tcBorders>
              <w:top w:val="single" w:color="auto" w:sz="4" w:space="0"/>
              <w:left w:val="single" w:color="auto" w:sz="4" w:space="0"/>
              <w:bottom w:val="single" w:color="auto" w:sz="4" w:space="0"/>
              <w:right w:val="single" w:color="auto" w:sz="4" w:space="0"/>
            </w:tcBorders>
            <w:noWrap/>
            <w:vAlign w:val="center"/>
          </w:tcPr>
          <w:p w14:paraId="408E451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单位</w:t>
            </w:r>
          </w:p>
        </w:tc>
        <w:tc>
          <w:tcPr>
            <w:tcW w:w="624" w:type="pct"/>
            <w:tcBorders>
              <w:top w:val="single" w:color="auto" w:sz="4" w:space="0"/>
              <w:left w:val="single" w:color="auto" w:sz="4" w:space="0"/>
              <w:bottom w:val="single" w:color="auto" w:sz="4" w:space="0"/>
              <w:right w:val="single" w:color="auto" w:sz="4" w:space="0"/>
            </w:tcBorders>
            <w:noWrap/>
            <w:vAlign w:val="center"/>
          </w:tcPr>
          <w:p w14:paraId="3F4D86F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数量</w:t>
            </w:r>
          </w:p>
        </w:tc>
        <w:tc>
          <w:tcPr>
            <w:tcW w:w="624" w:type="pct"/>
            <w:tcBorders>
              <w:top w:val="single" w:color="auto" w:sz="4" w:space="0"/>
              <w:left w:val="single" w:color="auto" w:sz="4" w:space="0"/>
              <w:bottom w:val="single" w:color="auto" w:sz="4" w:space="0"/>
              <w:right w:val="single" w:color="auto" w:sz="4" w:space="0"/>
            </w:tcBorders>
            <w:noWrap/>
            <w:vAlign w:val="center"/>
          </w:tcPr>
          <w:p w14:paraId="3015A32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单价（元）</w:t>
            </w:r>
          </w:p>
        </w:tc>
        <w:tc>
          <w:tcPr>
            <w:tcW w:w="624" w:type="pct"/>
            <w:tcBorders>
              <w:top w:val="single" w:color="auto" w:sz="4" w:space="0"/>
              <w:left w:val="single" w:color="auto" w:sz="4" w:space="0"/>
              <w:bottom w:val="single" w:color="auto" w:sz="4" w:space="0"/>
              <w:right w:val="single" w:color="auto" w:sz="4" w:space="0"/>
            </w:tcBorders>
            <w:noWrap/>
            <w:vAlign w:val="center"/>
          </w:tcPr>
          <w:p w14:paraId="03586B7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备 注</w:t>
            </w:r>
          </w:p>
        </w:tc>
      </w:tr>
      <w:tr w14:paraId="5EC6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46" w:type="pct"/>
            <w:tcBorders>
              <w:top w:val="single" w:color="auto" w:sz="4" w:space="0"/>
              <w:left w:val="single" w:color="auto" w:sz="4" w:space="0"/>
              <w:bottom w:val="single" w:color="auto" w:sz="4" w:space="0"/>
              <w:right w:val="single" w:color="auto" w:sz="4" w:space="0"/>
            </w:tcBorders>
            <w:noWrap/>
            <w:vAlign w:val="center"/>
          </w:tcPr>
          <w:p w14:paraId="4FAFE5B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535" w:type="pct"/>
            <w:tcBorders>
              <w:top w:val="single" w:color="auto" w:sz="4" w:space="0"/>
              <w:left w:val="single" w:color="auto" w:sz="4" w:space="0"/>
              <w:bottom w:val="single" w:color="auto" w:sz="4" w:space="0"/>
              <w:right w:val="single" w:color="auto" w:sz="4" w:space="0"/>
            </w:tcBorders>
            <w:noWrap/>
            <w:vAlign w:val="center"/>
          </w:tcPr>
          <w:p w14:paraId="2E6C466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893" w:type="pct"/>
            <w:tcBorders>
              <w:top w:val="single" w:color="auto" w:sz="4" w:space="0"/>
              <w:left w:val="single" w:color="auto" w:sz="4" w:space="0"/>
              <w:bottom w:val="single" w:color="auto" w:sz="4" w:space="0"/>
              <w:right w:val="single" w:color="auto" w:sz="4" w:space="0"/>
            </w:tcBorders>
            <w:noWrap/>
            <w:vAlign w:val="center"/>
          </w:tcPr>
          <w:p w14:paraId="1F9EEB8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（3）</w:t>
            </w:r>
          </w:p>
        </w:tc>
        <w:tc>
          <w:tcPr>
            <w:tcW w:w="624" w:type="pct"/>
            <w:tcBorders>
              <w:top w:val="single" w:color="auto" w:sz="4" w:space="0"/>
              <w:left w:val="single" w:color="auto" w:sz="4" w:space="0"/>
              <w:bottom w:val="single" w:color="auto" w:sz="4" w:space="0"/>
              <w:right w:val="single" w:color="auto" w:sz="4" w:space="0"/>
            </w:tcBorders>
            <w:noWrap/>
            <w:vAlign w:val="center"/>
          </w:tcPr>
          <w:p w14:paraId="294EAE7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（4）</w:t>
            </w:r>
          </w:p>
        </w:tc>
        <w:tc>
          <w:tcPr>
            <w:tcW w:w="624" w:type="pct"/>
            <w:tcBorders>
              <w:top w:val="single" w:color="auto" w:sz="4" w:space="0"/>
              <w:left w:val="single" w:color="auto" w:sz="4" w:space="0"/>
              <w:bottom w:val="single" w:color="auto" w:sz="4" w:space="0"/>
              <w:right w:val="single" w:color="auto" w:sz="4" w:space="0"/>
            </w:tcBorders>
            <w:noWrap/>
            <w:vAlign w:val="center"/>
          </w:tcPr>
          <w:p w14:paraId="5702C6D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（5）</w:t>
            </w:r>
          </w:p>
        </w:tc>
        <w:tc>
          <w:tcPr>
            <w:tcW w:w="624" w:type="pct"/>
            <w:tcBorders>
              <w:top w:val="single" w:color="auto" w:sz="4" w:space="0"/>
              <w:left w:val="single" w:color="auto" w:sz="4" w:space="0"/>
              <w:bottom w:val="single" w:color="auto" w:sz="4" w:space="0"/>
              <w:right w:val="single" w:color="auto" w:sz="4" w:space="0"/>
            </w:tcBorders>
            <w:noWrap/>
            <w:vAlign w:val="center"/>
          </w:tcPr>
          <w:p w14:paraId="635763D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vAlign w:val="center"/>
          </w:tcPr>
          <w:p w14:paraId="0D699F0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vAlign w:val="center"/>
          </w:tcPr>
          <w:p w14:paraId="25F0239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（6）</w:t>
            </w:r>
          </w:p>
        </w:tc>
      </w:tr>
      <w:tr w14:paraId="58CD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46" w:type="pct"/>
            <w:tcBorders>
              <w:top w:val="single" w:color="auto" w:sz="4" w:space="0"/>
              <w:left w:val="single" w:color="auto" w:sz="4" w:space="0"/>
              <w:bottom w:val="single" w:color="auto" w:sz="4" w:space="0"/>
              <w:right w:val="single" w:color="auto" w:sz="4" w:space="0"/>
            </w:tcBorders>
            <w:noWrap/>
          </w:tcPr>
          <w:p w14:paraId="7D6E312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535" w:type="pct"/>
            <w:tcBorders>
              <w:top w:val="single" w:color="auto" w:sz="4" w:space="0"/>
              <w:left w:val="single" w:color="auto" w:sz="4" w:space="0"/>
              <w:bottom w:val="single" w:color="auto" w:sz="4" w:space="0"/>
              <w:right w:val="single" w:color="auto" w:sz="4" w:space="0"/>
            </w:tcBorders>
            <w:noWrap/>
          </w:tcPr>
          <w:p w14:paraId="1600FD7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93" w:type="pct"/>
            <w:tcBorders>
              <w:top w:val="single" w:color="auto" w:sz="4" w:space="0"/>
              <w:left w:val="single" w:color="auto" w:sz="4" w:space="0"/>
              <w:bottom w:val="single" w:color="auto" w:sz="4" w:space="0"/>
              <w:right w:val="single" w:color="auto" w:sz="4" w:space="0"/>
            </w:tcBorders>
            <w:noWrap/>
          </w:tcPr>
          <w:p w14:paraId="423E26F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53AABFA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1FA4A17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462416F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1A83CAA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1FD3A4D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73D6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46" w:type="pct"/>
            <w:tcBorders>
              <w:top w:val="single" w:color="auto" w:sz="4" w:space="0"/>
              <w:left w:val="single" w:color="auto" w:sz="4" w:space="0"/>
              <w:bottom w:val="single" w:color="auto" w:sz="4" w:space="0"/>
              <w:right w:val="single" w:color="auto" w:sz="4" w:space="0"/>
            </w:tcBorders>
            <w:noWrap/>
          </w:tcPr>
          <w:p w14:paraId="1F89ED2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535" w:type="pct"/>
            <w:tcBorders>
              <w:top w:val="single" w:color="auto" w:sz="4" w:space="0"/>
              <w:left w:val="single" w:color="auto" w:sz="4" w:space="0"/>
              <w:bottom w:val="single" w:color="auto" w:sz="4" w:space="0"/>
              <w:right w:val="single" w:color="auto" w:sz="4" w:space="0"/>
            </w:tcBorders>
            <w:noWrap/>
          </w:tcPr>
          <w:p w14:paraId="177060C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93" w:type="pct"/>
            <w:tcBorders>
              <w:top w:val="single" w:color="auto" w:sz="4" w:space="0"/>
              <w:left w:val="single" w:color="auto" w:sz="4" w:space="0"/>
              <w:bottom w:val="single" w:color="auto" w:sz="4" w:space="0"/>
              <w:right w:val="single" w:color="auto" w:sz="4" w:space="0"/>
            </w:tcBorders>
            <w:noWrap/>
          </w:tcPr>
          <w:p w14:paraId="4C11F63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5460AF8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47DB53C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6EE0ACC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41D8386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689D112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438B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46" w:type="pct"/>
            <w:tcBorders>
              <w:top w:val="single" w:color="auto" w:sz="4" w:space="0"/>
              <w:left w:val="single" w:color="auto" w:sz="4" w:space="0"/>
              <w:bottom w:val="single" w:color="auto" w:sz="4" w:space="0"/>
              <w:right w:val="single" w:color="auto" w:sz="4" w:space="0"/>
            </w:tcBorders>
            <w:noWrap/>
          </w:tcPr>
          <w:p w14:paraId="3C087E5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535" w:type="pct"/>
            <w:tcBorders>
              <w:top w:val="single" w:color="auto" w:sz="4" w:space="0"/>
              <w:left w:val="single" w:color="auto" w:sz="4" w:space="0"/>
              <w:bottom w:val="single" w:color="auto" w:sz="4" w:space="0"/>
              <w:right w:val="single" w:color="auto" w:sz="4" w:space="0"/>
            </w:tcBorders>
            <w:noWrap/>
          </w:tcPr>
          <w:p w14:paraId="416B09B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93" w:type="pct"/>
            <w:tcBorders>
              <w:top w:val="single" w:color="auto" w:sz="4" w:space="0"/>
              <w:left w:val="single" w:color="auto" w:sz="4" w:space="0"/>
              <w:bottom w:val="single" w:color="auto" w:sz="4" w:space="0"/>
              <w:right w:val="single" w:color="auto" w:sz="4" w:space="0"/>
            </w:tcBorders>
            <w:noWrap/>
          </w:tcPr>
          <w:p w14:paraId="2DDB595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22C3B1A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530810D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0DF0E2A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44E37BF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1B6B70C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53A0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46" w:type="pct"/>
            <w:tcBorders>
              <w:top w:val="single" w:color="auto" w:sz="4" w:space="0"/>
              <w:left w:val="single" w:color="auto" w:sz="4" w:space="0"/>
              <w:bottom w:val="single" w:color="auto" w:sz="4" w:space="0"/>
              <w:right w:val="single" w:color="auto" w:sz="4" w:space="0"/>
            </w:tcBorders>
            <w:noWrap/>
          </w:tcPr>
          <w:p w14:paraId="10FBC4B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535" w:type="pct"/>
            <w:tcBorders>
              <w:top w:val="single" w:color="auto" w:sz="4" w:space="0"/>
              <w:left w:val="single" w:color="auto" w:sz="4" w:space="0"/>
              <w:bottom w:val="single" w:color="auto" w:sz="4" w:space="0"/>
              <w:right w:val="single" w:color="auto" w:sz="4" w:space="0"/>
            </w:tcBorders>
            <w:noWrap/>
          </w:tcPr>
          <w:p w14:paraId="6E62DF8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93" w:type="pct"/>
            <w:tcBorders>
              <w:top w:val="single" w:color="auto" w:sz="4" w:space="0"/>
              <w:left w:val="single" w:color="auto" w:sz="4" w:space="0"/>
              <w:bottom w:val="single" w:color="auto" w:sz="4" w:space="0"/>
              <w:right w:val="single" w:color="auto" w:sz="4" w:space="0"/>
            </w:tcBorders>
            <w:noWrap/>
          </w:tcPr>
          <w:p w14:paraId="195CF2B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2A27076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33946C3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799887C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022CBD9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6D500FE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7F2B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46" w:type="pct"/>
            <w:tcBorders>
              <w:top w:val="single" w:color="auto" w:sz="4" w:space="0"/>
              <w:left w:val="single" w:color="auto" w:sz="4" w:space="0"/>
              <w:bottom w:val="single" w:color="auto" w:sz="4" w:space="0"/>
              <w:right w:val="single" w:color="auto" w:sz="4" w:space="0"/>
            </w:tcBorders>
            <w:noWrap/>
          </w:tcPr>
          <w:p w14:paraId="6C0D064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535" w:type="pct"/>
            <w:tcBorders>
              <w:top w:val="single" w:color="auto" w:sz="4" w:space="0"/>
              <w:left w:val="single" w:color="auto" w:sz="4" w:space="0"/>
              <w:bottom w:val="single" w:color="auto" w:sz="4" w:space="0"/>
              <w:right w:val="single" w:color="auto" w:sz="4" w:space="0"/>
            </w:tcBorders>
            <w:noWrap/>
          </w:tcPr>
          <w:p w14:paraId="2296336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93" w:type="pct"/>
            <w:tcBorders>
              <w:top w:val="single" w:color="auto" w:sz="4" w:space="0"/>
              <w:left w:val="single" w:color="auto" w:sz="4" w:space="0"/>
              <w:bottom w:val="single" w:color="auto" w:sz="4" w:space="0"/>
              <w:right w:val="single" w:color="auto" w:sz="4" w:space="0"/>
            </w:tcBorders>
            <w:noWrap/>
          </w:tcPr>
          <w:p w14:paraId="0991E1C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6B2283F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62F4636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1CDD787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02424DD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06A9CFF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0226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46" w:type="pct"/>
            <w:tcBorders>
              <w:top w:val="single" w:color="auto" w:sz="4" w:space="0"/>
              <w:left w:val="single" w:color="auto" w:sz="4" w:space="0"/>
              <w:bottom w:val="single" w:color="auto" w:sz="4" w:space="0"/>
              <w:right w:val="single" w:color="auto" w:sz="4" w:space="0"/>
            </w:tcBorders>
            <w:noWrap/>
          </w:tcPr>
          <w:p w14:paraId="6F86FBE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535" w:type="pct"/>
            <w:tcBorders>
              <w:top w:val="single" w:color="auto" w:sz="4" w:space="0"/>
              <w:left w:val="single" w:color="auto" w:sz="4" w:space="0"/>
              <w:bottom w:val="single" w:color="auto" w:sz="4" w:space="0"/>
              <w:right w:val="single" w:color="auto" w:sz="4" w:space="0"/>
            </w:tcBorders>
            <w:noWrap/>
          </w:tcPr>
          <w:p w14:paraId="532722A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93" w:type="pct"/>
            <w:tcBorders>
              <w:top w:val="single" w:color="auto" w:sz="4" w:space="0"/>
              <w:left w:val="single" w:color="auto" w:sz="4" w:space="0"/>
              <w:bottom w:val="single" w:color="auto" w:sz="4" w:space="0"/>
              <w:right w:val="single" w:color="auto" w:sz="4" w:space="0"/>
            </w:tcBorders>
            <w:noWrap/>
          </w:tcPr>
          <w:p w14:paraId="27BA417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5D5ACC4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6A02460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5E0C874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324B12F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10DEB35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030F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46" w:type="pct"/>
            <w:tcBorders>
              <w:top w:val="single" w:color="auto" w:sz="4" w:space="0"/>
              <w:left w:val="single" w:color="auto" w:sz="4" w:space="0"/>
              <w:bottom w:val="single" w:color="auto" w:sz="4" w:space="0"/>
              <w:right w:val="single" w:color="auto" w:sz="4" w:space="0"/>
            </w:tcBorders>
            <w:noWrap/>
          </w:tcPr>
          <w:p w14:paraId="785194D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535" w:type="pct"/>
            <w:tcBorders>
              <w:top w:val="single" w:color="auto" w:sz="4" w:space="0"/>
              <w:left w:val="single" w:color="auto" w:sz="4" w:space="0"/>
              <w:bottom w:val="single" w:color="auto" w:sz="4" w:space="0"/>
              <w:right w:val="single" w:color="auto" w:sz="4" w:space="0"/>
            </w:tcBorders>
            <w:noWrap/>
          </w:tcPr>
          <w:p w14:paraId="4FCC531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93" w:type="pct"/>
            <w:tcBorders>
              <w:top w:val="single" w:color="auto" w:sz="4" w:space="0"/>
              <w:left w:val="single" w:color="auto" w:sz="4" w:space="0"/>
              <w:bottom w:val="single" w:color="auto" w:sz="4" w:space="0"/>
              <w:right w:val="single" w:color="auto" w:sz="4" w:space="0"/>
            </w:tcBorders>
            <w:noWrap/>
          </w:tcPr>
          <w:p w14:paraId="39645BA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5DB504B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556F0A7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797EB0A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2F9A056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17159A7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7966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46" w:type="pct"/>
            <w:tcBorders>
              <w:top w:val="single" w:color="auto" w:sz="4" w:space="0"/>
              <w:left w:val="single" w:color="auto" w:sz="4" w:space="0"/>
              <w:bottom w:val="single" w:color="auto" w:sz="4" w:space="0"/>
              <w:right w:val="single" w:color="auto" w:sz="4" w:space="0"/>
            </w:tcBorders>
            <w:noWrap/>
          </w:tcPr>
          <w:p w14:paraId="43BE50B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535" w:type="pct"/>
            <w:tcBorders>
              <w:top w:val="single" w:color="auto" w:sz="4" w:space="0"/>
              <w:left w:val="single" w:color="auto" w:sz="4" w:space="0"/>
              <w:bottom w:val="single" w:color="auto" w:sz="4" w:space="0"/>
              <w:right w:val="single" w:color="auto" w:sz="4" w:space="0"/>
            </w:tcBorders>
            <w:noWrap/>
          </w:tcPr>
          <w:p w14:paraId="6008FFB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93" w:type="pct"/>
            <w:tcBorders>
              <w:top w:val="single" w:color="auto" w:sz="4" w:space="0"/>
              <w:left w:val="single" w:color="auto" w:sz="4" w:space="0"/>
              <w:bottom w:val="single" w:color="auto" w:sz="4" w:space="0"/>
              <w:right w:val="single" w:color="auto" w:sz="4" w:space="0"/>
            </w:tcBorders>
            <w:noWrap/>
          </w:tcPr>
          <w:p w14:paraId="3AFED36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5B38785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768D5D0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32A45FA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15D0D86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24" w:type="pct"/>
            <w:tcBorders>
              <w:top w:val="single" w:color="auto" w:sz="4" w:space="0"/>
              <w:left w:val="single" w:color="auto" w:sz="4" w:space="0"/>
              <w:bottom w:val="single" w:color="auto" w:sz="4" w:space="0"/>
              <w:right w:val="single" w:color="auto" w:sz="4" w:space="0"/>
            </w:tcBorders>
            <w:noWrap/>
          </w:tcPr>
          <w:p w14:paraId="20DBE96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bl>
    <w:p w14:paraId="11C38E67">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r>
        <w:rPr>
          <w:rFonts w:hint="eastAsia" w:ascii="宋体" w:hAnsi="宋体" w:cs="仿宋"/>
          <w:color w:val="auto"/>
          <w:highlight w:val="none"/>
        </w:rPr>
        <w:t>注：1、表（1）（2）（3）（5）（6）栏由招标人按需要提出，投标人可补充。</w:t>
      </w:r>
    </w:p>
    <w:p w14:paraId="1B510AC4">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r>
        <w:rPr>
          <w:rFonts w:hint="eastAsia" w:ascii="宋体" w:hAnsi="宋体" w:cs="仿宋"/>
          <w:color w:val="auto"/>
          <w:highlight w:val="none"/>
        </w:rPr>
        <w:t>2、本表的材料及设备包括原材料、燃料、构配件以及按规定应计入建筑安装工程造价的设备。</w:t>
      </w:r>
    </w:p>
    <w:p w14:paraId="3BB5D7E0">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r>
        <w:rPr>
          <w:rFonts w:hint="eastAsia" w:ascii="宋体" w:hAnsi="宋体" w:cs="仿宋"/>
          <w:color w:val="auto"/>
          <w:highlight w:val="none"/>
        </w:rPr>
        <w:t xml:space="preserve"> 3、招标人指定、提供或暂定的材料和设备，按杭州市工程量清单计价实施细则的规定填写。</w:t>
      </w:r>
    </w:p>
    <w:p w14:paraId="4263B3CD">
      <w:pPr>
        <w:keepNext w:val="0"/>
        <w:keepLines w:val="0"/>
        <w:pageBreakBefore w:val="0"/>
        <w:kinsoku/>
        <w:overflowPunct/>
        <w:topLinePunct w:val="0"/>
        <w:autoSpaceDE/>
        <w:autoSpaceDN/>
        <w:bidi w:val="0"/>
        <w:textAlignment w:val="auto"/>
        <w:outlineLvl w:val="9"/>
        <w:rPr>
          <w:rFonts w:cs="仿宋"/>
          <w:b/>
          <w:bCs/>
          <w:color w:val="auto"/>
          <w:sz w:val="32"/>
          <w:szCs w:val="28"/>
          <w:highlight w:val="none"/>
        </w:rPr>
      </w:pPr>
      <w:r>
        <w:rPr>
          <w:rFonts w:hint="eastAsia" w:ascii="宋体" w:hAnsi="宋体" w:cs="仿宋"/>
          <w:b/>
          <w:bCs/>
          <w:color w:val="auto"/>
          <w:sz w:val="32"/>
          <w:szCs w:val="28"/>
          <w:highlight w:val="none"/>
        </w:rPr>
        <w:br w:type="page"/>
      </w:r>
    </w:p>
    <w:p w14:paraId="4A33BD30">
      <w:pPr>
        <w:keepNext w:val="0"/>
        <w:keepLines w:val="0"/>
        <w:pageBreakBefore w:val="0"/>
        <w:kinsoku/>
        <w:wordWrap w:val="0"/>
        <w:overflowPunct/>
        <w:topLinePunct w:val="0"/>
        <w:autoSpaceDE/>
        <w:autoSpaceDN/>
        <w:bidi w:val="0"/>
        <w:jc w:val="center"/>
        <w:textAlignment w:val="auto"/>
        <w:outlineLvl w:val="9"/>
        <w:rPr>
          <w:rFonts w:cs="仿宋"/>
          <w:b/>
          <w:bCs/>
          <w:color w:val="auto"/>
          <w:sz w:val="32"/>
          <w:szCs w:val="28"/>
          <w:highlight w:val="none"/>
        </w:rPr>
      </w:pPr>
      <w:r>
        <w:rPr>
          <w:rFonts w:hint="eastAsia" w:ascii="宋体" w:hAnsi="宋体" w:cs="仿宋"/>
          <w:b/>
          <w:bCs/>
          <w:color w:val="auto"/>
          <w:sz w:val="32"/>
          <w:szCs w:val="28"/>
          <w:highlight w:val="none"/>
        </w:rPr>
        <w:t>表1-7  主要机械台班价格表</w:t>
      </w:r>
    </w:p>
    <w:p w14:paraId="08AB3FFD">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工程名称：                                                    第  页共  页</w:t>
      </w:r>
    </w:p>
    <w:tbl>
      <w:tblPr>
        <w:tblStyle w:val="62"/>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14:paraId="0641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3A26B6A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14:paraId="4462E1A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机械设备名称</w:t>
            </w:r>
          </w:p>
        </w:tc>
        <w:tc>
          <w:tcPr>
            <w:tcW w:w="1244" w:type="dxa"/>
            <w:tcBorders>
              <w:top w:val="single" w:color="auto" w:sz="4" w:space="0"/>
              <w:left w:val="single" w:color="auto" w:sz="4" w:space="0"/>
              <w:bottom w:val="single" w:color="auto" w:sz="4" w:space="0"/>
              <w:right w:val="single" w:color="auto" w:sz="4" w:space="0"/>
            </w:tcBorders>
            <w:noWrap/>
            <w:vAlign w:val="center"/>
          </w:tcPr>
          <w:p w14:paraId="0B6C238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14:paraId="22A18DB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数量</w:t>
            </w:r>
          </w:p>
        </w:tc>
        <w:tc>
          <w:tcPr>
            <w:tcW w:w="2340" w:type="dxa"/>
            <w:tcBorders>
              <w:top w:val="single" w:color="auto" w:sz="4" w:space="0"/>
              <w:left w:val="single" w:color="auto" w:sz="4" w:space="0"/>
              <w:bottom w:val="single" w:color="auto" w:sz="4" w:space="0"/>
              <w:right w:val="single" w:color="auto" w:sz="4" w:space="0"/>
            </w:tcBorders>
            <w:noWrap/>
            <w:vAlign w:val="center"/>
          </w:tcPr>
          <w:p w14:paraId="445824D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单价（元）</w:t>
            </w:r>
          </w:p>
        </w:tc>
      </w:tr>
      <w:tr w14:paraId="506F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2DD8EF1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3060" w:type="dxa"/>
            <w:tcBorders>
              <w:top w:val="single" w:color="auto" w:sz="4" w:space="0"/>
              <w:left w:val="single" w:color="auto" w:sz="4" w:space="0"/>
              <w:bottom w:val="single" w:color="auto" w:sz="4" w:space="0"/>
              <w:right w:val="single" w:color="auto" w:sz="4" w:space="0"/>
            </w:tcBorders>
            <w:noWrap/>
            <w:vAlign w:val="center"/>
          </w:tcPr>
          <w:p w14:paraId="577E4FE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1244" w:type="dxa"/>
            <w:tcBorders>
              <w:top w:val="single" w:color="auto" w:sz="4" w:space="0"/>
              <w:left w:val="single" w:color="auto" w:sz="4" w:space="0"/>
              <w:bottom w:val="single" w:color="auto" w:sz="4" w:space="0"/>
              <w:right w:val="single" w:color="auto" w:sz="4" w:space="0"/>
            </w:tcBorders>
            <w:noWrap/>
            <w:vAlign w:val="center"/>
          </w:tcPr>
          <w:p w14:paraId="67B1AAE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台班</w:t>
            </w:r>
          </w:p>
        </w:tc>
        <w:tc>
          <w:tcPr>
            <w:tcW w:w="1260" w:type="dxa"/>
            <w:tcBorders>
              <w:top w:val="single" w:color="auto" w:sz="4" w:space="0"/>
              <w:left w:val="single" w:color="auto" w:sz="4" w:space="0"/>
              <w:bottom w:val="single" w:color="auto" w:sz="4" w:space="0"/>
              <w:right w:val="single" w:color="auto" w:sz="4" w:space="0"/>
            </w:tcBorders>
            <w:noWrap/>
          </w:tcPr>
          <w:p w14:paraId="5C96E82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2179904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3FB90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14:paraId="365C7AC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A0A980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9D9984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2A810F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788BCF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30CA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14:paraId="09B096C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43284C8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2440F9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2E966E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967326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59ED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14:paraId="2AA6507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4D8A971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EA693C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51CAF8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56F358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0438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14:paraId="35E74C3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6FDF8B6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0FE60AF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F1DEE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D0B4C4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0250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14:paraId="209FBF0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26BF71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0DEF795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50C20A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6389DE2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077A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14:paraId="6379F5E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5593C5B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E3AD12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4CDEBC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62F80B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5F43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14:paraId="1F62867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68ED01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0D41EB2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410D5B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EFB320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2218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14:paraId="6D5426A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23009E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45D0F7F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1E96EA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221A8EE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754D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14:paraId="5959E67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AA6F6D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899BA5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35D9E8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0FE1E8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19E4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Borders>
              <w:top w:val="single" w:color="auto" w:sz="4" w:space="0"/>
              <w:left w:val="single" w:color="auto" w:sz="4" w:space="0"/>
              <w:bottom w:val="single" w:color="auto" w:sz="4" w:space="0"/>
              <w:right w:val="single" w:color="auto" w:sz="4" w:space="0"/>
            </w:tcBorders>
            <w:noWrap/>
          </w:tcPr>
          <w:p w14:paraId="1D55845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78B9B10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1226530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89D321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4BDDB64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bl>
    <w:p w14:paraId="56388127">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ascii="宋体" w:hAnsi="宋体" w:cs="仿宋"/>
          <w:color w:val="auto"/>
          <w:highlight w:val="none"/>
        </w:rPr>
        <w:sectPr>
          <w:pgSz w:w="11905" w:h="16838"/>
          <w:pgMar w:top="1417" w:right="1417" w:bottom="1417" w:left="1417" w:header="850" w:footer="992" w:gutter="0"/>
          <w:cols w:space="0" w:num="1"/>
          <w:titlePg/>
          <w:rtlGutter w:val="0"/>
          <w:docGrid w:linePitch="312" w:charSpace="0"/>
        </w:sectPr>
      </w:pPr>
      <w:r>
        <w:rPr>
          <w:rFonts w:hint="eastAsia" w:ascii="宋体" w:hAnsi="宋体" w:cs="仿宋"/>
          <w:color w:val="auto"/>
          <w:highlight w:val="none"/>
        </w:rPr>
        <w:t>注：表（1）（2）由招标人按需要提出，投标人可补充。</w:t>
      </w:r>
    </w:p>
    <w:p w14:paraId="15CEA492">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p>
    <w:p w14:paraId="45ABC936">
      <w:pPr>
        <w:keepNext w:val="0"/>
        <w:keepLines w:val="0"/>
        <w:pageBreakBefore w:val="0"/>
        <w:kinsoku/>
        <w:wordWrap w:val="0"/>
        <w:overflowPunct/>
        <w:topLinePunct w:val="0"/>
        <w:autoSpaceDE/>
        <w:autoSpaceDN/>
        <w:bidi w:val="0"/>
        <w:jc w:val="center"/>
        <w:textAlignment w:val="auto"/>
        <w:outlineLvl w:val="9"/>
        <w:rPr>
          <w:rFonts w:ascii="宋体" w:hAnsi="宋体" w:cs="仿宋"/>
          <w:b/>
          <w:bCs/>
          <w:color w:val="auto"/>
          <w:sz w:val="32"/>
          <w:szCs w:val="28"/>
          <w:highlight w:val="none"/>
        </w:rPr>
      </w:pPr>
      <w:r>
        <w:rPr>
          <w:rFonts w:hint="eastAsia" w:ascii="宋体" w:hAnsi="宋体" w:cs="仿宋"/>
          <w:b/>
          <w:bCs/>
          <w:color w:val="auto"/>
          <w:sz w:val="32"/>
          <w:szCs w:val="28"/>
          <w:highlight w:val="none"/>
        </w:rPr>
        <w:t>表2-1  分部分项工程量清单综合单价分析表</w:t>
      </w:r>
    </w:p>
    <w:p w14:paraId="00056B39">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 xml:space="preserve">工程名称：             </w:t>
      </w:r>
    </w:p>
    <w:p w14:paraId="6B63A8EF">
      <w:pPr>
        <w:keepNext w:val="0"/>
        <w:keepLines w:val="0"/>
        <w:pageBreakBefore w:val="0"/>
        <w:kinsoku/>
        <w:wordWrap w:val="0"/>
        <w:overflowPunct/>
        <w:topLinePunct w:val="0"/>
        <w:autoSpaceDE/>
        <w:autoSpaceDN/>
        <w:bidi w:val="0"/>
        <w:adjustRightInd/>
        <w:spacing w:line="460" w:lineRule="exact"/>
        <w:jc w:val="right"/>
        <w:textAlignment w:val="auto"/>
        <w:outlineLvl w:val="9"/>
        <w:rPr>
          <w:rFonts w:cs="仿宋"/>
          <w:color w:val="auto"/>
          <w:highlight w:val="none"/>
        </w:rPr>
      </w:pPr>
      <w:r>
        <w:rPr>
          <w:rFonts w:hint="eastAsia" w:ascii="宋体" w:hAnsi="宋体" w:cs="仿宋"/>
          <w:color w:val="auto"/>
          <w:highlight w:val="none"/>
        </w:rPr>
        <w:t>第   页共   页</w:t>
      </w:r>
    </w:p>
    <w:tbl>
      <w:tblPr>
        <w:tblStyle w:val="62"/>
        <w:tblW w:w="13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1720"/>
        <w:gridCol w:w="1653"/>
        <w:gridCol w:w="738"/>
        <w:gridCol w:w="902"/>
        <w:gridCol w:w="1080"/>
        <w:gridCol w:w="1080"/>
        <w:gridCol w:w="1080"/>
        <w:gridCol w:w="1080"/>
        <w:gridCol w:w="900"/>
        <w:gridCol w:w="860"/>
        <w:gridCol w:w="747"/>
        <w:gridCol w:w="1268"/>
      </w:tblGrid>
      <w:tr w14:paraId="7E6F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jc w:val="center"/>
        </w:trPr>
        <w:tc>
          <w:tcPr>
            <w:tcW w:w="387" w:type="dxa"/>
            <w:vMerge w:val="restart"/>
            <w:tcBorders>
              <w:top w:val="single" w:color="auto" w:sz="4" w:space="0"/>
              <w:left w:val="single" w:color="auto" w:sz="4" w:space="0"/>
              <w:bottom w:val="single" w:color="auto" w:sz="4" w:space="0"/>
              <w:right w:val="single" w:color="auto" w:sz="4" w:space="0"/>
            </w:tcBorders>
            <w:noWrap/>
            <w:vAlign w:val="center"/>
          </w:tcPr>
          <w:p w14:paraId="30B1538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序号</w:t>
            </w:r>
          </w:p>
        </w:tc>
        <w:tc>
          <w:tcPr>
            <w:tcW w:w="1720" w:type="dxa"/>
            <w:vMerge w:val="restart"/>
            <w:tcBorders>
              <w:top w:val="single" w:color="auto" w:sz="4" w:space="0"/>
              <w:left w:val="single" w:color="auto" w:sz="4" w:space="0"/>
              <w:bottom w:val="single" w:color="auto" w:sz="4" w:space="0"/>
              <w:right w:val="single" w:color="auto" w:sz="4" w:space="0"/>
            </w:tcBorders>
            <w:noWrap/>
            <w:vAlign w:val="center"/>
          </w:tcPr>
          <w:p w14:paraId="57C64B0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编号</w:t>
            </w:r>
          </w:p>
        </w:tc>
        <w:tc>
          <w:tcPr>
            <w:tcW w:w="1653" w:type="dxa"/>
            <w:vMerge w:val="restart"/>
            <w:tcBorders>
              <w:top w:val="single" w:color="auto" w:sz="4" w:space="0"/>
              <w:left w:val="single" w:color="auto" w:sz="4" w:space="0"/>
              <w:bottom w:val="single" w:color="auto" w:sz="4" w:space="0"/>
              <w:right w:val="single" w:color="auto" w:sz="4" w:space="0"/>
            </w:tcBorders>
            <w:noWrap/>
            <w:vAlign w:val="center"/>
          </w:tcPr>
          <w:p w14:paraId="7386D09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名称</w:t>
            </w:r>
          </w:p>
        </w:tc>
        <w:tc>
          <w:tcPr>
            <w:tcW w:w="738" w:type="dxa"/>
            <w:vMerge w:val="restart"/>
            <w:tcBorders>
              <w:top w:val="single" w:color="auto" w:sz="4" w:space="0"/>
              <w:left w:val="single" w:color="auto" w:sz="4" w:space="0"/>
              <w:bottom w:val="single" w:color="auto" w:sz="4" w:space="0"/>
              <w:right w:val="single" w:color="auto" w:sz="4" w:space="0"/>
            </w:tcBorders>
            <w:noWrap/>
            <w:vAlign w:val="center"/>
          </w:tcPr>
          <w:p w14:paraId="4257E23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计量单位</w:t>
            </w:r>
          </w:p>
        </w:tc>
        <w:tc>
          <w:tcPr>
            <w:tcW w:w="902" w:type="dxa"/>
            <w:vMerge w:val="restart"/>
            <w:tcBorders>
              <w:top w:val="single" w:color="auto" w:sz="4" w:space="0"/>
              <w:left w:val="single" w:color="auto" w:sz="4" w:space="0"/>
              <w:bottom w:val="single" w:color="auto" w:sz="4" w:space="0"/>
              <w:right w:val="single" w:color="auto" w:sz="4" w:space="0"/>
            </w:tcBorders>
            <w:noWrap/>
            <w:vAlign w:val="center"/>
          </w:tcPr>
          <w:p w14:paraId="189030A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数量</w:t>
            </w:r>
          </w:p>
        </w:tc>
        <w:tc>
          <w:tcPr>
            <w:tcW w:w="6827" w:type="dxa"/>
            <w:gridSpan w:val="7"/>
            <w:tcBorders>
              <w:top w:val="single" w:color="auto" w:sz="4" w:space="0"/>
              <w:left w:val="single" w:color="auto" w:sz="4" w:space="0"/>
              <w:bottom w:val="single" w:color="auto" w:sz="4" w:space="0"/>
              <w:right w:val="single" w:color="auto" w:sz="4" w:space="0"/>
            </w:tcBorders>
            <w:noWrap/>
            <w:vAlign w:val="center"/>
          </w:tcPr>
          <w:p w14:paraId="42473E7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综  合  单  价（元）</w:t>
            </w:r>
          </w:p>
        </w:tc>
        <w:tc>
          <w:tcPr>
            <w:tcW w:w="1268" w:type="dxa"/>
            <w:vMerge w:val="restart"/>
            <w:tcBorders>
              <w:top w:val="single" w:color="auto" w:sz="4" w:space="0"/>
              <w:left w:val="single" w:color="auto" w:sz="4" w:space="0"/>
              <w:bottom w:val="single" w:color="auto" w:sz="4" w:space="0"/>
              <w:right w:val="single" w:color="auto" w:sz="4" w:space="0"/>
            </w:tcBorders>
            <w:noWrap/>
            <w:vAlign w:val="center"/>
          </w:tcPr>
          <w:p w14:paraId="0144E3F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合计(元)</w:t>
            </w:r>
          </w:p>
        </w:tc>
      </w:tr>
      <w:tr w14:paraId="6159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387" w:type="dxa"/>
            <w:vMerge w:val="continue"/>
            <w:tcBorders>
              <w:top w:val="single" w:color="auto" w:sz="4" w:space="0"/>
              <w:left w:val="single" w:color="auto" w:sz="4" w:space="0"/>
              <w:bottom w:val="single" w:color="auto" w:sz="4" w:space="0"/>
              <w:right w:val="single" w:color="auto" w:sz="4" w:space="0"/>
            </w:tcBorders>
            <w:noWrap/>
            <w:vAlign w:val="center"/>
          </w:tcPr>
          <w:p w14:paraId="1125846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720" w:type="dxa"/>
            <w:vMerge w:val="continue"/>
            <w:tcBorders>
              <w:top w:val="single" w:color="auto" w:sz="4" w:space="0"/>
              <w:left w:val="single" w:color="auto" w:sz="4" w:space="0"/>
              <w:bottom w:val="single" w:color="auto" w:sz="4" w:space="0"/>
              <w:right w:val="single" w:color="auto" w:sz="4" w:space="0"/>
            </w:tcBorders>
            <w:noWrap/>
            <w:vAlign w:val="center"/>
          </w:tcPr>
          <w:p w14:paraId="6ACC685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653" w:type="dxa"/>
            <w:vMerge w:val="continue"/>
            <w:tcBorders>
              <w:top w:val="single" w:color="auto" w:sz="4" w:space="0"/>
              <w:left w:val="single" w:color="auto" w:sz="4" w:space="0"/>
              <w:bottom w:val="single" w:color="auto" w:sz="4" w:space="0"/>
              <w:right w:val="single" w:color="auto" w:sz="4" w:space="0"/>
            </w:tcBorders>
            <w:noWrap/>
            <w:vAlign w:val="center"/>
          </w:tcPr>
          <w:p w14:paraId="395A0EC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38" w:type="dxa"/>
            <w:vMerge w:val="continue"/>
            <w:tcBorders>
              <w:top w:val="single" w:color="auto" w:sz="4" w:space="0"/>
              <w:left w:val="single" w:color="auto" w:sz="4" w:space="0"/>
              <w:bottom w:val="single" w:color="auto" w:sz="4" w:space="0"/>
              <w:right w:val="single" w:color="auto" w:sz="4" w:space="0"/>
            </w:tcBorders>
            <w:noWrap/>
            <w:vAlign w:val="center"/>
          </w:tcPr>
          <w:p w14:paraId="4009D2D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2" w:type="dxa"/>
            <w:vMerge w:val="continue"/>
            <w:tcBorders>
              <w:top w:val="single" w:color="auto" w:sz="4" w:space="0"/>
              <w:left w:val="single" w:color="auto" w:sz="4" w:space="0"/>
              <w:bottom w:val="single" w:color="auto" w:sz="4" w:space="0"/>
              <w:right w:val="single" w:color="auto" w:sz="4" w:space="0"/>
            </w:tcBorders>
            <w:noWrap/>
            <w:vAlign w:val="center"/>
          </w:tcPr>
          <w:p w14:paraId="0AFA177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92CFA1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人工费</w:t>
            </w:r>
          </w:p>
        </w:tc>
        <w:tc>
          <w:tcPr>
            <w:tcW w:w="1080" w:type="dxa"/>
            <w:tcBorders>
              <w:top w:val="single" w:color="auto" w:sz="4" w:space="0"/>
              <w:left w:val="single" w:color="auto" w:sz="4" w:space="0"/>
              <w:bottom w:val="single" w:color="auto" w:sz="4" w:space="0"/>
              <w:right w:val="single" w:color="auto" w:sz="4" w:space="0"/>
            </w:tcBorders>
            <w:noWrap/>
            <w:vAlign w:val="center"/>
          </w:tcPr>
          <w:p w14:paraId="50C773F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材料费</w:t>
            </w:r>
          </w:p>
        </w:tc>
        <w:tc>
          <w:tcPr>
            <w:tcW w:w="1080" w:type="dxa"/>
            <w:tcBorders>
              <w:top w:val="single" w:color="auto" w:sz="4" w:space="0"/>
              <w:left w:val="single" w:color="auto" w:sz="4" w:space="0"/>
              <w:bottom w:val="single" w:color="auto" w:sz="4" w:space="0"/>
              <w:right w:val="single" w:color="auto" w:sz="4" w:space="0"/>
            </w:tcBorders>
            <w:noWrap/>
            <w:vAlign w:val="center"/>
          </w:tcPr>
          <w:p w14:paraId="1932FF3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机械费</w:t>
            </w:r>
          </w:p>
        </w:tc>
        <w:tc>
          <w:tcPr>
            <w:tcW w:w="1080" w:type="dxa"/>
            <w:tcBorders>
              <w:top w:val="single" w:color="auto" w:sz="4" w:space="0"/>
              <w:left w:val="single" w:color="auto" w:sz="4" w:space="0"/>
              <w:bottom w:val="single" w:color="auto" w:sz="4" w:space="0"/>
              <w:right w:val="single" w:color="auto" w:sz="4" w:space="0"/>
            </w:tcBorders>
            <w:noWrap/>
            <w:vAlign w:val="center"/>
          </w:tcPr>
          <w:p w14:paraId="0658F58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管理费</w:t>
            </w:r>
          </w:p>
        </w:tc>
        <w:tc>
          <w:tcPr>
            <w:tcW w:w="900" w:type="dxa"/>
            <w:tcBorders>
              <w:top w:val="single" w:color="auto" w:sz="4" w:space="0"/>
              <w:left w:val="single" w:color="auto" w:sz="4" w:space="0"/>
              <w:bottom w:val="single" w:color="auto" w:sz="4" w:space="0"/>
              <w:right w:val="single" w:color="auto" w:sz="4" w:space="0"/>
            </w:tcBorders>
            <w:noWrap/>
            <w:vAlign w:val="center"/>
          </w:tcPr>
          <w:p w14:paraId="520899F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利润</w:t>
            </w:r>
          </w:p>
        </w:tc>
        <w:tc>
          <w:tcPr>
            <w:tcW w:w="860" w:type="dxa"/>
            <w:tcBorders>
              <w:top w:val="single" w:color="auto" w:sz="4" w:space="0"/>
              <w:left w:val="single" w:color="auto" w:sz="4" w:space="0"/>
              <w:bottom w:val="single" w:color="auto" w:sz="4" w:space="0"/>
              <w:right w:val="single" w:color="auto" w:sz="4" w:space="0"/>
            </w:tcBorders>
            <w:noWrap/>
            <w:vAlign w:val="center"/>
          </w:tcPr>
          <w:p w14:paraId="14EA27B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风险费用</w:t>
            </w:r>
          </w:p>
        </w:tc>
        <w:tc>
          <w:tcPr>
            <w:tcW w:w="747" w:type="dxa"/>
            <w:tcBorders>
              <w:top w:val="single" w:color="auto" w:sz="4" w:space="0"/>
              <w:left w:val="single" w:color="auto" w:sz="4" w:space="0"/>
              <w:bottom w:val="single" w:color="auto" w:sz="4" w:space="0"/>
              <w:right w:val="single" w:color="auto" w:sz="4" w:space="0"/>
            </w:tcBorders>
            <w:noWrap/>
            <w:vAlign w:val="center"/>
          </w:tcPr>
          <w:p w14:paraId="1F425D4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小计</w:t>
            </w:r>
          </w:p>
        </w:tc>
        <w:tc>
          <w:tcPr>
            <w:tcW w:w="1268" w:type="dxa"/>
            <w:vMerge w:val="continue"/>
            <w:tcBorders>
              <w:top w:val="single" w:color="auto" w:sz="4" w:space="0"/>
              <w:left w:val="single" w:color="auto" w:sz="4" w:space="0"/>
              <w:bottom w:val="single" w:color="auto" w:sz="4" w:space="0"/>
              <w:right w:val="single" w:color="auto" w:sz="4" w:space="0"/>
            </w:tcBorders>
            <w:noWrap/>
            <w:vAlign w:val="center"/>
          </w:tcPr>
          <w:p w14:paraId="1E215DA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6A43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87" w:type="dxa"/>
            <w:tcBorders>
              <w:top w:val="single" w:color="auto" w:sz="4" w:space="0"/>
              <w:left w:val="single" w:color="auto" w:sz="4" w:space="0"/>
              <w:bottom w:val="single" w:color="auto" w:sz="4" w:space="0"/>
              <w:right w:val="single" w:color="auto" w:sz="4" w:space="0"/>
            </w:tcBorders>
            <w:noWrap/>
          </w:tcPr>
          <w:p w14:paraId="20B2854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720" w:type="dxa"/>
            <w:tcBorders>
              <w:top w:val="single" w:color="auto" w:sz="4" w:space="0"/>
              <w:left w:val="single" w:color="auto" w:sz="4" w:space="0"/>
              <w:bottom w:val="single" w:color="auto" w:sz="4" w:space="0"/>
              <w:right w:val="single" w:color="auto" w:sz="4" w:space="0"/>
            </w:tcBorders>
            <w:noWrap/>
          </w:tcPr>
          <w:p w14:paraId="10E776B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1653" w:type="dxa"/>
            <w:tcBorders>
              <w:top w:val="single" w:color="auto" w:sz="4" w:space="0"/>
              <w:left w:val="single" w:color="auto" w:sz="4" w:space="0"/>
              <w:bottom w:val="single" w:color="auto" w:sz="4" w:space="0"/>
              <w:right w:val="single" w:color="auto" w:sz="4" w:space="0"/>
            </w:tcBorders>
            <w:noWrap/>
          </w:tcPr>
          <w:p w14:paraId="24F8DCD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738" w:type="dxa"/>
            <w:tcBorders>
              <w:top w:val="single" w:color="auto" w:sz="4" w:space="0"/>
              <w:left w:val="single" w:color="auto" w:sz="4" w:space="0"/>
              <w:bottom w:val="single" w:color="auto" w:sz="4" w:space="0"/>
              <w:right w:val="single" w:color="auto" w:sz="4" w:space="0"/>
            </w:tcBorders>
            <w:noWrap/>
          </w:tcPr>
          <w:p w14:paraId="02EB4E5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（3）</w:t>
            </w:r>
          </w:p>
        </w:tc>
        <w:tc>
          <w:tcPr>
            <w:tcW w:w="902" w:type="dxa"/>
            <w:tcBorders>
              <w:top w:val="single" w:color="auto" w:sz="4" w:space="0"/>
              <w:left w:val="single" w:color="auto" w:sz="4" w:space="0"/>
              <w:bottom w:val="single" w:color="auto" w:sz="4" w:space="0"/>
              <w:right w:val="single" w:color="auto" w:sz="4" w:space="0"/>
            </w:tcBorders>
            <w:noWrap/>
          </w:tcPr>
          <w:p w14:paraId="57C9F40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（4）</w:t>
            </w:r>
          </w:p>
        </w:tc>
        <w:tc>
          <w:tcPr>
            <w:tcW w:w="1080" w:type="dxa"/>
            <w:tcBorders>
              <w:top w:val="single" w:color="auto" w:sz="4" w:space="0"/>
              <w:left w:val="single" w:color="auto" w:sz="4" w:space="0"/>
              <w:bottom w:val="single" w:color="auto" w:sz="4" w:space="0"/>
              <w:right w:val="single" w:color="auto" w:sz="4" w:space="0"/>
            </w:tcBorders>
            <w:noWrap/>
          </w:tcPr>
          <w:p w14:paraId="3F9B428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(5)</w:t>
            </w:r>
          </w:p>
        </w:tc>
        <w:tc>
          <w:tcPr>
            <w:tcW w:w="1080" w:type="dxa"/>
            <w:tcBorders>
              <w:top w:val="single" w:color="auto" w:sz="4" w:space="0"/>
              <w:left w:val="single" w:color="auto" w:sz="4" w:space="0"/>
              <w:bottom w:val="single" w:color="auto" w:sz="4" w:space="0"/>
              <w:right w:val="single" w:color="auto" w:sz="4" w:space="0"/>
            </w:tcBorders>
            <w:noWrap/>
          </w:tcPr>
          <w:p w14:paraId="111420F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(6)</w:t>
            </w:r>
          </w:p>
        </w:tc>
        <w:tc>
          <w:tcPr>
            <w:tcW w:w="1080" w:type="dxa"/>
            <w:tcBorders>
              <w:top w:val="single" w:color="auto" w:sz="4" w:space="0"/>
              <w:left w:val="single" w:color="auto" w:sz="4" w:space="0"/>
              <w:bottom w:val="single" w:color="auto" w:sz="4" w:space="0"/>
              <w:right w:val="single" w:color="auto" w:sz="4" w:space="0"/>
            </w:tcBorders>
            <w:noWrap/>
          </w:tcPr>
          <w:p w14:paraId="104C0C7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(7)</w:t>
            </w:r>
          </w:p>
        </w:tc>
        <w:tc>
          <w:tcPr>
            <w:tcW w:w="1080" w:type="dxa"/>
            <w:tcBorders>
              <w:top w:val="single" w:color="auto" w:sz="4" w:space="0"/>
              <w:left w:val="single" w:color="auto" w:sz="4" w:space="0"/>
              <w:bottom w:val="single" w:color="auto" w:sz="4" w:space="0"/>
              <w:right w:val="single" w:color="auto" w:sz="4" w:space="0"/>
            </w:tcBorders>
            <w:noWrap/>
          </w:tcPr>
          <w:p w14:paraId="0D48E8B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(8)</w:t>
            </w:r>
          </w:p>
        </w:tc>
        <w:tc>
          <w:tcPr>
            <w:tcW w:w="900" w:type="dxa"/>
            <w:tcBorders>
              <w:top w:val="single" w:color="auto" w:sz="4" w:space="0"/>
              <w:left w:val="single" w:color="auto" w:sz="4" w:space="0"/>
              <w:bottom w:val="single" w:color="auto" w:sz="4" w:space="0"/>
              <w:right w:val="single" w:color="auto" w:sz="4" w:space="0"/>
            </w:tcBorders>
            <w:noWrap/>
          </w:tcPr>
          <w:p w14:paraId="0F5A9BC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(9)</w:t>
            </w:r>
          </w:p>
        </w:tc>
        <w:tc>
          <w:tcPr>
            <w:tcW w:w="860" w:type="dxa"/>
            <w:tcBorders>
              <w:top w:val="single" w:color="auto" w:sz="4" w:space="0"/>
              <w:left w:val="single" w:color="auto" w:sz="4" w:space="0"/>
              <w:bottom w:val="single" w:color="auto" w:sz="4" w:space="0"/>
              <w:right w:val="single" w:color="auto" w:sz="4" w:space="0"/>
            </w:tcBorders>
            <w:noWrap/>
          </w:tcPr>
          <w:p w14:paraId="37E107E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（10）</w:t>
            </w:r>
          </w:p>
        </w:tc>
        <w:tc>
          <w:tcPr>
            <w:tcW w:w="747" w:type="dxa"/>
            <w:tcBorders>
              <w:top w:val="single" w:color="auto" w:sz="4" w:space="0"/>
              <w:left w:val="single" w:color="auto" w:sz="4" w:space="0"/>
              <w:bottom w:val="single" w:color="auto" w:sz="4" w:space="0"/>
              <w:right w:val="single" w:color="auto" w:sz="4" w:space="0"/>
            </w:tcBorders>
            <w:noWrap/>
          </w:tcPr>
          <w:p w14:paraId="3D91139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(11)</w:t>
            </w:r>
          </w:p>
        </w:tc>
        <w:tc>
          <w:tcPr>
            <w:tcW w:w="1268" w:type="dxa"/>
            <w:tcBorders>
              <w:top w:val="single" w:color="auto" w:sz="4" w:space="0"/>
              <w:left w:val="single" w:color="auto" w:sz="4" w:space="0"/>
              <w:bottom w:val="single" w:color="auto" w:sz="4" w:space="0"/>
              <w:right w:val="single" w:color="auto" w:sz="4" w:space="0"/>
            </w:tcBorders>
            <w:noWrap/>
          </w:tcPr>
          <w:p w14:paraId="769C94F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(4）*(11）</w:t>
            </w:r>
          </w:p>
        </w:tc>
      </w:tr>
      <w:tr w14:paraId="062D9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87" w:type="dxa"/>
            <w:tcBorders>
              <w:top w:val="single" w:color="auto" w:sz="4" w:space="0"/>
              <w:left w:val="single" w:color="auto" w:sz="4" w:space="0"/>
              <w:bottom w:val="single" w:color="auto" w:sz="4" w:space="0"/>
              <w:right w:val="single" w:color="auto" w:sz="4" w:space="0"/>
            </w:tcBorders>
            <w:noWrap/>
            <w:vAlign w:val="center"/>
          </w:tcPr>
          <w:p w14:paraId="6CED148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1720" w:type="dxa"/>
            <w:tcBorders>
              <w:top w:val="single" w:color="auto" w:sz="4" w:space="0"/>
              <w:left w:val="single" w:color="auto" w:sz="4" w:space="0"/>
              <w:bottom w:val="single" w:color="auto" w:sz="4" w:space="0"/>
              <w:right w:val="single" w:color="auto" w:sz="4" w:space="0"/>
            </w:tcBorders>
            <w:noWrap/>
            <w:vAlign w:val="center"/>
          </w:tcPr>
          <w:p w14:paraId="4BB17C0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（清单编码）</w:t>
            </w:r>
          </w:p>
        </w:tc>
        <w:tc>
          <w:tcPr>
            <w:tcW w:w="1653" w:type="dxa"/>
            <w:tcBorders>
              <w:top w:val="single" w:color="auto" w:sz="4" w:space="0"/>
              <w:left w:val="single" w:color="auto" w:sz="4" w:space="0"/>
              <w:bottom w:val="single" w:color="auto" w:sz="4" w:space="0"/>
              <w:right w:val="single" w:color="auto" w:sz="4" w:space="0"/>
            </w:tcBorders>
            <w:noWrap/>
            <w:vAlign w:val="center"/>
          </w:tcPr>
          <w:p w14:paraId="56CF0CC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(清单名称)</w:t>
            </w:r>
          </w:p>
        </w:tc>
        <w:tc>
          <w:tcPr>
            <w:tcW w:w="738" w:type="dxa"/>
            <w:tcBorders>
              <w:top w:val="single" w:color="auto" w:sz="4" w:space="0"/>
              <w:left w:val="single" w:color="auto" w:sz="4" w:space="0"/>
              <w:bottom w:val="single" w:color="auto" w:sz="4" w:space="0"/>
              <w:right w:val="single" w:color="auto" w:sz="4" w:space="0"/>
            </w:tcBorders>
            <w:noWrap/>
          </w:tcPr>
          <w:p w14:paraId="6301DC8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2" w:type="dxa"/>
            <w:tcBorders>
              <w:top w:val="single" w:color="auto" w:sz="4" w:space="0"/>
              <w:left w:val="single" w:color="auto" w:sz="4" w:space="0"/>
              <w:bottom w:val="single" w:color="auto" w:sz="4" w:space="0"/>
              <w:right w:val="single" w:color="auto" w:sz="4" w:space="0"/>
            </w:tcBorders>
            <w:noWrap/>
          </w:tcPr>
          <w:p w14:paraId="185346B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7C6F632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676B757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E17F8C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60200C9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tcPr>
          <w:p w14:paraId="67CC611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60" w:type="dxa"/>
            <w:tcBorders>
              <w:top w:val="single" w:color="auto" w:sz="4" w:space="0"/>
              <w:left w:val="single" w:color="auto" w:sz="4" w:space="0"/>
              <w:bottom w:val="single" w:color="auto" w:sz="4" w:space="0"/>
              <w:right w:val="single" w:color="auto" w:sz="4" w:space="0"/>
            </w:tcBorders>
            <w:noWrap/>
          </w:tcPr>
          <w:p w14:paraId="7CE4BE8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47" w:type="dxa"/>
            <w:tcBorders>
              <w:top w:val="single" w:color="auto" w:sz="4" w:space="0"/>
              <w:left w:val="single" w:color="auto" w:sz="4" w:space="0"/>
              <w:bottom w:val="single" w:color="auto" w:sz="4" w:space="0"/>
              <w:right w:val="single" w:color="auto" w:sz="4" w:space="0"/>
            </w:tcBorders>
            <w:noWrap/>
          </w:tcPr>
          <w:p w14:paraId="4B3A862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noWrap/>
          </w:tcPr>
          <w:p w14:paraId="3354066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651E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87" w:type="dxa"/>
            <w:tcBorders>
              <w:top w:val="single" w:color="auto" w:sz="4" w:space="0"/>
              <w:left w:val="single" w:color="auto" w:sz="4" w:space="0"/>
              <w:bottom w:val="single" w:color="auto" w:sz="4" w:space="0"/>
              <w:right w:val="single" w:color="auto" w:sz="4" w:space="0"/>
            </w:tcBorders>
            <w:noWrap/>
            <w:vAlign w:val="center"/>
          </w:tcPr>
          <w:p w14:paraId="2DACF07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720" w:type="dxa"/>
            <w:tcBorders>
              <w:top w:val="single" w:color="auto" w:sz="4" w:space="0"/>
              <w:left w:val="single" w:color="auto" w:sz="4" w:space="0"/>
              <w:bottom w:val="single" w:color="auto" w:sz="4" w:space="0"/>
              <w:right w:val="single" w:color="auto" w:sz="4" w:space="0"/>
            </w:tcBorders>
            <w:noWrap/>
            <w:vAlign w:val="center"/>
          </w:tcPr>
          <w:p w14:paraId="332C3F3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（定额编号）</w:t>
            </w:r>
          </w:p>
        </w:tc>
        <w:tc>
          <w:tcPr>
            <w:tcW w:w="1653" w:type="dxa"/>
            <w:tcBorders>
              <w:top w:val="single" w:color="auto" w:sz="4" w:space="0"/>
              <w:left w:val="single" w:color="auto" w:sz="4" w:space="0"/>
              <w:bottom w:val="single" w:color="auto" w:sz="4" w:space="0"/>
              <w:right w:val="single" w:color="auto" w:sz="4" w:space="0"/>
            </w:tcBorders>
            <w:noWrap/>
            <w:vAlign w:val="center"/>
          </w:tcPr>
          <w:p w14:paraId="74A0403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（定额名称）</w:t>
            </w:r>
          </w:p>
        </w:tc>
        <w:tc>
          <w:tcPr>
            <w:tcW w:w="738" w:type="dxa"/>
            <w:tcBorders>
              <w:top w:val="single" w:color="auto" w:sz="4" w:space="0"/>
              <w:left w:val="single" w:color="auto" w:sz="4" w:space="0"/>
              <w:bottom w:val="single" w:color="auto" w:sz="4" w:space="0"/>
              <w:right w:val="single" w:color="auto" w:sz="4" w:space="0"/>
            </w:tcBorders>
            <w:noWrap/>
          </w:tcPr>
          <w:p w14:paraId="761C21A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2" w:type="dxa"/>
            <w:tcBorders>
              <w:top w:val="single" w:color="auto" w:sz="4" w:space="0"/>
              <w:left w:val="single" w:color="auto" w:sz="4" w:space="0"/>
              <w:bottom w:val="single" w:color="auto" w:sz="4" w:space="0"/>
              <w:right w:val="single" w:color="auto" w:sz="4" w:space="0"/>
            </w:tcBorders>
            <w:noWrap/>
          </w:tcPr>
          <w:p w14:paraId="4A9A478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66329D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A54655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CE5192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B5DBEA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tcPr>
          <w:p w14:paraId="5388B4B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60" w:type="dxa"/>
            <w:tcBorders>
              <w:top w:val="single" w:color="auto" w:sz="4" w:space="0"/>
              <w:left w:val="single" w:color="auto" w:sz="4" w:space="0"/>
              <w:bottom w:val="single" w:color="auto" w:sz="4" w:space="0"/>
              <w:right w:val="single" w:color="auto" w:sz="4" w:space="0"/>
            </w:tcBorders>
            <w:noWrap/>
          </w:tcPr>
          <w:p w14:paraId="705A892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47" w:type="dxa"/>
            <w:tcBorders>
              <w:top w:val="single" w:color="auto" w:sz="4" w:space="0"/>
              <w:left w:val="single" w:color="auto" w:sz="4" w:space="0"/>
              <w:bottom w:val="single" w:color="auto" w:sz="4" w:space="0"/>
              <w:right w:val="single" w:color="auto" w:sz="4" w:space="0"/>
            </w:tcBorders>
            <w:noWrap/>
          </w:tcPr>
          <w:p w14:paraId="5BF0113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noWrap/>
          </w:tcPr>
          <w:p w14:paraId="2BE0A2F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2A6C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87" w:type="dxa"/>
            <w:tcBorders>
              <w:top w:val="single" w:color="auto" w:sz="4" w:space="0"/>
              <w:left w:val="single" w:color="auto" w:sz="4" w:space="0"/>
              <w:bottom w:val="single" w:color="auto" w:sz="4" w:space="0"/>
              <w:right w:val="single" w:color="auto" w:sz="4" w:space="0"/>
            </w:tcBorders>
            <w:noWrap/>
            <w:vAlign w:val="center"/>
          </w:tcPr>
          <w:p w14:paraId="6656776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720" w:type="dxa"/>
            <w:tcBorders>
              <w:top w:val="single" w:color="auto" w:sz="4" w:space="0"/>
              <w:left w:val="single" w:color="auto" w:sz="4" w:space="0"/>
              <w:bottom w:val="single" w:color="auto" w:sz="4" w:space="0"/>
              <w:right w:val="single" w:color="auto" w:sz="4" w:space="0"/>
            </w:tcBorders>
            <w:noWrap/>
            <w:vAlign w:val="center"/>
          </w:tcPr>
          <w:p w14:paraId="511619C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w:t>
            </w:r>
          </w:p>
        </w:tc>
        <w:tc>
          <w:tcPr>
            <w:tcW w:w="1653" w:type="dxa"/>
            <w:tcBorders>
              <w:top w:val="single" w:color="auto" w:sz="4" w:space="0"/>
              <w:left w:val="single" w:color="auto" w:sz="4" w:space="0"/>
              <w:bottom w:val="single" w:color="auto" w:sz="4" w:space="0"/>
              <w:right w:val="single" w:color="auto" w:sz="4" w:space="0"/>
            </w:tcBorders>
            <w:noWrap/>
            <w:vAlign w:val="center"/>
          </w:tcPr>
          <w:p w14:paraId="04EF644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w:t>
            </w:r>
          </w:p>
        </w:tc>
        <w:tc>
          <w:tcPr>
            <w:tcW w:w="738" w:type="dxa"/>
            <w:tcBorders>
              <w:top w:val="single" w:color="auto" w:sz="4" w:space="0"/>
              <w:left w:val="single" w:color="auto" w:sz="4" w:space="0"/>
              <w:bottom w:val="single" w:color="auto" w:sz="4" w:space="0"/>
              <w:right w:val="single" w:color="auto" w:sz="4" w:space="0"/>
            </w:tcBorders>
            <w:noWrap/>
          </w:tcPr>
          <w:p w14:paraId="195BA96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2" w:type="dxa"/>
            <w:tcBorders>
              <w:top w:val="single" w:color="auto" w:sz="4" w:space="0"/>
              <w:left w:val="single" w:color="auto" w:sz="4" w:space="0"/>
              <w:bottom w:val="single" w:color="auto" w:sz="4" w:space="0"/>
              <w:right w:val="single" w:color="auto" w:sz="4" w:space="0"/>
            </w:tcBorders>
            <w:noWrap/>
          </w:tcPr>
          <w:p w14:paraId="52D16D5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60F17FD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C3311C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60B95E7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C74420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tcPr>
          <w:p w14:paraId="285D7F1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60" w:type="dxa"/>
            <w:tcBorders>
              <w:top w:val="single" w:color="auto" w:sz="4" w:space="0"/>
              <w:left w:val="single" w:color="auto" w:sz="4" w:space="0"/>
              <w:bottom w:val="single" w:color="auto" w:sz="4" w:space="0"/>
              <w:right w:val="single" w:color="auto" w:sz="4" w:space="0"/>
            </w:tcBorders>
            <w:noWrap/>
          </w:tcPr>
          <w:p w14:paraId="4F82DB3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47" w:type="dxa"/>
            <w:tcBorders>
              <w:top w:val="single" w:color="auto" w:sz="4" w:space="0"/>
              <w:left w:val="single" w:color="auto" w:sz="4" w:space="0"/>
              <w:bottom w:val="single" w:color="auto" w:sz="4" w:space="0"/>
              <w:right w:val="single" w:color="auto" w:sz="4" w:space="0"/>
            </w:tcBorders>
            <w:noWrap/>
          </w:tcPr>
          <w:p w14:paraId="0349932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noWrap/>
          </w:tcPr>
          <w:p w14:paraId="53FFAAF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5C1D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87" w:type="dxa"/>
            <w:tcBorders>
              <w:top w:val="single" w:color="auto" w:sz="4" w:space="0"/>
              <w:left w:val="single" w:color="auto" w:sz="4" w:space="0"/>
              <w:bottom w:val="single" w:color="auto" w:sz="4" w:space="0"/>
              <w:right w:val="single" w:color="auto" w:sz="4" w:space="0"/>
            </w:tcBorders>
            <w:noWrap/>
            <w:vAlign w:val="center"/>
          </w:tcPr>
          <w:p w14:paraId="63DD6F0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1720" w:type="dxa"/>
            <w:tcBorders>
              <w:top w:val="single" w:color="auto" w:sz="4" w:space="0"/>
              <w:left w:val="single" w:color="auto" w:sz="4" w:space="0"/>
              <w:bottom w:val="single" w:color="auto" w:sz="4" w:space="0"/>
              <w:right w:val="single" w:color="auto" w:sz="4" w:space="0"/>
            </w:tcBorders>
            <w:noWrap/>
            <w:vAlign w:val="center"/>
          </w:tcPr>
          <w:p w14:paraId="5C188D4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（清单编码）</w:t>
            </w:r>
          </w:p>
        </w:tc>
        <w:tc>
          <w:tcPr>
            <w:tcW w:w="1653" w:type="dxa"/>
            <w:tcBorders>
              <w:top w:val="single" w:color="auto" w:sz="4" w:space="0"/>
              <w:left w:val="single" w:color="auto" w:sz="4" w:space="0"/>
              <w:bottom w:val="single" w:color="auto" w:sz="4" w:space="0"/>
              <w:right w:val="single" w:color="auto" w:sz="4" w:space="0"/>
            </w:tcBorders>
            <w:noWrap/>
            <w:vAlign w:val="center"/>
          </w:tcPr>
          <w:p w14:paraId="3166B48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(清单名称)</w:t>
            </w:r>
          </w:p>
        </w:tc>
        <w:tc>
          <w:tcPr>
            <w:tcW w:w="738" w:type="dxa"/>
            <w:tcBorders>
              <w:top w:val="single" w:color="auto" w:sz="4" w:space="0"/>
              <w:left w:val="single" w:color="auto" w:sz="4" w:space="0"/>
              <w:bottom w:val="single" w:color="auto" w:sz="4" w:space="0"/>
              <w:right w:val="single" w:color="auto" w:sz="4" w:space="0"/>
            </w:tcBorders>
            <w:noWrap/>
          </w:tcPr>
          <w:p w14:paraId="4A335AC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2" w:type="dxa"/>
            <w:tcBorders>
              <w:top w:val="single" w:color="auto" w:sz="4" w:space="0"/>
              <w:left w:val="single" w:color="auto" w:sz="4" w:space="0"/>
              <w:bottom w:val="single" w:color="auto" w:sz="4" w:space="0"/>
              <w:right w:val="single" w:color="auto" w:sz="4" w:space="0"/>
            </w:tcBorders>
            <w:noWrap/>
          </w:tcPr>
          <w:p w14:paraId="48B02E8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9E2B79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623FBA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E9CA83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5A51ED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tcPr>
          <w:p w14:paraId="19864FB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60" w:type="dxa"/>
            <w:tcBorders>
              <w:top w:val="single" w:color="auto" w:sz="4" w:space="0"/>
              <w:left w:val="single" w:color="auto" w:sz="4" w:space="0"/>
              <w:bottom w:val="single" w:color="auto" w:sz="4" w:space="0"/>
              <w:right w:val="single" w:color="auto" w:sz="4" w:space="0"/>
            </w:tcBorders>
            <w:noWrap/>
          </w:tcPr>
          <w:p w14:paraId="1F234AD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47" w:type="dxa"/>
            <w:tcBorders>
              <w:top w:val="single" w:color="auto" w:sz="4" w:space="0"/>
              <w:left w:val="single" w:color="auto" w:sz="4" w:space="0"/>
              <w:bottom w:val="single" w:color="auto" w:sz="4" w:space="0"/>
              <w:right w:val="single" w:color="auto" w:sz="4" w:space="0"/>
            </w:tcBorders>
            <w:noWrap/>
          </w:tcPr>
          <w:p w14:paraId="2510FAA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noWrap/>
          </w:tcPr>
          <w:p w14:paraId="64CD55E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6E19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87" w:type="dxa"/>
            <w:tcBorders>
              <w:top w:val="single" w:color="auto" w:sz="4" w:space="0"/>
              <w:left w:val="single" w:color="auto" w:sz="4" w:space="0"/>
              <w:bottom w:val="single" w:color="auto" w:sz="4" w:space="0"/>
              <w:right w:val="single" w:color="auto" w:sz="4" w:space="0"/>
            </w:tcBorders>
            <w:noWrap/>
            <w:vAlign w:val="center"/>
          </w:tcPr>
          <w:p w14:paraId="0976973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720" w:type="dxa"/>
            <w:tcBorders>
              <w:top w:val="single" w:color="auto" w:sz="4" w:space="0"/>
              <w:left w:val="single" w:color="auto" w:sz="4" w:space="0"/>
              <w:bottom w:val="single" w:color="auto" w:sz="4" w:space="0"/>
              <w:right w:val="single" w:color="auto" w:sz="4" w:space="0"/>
            </w:tcBorders>
            <w:noWrap/>
            <w:vAlign w:val="center"/>
          </w:tcPr>
          <w:p w14:paraId="62B8043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（定额编号）</w:t>
            </w:r>
          </w:p>
        </w:tc>
        <w:tc>
          <w:tcPr>
            <w:tcW w:w="1653" w:type="dxa"/>
            <w:tcBorders>
              <w:top w:val="single" w:color="auto" w:sz="4" w:space="0"/>
              <w:left w:val="single" w:color="auto" w:sz="4" w:space="0"/>
              <w:bottom w:val="single" w:color="auto" w:sz="4" w:space="0"/>
              <w:right w:val="single" w:color="auto" w:sz="4" w:space="0"/>
            </w:tcBorders>
            <w:noWrap/>
            <w:vAlign w:val="center"/>
          </w:tcPr>
          <w:p w14:paraId="6765123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（定额名称）</w:t>
            </w:r>
          </w:p>
        </w:tc>
        <w:tc>
          <w:tcPr>
            <w:tcW w:w="738" w:type="dxa"/>
            <w:tcBorders>
              <w:top w:val="single" w:color="auto" w:sz="4" w:space="0"/>
              <w:left w:val="single" w:color="auto" w:sz="4" w:space="0"/>
              <w:bottom w:val="single" w:color="auto" w:sz="4" w:space="0"/>
              <w:right w:val="single" w:color="auto" w:sz="4" w:space="0"/>
            </w:tcBorders>
            <w:noWrap/>
          </w:tcPr>
          <w:p w14:paraId="3500346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2" w:type="dxa"/>
            <w:tcBorders>
              <w:top w:val="single" w:color="auto" w:sz="4" w:space="0"/>
              <w:left w:val="single" w:color="auto" w:sz="4" w:space="0"/>
              <w:bottom w:val="single" w:color="auto" w:sz="4" w:space="0"/>
              <w:right w:val="single" w:color="auto" w:sz="4" w:space="0"/>
            </w:tcBorders>
            <w:noWrap/>
          </w:tcPr>
          <w:p w14:paraId="4C25EAE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517C57F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8D89DA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009054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36AABF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tcPr>
          <w:p w14:paraId="1A60E47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60" w:type="dxa"/>
            <w:tcBorders>
              <w:top w:val="single" w:color="auto" w:sz="4" w:space="0"/>
              <w:left w:val="single" w:color="auto" w:sz="4" w:space="0"/>
              <w:bottom w:val="single" w:color="auto" w:sz="4" w:space="0"/>
              <w:right w:val="single" w:color="auto" w:sz="4" w:space="0"/>
            </w:tcBorders>
            <w:noWrap/>
          </w:tcPr>
          <w:p w14:paraId="6CBA107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47" w:type="dxa"/>
            <w:tcBorders>
              <w:top w:val="single" w:color="auto" w:sz="4" w:space="0"/>
              <w:left w:val="single" w:color="auto" w:sz="4" w:space="0"/>
              <w:bottom w:val="single" w:color="auto" w:sz="4" w:space="0"/>
              <w:right w:val="single" w:color="auto" w:sz="4" w:space="0"/>
            </w:tcBorders>
            <w:noWrap/>
          </w:tcPr>
          <w:p w14:paraId="4675F19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noWrap/>
          </w:tcPr>
          <w:p w14:paraId="24B2FF9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4151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87" w:type="dxa"/>
            <w:tcBorders>
              <w:top w:val="single" w:color="auto" w:sz="4" w:space="0"/>
              <w:left w:val="single" w:color="auto" w:sz="4" w:space="0"/>
              <w:bottom w:val="single" w:color="auto" w:sz="4" w:space="0"/>
              <w:right w:val="single" w:color="auto" w:sz="4" w:space="0"/>
            </w:tcBorders>
            <w:noWrap/>
            <w:vAlign w:val="center"/>
          </w:tcPr>
          <w:p w14:paraId="204C1D4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720" w:type="dxa"/>
            <w:tcBorders>
              <w:top w:val="single" w:color="auto" w:sz="4" w:space="0"/>
              <w:left w:val="single" w:color="auto" w:sz="4" w:space="0"/>
              <w:bottom w:val="single" w:color="auto" w:sz="4" w:space="0"/>
              <w:right w:val="single" w:color="auto" w:sz="4" w:space="0"/>
            </w:tcBorders>
            <w:noWrap/>
            <w:vAlign w:val="center"/>
          </w:tcPr>
          <w:p w14:paraId="2DDF7D7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w:t>
            </w:r>
          </w:p>
        </w:tc>
        <w:tc>
          <w:tcPr>
            <w:tcW w:w="1653" w:type="dxa"/>
            <w:tcBorders>
              <w:top w:val="single" w:color="auto" w:sz="4" w:space="0"/>
              <w:left w:val="single" w:color="auto" w:sz="4" w:space="0"/>
              <w:bottom w:val="single" w:color="auto" w:sz="4" w:space="0"/>
              <w:right w:val="single" w:color="auto" w:sz="4" w:space="0"/>
            </w:tcBorders>
            <w:noWrap/>
            <w:vAlign w:val="center"/>
          </w:tcPr>
          <w:p w14:paraId="6D2E685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w:t>
            </w:r>
          </w:p>
        </w:tc>
        <w:tc>
          <w:tcPr>
            <w:tcW w:w="738" w:type="dxa"/>
            <w:tcBorders>
              <w:top w:val="single" w:color="auto" w:sz="4" w:space="0"/>
              <w:left w:val="single" w:color="auto" w:sz="4" w:space="0"/>
              <w:bottom w:val="single" w:color="auto" w:sz="4" w:space="0"/>
              <w:right w:val="single" w:color="auto" w:sz="4" w:space="0"/>
            </w:tcBorders>
            <w:noWrap/>
          </w:tcPr>
          <w:p w14:paraId="45C8473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2" w:type="dxa"/>
            <w:tcBorders>
              <w:top w:val="single" w:color="auto" w:sz="4" w:space="0"/>
              <w:left w:val="single" w:color="auto" w:sz="4" w:space="0"/>
              <w:bottom w:val="single" w:color="auto" w:sz="4" w:space="0"/>
              <w:right w:val="single" w:color="auto" w:sz="4" w:space="0"/>
            </w:tcBorders>
            <w:noWrap/>
          </w:tcPr>
          <w:p w14:paraId="40DC7C6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55787A6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7BBD465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7308512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E3D62D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tcPr>
          <w:p w14:paraId="5CF2C67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60" w:type="dxa"/>
            <w:tcBorders>
              <w:top w:val="single" w:color="auto" w:sz="4" w:space="0"/>
              <w:left w:val="single" w:color="auto" w:sz="4" w:space="0"/>
              <w:bottom w:val="single" w:color="auto" w:sz="4" w:space="0"/>
              <w:right w:val="single" w:color="auto" w:sz="4" w:space="0"/>
            </w:tcBorders>
            <w:noWrap/>
          </w:tcPr>
          <w:p w14:paraId="0B5950D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747" w:type="dxa"/>
            <w:tcBorders>
              <w:top w:val="single" w:color="auto" w:sz="4" w:space="0"/>
              <w:left w:val="single" w:color="auto" w:sz="4" w:space="0"/>
              <w:bottom w:val="single" w:color="auto" w:sz="4" w:space="0"/>
              <w:right w:val="single" w:color="auto" w:sz="4" w:space="0"/>
            </w:tcBorders>
            <w:noWrap/>
          </w:tcPr>
          <w:p w14:paraId="459AB3A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8" w:type="dxa"/>
            <w:tcBorders>
              <w:top w:val="single" w:color="auto" w:sz="4" w:space="0"/>
              <w:left w:val="single" w:color="auto" w:sz="4" w:space="0"/>
              <w:bottom w:val="single" w:color="auto" w:sz="4" w:space="0"/>
              <w:right w:val="single" w:color="auto" w:sz="4" w:space="0"/>
            </w:tcBorders>
            <w:noWrap/>
          </w:tcPr>
          <w:p w14:paraId="0EEDBE5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2B58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2227" w:type="dxa"/>
            <w:gridSpan w:val="12"/>
            <w:tcBorders>
              <w:top w:val="single" w:color="auto" w:sz="4" w:space="0"/>
              <w:left w:val="single" w:color="auto" w:sz="4" w:space="0"/>
              <w:bottom w:val="single" w:color="auto" w:sz="4" w:space="0"/>
              <w:right w:val="single" w:color="auto" w:sz="4" w:space="0"/>
            </w:tcBorders>
            <w:noWrap/>
            <w:vAlign w:val="center"/>
          </w:tcPr>
          <w:p w14:paraId="3ABC1C2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合  计</w:t>
            </w:r>
          </w:p>
        </w:tc>
        <w:tc>
          <w:tcPr>
            <w:tcW w:w="1268" w:type="dxa"/>
            <w:tcBorders>
              <w:top w:val="single" w:color="auto" w:sz="4" w:space="0"/>
              <w:left w:val="single" w:color="auto" w:sz="4" w:space="0"/>
              <w:bottom w:val="single" w:color="auto" w:sz="4" w:space="0"/>
              <w:right w:val="single" w:color="auto" w:sz="4" w:space="0"/>
            </w:tcBorders>
            <w:noWrap/>
          </w:tcPr>
          <w:p w14:paraId="4B75F4D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bl>
    <w:p w14:paraId="470FBC5F">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r>
        <w:rPr>
          <w:rFonts w:hint="eastAsia" w:ascii="宋体" w:hAnsi="宋体" w:cs="仿宋"/>
          <w:color w:val="auto"/>
          <w:highlight w:val="none"/>
        </w:rPr>
        <w:t>注： 表（1）～（4）栏中的清单编号、清单名称、清单计量单位和数量由招标人按需要提出。</w:t>
      </w:r>
    </w:p>
    <w:p w14:paraId="1B500B7F">
      <w:pPr>
        <w:keepNext w:val="0"/>
        <w:keepLines w:val="0"/>
        <w:pageBreakBefore w:val="0"/>
        <w:kinsoku/>
        <w:wordWrap w:val="0"/>
        <w:overflowPunct/>
        <w:topLinePunct w:val="0"/>
        <w:autoSpaceDE/>
        <w:autoSpaceDN/>
        <w:bidi w:val="0"/>
        <w:jc w:val="center"/>
        <w:textAlignment w:val="auto"/>
        <w:outlineLvl w:val="9"/>
        <w:rPr>
          <w:rFonts w:cs="仿宋"/>
          <w:b/>
          <w:bCs/>
          <w:color w:val="auto"/>
          <w:sz w:val="32"/>
          <w:szCs w:val="28"/>
          <w:highlight w:val="none"/>
        </w:rPr>
      </w:pPr>
      <w:r>
        <w:rPr>
          <w:rFonts w:hint="eastAsia" w:ascii="宋体" w:hAnsi="宋体" w:cs="仿宋"/>
          <w:b/>
          <w:bCs/>
          <w:color w:val="auto"/>
          <w:sz w:val="32"/>
          <w:szCs w:val="28"/>
          <w:highlight w:val="none"/>
        </w:rPr>
        <w:br w:type="page"/>
      </w:r>
      <w:r>
        <w:rPr>
          <w:rFonts w:hint="eastAsia" w:ascii="宋体" w:hAnsi="宋体" w:cs="仿宋"/>
          <w:b/>
          <w:bCs/>
          <w:color w:val="auto"/>
          <w:sz w:val="32"/>
          <w:szCs w:val="28"/>
          <w:highlight w:val="none"/>
        </w:rPr>
        <w:t>表2-2  措施项目清单分析表</w:t>
      </w:r>
    </w:p>
    <w:p w14:paraId="6988D7EE">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工程名称：</w:t>
      </w:r>
    </w:p>
    <w:p w14:paraId="32EC1A2E">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 xml:space="preserve">单位工程名称：                  </w:t>
      </w:r>
    </w:p>
    <w:p w14:paraId="0F40C407">
      <w:pPr>
        <w:keepNext w:val="0"/>
        <w:keepLines w:val="0"/>
        <w:pageBreakBefore w:val="0"/>
        <w:kinsoku/>
        <w:wordWrap w:val="0"/>
        <w:overflowPunct/>
        <w:topLinePunct w:val="0"/>
        <w:autoSpaceDE/>
        <w:autoSpaceDN/>
        <w:bidi w:val="0"/>
        <w:adjustRightInd/>
        <w:spacing w:line="460" w:lineRule="exact"/>
        <w:jc w:val="right"/>
        <w:textAlignment w:val="auto"/>
        <w:outlineLvl w:val="9"/>
        <w:rPr>
          <w:rFonts w:cs="仿宋"/>
          <w:color w:val="auto"/>
          <w:highlight w:val="none"/>
        </w:rPr>
      </w:pPr>
      <w:r>
        <w:rPr>
          <w:rFonts w:hint="eastAsia" w:ascii="宋体" w:hAnsi="宋体" w:cs="仿宋"/>
          <w:color w:val="auto"/>
          <w:highlight w:val="none"/>
        </w:rPr>
        <w:t>第   页共   页</w:t>
      </w:r>
    </w:p>
    <w:tbl>
      <w:tblPr>
        <w:tblStyle w:val="62"/>
        <w:tblW w:w="1393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67"/>
        <w:gridCol w:w="1666"/>
        <w:gridCol w:w="1587"/>
        <w:gridCol w:w="827"/>
        <w:gridCol w:w="800"/>
        <w:gridCol w:w="1068"/>
        <w:gridCol w:w="1080"/>
        <w:gridCol w:w="1044"/>
        <w:gridCol w:w="1116"/>
        <w:gridCol w:w="871"/>
        <w:gridCol w:w="1181"/>
        <w:gridCol w:w="996"/>
        <w:gridCol w:w="1230"/>
      </w:tblGrid>
      <w:tr w14:paraId="23A331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467" w:type="dxa"/>
            <w:vMerge w:val="restart"/>
            <w:tcBorders>
              <w:top w:val="single" w:color="auto" w:sz="8" w:space="0"/>
              <w:left w:val="single" w:color="auto" w:sz="8" w:space="0"/>
              <w:bottom w:val="single" w:color="auto" w:sz="6" w:space="0"/>
              <w:right w:val="single" w:color="auto" w:sz="6" w:space="0"/>
            </w:tcBorders>
            <w:noWrap/>
            <w:vAlign w:val="center"/>
          </w:tcPr>
          <w:p w14:paraId="35E156D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序号</w:t>
            </w:r>
          </w:p>
        </w:tc>
        <w:tc>
          <w:tcPr>
            <w:tcW w:w="1666" w:type="dxa"/>
            <w:vMerge w:val="restart"/>
            <w:tcBorders>
              <w:top w:val="single" w:color="auto" w:sz="8" w:space="0"/>
              <w:left w:val="single" w:color="auto" w:sz="6" w:space="0"/>
              <w:bottom w:val="single" w:color="auto" w:sz="6" w:space="0"/>
              <w:right w:val="single" w:color="auto" w:sz="6" w:space="0"/>
            </w:tcBorders>
            <w:noWrap/>
            <w:vAlign w:val="center"/>
          </w:tcPr>
          <w:p w14:paraId="78D766D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编号</w:t>
            </w:r>
          </w:p>
        </w:tc>
        <w:tc>
          <w:tcPr>
            <w:tcW w:w="1587" w:type="dxa"/>
            <w:vMerge w:val="restart"/>
            <w:tcBorders>
              <w:top w:val="single" w:color="auto" w:sz="8" w:space="0"/>
              <w:left w:val="single" w:color="auto" w:sz="6" w:space="0"/>
              <w:bottom w:val="single" w:color="auto" w:sz="6" w:space="0"/>
              <w:right w:val="single" w:color="auto" w:sz="6" w:space="0"/>
            </w:tcBorders>
            <w:noWrap/>
            <w:vAlign w:val="center"/>
          </w:tcPr>
          <w:p w14:paraId="70C0352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名称</w:t>
            </w:r>
          </w:p>
        </w:tc>
        <w:tc>
          <w:tcPr>
            <w:tcW w:w="827" w:type="dxa"/>
            <w:vMerge w:val="restart"/>
            <w:tcBorders>
              <w:top w:val="single" w:color="auto" w:sz="8" w:space="0"/>
              <w:left w:val="single" w:color="auto" w:sz="6" w:space="0"/>
              <w:bottom w:val="single" w:color="auto" w:sz="6" w:space="0"/>
              <w:right w:val="single" w:color="auto" w:sz="6" w:space="0"/>
            </w:tcBorders>
            <w:noWrap/>
            <w:vAlign w:val="center"/>
          </w:tcPr>
          <w:p w14:paraId="7892C61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计量</w:t>
            </w:r>
          </w:p>
          <w:p w14:paraId="7D582F2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单位</w:t>
            </w:r>
          </w:p>
        </w:tc>
        <w:tc>
          <w:tcPr>
            <w:tcW w:w="800" w:type="dxa"/>
            <w:vMerge w:val="restart"/>
            <w:tcBorders>
              <w:top w:val="single" w:color="auto" w:sz="8" w:space="0"/>
              <w:left w:val="single" w:color="auto" w:sz="6" w:space="0"/>
              <w:bottom w:val="single" w:color="auto" w:sz="6" w:space="0"/>
              <w:right w:val="single" w:color="auto" w:sz="6" w:space="0"/>
            </w:tcBorders>
            <w:noWrap/>
            <w:vAlign w:val="center"/>
          </w:tcPr>
          <w:p w14:paraId="0879EC8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数量</w:t>
            </w:r>
          </w:p>
        </w:tc>
        <w:tc>
          <w:tcPr>
            <w:tcW w:w="7356" w:type="dxa"/>
            <w:gridSpan w:val="7"/>
            <w:tcBorders>
              <w:top w:val="single" w:color="auto" w:sz="8" w:space="0"/>
              <w:left w:val="single" w:color="auto" w:sz="6" w:space="0"/>
              <w:bottom w:val="single" w:color="auto" w:sz="6" w:space="0"/>
              <w:right w:val="single" w:color="auto" w:sz="4" w:space="0"/>
            </w:tcBorders>
            <w:noWrap/>
            <w:vAlign w:val="center"/>
          </w:tcPr>
          <w:p w14:paraId="73DB8F8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综 合 单 价（元）</w:t>
            </w:r>
          </w:p>
        </w:tc>
        <w:tc>
          <w:tcPr>
            <w:tcW w:w="1230" w:type="dxa"/>
            <w:vMerge w:val="restart"/>
            <w:tcBorders>
              <w:top w:val="single" w:color="auto" w:sz="8" w:space="0"/>
              <w:left w:val="single" w:color="auto" w:sz="4" w:space="0"/>
              <w:bottom w:val="single" w:color="auto" w:sz="6" w:space="0"/>
              <w:right w:val="single" w:color="auto" w:sz="8" w:space="0"/>
            </w:tcBorders>
            <w:noWrap/>
            <w:vAlign w:val="center"/>
          </w:tcPr>
          <w:p w14:paraId="4C3430F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合计</w:t>
            </w:r>
          </w:p>
          <w:p w14:paraId="7F7AECE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（元）</w:t>
            </w:r>
          </w:p>
        </w:tc>
      </w:tr>
      <w:tr w14:paraId="79FC57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467" w:type="dxa"/>
            <w:vMerge w:val="continue"/>
            <w:tcBorders>
              <w:top w:val="single" w:color="auto" w:sz="8" w:space="0"/>
              <w:left w:val="single" w:color="auto" w:sz="8" w:space="0"/>
              <w:bottom w:val="single" w:color="auto" w:sz="6" w:space="0"/>
              <w:right w:val="single" w:color="auto" w:sz="6" w:space="0"/>
            </w:tcBorders>
            <w:noWrap/>
            <w:vAlign w:val="center"/>
          </w:tcPr>
          <w:p w14:paraId="088D02C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666" w:type="dxa"/>
            <w:vMerge w:val="continue"/>
            <w:tcBorders>
              <w:top w:val="single" w:color="auto" w:sz="8" w:space="0"/>
              <w:left w:val="single" w:color="auto" w:sz="6" w:space="0"/>
              <w:bottom w:val="single" w:color="auto" w:sz="6" w:space="0"/>
              <w:right w:val="single" w:color="auto" w:sz="6" w:space="0"/>
            </w:tcBorders>
            <w:noWrap/>
            <w:vAlign w:val="center"/>
          </w:tcPr>
          <w:p w14:paraId="08109F4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87" w:type="dxa"/>
            <w:vMerge w:val="continue"/>
            <w:tcBorders>
              <w:top w:val="single" w:color="auto" w:sz="8" w:space="0"/>
              <w:left w:val="single" w:color="auto" w:sz="6" w:space="0"/>
              <w:bottom w:val="single" w:color="auto" w:sz="6" w:space="0"/>
              <w:right w:val="single" w:color="auto" w:sz="6" w:space="0"/>
            </w:tcBorders>
            <w:noWrap/>
            <w:vAlign w:val="center"/>
          </w:tcPr>
          <w:p w14:paraId="0C9EDA1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27" w:type="dxa"/>
            <w:vMerge w:val="continue"/>
            <w:tcBorders>
              <w:top w:val="single" w:color="auto" w:sz="8" w:space="0"/>
              <w:left w:val="single" w:color="auto" w:sz="6" w:space="0"/>
              <w:bottom w:val="single" w:color="auto" w:sz="6" w:space="0"/>
              <w:right w:val="single" w:color="auto" w:sz="6" w:space="0"/>
            </w:tcBorders>
            <w:noWrap/>
            <w:vAlign w:val="center"/>
          </w:tcPr>
          <w:p w14:paraId="53BD28E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00" w:type="dxa"/>
            <w:vMerge w:val="continue"/>
            <w:tcBorders>
              <w:top w:val="single" w:color="auto" w:sz="8" w:space="0"/>
              <w:left w:val="single" w:color="auto" w:sz="6" w:space="0"/>
              <w:bottom w:val="single" w:color="auto" w:sz="6" w:space="0"/>
              <w:right w:val="single" w:color="auto" w:sz="6" w:space="0"/>
            </w:tcBorders>
            <w:noWrap/>
            <w:vAlign w:val="center"/>
          </w:tcPr>
          <w:p w14:paraId="7B371F2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68" w:type="dxa"/>
            <w:tcBorders>
              <w:top w:val="single" w:color="auto" w:sz="6" w:space="0"/>
              <w:left w:val="single" w:color="auto" w:sz="6" w:space="0"/>
              <w:bottom w:val="single" w:color="auto" w:sz="6" w:space="0"/>
              <w:right w:val="single" w:color="auto" w:sz="6" w:space="0"/>
            </w:tcBorders>
            <w:noWrap/>
            <w:vAlign w:val="center"/>
          </w:tcPr>
          <w:p w14:paraId="26BFCE5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人工费</w:t>
            </w:r>
          </w:p>
        </w:tc>
        <w:tc>
          <w:tcPr>
            <w:tcW w:w="1080" w:type="dxa"/>
            <w:tcBorders>
              <w:top w:val="single" w:color="auto" w:sz="6" w:space="0"/>
              <w:left w:val="single" w:color="auto" w:sz="6" w:space="0"/>
              <w:bottom w:val="single" w:color="auto" w:sz="6" w:space="0"/>
              <w:right w:val="single" w:color="auto" w:sz="6" w:space="0"/>
            </w:tcBorders>
            <w:noWrap/>
            <w:vAlign w:val="center"/>
          </w:tcPr>
          <w:p w14:paraId="2F02F98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材料费</w:t>
            </w:r>
          </w:p>
        </w:tc>
        <w:tc>
          <w:tcPr>
            <w:tcW w:w="1044" w:type="dxa"/>
            <w:tcBorders>
              <w:top w:val="single" w:color="auto" w:sz="6" w:space="0"/>
              <w:left w:val="single" w:color="auto" w:sz="6" w:space="0"/>
              <w:bottom w:val="single" w:color="auto" w:sz="6" w:space="0"/>
              <w:right w:val="single" w:color="auto" w:sz="6" w:space="0"/>
            </w:tcBorders>
            <w:noWrap/>
            <w:vAlign w:val="center"/>
          </w:tcPr>
          <w:p w14:paraId="059A4D0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机械费</w:t>
            </w:r>
          </w:p>
        </w:tc>
        <w:tc>
          <w:tcPr>
            <w:tcW w:w="1116" w:type="dxa"/>
            <w:tcBorders>
              <w:top w:val="single" w:color="auto" w:sz="6" w:space="0"/>
              <w:left w:val="single" w:color="auto" w:sz="6" w:space="0"/>
              <w:bottom w:val="single" w:color="auto" w:sz="6" w:space="0"/>
              <w:right w:val="single" w:color="auto" w:sz="6" w:space="0"/>
            </w:tcBorders>
            <w:noWrap/>
            <w:vAlign w:val="center"/>
          </w:tcPr>
          <w:p w14:paraId="17E78B3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管理费</w:t>
            </w:r>
          </w:p>
        </w:tc>
        <w:tc>
          <w:tcPr>
            <w:tcW w:w="871" w:type="dxa"/>
            <w:tcBorders>
              <w:top w:val="single" w:color="auto" w:sz="6" w:space="0"/>
              <w:left w:val="single" w:color="auto" w:sz="6" w:space="0"/>
              <w:bottom w:val="single" w:color="auto" w:sz="6" w:space="0"/>
              <w:right w:val="single" w:color="auto" w:sz="6" w:space="0"/>
            </w:tcBorders>
            <w:noWrap/>
            <w:vAlign w:val="center"/>
          </w:tcPr>
          <w:p w14:paraId="0987064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利润</w:t>
            </w:r>
          </w:p>
        </w:tc>
        <w:tc>
          <w:tcPr>
            <w:tcW w:w="1181" w:type="dxa"/>
            <w:tcBorders>
              <w:top w:val="single" w:color="auto" w:sz="6" w:space="0"/>
              <w:left w:val="single" w:color="auto" w:sz="6" w:space="0"/>
              <w:bottom w:val="single" w:color="auto" w:sz="6" w:space="0"/>
              <w:right w:val="single" w:color="auto" w:sz="6" w:space="0"/>
            </w:tcBorders>
            <w:noWrap/>
            <w:vAlign w:val="center"/>
          </w:tcPr>
          <w:p w14:paraId="59AB842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风险费用</w:t>
            </w:r>
          </w:p>
        </w:tc>
        <w:tc>
          <w:tcPr>
            <w:tcW w:w="996" w:type="dxa"/>
            <w:tcBorders>
              <w:top w:val="single" w:color="auto" w:sz="6" w:space="0"/>
              <w:left w:val="single" w:color="auto" w:sz="6" w:space="0"/>
              <w:bottom w:val="single" w:color="auto" w:sz="6" w:space="0"/>
              <w:right w:val="single" w:color="auto" w:sz="4" w:space="0"/>
            </w:tcBorders>
            <w:noWrap/>
            <w:vAlign w:val="center"/>
          </w:tcPr>
          <w:p w14:paraId="5430271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小计</w:t>
            </w:r>
          </w:p>
        </w:tc>
        <w:tc>
          <w:tcPr>
            <w:tcW w:w="1230" w:type="dxa"/>
            <w:vMerge w:val="continue"/>
            <w:tcBorders>
              <w:top w:val="single" w:color="auto" w:sz="8" w:space="0"/>
              <w:left w:val="single" w:color="auto" w:sz="4" w:space="0"/>
              <w:bottom w:val="single" w:color="auto" w:sz="6" w:space="0"/>
              <w:right w:val="single" w:color="auto" w:sz="8" w:space="0"/>
            </w:tcBorders>
            <w:noWrap/>
            <w:vAlign w:val="center"/>
          </w:tcPr>
          <w:p w14:paraId="5CF5010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262FE2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67" w:type="dxa"/>
            <w:tcBorders>
              <w:top w:val="single" w:color="auto" w:sz="6" w:space="0"/>
              <w:left w:val="single" w:color="auto" w:sz="8" w:space="0"/>
              <w:bottom w:val="single" w:color="auto" w:sz="6" w:space="0"/>
              <w:right w:val="single" w:color="auto" w:sz="6" w:space="0"/>
            </w:tcBorders>
            <w:noWrap/>
            <w:vAlign w:val="center"/>
          </w:tcPr>
          <w:p w14:paraId="6D7AB6D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647CE6D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1587" w:type="dxa"/>
            <w:tcBorders>
              <w:top w:val="single" w:color="auto" w:sz="6" w:space="0"/>
              <w:left w:val="single" w:color="auto" w:sz="6" w:space="0"/>
              <w:bottom w:val="single" w:color="auto" w:sz="6" w:space="0"/>
              <w:right w:val="single" w:color="auto" w:sz="6" w:space="0"/>
            </w:tcBorders>
            <w:noWrap/>
            <w:vAlign w:val="center"/>
          </w:tcPr>
          <w:p w14:paraId="6BF7F31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827" w:type="dxa"/>
            <w:tcBorders>
              <w:top w:val="single" w:color="auto" w:sz="6" w:space="0"/>
              <w:left w:val="single" w:color="auto" w:sz="6" w:space="0"/>
              <w:bottom w:val="single" w:color="auto" w:sz="6" w:space="0"/>
              <w:right w:val="single" w:color="auto" w:sz="6" w:space="0"/>
            </w:tcBorders>
            <w:noWrap/>
            <w:vAlign w:val="center"/>
          </w:tcPr>
          <w:p w14:paraId="3868144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（3）</w:t>
            </w:r>
          </w:p>
        </w:tc>
        <w:tc>
          <w:tcPr>
            <w:tcW w:w="800" w:type="dxa"/>
            <w:tcBorders>
              <w:top w:val="single" w:color="auto" w:sz="6" w:space="0"/>
              <w:left w:val="single" w:color="auto" w:sz="6" w:space="0"/>
              <w:bottom w:val="single" w:color="auto" w:sz="6" w:space="0"/>
              <w:right w:val="single" w:color="auto" w:sz="6" w:space="0"/>
            </w:tcBorders>
            <w:noWrap/>
            <w:vAlign w:val="center"/>
          </w:tcPr>
          <w:p w14:paraId="4AAB9AF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（4）</w:t>
            </w:r>
          </w:p>
        </w:tc>
        <w:tc>
          <w:tcPr>
            <w:tcW w:w="1068" w:type="dxa"/>
            <w:tcBorders>
              <w:top w:val="single" w:color="auto" w:sz="6" w:space="0"/>
              <w:left w:val="single" w:color="auto" w:sz="6" w:space="0"/>
              <w:bottom w:val="single" w:color="auto" w:sz="6" w:space="0"/>
              <w:right w:val="single" w:color="auto" w:sz="6" w:space="0"/>
            </w:tcBorders>
            <w:noWrap/>
            <w:vAlign w:val="center"/>
          </w:tcPr>
          <w:p w14:paraId="3E6CDB9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(5)</w:t>
            </w:r>
          </w:p>
        </w:tc>
        <w:tc>
          <w:tcPr>
            <w:tcW w:w="1080" w:type="dxa"/>
            <w:tcBorders>
              <w:top w:val="single" w:color="auto" w:sz="6" w:space="0"/>
              <w:left w:val="single" w:color="auto" w:sz="6" w:space="0"/>
              <w:bottom w:val="single" w:color="auto" w:sz="6" w:space="0"/>
              <w:right w:val="single" w:color="auto" w:sz="6" w:space="0"/>
            </w:tcBorders>
            <w:noWrap/>
            <w:vAlign w:val="center"/>
          </w:tcPr>
          <w:p w14:paraId="011CE08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(6)</w:t>
            </w:r>
          </w:p>
        </w:tc>
        <w:tc>
          <w:tcPr>
            <w:tcW w:w="1044" w:type="dxa"/>
            <w:tcBorders>
              <w:top w:val="single" w:color="auto" w:sz="6" w:space="0"/>
              <w:left w:val="single" w:color="auto" w:sz="6" w:space="0"/>
              <w:bottom w:val="single" w:color="auto" w:sz="6" w:space="0"/>
              <w:right w:val="single" w:color="auto" w:sz="6" w:space="0"/>
            </w:tcBorders>
            <w:noWrap/>
            <w:vAlign w:val="center"/>
          </w:tcPr>
          <w:p w14:paraId="71CAB2D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(7)</w:t>
            </w:r>
          </w:p>
        </w:tc>
        <w:tc>
          <w:tcPr>
            <w:tcW w:w="1116" w:type="dxa"/>
            <w:tcBorders>
              <w:top w:val="single" w:color="auto" w:sz="6" w:space="0"/>
              <w:left w:val="single" w:color="auto" w:sz="6" w:space="0"/>
              <w:bottom w:val="single" w:color="auto" w:sz="6" w:space="0"/>
              <w:right w:val="single" w:color="auto" w:sz="6" w:space="0"/>
            </w:tcBorders>
            <w:noWrap/>
            <w:vAlign w:val="center"/>
          </w:tcPr>
          <w:p w14:paraId="707DDAA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(8)</w:t>
            </w:r>
          </w:p>
        </w:tc>
        <w:tc>
          <w:tcPr>
            <w:tcW w:w="871" w:type="dxa"/>
            <w:tcBorders>
              <w:top w:val="single" w:color="auto" w:sz="6" w:space="0"/>
              <w:left w:val="single" w:color="auto" w:sz="6" w:space="0"/>
              <w:bottom w:val="single" w:color="auto" w:sz="6" w:space="0"/>
              <w:right w:val="single" w:color="auto" w:sz="6" w:space="0"/>
            </w:tcBorders>
            <w:noWrap/>
            <w:vAlign w:val="center"/>
          </w:tcPr>
          <w:p w14:paraId="30B7C92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(9)</w:t>
            </w:r>
          </w:p>
        </w:tc>
        <w:tc>
          <w:tcPr>
            <w:tcW w:w="1181" w:type="dxa"/>
            <w:tcBorders>
              <w:top w:val="single" w:color="auto" w:sz="6" w:space="0"/>
              <w:left w:val="single" w:color="auto" w:sz="6" w:space="0"/>
              <w:bottom w:val="single" w:color="auto" w:sz="6" w:space="0"/>
              <w:right w:val="single" w:color="auto" w:sz="6" w:space="0"/>
            </w:tcBorders>
            <w:noWrap/>
            <w:vAlign w:val="center"/>
          </w:tcPr>
          <w:p w14:paraId="2C9239A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（10）</w:t>
            </w:r>
          </w:p>
        </w:tc>
        <w:tc>
          <w:tcPr>
            <w:tcW w:w="996" w:type="dxa"/>
            <w:tcBorders>
              <w:top w:val="single" w:color="auto" w:sz="6" w:space="0"/>
              <w:left w:val="single" w:color="auto" w:sz="6" w:space="0"/>
              <w:bottom w:val="single" w:color="auto" w:sz="6" w:space="0"/>
              <w:right w:val="single" w:color="auto" w:sz="4" w:space="0"/>
            </w:tcBorders>
            <w:noWrap/>
            <w:vAlign w:val="center"/>
          </w:tcPr>
          <w:p w14:paraId="4BBB90B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(11)</w:t>
            </w:r>
          </w:p>
        </w:tc>
        <w:tc>
          <w:tcPr>
            <w:tcW w:w="1230" w:type="dxa"/>
            <w:tcBorders>
              <w:top w:val="single" w:color="auto" w:sz="6" w:space="0"/>
              <w:left w:val="single" w:color="auto" w:sz="4" w:space="0"/>
              <w:bottom w:val="single" w:color="auto" w:sz="6" w:space="0"/>
              <w:right w:val="single" w:color="auto" w:sz="8" w:space="0"/>
            </w:tcBorders>
            <w:noWrap/>
            <w:vAlign w:val="center"/>
          </w:tcPr>
          <w:p w14:paraId="2CCD108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(4）*(11）</w:t>
            </w:r>
          </w:p>
        </w:tc>
      </w:tr>
      <w:tr w14:paraId="4D807B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67" w:type="dxa"/>
            <w:tcBorders>
              <w:top w:val="single" w:color="auto" w:sz="6" w:space="0"/>
              <w:left w:val="single" w:color="auto" w:sz="8" w:space="0"/>
              <w:bottom w:val="single" w:color="auto" w:sz="6" w:space="0"/>
              <w:right w:val="single" w:color="auto" w:sz="6" w:space="0"/>
            </w:tcBorders>
            <w:noWrap/>
            <w:vAlign w:val="center"/>
          </w:tcPr>
          <w:p w14:paraId="3D3EE4E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1666" w:type="dxa"/>
            <w:tcBorders>
              <w:top w:val="single" w:color="auto" w:sz="6" w:space="0"/>
              <w:left w:val="single" w:color="auto" w:sz="6" w:space="0"/>
              <w:bottom w:val="single" w:color="auto" w:sz="6" w:space="0"/>
              <w:right w:val="single" w:color="auto" w:sz="6" w:space="0"/>
            </w:tcBorders>
            <w:noWrap/>
            <w:vAlign w:val="center"/>
          </w:tcPr>
          <w:p w14:paraId="1FA781D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 xml:space="preserve"> （清单编码）</w:t>
            </w:r>
          </w:p>
        </w:tc>
        <w:tc>
          <w:tcPr>
            <w:tcW w:w="1587" w:type="dxa"/>
            <w:tcBorders>
              <w:top w:val="single" w:color="auto" w:sz="6" w:space="0"/>
              <w:left w:val="single" w:color="auto" w:sz="6" w:space="0"/>
              <w:bottom w:val="single" w:color="auto" w:sz="6" w:space="0"/>
              <w:right w:val="single" w:color="auto" w:sz="6" w:space="0"/>
            </w:tcBorders>
            <w:noWrap/>
            <w:vAlign w:val="center"/>
          </w:tcPr>
          <w:p w14:paraId="37F27CB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（清单名称）</w:t>
            </w:r>
          </w:p>
        </w:tc>
        <w:tc>
          <w:tcPr>
            <w:tcW w:w="827" w:type="dxa"/>
            <w:tcBorders>
              <w:top w:val="single" w:color="auto" w:sz="6" w:space="0"/>
              <w:left w:val="single" w:color="auto" w:sz="6" w:space="0"/>
              <w:bottom w:val="single" w:color="auto" w:sz="6" w:space="0"/>
              <w:right w:val="single" w:color="auto" w:sz="6" w:space="0"/>
            </w:tcBorders>
            <w:noWrap/>
            <w:vAlign w:val="center"/>
          </w:tcPr>
          <w:p w14:paraId="2026D18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00" w:type="dxa"/>
            <w:tcBorders>
              <w:top w:val="single" w:color="auto" w:sz="6" w:space="0"/>
              <w:left w:val="single" w:color="auto" w:sz="6" w:space="0"/>
              <w:bottom w:val="single" w:color="auto" w:sz="6" w:space="0"/>
              <w:right w:val="single" w:color="auto" w:sz="6" w:space="0"/>
            </w:tcBorders>
            <w:noWrap/>
            <w:vAlign w:val="center"/>
          </w:tcPr>
          <w:p w14:paraId="71F8AFF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68" w:type="dxa"/>
            <w:tcBorders>
              <w:top w:val="single" w:color="auto" w:sz="6" w:space="0"/>
              <w:left w:val="single" w:color="auto" w:sz="6" w:space="0"/>
              <w:bottom w:val="single" w:color="auto" w:sz="6" w:space="0"/>
              <w:right w:val="single" w:color="auto" w:sz="6" w:space="0"/>
            </w:tcBorders>
            <w:noWrap/>
            <w:vAlign w:val="center"/>
          </w:tcPr>
          <w:p w14:paraId="31A97EC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80" w:type="dxa"/>
            <w:tcBorders>
              <w:top w:val="single" w:color="auto" w:sz="6" w:space="0"/>
              <w:left w:val="single" w:color="auto" w:sz="6" w:space="0"/>
              <w:bottom w:val="single" w:color="auto" w:sz="6" w:space="0"/>
              <w:right w:val="single" w:color="auto" w:sz="6" w:space="0"/>
            </w:tcBorders>
            <w:noWrap/>
            <w:vAlign w:val="center"/>
          </w:tcPr>
          <w:p w14:paraId="278E592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44" w:type="dxa"/>
            <w:tcBorders>
              <w:top w:val="single" w:color="auto" w:sz="6" w:space="0"/>
              <w:left w:val="single" w:color="auto" w:sz="6" w:space="0"/>
              <w:bottom w:val="single" w:color="auto" w:sz="6" w:space="0"/>
              <w:right w:val="single" w:color="auto" w:sz="6" w:space="0"/>
            </w:tcBorders>
            <w:noWrap/>
            <w:vAlign w:val="center"/>
          </w:tcPr>
          <w:p w14:paraId="69D65F9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116" w:type="dxa"/>
            <w:tcBorders>
              <w:top w:val="single" w:color="auto" w:sz="6" w:space="0"/>
              <w:left w:val="single" w:color="auto" w:sz="6" w:space="0"/>
              <w:bottom w:val="single" w:color="auto" w:sz="6" w:space="0"/>
              <w:right w:val="single" w:color="auto" w:sz="6" w:space="0"/>
            </w:tcBorders>
            <w:noWrap/>
            <w:vAlign w:val="center"/>
          </w:tcPr>
          <w:p w14:paraId="1099B91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71" w:type="dxa"/>
            <w:tcBorders>
              <w:top w:val="single" w:color="auto" w:sz="6" w:space="0"/>
              <w:left w:val="single" w:color="auto" w:sz="6" w:space="0"/>
              <w:bottom w:val="single" w:color="auto" w:sz="6" w:space="0"/>
              <w:right w:val="single" w:color="auto" w:sz="6" w:space="0"/>
            </w:tcBorders>
            <w:noWrap/>
            <w:vAlign w:val="center"/>
          </w:tcPr>
          <w:p w14:paraId="22ED923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181" w:type="dxa"/>
            <w:tcBorders>
              <w:top w:val="single" w:color="auto" w:sz="6" w:space="0"/>
              <w:left w:val="single" w:color="auto" w:sz="6" w:space="0"/>
              <w:bottom w:val="single" w:color="auto" w:sz="6" w:space="0"/>
              <w:right w:val="single" w:color="auto" w:sz="6" w:space="0"/>
            </w:tcBorders>
            <w:noWrap/>
            <w:vAlign w:val="center"/>
          </w:tcPr>
          <w:p w14:paraId="1A94A51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96" w:type="dxa"/>
            <w:tcBorders>
              <w:top w:val="single" w:color="auto" w:sz="6" w:space="0"/>
              <w:left w:val="single" w:color="auto" w:sz="6" w:space="0"/>
              <w:bottom w:val="single" w:color="auto" w:sz="6" w:space="0"/>
              <w:right w:val="single" w:color="auto" w:sz="4" w:space="0"/>
            </w:tcBorders>
            <w:noWrap/>
            <w:vAlign w:val="center"/>
          </w:tcPr>
          <w:p w14:paraId="795B127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30" w:type="dxa"/>
            <w:tcBorders>
              <w:top w:val="single" w:color="auto" w:sz="6" w:space="0"/>
              <w:left w:val="single" w:color="auto" w:sz="4" w:space="0"/>
              <w:bottom w:val="single" w:color="auto" w:sz="6" w:space="0"/>
              <w:right w:val="single" w:color="auto" w:sz="8" w:space="0"/>
            </w:tcBorders>
            <w:noWrap/>
            <w:vAlign w:val="center"/>
          </w:tcPr>
          <w:p w14:paraId="078DA98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1FAF1F0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67" w:type="dxa"/>
            <w:tcBorders>
              <w:top w:val="single" w:color="auto" w:sz="6" w:space="0"/>
              <w:left w:val="single" w:color="auto" w:sz="8" w:space="0"/>
              <w:bottom w:val="single" w:color="auto" w:sz="6" w:space="0"/>
              <w:right w:val="single" w:color="auto" w:sz="6" w:space="0"/>
            </w:tcBorders>
            <w:noWrap/>
            <w:vAlign w:val="center"/>
          </w:tcPr>
          <w:p w14:paraId="2BAA77A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6AF1A80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 xml:space="preserve"> （定额编号）</w:t>
            </w:r>
          </w:p>
        </w:tc>
        <w:tc>
          <w:tcPr>
            <w:tcW w:w="1587" w:type="dxa"/>
            <w:tcBorders>
              <w:top w:val="single" w:color="auto" w:sz="6" w:space="0"/>
              <w:left w:val="single" w:color="auto" w:sz="6" w:space="0"/>
              <w:bottom w:val="single" w:color="auto" w:sz="6" w:space="0"/>
              <w:right w:val="single" w:color="auto" w:sz="6" w:space="0"/>
            </w:tcBorders>
            <w:noWrap/>
            <w:vAlign w:val="center"/>
          </w:tcPr>
          <w:p w14:paraId="320E5CC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（定额名称）</w:t>
            </w:r>
          </w:p>
        </w:tc>
        <w:tc>
          <w:tcPr>
            <w:tcW w:w="827" w:type="dxa"/>
            <w:tcBorders>
              <w:top w:val="single" w:color="auto" w:sz="6" w:space="0"/>
              <w:left w:val="single" w:color="auto" w:sz="6" w:space="0"/>
              <w:bottom w:val="single" w:color="auto" w:sz="6" w:space="0"/>
              <w:right w:val="single" w:color="auto" w:sz="6" w:space="0"/>
            </w:tcBorders>
            <w:noWrap/>
            <w:vAlign w:val="center"/>
          </w:tcPr>
          <w:p w14:paraId="6361A07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00" w:type="dxa"/>
            <w:tcBorders>
              <w:top w:val="single" w:color="auto" w:sz="6" w:space="0"/>
              <w:left w:val="single" w:color="auto" w:sz="6" w:space="0"/>
              <w:bottom w:val="single" w:color="auto" w:sz="6" w:space="0"/>
              <w:right w:val="single" w:color="auto" w:sz="6" w:space="0"/>
            </w:tcBorders>
            <w:noWrap/>
            <w:vAlign w:val="center"/>
          </w:tcPr>
          <w:p w14:paraId="61F90F0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68" w:type="dxa"/>
            <w:tcBorders>
              <w:top w:val="single" w:color="auto" w:sz="6" w:space="0"/>
              <w:left w:val="single" w:color="auto" w:sz="6" w:space="0"/>
              <w:bottom w:val="single" w:color="auto" w:sz="6" w:space="0"/>
              <w:right w:val="single" w:color="auto" w:sz="6" w:space="0"/>
            </w:tcBorders>
            <w:noWrap/>
            <w:vAlign w:val="center"/>
          </w:tcPr>
          <w:p w14:paraId="2A7C520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80" w:type="dxa"/>
            <w:tcBorders>
              <w:top w:val="single" w:color="auto" w:sz="6" w:space="0"/>
              <w:left w:val="single" w:color="auto" w:sz="6" w:space="0"/>
              <w:bottom w:val="single" w:color="auto" w:sz="6" w:space="0"/>
              <w:right w:val="single" w:color="auto" w:sz="6" w:space="0"/>
            </w:tcBorders>
            <w:noWrap/>
            <w:vAlign w:val="center"/>
          </w:tcPr>
          <w:p w14:paraId="4D02C6E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44" w:type="dxa"/>
            <w:tcBorders>
              <w:top w:val="single" w:color="auto" w:sz="6" w:space="0"/>
              <w:left w:val="single" w:color="auto" w:sz="6" w:space="0"/>
              <w:bottom w:val="single" w:color="auto" w:sz="6" w:space="0"/>
              <w:right w:val="single" w:color="auto" w:sz="6" w:space="0"/>
            </w:tcBorders>
            <w:noWrap/>
            <w:vAlign w:val="center"/>
          </w:tcPr>
          <w:p w14:paraId="5F3E0A1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116" w:type="dxa"/>
            <w:tcBorders>
              <w:top w:val="single" w:color="auto" w:sz="6" w:space="0"/>
              <w:left w:val="single" w:color="auto" w:sz="6" w:space="0"/>
              <w:bottom w:val="single" w:color="auto" w:sz="6" w:space="0"/>
              <w:right w:val="single" w:color="auto" w:sz="6" w:space="0"/>
            </w:tcBorders>
            <w:noWrap/>
            <w:vAlign w:val="center"/>
          </w:tcPr>
          <w:p w14:paraId="207C63D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71" w:type="dxa"/>
            <w:tcBorders>
              <w:top w:val="single" w:color="auto" w:sz="6" w:space="0"/>
              <w:left w:val="single" w:color="auto" w:sz="6" w:space="0"/>
              <w:bottom w:val="single" w:color="auto" w:sz="6" w:space="0"/>
              <w:right w:val="single" w:color="auto" w:sz="6" w:space="0"/>
            </w:tcBorders>
            <w:noWrap/>
            <w:vAlign w:val="center"/>
          </w:tcPr>
          <w:p w14:paraId="27CEA51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181" w:type="dxa"/>
            <w:tcBorders>
              <w:top w:val="single" w:color="auto" w:sz="6" w:space="0"/>
              <w:left w:val="single" w:color="auto" w:sz="6" w:space="0"/>
              <w:bottom w:val="single" w:color="auto" w:sz="6" w:space="0"/>
              <w:right w:val="single" w:color="auto" w:sz="6" w:space="0"/>
            </w:tcBorders>
            <w:noWrap/>
            <w:vAlign w:val="center"/>
          </w:tcPr>
          <w:p w14:paraId="53D30BF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96" w:type="dxa"/>
            <w:tcBorders>
              <w:top w:val="single" w:color="auto" w:sz="6" w:space="0"/>
              <w:left w:val="single" w:color="auto" w:sz="6" w:space="0"/>
              <w:bottom w:val="single" w:color="auto" w:sz="6" w:space="0"/>
              <w:right w:val="single" w:color="auto" w:sz="6" w:space="0"/>
            </w:tcBorders>
            <w:noWrap/>
            <w:vAlign w:val="center"/>
          </w:tcPr>
          <w:p w14:paraId="4100DAF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30" w:type="dxa"/>
            <w:tcBorders>
              <w:top w:val="single" w:color="auto" w:sz="6" w:space="0"/>
              <w:left w:val="single" w:color="auto" w:sz="6" w:space="0"/>
              <w:bottom w:val="single" w:color="auto" w:sz="6" w:space="0"/>
              <w:right w:val="single" w:color="auto" w:sz="8" w:space="0"/>
            </w:tcBorders>
            <w:noWrap/>
            <w:vAlign w:val="center"/>
          </w:tcPr>
          <w:p w14:paraId="40ED97D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11ABDA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67" w:type="dxa"/>
            <w:tcBorders>
              <w:top w:val="single" w:color="auto" w:sz="6" w:space="0"/>
              <w:left w:val="single" w:color="auto" w:sz="8" w:space="0"/>
              <w:bottom w:val="single" w:color="auto" w:sz="6" w:space="0"/>
              <w:right w:val="single" w:color="auto" w:sz="6" w:space="0"/>
            </w:tcBorders>
            <w:noWrap/>
            <w:vAlign w:val="center"/>
          </w:tcPr>
          <w:p w14:paraId="3F0D407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6476E91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w:t>
            </w:r>
          </w:p>
        </w:tc>
        <w:tc>
          <w:tcPr>
            <w:tcW w:w="1587" w:type="dxa"/>
            <w:tcBorders>
              <w:top w:val="single" w:color="auto" w:sz="6" w:space="0"/>
              <w:left w:val="single" w:color="auto" w:sz="6" w:space="0"/>
              <w:bottom w:val="single" w:color="auto" w:sz="6" w:space="0"/>
              <w:right w:val="single" w:color="auto" w:sz="6" w:space="0"/>
            </w:tcBorders>
            <w:noWrap/>
            <w:vAlign w:val="center"/>
          </w:tcPr>
          <w:p w14:paraId="044ADE3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w:t>
            </w:r>
          </w:p>
        </w:tc>
        <w:tc>
          <w:tcPr>
            <w:tcW w:w="827" w:type="dxa"/>
            <w:tcBorders>
              <w:top w:val="single" w:color="auto" w:sz="6" w:space="0"/>
              <w:left w:val="single" w:color="auto" w:sz="6" w:space="0"/>
              <w:bottom w:val="single" w:color="auto" w:sz="6" w:space="0"/>
              <w:right w:val="single" w:color="auto" w:sz="6" w:space="0"/>
            </w:tcBorders>
            <w:noWrap/>
            <w:vAlign w:val="center"/>
          </w:tcPr>
          <w:p w14:paraId="61F643B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00" w:type="dxa"/>
            <w:tcBorders>
              <w:top w:val="single" w:color="auto" w:sz="6" w:space="0"/>
              <w:left w:val="single" w:color="auto" w:sz="6" w:space="0"/>
              <w:bottom w:val="single" w:color="auto" w:sz="6" w:space="0"/>
              <w:right w:val="single" w:color="auto" w:sz="6" w:space="0"/>
            </w:tcBorders>
            <w:noWrap/>
            <w:vAlign w:val="center"/>
          </w:tcPr>
          <w:p w14:paraId="060CCDC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68" w:type="dxa"/>
            <w:tcBorders>
              <w:top w:val="single" w:color="auto" w:sz="6" w:space="0"/>
              <w:left w:val="single" w:color="auto" w:sz="6" w:space="0"/>
              <w:bottom w:val="single" w:color="auto" w:sz="6" w:space="0"/>
              <w:right w:val="single" w:color="auto" w:sz="6" w:space="0"/>
            </w:tcBorders>
            <w:noWrap/>
            <w:vAlign w:val="center"/>
          </w:tcPr>
          <w:p w14:paraId="18BB1C7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80" w:type="dxa"/>
            <w:tcBorders>
              <w:top w:val="single" w:color="auto" w:sz="6" w:space="0"/>
              <w:left w:val="single" w:color="auto" w:sz="6" w:space="0"/>
              <w:bottom w:val="single" w:color="auto" w:sz="6" w:space="0"/>
              <w:right w:val="single" w:color="auto" w:sz="6" w:space="0"/>
            </w:tcBorders>
            <w:noWrap/>
            <w:vAlign w:val="center"/>
          </w:tcPr>
          <w:p w14:paraId="1FF1BDE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44" w:type="dxa"/>
            <w:tcBorders>
              <w:top w:val="single" w:color="auto" w:sz="6" w:space="0"/>
              <w:left w:val="single" w:color="auto" w:sz="6" w:space="0"/>
              <w:bottom w:val="single" w:color="auto" w:sz="6" w:space="0"/>
              <w:right w:val="single" w:color="auto" w:sz="6" w:space="0"/>
            </w:tcBorders>
            <w:noWrap/>
            <w:vAlign w:val="center"/>
          </w:tcPr>
          <w:p w14:paraId="2E4164A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116" w:type="dxa"/>
            <w:tcBorders>
              <w:top w:val="single" w:color="auto" w:sz="6" w:space="0"/>
              <w:left w:val="single" w:color="auto" w:sz="6" w:space="0"/>
              <w:bottom w:val="single" w:color="auto" w:sz="6" w:space="0"/>
              <w:right w:val="single" w:color="auto" w:sz="6" w:space="0"/>
            </w:tcBorders>
            <w:noWrap/>
            <w:vAlign w:val="center"/>
          </w:tcPr>
          <w:p w14:paraId="159B4D8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71" w:type="dxa"/>
            <w:tcBorders>
              <w:top w:val="single" w:color="auto" w:sz="6" w:space="0"/>
              <w:left w:val="single" w:color="auto" w:sz="6" w:space="0"/>
              <w:bottom w:val="single" w:color="auto" w:sz="6" w:space="0"/>
              <w:right w:val="single" w:color="auto" w:sz="6" w:space="0"/>
            </w:tcBorders>
            <w:noWrap/>
            <w:vAlign w:val="center"/>
          </w:tcPr>
          <w:p w14:paraId="329543C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181" w:type="dxa"/>
            <w:tcBorders>
              <w:top w:val="single" w:color="auto" w:sz="6" w:space="0"/>
              <w:left w:val="single" w:color="auto" w:sz="6" w:space="0"/>
              <w:bottom w:val="single" w:color="auto" w:sz="6" w:space="0"/>
              <w:right w:val="single" w:color="auto" w:sz="6" w:space="0"/>
            </w:tcBorders>
            <w:noWrap/>
            <w:vAlign w:val="center"/>
          </w:tcPr>
          <w:p w14:paraId="5CB7F56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96" w:type="dxa"/>
            <w:tcBorders>
              <w:top w:val="single" w:color="auto" w:sz="6" w:space="0"/>
              <w:left w:val="single" w:color="auto" w:sz="6" w:space="0"/>
              <w:bottom w:val="single" w:color="auto" w:sz="6" w:space="0"/>
              <w:right w:val="single" w:color="auto" w:sz="6" w:space="0"/>
            </w:tcBorders>
            <w:noWrap/>
            <w:vAlign w:val="center"/>
          </w:tcPr>
          <w:p w14:paraId="51DCA88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30" w:type="dxa"/>
            <w:tcBorders>
              <w:top w:val="single" w:color="auto" w:sz="6" w:space="0"/>
              <w:left w:val="single" w:color="auto" w:sz="6" w:space="0"/>
              <w:bottom w:val="single" w:color="auto" w:sz="6" w:space="0"/>
              <w:right w:val="single" w:color="auto" w:sz="8" w:space="0"/>
            </w:tcBorders>
            <w:noWrap/>
            <w:vAlign w:val="center"/>
          </w:tcPr>
          <w:p w14:paraId="76BC7B6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48C58D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67" w:type="dxa"/>
            <w:tcBorders>
              <w:top w:val="single" w:color="auto" w:sz="6" w:space="0"/>
              <w:left w:val="single" w:color="auto" w:sz="8" w:space="0"/>
              <w:bottom w:val="single" w:color="auto" w:sz="6" w:space="0"/>
              <w:right w:val="single" w:color="auto" w:sz="6" w:space="0"/>
            </w:tcBorders>
            <w:noWrap/>
            <w:vAlign w:val="center"/>
          </w:tcPr>
          <w:p w14:paraId="4C3B657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1666" w:type="dxa"/>
            <w:tcBorders>
              <w:top w:val="single" w:color="auto" w:sz="6" w:space="0"/>
              <w:left w:val="single" w:color="auto" w:sz="6" w:space="0"/>
              <w:bottom w:val="single" w:color="auto" w:sz="6" w:space="0"/>
              <w:right w:val="single" w:color="auto" w:sz="6" w:space="0"/>
            </w:tcBorders>
            <w:noWrap/>
            <w:vAlign w:val="center"/>
          </w:tcPr>
          <w:p w14:paraId="29A8D39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（清单编码）</w:t>
            </w:r>
          </w:p>
        </w:tc>
        <w:tc>
          <w:tcPr>
            <w:tcW w:w="1587" w:type="dxa"/>
            <w:tcBorders>
              <w:top w:val="single" w:color="auto" w:sz="6" w:space="0"/>
              <w:left w:val="single" w:color="auto" w:sz="6" w:space="0"/>
              <w:bottom w:val="single" w:color="auto" w:sz="6" w:space="0"/>
              <w:right w:val="single" w:color="auto" w:sz="6" w:space="0"/>
            </w:tcBorders>
            <w:noWrap/>
            <w:vAlign w:val="center"/>
          </w:tcPr>
          <w:p w14:paraId="1623BDB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（清单名称）</w:t>
            </w:r>
          </w:p>
        </w:tc>
        <w:tc>
          <w:tcPr>
            <w:tcW w:w="827" w:type="dxa"/>
            <w:tcBorders>
              <w:top w:val="single" w:color="auto" w:sz="6" w:space="0"/>
              <w:left w:val="single" w:color="auto" w:sz="6" w:space="0"/>
              <w:bottom w:val="single" w:color="auto" w:sz="6" w:space="0"/>
              <w:right w:val="single" w:color="auto" w:sz="6" w:space="0"/>
            </w:tcBorders>
            <w:noWrap/>
            <w:vAlign w:val="center"/>
          </w:tcPr>
          <w:p w14:paraId="2F351DE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00" w:type="dxa"/>
            <w:tcBorders>
              <w:top w:val="single" w:color="auto" w:sz="6" w:space="0"/>
              <w:left w:val="single" w:color="auto" w:sz="6" w:space="0"/>
              <w:bottom w:val="single" w:color="auto" w:sz="6" w:space="0"/>
              <w:right w:val="single" w:color="auto" w:sz="6" w:space="0"/>
            </w:tcBorders>
            <w:noWrap/>
            <w:vAlign w:val="center"/>
          </w:tcPr>
          <w:p w14:paraId="7E925D3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68" w:type="dxa"/>
            <w:tcBorders>
              <w:top w:val="single" w:color="auto" w:sz="6" w:space="0"/>
              <w:left w:val="single" w:color="auto" w:sz="6" w:space="0"/>
              <w:bottom w:val="single" w:color="auto" w:sz="6" w:space="0"/>
              <w:right w:val="single" w:color="auto" w:sz="6" w:space="0"/>
            </w:tcBorders>
            <w:noWrap/>
            <w:vAlign w:val="center"/>
          </w:tcPr>
          <w:p w14:paraId="3A8B206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80" w:type="dxa"/>
            <w:tcBorders>
              <w:top w:val="single" w:color="auto" w:sz="6" w:space="0"/>
              <w:left w:val="single" w:color="auto" w:sz="6" w:space="0"/>
              <w:bottom w:val="single" w:color="auto" w:sz="6" w:space="0"/>
              <w:right w:val="single" w:color="auto" w:sz="6" w:space="0"/>
            </w:tcBorders>
            <w:noWrap/>
            <w:vAlign w:val="center"/>
          </w:tcPr>
          <w:p w14:paraId="4DF71AC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44" w:type="dxa"/>
            <w:tcBorders>
              <w:top w:val="single" w:color="auto" w:sz="6" w:space="0"/>
              <w:left w:val="single" w:color="auto" w:sz="6" w:space="0"/>
              <w:bottom w:val="single" w:color="auto" w:sz="6" w:space="0"/>
              <w:right w:val="single" w:color="auto" w:sz="6" w:space="0"/>
            </w:tcBorders>
            <w:noWrap/>
            <w:vAlign w:val="center"/>
          </w:tcPr>
          <w:p w14:paraId="1E2F195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116" w:type="dxa"/>
            <w:tcBorders>
              <w:top w:val="single" w:color="auto" w:sz="6" w:space="0"/>
              <w:left w:val="single" w:color="auto" w:sz="6" w:space="0"/>
              <w:bottom w:val="single" w:color="auto" w:sz="6" w:space="0"/>
              <w:right w:val="single" w:color="auto" w:sz="6" w:space="0"/>
            </w:tcBorders>
            <w:noWrap/>
            <w:vAlign w:val="center"/>
          </w:tcPr>
          <w:p w14:paraId="229B554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71" w:type="dxa"/>
            <w:tcBorders>
              <w:top w:val="single" w:color="auto" w:sz="6" w:space="0"/>
              <w:left w:val="single" w:color="auto" w:sz="6" w:space="0"/>
              <w:bottom w:val="single" w:color="auto" w:sz="6" w:space="0"/>
              <w:right w:val="single" w:color="auto" w:sz="6" w:space="0"/>
            </w:tcBorders>
            <w:noWrap/>
            <w:vAlign w:val="center"/>
          </w:tcPr>
          <w:p w14:paraId="057264C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181" w:type="dxa"/>
            <w:tcBorders>
              <w:top w:val="single" w:color="auto" w:sz="6" w:space="0"/>
              <w:left w:val="single" w:color="auto" w:sz="6" w:space="0"/>
              <w:bottom w:val="single" w:color="auto" w:sz="6" w:space="0"/>
              <w:right w:val="single" w:color="auto" w:sz="6" w:space="0"/>
            </w:tcBorders>
            <w:noWrap/>
            <w:vAlign w:val="center"/>
          </w:tcPr>
          <w:p w14:paraId="3EB4647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96" w:type="dxa"/>
            <w:tcBorders>
              <w:top w:val="single" w:color="auto" w:sz="6" w:space="0"/>
              <w:left w:val="single" w:color="auto" w:sz="6" w:space="0"/>
              <w:bottom w:val="single" w:color="auto" w:sz="6" w:space="0"/>
              <w:right w:val="single" w:color="auto" w:sz="6" w:space="0"/>
            </w:tcBorders>
            <w:noWrap/>
            <w:vAlign w:val="center"/>
          </w:tcPr>
          <w:p w14:paraId="3148CB1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30" w:type="dxa"/>
            <w:tcBorders>
              <w:top w:val="single" w:color="auto" w:sz="6" w:space="0"/>
              <w:left w:val="single" w:color="auto" w:sz="6" w:space="0"/>
              <w:bottom w:val="single" w:color="auto" w:sz="6" w:space="0"/>
              <w:right w:val="single" w:color="auto" w:sz="8" w:space="0"/>
            </w:tcBorders>
            <w:noWrap/>
            <w:vAlign w:val="center"/>
          </w:tcPr>
          <w:p w14:paraId="0DB3022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71269F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67" w:type="dxa"/>
            <w:tcBorders>
              <w:top w:val="single" w:color="auto" w:sz="6" w:space="0"/>
              <w:left w:val="single" w:color="auto" w:sz="8" w:space="0"/>
              <w:bottom w:val="single" w:color="auto" w:sz="6" w:space="0"/>
              <w:right w:val="single" w:color="auto" w:sz="6" w:space="0"/>
            </w:tcBorders>
            <w:noWrap/>
            <w:vAlign w:val="center"/>
          </w:tcPr>
          <w:p w14:paraId="301BB28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17D9F39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（定额编号）</w:t>
            </w:r>
          </w:p>
        </w:tc>
        <w:tc>
          <w:tcPr>
            <w:tcW w:w="1587" w:type="dxa"/>
            <w:tcBorders>
              <w:top w:val="single" w:color="auto" w:sz="6" w:space="0"/>
              <w:left w:val="single" w:color="auto" w:sz="6" w:space="0"/>
              <w:bottom w:val="single" w:color="auto" w:sz="6" w:space="0"/>
              <w:right w:val="single" w:color="auto" w:sz="6" w:space="0"/>
            </w:tcBorders>
            <w:noWrap/>
            <w:vAlign w:val="center"/>
          </w:tcPr>
          <w:p w14:paraId="725B482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（定额名称）</w:t>
            </w:r>
          </w:p>
        </w:tc>
        <w:tc>
          <w:tcPr>
            <w:tcW w:w="827" w:type="dxa"/>
            <w:tcBorders>
              <w:top w:val="single" w:color="auto" w:sz="6" w:space="0"/>
              <w:left w:val="single" w:color="auto" w:sz="6" w:space="0"/>
              <w:bottom w:val="single" w:color="auto" w:sz="6" w:space="0"/>
              <w:right w:val="single" w:color="auto" w:sz="6" w:space="0"/>
            </w:tcBorders>
            <w:noWrap/>
            <w:vAlign w:val="center"/>
          </w:tcPr>
          <w:p w14:paraId="32DC2DE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00" w:type="dxa"/>
            <w:tcBorders>
              <w:top w:val="single" w:color="auto" w:sz="6" w:space="0"/>
              <w:left w:val="single" w:color="auto" w:sz="6" w:space="0"/>
              <w:bottom w:val="single" w:color="auto" w:sz="6" w:space="0"/>
              <w:right w:val="single" w:color="auto" w:sz="6" w:space="0"/>
            </w:tcBorders>
            <w:noWrap/>
            <w:vAlign w:val="center"/>
          </w:tcPr>
          <w:p w14:paraId="0FFBBB5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68" w:type="dxa"/>
            <w:tcBorders>
              <w:top w:val="single" w:color="auto" w:sz="6" w:space="0"/>
              <w:left w:val="single" w:color="auto" w:sz="6" w:space="0"/>
              <w:bottom w:val="single" w:color="auto" w:sz="6" w:space="0"/>
              <w:right w:val="single" w:color="auto" w:sz="6" w:space="0"/>
            </w:tcBorders>
            <w:noWrap/>
            <w:vAlign w:val="center"/>
          </w:tcPr>
          <w:p w14:paraId="7C774C0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80" w:type="dxa"/>
            <w:tcBorders>
              <w:top w:val="single" w:color="auto" w:sz="6" w:space="0"/>
              <w:left w:val="single" w:color="auto" w:sz="6" w:space="0"/>
              <w:bottom w:val="single" w:color="auto" w:sz="6" w:space="0"/>
              <w:right w:val="single" w:color="auto" w:sz="6" w:space="0"/>
            </w:tcBorders>
            <w:noWrap/>
            <w:vAlign w:val="center"/>
          </w:tcPr>
          <w:p w14:paraId="5713846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44" w:type="dxa"/>
            <w:tcBorders>
              <w:top w:val="single" w:color="auto" w:sz="6" w:space="0"/>
              <w:left w:val="single" w:color="auto" w:sz="6" w:space="0"/>
              <w:bottom w:val="single" w:color="auto" w:sz="6" w:space="0"/>
              <w:right w:val="single" w:color="auto" w:sz="6" w:space="0"/>
            </w:tcBorders>
            <w:noWrap/>
            <w:vAlign w:val="center"/>
          </w:tcPr>
          <w:p w14:paraId="71BFD2B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116" w:type="dxa"/>
            <w:tcBorders>
              <w:top w:val="single" w:color="auto" w:sz="6" w:space="0"/>
              <w:left w:val="single" w:color="auto" w:sz="6" w:space="0"/>
              <w:bottom w:val="single" w:color="auto" w:sz="6" w:space="0"/>
              <w:right w:val="single" w:color="auto" w:sz="6" w:space="0"/>
            </w:tcBorders>
            <w:noWrap/>
            <w:vAlign w:val="center"/>
          </w:tcPr>
          <w:p w14:paraId="0E6F74F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71" w:type="dxa"/>
            <w:tcBorders>
              <w:top w:val="single" w:color="auto" w:sz="6" w:space="0"/>
              <w:left w:val="single" w:color="auto" w:sz="6" w:space="0"/>
              <w:bottom w:val="single" w:color="auto" w:sz="6" w:space="0"/>
              <w:right w:val="single" w:color="auto" w:sz="6" w:space="0"/>
            </w:tcBorders>
            <w:noWrap/>
            <w:vAlign w:val="center"/>
          </w:tcPr>
          <w:p w14:paraId="270CB9C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181" w:type="dxa"/>
            <w:tcBorders>
              <w:top w:val="single" w:color="auto" w:sz="6" w:space="0"/>
              <w:left w:val="single" w:color="auto" w:sz="6" w:space="0"/>
              <w:bottom w:val="single" w:color="auto" w:sz="6" w:space="0"/>
              <w:right w:val="single" w:color="auto" w:sz="6" w:space="0"/>
            </w:tcBorders>
            <w:noWrap/>
            <w:vAlign w:val="center"/>
          </w:tcPr>
          <w:p w14:paraId="78316FC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96" w:type="dxa"/>
            <w:tcBorders>
              <w:top w:val="single" w:color="auto" w:sz="6" w:space="0"/>
              <w:left w:val="single" w:color="auto" w:sz="6" w:space="0"/>
              <w:bottom w:val="single" w:color="auto" w:sz="6" w:space="0"/>
              <w:right w:val="single" w:color="auto" w:sz="6" w:space="0"/>
            </w:tcBorders>
            <w:noWrap/>
            <w:vAlign w:val="center"/>
          </w:tcPr>
          <w:p w14:paraId="4A3DABC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30" w:type="dxa"/>
            <w:tcBorders>
              <w:top w:val="single" w:color="auto" w:sz="6" w:space="0"/>
              <w:left w:val="single" w:color="auto" w:sz="6" w:space="0"/>
              <w:bottom w:val="single" w:color="auto" w:sz="6" w:space="0"/>
              <w:right w:val="single" w:color="auto" w:sz="8" w:space="0"/>
            </w:tcBorders>
            <w:noWrap/>
            <w:vAlign w:val="center"/>
          </w:tcPr>
          <w:p w14:paraId="15ADF64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3A0AA3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467" w:type="dxa"/>
            <w:tcBorders>
              <w:top w:val="single" w:color="auto" w:sz="6" w:space="0"/>
              <w:left w:val="single" w:color="auto" w:sz="8" w:space="0"/>
              <w:bottom w:val="single" w:color="auto" w:sz="6" w:space="0"/>
              <w:right w:val="single" w:color="auto" w:sz="6" w:space="0"/>
            </w:tcBorders>
            <w:noWrap/>
            <w:vAlign w:val="center"/>
          </w:tcPr>
          <w:p w14:paraId="105828A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2489140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w:t>
            </w:r>
          </w:p>
        </w:tc>
        <w:tc>
          <w:tcPr>
            <w:tcW w:w="1587" w:type="dxa"/>
            <w:tcBorders>
              <w:top w:val="single" w:color="auto" w:sz="6" w:space="0"/>
              <w:left w:val="single" w:color="auto" w:sz="6" w:space="0"/>
              <w:bottom w:val="single" w:color="auto" w:sz="6" w:space="0"/>
              <w:right w:val="single" w:color="auto" w:sz="6" w:space="0"/>
            </w:tcBorders>
            <w:noWrap/>
            <w:vAlign w:val="center"/>
          </w:tcPr>
          <w:p w14:paraId="53B632E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w:t>
            </w:r>
          </w:p>
        </w:tc>
        <w:tc>
          <w:tcPr>
            <w:tcW w:w="827" w:type="dxa"/>
            <w:tcBorders>
              <w:top w:val="single" w:color="auto" w:sz="6" w:space="0"/>
              <w:left w:val="single" w:color="auto" w:sz="6" w:space="0"/>
              <w:bottom w:val="single" w:color="auto" w:sz="6" w:space="0"/>
              <w:right w:val="single" w:color="auto" w:sz="6" w:space="0"/>
            </w:tcBorders>
            <w:noWrap/>
            <w:vAlign w:val="center"/>
          </w:tcPr>
          <w:p w14:paraId="543A34D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00" w:type="dxa"/>
            <w:tcBorders>
              <w:top w:val="single" w:color="auto" w:sz="6" w:space="0"/>
              <w:left w:val="single" w:color="auto" w:sz="6" w:space="0"/>
              <w:bottom w:val="single" w:color="auto" w:sz="6" w:space="0"/>
              <w:right w:val="single" w:color="auto" w:sz="6" w:space="0"/>
            </w:tcBorders>
            <w:noWrap/>
            <w:vAlign w:val="center"/>
          </w:tcPr>
          <w:p w14:paraId="52E34CA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68" w:type="dxa"/>
            <w:tcBorders>
              <w:top w:val="single" w:color="auto" w:sz="6" w:space="0"/>
              <w:left w:val="single" w:color="auto" w:sz="6" w:space="0"/>
              <w:bottom w:val="single" w:color="auto" w:sz="6" w:space="0"/>
              <w:right w:val="single" w:color="auto" w:sz="6" w:space="0"/>
            </w:tcBorders>
            <w:noWrap/>
            <w:vAlign w:val="center"/>
          </w:tcPr>
          <w:p w14:paraId="60DBF61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80" w:type="dxa"/>
            <w:tcBorders>
              <w:top w:val="single" w:color="auto" w:sz="6" w:space="0"/>
              <w:left w:val="single" w:color="auto" w:sz="6" w:space="0"/>
              <w:bottom w:val="single" w:color="auto" w:sz="6" w:space="0"/>
              <w:right w:val="single" w:color="auto" w:sz="6" w:space="0"/>
            </w:tcBorders>
            <w:noWrap/>
            <w:vAlign w:val="center"/>
          </w:tcPr>
          <w:p w14:paraId="52C5C2B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044" w:type="dxa"/>
            <w:tcBorders>
              <w:top w:val="single" w:color="auto" w:sz="6" w:space="0"/>
              <w:left w:val="single" w:color="auto" w:sz="6" w:space="0"/>
              <w:bottom w:val="single" w:color="auto" w:sz="6" w:space="0"/>
              <w:right w:val="single" w:color="auto" w:sz="6" w:space="0"/>
            </w:tcBorders>
            <w:noWrap/>
            <w:vAlign w:val="center"/>
          </w:tcPr>
          <w:p w14:paraId="279CB22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116" w:type="dxa"/>
            <w:tcBorders>
              <w:top w:val="single" w:color="auto" w:sz="6" w:space="0"/>
              <w:left w:val="single" w:color="auto" w:sz="6" w:space="0"/>
              <w:bottom w:val="single" w:color="auto" w:sz="6" w:space="0"/>
              <w:right w:val="single" w:color="auto" w:sz="6" w:space="0"/>
            </w:tcBorders>
            <w:noWrap/>
            <w:vAlign w:val="center"/>
          </w:tcPr>
          <w:p w14:paraId="78E65F9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71" w:type="dxa"/>
            <w:tcBorders>
              <w:top w:val="single" w:color="auto" w:sz="6" w:space="0"/>
              <w:left w:val="single" w:color="auto" w:sz="6" w:space="0"/>
              <w:bottom w:val="single" w:color="auto" w:sz="6" w:space="0"/>
              <w:right w:val="single" w:color="auto" w:sz="6" w:space="0"/>
            </w:tcBorders>
            <w:noWrap/>
            <w:vAlign w:val="center"/>
          </w:tcPr>
          <w:p w14:paraId="346AE19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181" w:type="dxa"/>
            <w:tcBorders>
              <w:top w:val="single" w:color="auto" w:sz="6" w:space="0"/>
              <w:left w:val="single" w:color="auto" w:sz="6" w:space="0"/>
              <w:bottom w:val="single" w:color="auto" w:sz="6" w:space="0"/>
              <w:right w:val="single" w:color="auto" w:sz="6" w:space="0"/>
            </w:tcBorders>
            <w:noWrap/>
            <w:vAlign w:val="center"/>
          </w:tcPr>
          <w:p w14:paraId="4955500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96" w:type="dxa"/>
            <w:tcBorders>
              <w:top w:val="single" w:color="auto" w:sz="6" w:space="0"/>
              <w:left w:val="single" w:color="auto" w:sz="6" w:space="0"/>
              <w:bottom w:val="single" w:color="auto" w:sz="6" w:space="0"/>
              <w:right w:val="single" w:color="auto" w:sz="6" w:space="0"/>
            </w:tcBorders>
            <w:noWrap/>
            <w:vAlign w:val="center"/>
          </w:tcPr>
          <w:p w14:paraId="7C1E593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30" w:type="dxa"/>
            <w:tcBorders>
              <w:top w:val="single" w:color="auto" w:sz="6" w:space="0"/>
              <w:left w:val="single" w:color="auto" w:sz="6" w:space="0"/>
              <w:bottom w:val="single" w:color="auto" w:sz="6" w:space="0"/>
              <w:right w:val="single" w:color="auto" w:sz="8" w:space="0"/>
            </w:tcBorders>
            <w:noWrap/>
            <w:vAlign w:val="center"/>
          </w:tcPr>
          <w:p w14:paraId="3C21548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52B0E5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12703" w:type="dxa"/>
            <w:gridSpan w:val="12"/>
            <w:tcBorders>
              <w:top w:val="single" w:color="auto" w:sz="6" w:space="0"/>
              <w:left w:val="single" w:color="auto" w:sz="8" w:space="0"/>
              <w:bottom w:val="single" w:color="auto" w:sz="8" w:space="0"/>
              <w:right w:val="single" w:color="auto" w:sz="6" w:space="0"/>
            </w:tcBorders>
            <w:noWrap/>
            <w:vAlign w:val="center"/>
          </w:tcPr>
          <w:p w14:paraId="208FA2F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合  计：</w:t>
            </w:r>
          </w:p>
        </w:tc>
        <w:tc>
          <w:tcPr>
            <w:tcW w:w="1230" w:type="dxa"/>
            <w:tcBorders>
              <w:top w:val="single" w:color="auto" w:sz="6" w:space="0"/>
              <w:left w:val="single" w:color="auto" w:sz="6" w:space="0"/>
              <w:bottom w:val="single" w:color="auto" w:sz="8" w:space="0"/>
              <w:right w:val="single" w:color="auto" w:sz="8" w:space="0"/>
            </w:tcBorders>
            <w:noWrap/>
            <w:vAlign w:val="center"/>
          </w:tcPr>
          <w:p w14:paraId="7AE9031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bl>
    <w:p w14:paraId="0DE35A91">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r>
        <w:rPr>
          <w:rFonts w:hint="eastAsia" w:ascii="宋体" w:hAnsi="宋体" w:cs="仿宋"/>
          <w:color w:val="auto"/>
          <w:highlight w:val="none"/>
        </w:rPr>
        <w:t>注：  表（1）、（2）栏中清单编号和措施项目清单名称由招标人按需要提出。</w:t>
      </w:r>
    </w:p>
    <w:p w14:paraId="760CC6A7">
      <w:pPr>
        <w:pStyle w:val="862"/>
        <w:keepNext w:val="0"/>
        <w:keepLines w:val="0"/>
        <w:pageBreakBefore w:val="0"/>
        <w:kinsoku/>
        <w:overflowPunct/>
        <w:topLinePunct w:val="0"/>
        <w:autoSpaceDE/>
        <w:autoSpaceDN/>
        <w:bidi w:val="0"/>
        <w:ind w:firstLine="480"/>
        <w:textAlignment w:val="auto"/>
        <w:outlineLvl w:val="9"/>
        <w:rPr>
          <w:color w:val="auto"/>
          <w:highlight w:val="none"/>
        </w:rPr>
      </w:pPr>
    </w:p>
    <w:p w14:paraId="439B8684">
      <w:pPr>
        <w:keepNext w:val="0"/>
        <w:keepLines w:val="0"/>
        <w:pageBreakBefore w:val="0"/>
        <w:kinsoku/>
        <w:overflowPunct/>
        <w:topLinePunct w:val="0"/>
        <w:autoSpaceDE/>
        <w:autoSpaceDN/>
        <w:bidi w:val="0"/>
        <w:ind w:firstLine="480"/>
        <w:textAlignment w:val="auto"/>
        <w:outlineLvl w:val="9"/>
        <w:rPr>
          <w:color w:val="auto"/>
          <w:highlight w:val="none"/>
        </w:rPr>
        <w:sectPr>
          <w:pgSz w:w="16838" w:h="11905" w:orient="landscape"/>
          <w:pgMar w:top="1417" w:right="1417" w:bottom="1417" w:left="1417" w:header="850" w:footer="992" w:gutter="0"/>
          <w:cols w:space="0" w:num="1"/>
          <w:titlePg/>
          <w:rtlGutter w:val="0"/>
          <w:docGrid w:linePitch="312" w:charSpace="0"/>
        </w:sectPr>
      </w:pPr>
    </w:p>
    <w:p w14:paraId="3F568E61">
      <w:pPr>
        <w:keepNext w:val="0"/>
        <w:keepLines w:val="0"/>
        <w:pageBreakBefore w:val="0"/>
        <w:kinsoku/>
        <w:wordWrap w:val="0"/>
        <w:overflowPunct/>
        <w:topLinePunct w:val="0"/>
        <w:autoSpaceDE/>
        <w:autoSpaceDN/>
        <w:bidi w:val="0"/>
        <w:jc w:val="center"/>
        <w:textAlignment w:val="auto"/>
        <w:outlineLvl w:val="9"/>
        <w:rPr>
          <w:rFonts w:ascii="宋体" w:hAnsi="宋体" w:cs="仿宋"/>
          <w:b/>
          <w:bCs/>
          <w:color w:val="auto"/>
          <w:sz w:val="32"/>
          <w:szCs w:val="28"/>
          <w:highlight w:val="none"/>
        </w:rPr>
      </w:pPr>
      <w:r>
        <w:rPr>
          <w:rFonts w:hint="eastAsia" w:ascii="宋体" w:hAnsi="宋体" w:cs="仿宋"/>
          <w:b/>
          <w:bCs/>
          <w:color w:val="auto"/>
          <w:sz w:val="32"/>
          <w:szCs w:val="28"/>
          <w:highlight w:val="none"/>
        </w:rPr>
        <w:t>表2-3  综合单价工料机分析表</w:t>
      </w:r>
    </w:p>
    <w:p w14:paraId="4B17548B">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项目编码：                                                   计量单位：</w:t>
      </w:r>
    </w:p>
    <w:p w14:paraId="75C8EF56">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项目名称：                                                第   页共  页</w:t>
      </w:r>
    </w:p>
    <w:tbl>
      <w:tblPr>
        <w:tblStyle w:val="62"/>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14:paraId="3E74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9" w:hRule="atLeast"/>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14:paraId="2737B78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50D9F3E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名称及规格</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4A7029A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单位</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6205EF2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数量</w:t>
            </w:r>
          </w:p>
        </w:tc>
        <w:tc>
          <w:tcPr>
            <w:tcW w:w="3060" w:type="dxa"/>
            <w:gridSpan w:val="2"/>
            <w:tcBorders>
              <w:top w:val="single" w:color="auto" w:sz="4" w:space="0"/>
              <w:left w:val="single" w:color="auto" w:sz="4" w:space="0"/>
              <w:bottom w:val="single" w:color="auto" w:sz="4" w:space="0"/>
              <w:right w:val="single" w:color="auto" w:sz="4" w:space="0"/>
            </w:tcBorders>
            <w:noWrap/>
            <w:vAlign w:val="center"/>
          </w:tcPr>
          <w:p w14:paraId="5A4E0B3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金额(元)</w:t>
            </w:r>
          </w:p>
        </w:tc>
      </w:tr>
      <w:tr w14:paraId="6296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14:paraId="2E01B5B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216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3602E4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ign w:val="center"/>
          </w:tcPr>
          <w:p w14:paraId="5426B85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vMerge w:val="continue"/>
            <w:tcBorders>
              <w:top w:val="single" w:color="auto" w:sz="4" w:space="0"/>
              <w:left w:val="single" w:color="auto" w:sz="4" w:space="0"/>
              <w:bottom w:val="single" w:color="auto" w:sz="4" w:space="0"/>
              <w:right w:val="single" w:color="auto" w:sz="4" w:space="0"/>
            </w:tcBorders>
            <w:noWrap/>
            <w:vAlign w:val="center"/>
          </w:tcPr>
          <w:p w14:paraId="2316274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7033D1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单价</w:t>
            </w:r>
          </w:p>
        </w:tc>
        <w:tc>
          <w:tcPr>
            <w:tcW w:w="1620" w:type="dxa"/>
            <w:tcBorders>
              <w:top w:val="single" w:color="auto" w:sz="4" w:space="0"/>
              <w:left w:val="single" w:color="auto" w:sz="4" w:space="0"/>
              <w:bottom w:val="single" w:color="auto" w:sz="4" w:space="0"/>
              <w:right w:val="single" w:color="auto" w:sz="4" w:space="0"/>
            </w:tcBorders>
            <w:noWrap/>
            <w:vAlign w:val="center"/>
          </w:tcPr>
          <w:p w14:paraId="6ADA1C7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合价</w:t>
            </w:r>
          </w:p>
        </w:tc>
      </w:tr>
      <w:tr w14:paraId="6209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noWrap/>
          </w:tcPr>
          <w:p w14:paraId="5329A35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0" w:type="dxa"/>
            <w:vMerge w:val="restart"/>
            <w:tcBorders>
              <w:top w:val="single" w:color="auto" w:sz="4" w:space="0"/>
              <w:left w:val="single" w:color="auto" w:sz="4" w:space="0"/>
              <w:bottom w:val="single" w:color="auto" w:sz="4" w:space="0"/>
              <w:right w:val="single" w:color="auto" w:sz="4" w:space="0"/>
            </w:tcBorders>
            <w:noWrap/>
            <w:vAlign w:val="center"/>
          </w:tcPr>
          <w:p w14:paraId="02D41F5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人工</w:t>
            </w:r>
          </w:p>
        </w:tc>
        <w:tc>
          <w:tcPr>
            <w:tcW w:w="1260" w:type="dxa"/>
            <w:tcBorders>
              <w:top w:val="single" w:color="auto" w:sz="4" w:space="0"/>
              <w:left w:val="single" w:color="auto" w:sz="4" w:space="0"/>
              <w:bottom w:val="single" w:color="auto" w:sz="4" w:space="0"/>
              <w:right w:val="single" w:color="auto" w:sz="4" w:space="0"/>
            </w:tcBorders>
            <w:noWrap/>
            <w:vAlign w:val="center"/>
          </w:tcPr>
          <w:p w14:paraId="277C081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一类</w:t>
            </w:r>
          </w:p>
        </w:tc>
        <w:tc>
          <w:tcPr>
            <w:tcW w:w="1260" w:type="dxa"/>
            <w:tcBorders>
              <w:top w:val="single" w:color="auto" w:sz="4" w:space="0"/>
              <w:left w:val="single" w:color="auto" w:sz="4" w:space="0"/>
              <w:bottom w:val="single" w:color="auto" w:sz="4" w:space="0"/>
              <w:right w:val="single" w:color="auto" w:sz="4" w:space="0"/>
            </w:tcBorders>
            <w:noWrap/>
            <w:vAlign w:val="center"/>
          </w:tcPr>
          <w:p w14:paraId="2D1274D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noWrap/>
          </w:tcPr>
          <w:p w14:paraId="3B83D46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546D911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30430C4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032A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tcPr>
          <w:p w14:paraId="5960171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14:paraId="6C58958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F73A77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二类</w:t>
            </w:r>
          </w:p>
        </w:tc>
        <w:tc>
          <w:tcPr>
            <w:tcW w:w="1260" w:type="dxa"/>
            <w:tcBorders>
              <w:top w:val="single" w:color="auto" w:sz="4" w:space="0"/>
              <w:left w:val="single" w:color="auto" w:sz="4" w:space="0"/>
              <w:bottom w:val="single" w:color="auto" w:sz="4" w:space="0"/>
              <w:right w:val="single" w:color="auto" w:sz="4" w:space="0"/>
            </w:tcBorders>
            <w:noWrap/>
            <w:vAlign w:val="center"/>
          </w:tcPr>
          <w:p w14:paraId="1BDD36F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noWrap/>
          </w:tcPr>
          <w:p w14:paraId="73E3913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20B0134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1A3EF36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660E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tcPr>
          <w:p w14:paraId="0F0AA53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14:paraId="18B7B56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743A88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三类</w:t>
            </w:r>
          </w:p>
        </w:tc>
        <w:tc>
          <w:tcPr>
            <w:tcW w:w="1260" w:type="dxa"/>
            <w:tcBorders>
              <w:top w:val="single" w:color="auto" w:sz="4" w:space="0"/>
              <w:left w:val="single" w:color="auto" w:sz="4" w:space="0"/>
              <w:bottom w:val="single" w:color="auto" w:sz="4" w:space="0"/>
              <w:right w:val="single" w:color="auto" w:sz="4" w:space="0"/>
            </w:tcBorders>
            <w:noWrap/>
            <w:vAlign w:val="center"/>
          </w:tcPr>
          <w:p w14:paraId="01EBEEF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noWrap/>
          </w:tcPr>
          <w:p w14:paraId="570F804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2E3FAA9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60EE5CF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3B38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ign w:val="center"/>
          </w:tcPr>
          <w:p w14:paraId="333DA2A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448C94E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人工费小计</w:t>
            </w:r>
          </w:p>
        </w:tc>
        <w:tc>
          <w:tcPr>
            <w:tcW w:w="1620" w:type="dxa"/>
            <w:tcBorders>
              <w:top w:val="single" w:color="auto" w:sz="4" w:space="0"/>
              <w:left w:val="single" w:color="auto" w:sz="4" w:space="0"/>
              <w:bottom w:val="single" w:color="auto" w:sz="4" w:space="0"/>
              <w:right w:val="single" w:color="auto" w:sz="4" w:space="0"/>
            </w:tcBorders>
            <w:noWrap/>
          </w:tcPr>
          <w:p w14:paraId="5EE8DD4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1172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noWrap/>
          </w:tcPr>
          <w:p w14:paraId="0016124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0" w:type="dxa"/>
            <w:vMerge w:val="restart"/>
            <w:tcBorders>
              <w:top w:val="single" w:color="auto" w:sz="4" w:space="0"/>
              <w:left w:val="single" w:color="auto" w:sz="4" w:space="0"/>
              <w:bottom w:val="single" w:color="auto" w:sz="4" w:space="0"/>
              <w:right w:val="single" w:color="auto" w:sz="4" w:space="0"/>
            </w:tcBorders>
            <w:noWrap/>
            <w:vAlign w:val="center"/>
          </w:tcPr>
          <w:p w14:paraId="55CA5FD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主要</w:t>
            </w:r>
          </w:p>
          <w:p w14:paraId="51A5E51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材料</w:t>
            </w:r>
          </w:p>
        </w:tc>
        <w:tc>
          <w:tcPr>
            <w:tcW w:w="1260" w:type="dxa"/>
            <w:tcBorders>
              <w:top w:val="single" w:color="auto" w:sz="4" w:space="0"/>
              <w:left w:val="single" w:color="auto" w:sz="4" w:space="0"/>
              <w:bottom w:val="single" w:color="auto" w:sz="4" w:space="0"/>
              <w:right w:val="single" w:color="auto" w:sz="4" w:space="0"/>
            </w:tcBorders>
            <w:noWrap/>
          </w:tcPr>
          <w:p w14:paraId="0C114E5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F70AC5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2178192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23C0733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760E933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0230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tcPr>
          <w:p w14:paraId="4348952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14:paraId="644AF38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652A90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470626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04103E6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4F7876D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77C10CB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1200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tcPr>
          <w:p w14:paraId="60B2C3E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14:paraId="5B0C93C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892C54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A8C73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25E3B7D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7B8B80A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4381FBA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2DB0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tcPr>
          <w:p w14:paraId="240616E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12C66BE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其他材料费</w:t>
            </w:r>
          </w:p>
        </w:tc>
        <w:tc>
          <w:tcPr>
            <w:tcW w:w="1620" w:type="dxa"/>
            <w:tcBorders>
              <w:top w:val="single" w:color="auto" w:sz="4" w:space="0"/>
              <w:left w:val="single" w:color="auto" w:sz="4" w:space="0"/>
              <w:bottom w:val="single" w:color="auto" w:sz="4" w:space="0"/>
              <w:right w:val="single" w:color="auto" w:sz="4" w:space="0"/>
            </w:tcBorders>
            <w:noWrap/>
          </w:tcPr>
          <w:p w14:paraId="11DBD3B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2179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ign w:val="center"/>
          </w:tcPr>
          <w:p w14:paraId="231581A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7121D98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材料费小计</w:t>
            </w:r>
          </w:p>
        </w:tc>
        <w:tc>
          <w:tcPr>
            <w:tcW w:w="1620" w:type="dxa"/>
            <w:tcBorders>
              <w:top w:val="single" w:color="auto" w:sz="4" w:space="0"/>
              <w:left w:val="single" w:color="auto" w:sz="4" w:space="0"/>
              <w:bottom w:val="single" w:color="auto" w:sz="4" w:space="0"/>
              <w:right w:val="single" w:color="auto" w:sz="4" w:space="0"/>
            </w:tcBorders>
            <w:noWrap/>
          </w:tcPr>
          <w:p w14:paraId="4F5B62E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328A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14:paraId="4DD5BFA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0" w:type="dxa"/>
            <w:vMerge w:val="restart"/>
            <w:tcBorders>
              <w:top w:val="single" w:color="auto" w:sz="4" w:space="0"/>
              <w:left w:val="single" w:color="auto" w:sz="4" w:space="0"/>
              <w:bottom w:val="single" w:color="auto" w:sz="4" w:space="0"/>
              <w:right w:val="single" w:color="auto" w:sz="4" w:space="0"/>
            </w:tcBorders>
            <w:noWrap/>
            <w:vAlign w:val="center"/>
          </w:tcPr>
          <w:p w14:paraId="4C919E6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主要</w:t>
            </w:r>
          </w:p>
          <w:p w14:paraId="079921B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机械</w:t>
            </w:r>
          </w:p>
        </w:tc>
        <w:tc>
          <w:tcPr>
            <w:tcW w:w="1260" w:type="dxa"/>
            <w:tcBorders>
              <w:top w:val="single" w:color="auto" w:sz="4" w:space="0"/>
              <w:left w:val="single" w:color="auto" w:sz="4" w:space="0"/>
              <w:bottom w:val="single" w:color="auto" w:sz="4" w:space="0"/>
              <w:right w:val="single" w:color="auto" w:sz="4" w:space="0"/>
            </w:tcBorders>
            <w:noWrap/>
            <w:vAlign w:val="center"/>
          </w:tcPr>
          <w:p w14:paraId="4625C61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7FBB055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3B1184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26AA15F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67DFE52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610A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14:paraId="2B57704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14:paraId="6D5A4A9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9AFABC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661DF17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3935F91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28F52B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7EA3956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2030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14:paraId="1BAE89A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14:paraId="3AFE720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493EFFB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6AC1BB7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23E0780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2A521F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tcPr>
          <w:p w14:paraId="43C4A9B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2A21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14:paraId="348AB02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33287D6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其他机械费</w:t>
            </w:r>
          </w:p>
        </w:tc>
        <w:tc>
          <w:tcPr>
            <w:tcW w:w="1620" w:type="dxa"/>
            <w:tcBorders>
              <w:top w:val="single" w:color="auto" w:sz="4" w:space="0"/>
              <w:left w:val="single" w:color="auto" w:sz="4" w:space="0"/>
              <w:bottom w:val="single" w:color="auto" w:sz="4" w:space="0"/>
              <w:right w:val="single" w:color="auto" w:sz="4" w:space="0"/>
            </w:tcBorders>
            <w:noWrap/>
          </w:tcPr>
          <w:p w14:paraId="7E41A86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7330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ign w:val="center"/>
          </w:tcPr>
          <w:p w14:paraId="26C7F73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3</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6FB72A9C">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机械费小计</w:t>
            </w:r>
          </w:p>
        </w:tc>
        <w:tc>
          <w:tcPr>
            <w:tcW w:w="1620" w:type="dxa"/>
            <w:tcBorders>
              <w:top w:val="single" w:color="auto" w:sz="4" w:space="0"/>
              <w:left w:val="single" w:color="auto" w:sz="4" w:space="0"/>
              <w:bottom w:val="single" w:color="auto" w:sz="4" w:space="0"/>
              <w:right w:val="single" w:color="auto" w:sz="4" w:space="0"/>
            </w:tcBorders>
            <w:noWrap/>
          </w:tcPr>
          <w:p w14:paraId="76F6584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645DF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ign w:val="center"/>
          </w:tcPr>
          <w:p w14:paraId="1D6E259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4</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24D7DFFA">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直接工程费(1+2+3)</w:t>
            </w:r>
          </w:p>
        </w:tc>
        <w:tc>
          <w:tcPr>
            <w:tcW w:w="1620" w:type="dxa"/>
            <w:tcBorders>
              <w:top w:val="single" w:color="auto" w:sz="4" w:space="0"/>
              <w:left w:val="single" w:color="auto" w:sz="4" w:space="0"/>
              <w:bottom w:val="single" w:color="auto" w:sz="4" w:space="0"/>
              <w:right w:val="single" w:color="auto" w:sz="4" w:space="0"/>
            </w:tcBorders>
            <w:noWrap/>
          </w:tcPr>
          <w:p w14:paraId="6A38586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10CE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ign w:val="center"/>
          </w:tcPr>
          <w:p w14:paraId="092B5A8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5</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0F809759">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管理费</w:t>
            </w:r>
          </w:p>
        </w:tc>
        <w:tc>
          <w:tcPr>
            <w:tcW w:w="1620" w:type="dxa"/>
            <w:tcBorders>
              <w:top w:val="single" w:color="auto" w:sz="4" w:space="0"/>
              <w:left w:val="single" w:color="auto" w:sz="4" w:space="0"/>
              <w:bottom w:val="single" w:color="auto" w:sz="4" w:space="0"/>
              <w:right w:val="single" w:color="auto" w:sz="4" w:space="0"/>
            </w:tcBorders>
            <w:noWrap/>
          </w:tcPr>
          <w:p w14:paraId="77064D2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08E8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ign w:val="center"/>
          </w:tcPr>
          <w:p w14:paraId="502A25B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6</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19645329">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利润</w:t>
            </w:r>
          </w:p>
        </w:tc>
        <w:tc>
          <w:tcPr>
            <w:tcW w:w="1620" w:type="dxa"/>
            <w:tcBorders>
              <w:top w:val="single" w:color="auto" w:sz="4" w:space="0"/>
              <w:left w:val="single" w:color="auto" w:sz="4" w:space="0"/>
              <w:bottom w:val="single" w:color="auto" w:sz="4" w:space="0"/>
              <w:right w:val="single" w:color="auto" w:sz="4" w:space="0"/>
            </w:tcBorders>
            <w:noWrap/>
          </w:tcPr>
          <w:p w14:paraId="74707D6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0950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ign w:val="center"/>
          </w:tcPr>
          <w:p w14:paraId="392E071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7</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536D002F">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风险费用</w:t>
            </w:r>
          </w:p>
        </w:tc>
        <w:tc>
          <w:tcPr>
            <w:tcW w:w="1620" w:type="dxa"/>
            <w:tcBorders>
              <w:top w:val="single" w:color="auto" w:sz="4" w:space="0"/>
              <w:left w:val="single" w:color="auto" w:sz="4" w:space="0"/>
              <w:bottom w:val="single" w:color="auto" w:sz="4" w:space="0"/>
              <w:right w:val="single" w:color="auto" w:sz="4" w:space="0"/>
            </w:tcBorders>
            <w:noWrap/>
          </w:tcPr>
          <w:p w14:paraId="4D5C7BA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7A70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noWrap/>
            <w:vAlign w:val="center"/>
          </w:tcPr>
          <w:p w14:paraId="320DFF1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8</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2911B02D">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综合单价（4+5+6+7）</w:t>
            </w:r>
          </w:p>
        </w:tc>
        <w:tc>
          <w:tcPr>
            <w:tcW w:w="1620" w:type="dxa"/>
            <w:tcBorders>
              <w:top w:val="single" w:color="auto" w:sz="4" w:space="0"/>
              <w:left w:val="single" w:color="auto" w:sz="4" w:space="0"/>
              <w:bottom w:val="single" w:color="auto" w:sz="4" w:space="0"/>
              <w:right w:val="single" w:color="auto" w:sz="4" w:space="0"/>
            </w:tcBorders>
            <w:noWrap/>
          </w:tcPr>
          <w:p w14:paraId="7CA5ACB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bl>
    <w:p w14:paraId="7827BA41">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r>
        <w:rPr>
          <w:rFonts w:hint="eastAsia" w:ascii="宋体" w:hAnsi="宋体" w:cs="仿宋"/>
          <w:color w:val="auto"/>
          <w:highlight w:val="none"/>
        </w:rPr>
        <w:t>注：本表由招标人按需要提出</w:t>
      </w:r>
    </w:p>
    <w:p w14:paraId="7105693F">
      <w:pPr>
        <w:keepNext w:val="0"/>
        <w:keepLines w:val="0"/>
        <w:pageBreakBefore w:val="0"/>
        <w:kinsoku/>
        <w:overflowPunct/>
        <w:topLinePunct w:val="0"/>
        <w:autoSpaceDE/>
        <w:autoSpaceDN/>
        <w:bidi w:val="0"/>
        <w:ind w:firstLine="480"/>
        <w:textAlignment w:val="auto"/>
        <w:outlineLvl w:val="9"/>
        <w:rPr>
          <w:color w:val="auto"/>
          <w:highlight w:val="none"/>
        </w:rPr>
        <w:sectPr>
          <w:pgSz w:w="11905" w:h="16838"/>
          <w:pgMar w:top="1417" w:right="1417" w:bottom="1417" w:left="1417" w:header="850" w:footer="992" w:gutter="0"/>
          <w:cols w:space="0" w:num="1"/>
          <w:titlePg/>
          <w:rtlGutter w:val="0"/>
          <w:docGrid w:linePitch="312" w:charSpace="0"/>
        </w:sectPr>
      </w:pPr>
    </w:p>
    <w:p w14:paraId="3D02B7A1">
      <w:pPr>
        <w:keepNext w:val="0"/>
        <w:keepLines w:val="0"/>
        <w:pageBreakBefore w:val="0"/>
        <w:kinsoku/>
        <w:wordWrap w:val="0"/>
        <w:overflowPunct/>
        <w:topLinePunct w:val="0"/>
        <w:autoSpaceDE/>
        <w:autoSpaceDN/>
        <w:bidi w:val="0"/>
        <w:jc w:val="center"/>
        <w:textAlignment w:val="auto"/>
        <w:outlineLvl w:val="9"/>
        <w:rPr>
          <w:rFonts w:cs="仿宋"/>
          <w:b/>
          <w:bCs/>
          <w:color w:val="auto"/>
          <w:sz w:val="32"/>
          <w:szCs w:val="28"/>
          <w:highlight w:val="none"/>
        </w:rPr>
      </w:pPr>
      <w:r>
        <w:rPr>
          <w:rFonts w:hint="eastAsia" w:ascii="宋体" w:hAnsi="宋体" w:cs="仿宋"/>
          <w:b/>
          <w:bCs/>
          <w:color w:val="auto"/>
          <w:sz w:val="32"/>
          <w:szCs w:val="28"/>
          <w:highlight w:val="none"/>
        </w:rPr>
        <w:t>表2-4  措施项目工料机分析表</w:t>
      </w:r>
    </w:p>
    <w:p w14:paraId="714520B0">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r>
        <w:rPr>
          <w:rFonts w:hint="eastAsia" w:ascii="宋体" w:hAnsi="宋体" w:cs="仿宋"/>
          <w:color w:val="auto"/>
          <w:highlight w:val="none"/>
        </w:rPr>
        <w:t>项目编码：                                             计量单位：</w:t>
      </w:r>
    </w:p>
    <w:p w14:paraId="38F3F20F">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r>
        <w:rPr>
          <w:rFonts w:hint="eastAsia" w:ascii="宋体" w:hAnsi="宋体" w:cs="仿宋"/>
          <w:color w:val="auto"/>
          <w:highlight w:val="none"/>
        </w:rPr>
        <w:t>项目名称：                                             第   页 共  页</w:t>
      </w:r>
    </w:p>
    <w:tbl>
      <w:tblPr>
        <w:tblStyle w:val="62"/>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14:paraId="4E5F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14:paraId="49A93DE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515587E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名称及规格</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575B006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单位</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1AEDEA6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数量</w:t>
            </w:r>
          </w:p>
        </w:tc>
        <w:tc>
          <w:tcPr>
            <w:tcW w:w="3060" w:type="dxa"/>
            <w:gridSpan w:val="2"/>
            <w:tcBorders>
              <w:top w:val="single" w:color="auto" w:sz="4" w:space="0"/>
              <w:left w:val="single" w:color="auto" w:sz="4" w:space="0"/>
              <w:bottom w:val="single" w:color="auto" w:sz="4" w:space="0"/>
              <w:right w:val="single" w:color="auto" w:sz="4" w:space="0"/>
            </w:tcBorders>
            <w:noWrap/>
            <w:vAlign w:val="center"/>
          </w:tcPr>
          <w:p w14:paraId="38DDEE7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金额(元)</w:t>
            </w:r>
          </w:p>
        </w:tc>
      </w:tr>
      <w:tr w14:paraId="112D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14:paraId="2AEFA0E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216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F11710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ign w:val="center"/>
          </w:tcPr>
          <w:p w14:paraId="6219FFE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vMerge w:val="continue"/>
            <w:tcBorders>
              <w:top w:val="single" w:color="auto" w:sz="4" w:space="0"/>
              <w:left w:val="single" w:color="auto" w:sz="4" w:space="0"/>
              <w:bottom w:val="single" w:color="auto" w:sz="4" w:space="0"/>
              <w:right w:val="single" w:color="auto" w:sz="4" w:space="0"/>
            </w:tcBorders>
            <w:noWrap/>
            <w:vAlign w:val="center"/>
          </w:tcPr>
          <w:p w14:paraId="222CDE0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7482CAB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单价</w:t>
            </w:r>
          </w:p>
        </w:tc>
        <w:tc>
          <w:tcPr>
            <w:tcW w:w="1620" w:type="dxa"/>
            <w:tcBorders>
              <w:top w:val="single" w:color="auto" w:sz="4" w:space="0"/>
              <w:left w:val="single" w:color="auto" w:sz="4" w:space="0"/>
              <w:bottom w:val="single" w:color="auto" w:sz="4" w:space="0"/>
              <w:right w:val="single" w:color="auto" w:sz="4" w:space="0"/>
            </w:tcBorders>
            <w:noWrap/>
            <w:vAlign w:val="center"/>
          </w:tcPr>
          <w:p w14:paraId="548BA85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合价</w:t>
            </w:r>
          </w:p>
        </w:tc>
      </w:tr>
      <w:tr w14:paraId="0D4B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14:paraId="073803F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0" w:type="dxa"/>
            <w:vMerge w:val="restart"/>
            <w:tcBorders>
              <w:top w:val="single" w:color="auto" w:sz="4" w:space="0"/>
              <w:left w:val="single" w:color="auto" w:sz="4" w:space="0"/>
              <w:bottom w:val="single" w:color="auto" w:sz="4" w:space="0"/>
              <w:right w:val="single" w:color="auto" w:sz="4" w:space="0"/>
            </w:tcBorders>
            <w:noWrap/>
            <w:vAlign w:val="center"/>
          </w:tcPr>
          <w:p w14:paraId="0293834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人工</w:t>
            </w:r>
          </w:p>
        </w:tc>
        <w:tc>
          <w:tcPr>
            <w:tcW w:w="1260" w:type="dxa"/>
            <w:tcBorders>
              <w:top w:val="single" w:color="auto" w:sz="4" w:space="0"/>
              <w:left w:val="single" w:color="auto" w:sz="4" w:space="0"/>
              <w:bottom w:val="single" w:color="auto" w:sz="4" w:space="0"/>
              <w:right w:val="single" w:color="auto" w:sz="4" w:space="0"/>
            </w:tcBorders>
            <w:noWrap/>
            <w:vAlign w:val="center"/>
          </w:tcPr>
          <w:p w14:paraId="2538B18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一类</w:t>
            </w:r>
          </w:p>
        </w:tc>
        <w:tc>
          <w:tcPr>
            <w:tcW w:w="1260" w:type="dxa"/>
            <w:tcBorders>
              <w:top w:val="single" w:color="auto" w:sz="4" w:space="0"/>
              <w:left w:val="single" w:color="auto" w:sz="4" w:space="0"/>
              <w:bottom w:val="single" w:color="auto" w:sz="4" w:space="0"/>
              <w:right w:val="single" w:color="auto" w:sz="4" w:space="0"/>
            </w:tcBorders>
            <w:noWrap/>
            <w:vAlign w:val="center"/>
          </w:tcPr>
          <w:p w14:paraId="6E59731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noWrap/>
            <w:vAlign w:val="center"/>
          </w:tcPr>
          <w:p w14:paraId="112D90C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3244C31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6914738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6588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14:paraId="77D7093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14:paraId="5D826EB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02E522C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二类</w:t>
            </w:r>
          </w:p>
        </w:tc>
        <w:tc>
          <w:tcPr>
            <w:tcW w:w="1260" w:type="dxa"/>
            <w:tcBorders>
              <w:top w:val="single" w:color="auto" w:sz="4" w:space="0"/>
              <w:left w:val="single" w:color="auto" w:sz="4" w:space="0"/>
              <w:bottom w:val="single" w:color="auto" w:sz="4" w:space="0"/>
              <w:right w:val="single" w:color="auto" w:sz="4" w:space="0"/>
            </w:tcBorders>
            <w:noWrap/>
            <w:vAlign w:val="center"/>
          </w:tcPr>
          <w:p w14:paraId="07D312A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noWrap/>
            <w:vAlign w:val="center"/>
          </w:tcPr>
          <w:p w14:paraId="4EEE7FE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528FE38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0CB8A8A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0F86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14:paraId="3304C7D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14:paraId="5FF0953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2C4159C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三类</w:t>
            </w:r>
          </w:p>
        </w:tc>
        <w:tc>
          <w:tcPr>
            <w:tcW w:w="1260" w:type="dxa"/>
            <w:tcBorders>
              <w:top w:val="single" w:color="auto" w:sz="4" w:space="0"/>
              <w:left w:val="single" w:color="auto" w:sz="4" w:space="0"/>
              <w:bottom w:val="single" w:color="auto" w:sz="4" w:space="0"/>
              <w:right w:val="single" w:color="auto" w:sz="4" w:space="0"/>
            </w:tcBorders>
            <w:noWrap/>
            <w:vAlign w:val="center"/>
          </w:tcPr>
          <w:p w14:paraId="1AE444B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noWrap/>
            <w:vAlign w:val="center"/>
          </w:tcPr>
          <w:p w14:paraId="1B51BCB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87BD24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22B0E1C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7828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53D6468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1</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2A46E30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人工费小计</w:t>
            </w:r>
          </w:p>
        </w:tc>
        <w:tc>
          <w:tcPr>
            <w:tcW w:w="1620" w:type="dxa"/>
            <w:tcBorders>
              <w:top w:val="single" w:color="auto" w:sz="4" w:space="0"/>
              <w:left w:val="single" w:color="auto" w:sz="4" w:space="0"/>
              <w:bottom w:val="single" w:color="auto" w:sz="4" w:space="0"/>
              <w:right w:val="single" w:color="auto" w:sz="4" w:space="0"/>
            </w:tcBorders>
            <w:noWrap/>
            <w:vAlign w:val="center"/>
          </w:tcPr>
          <w:p w14:paraId="09A08E7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3285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14:paraId="49F81BD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0" w:type="dxa"/>
            <w:vMerge w:val="restart"/>
            <w:tcBorders>
              <w:top w:val="single" w:color="auto" w:sz="4" w:space="0"/>
              <w:left w:val="single" w:color="auto" w:sz="4" w:space="0"/>
              <w:bottom w:val="single" w:color="auto" w:sz="4" w:space="0"/>
              <w:right w:val="single" w:color="auto" w:sz="4" w:space="0"/>
            </w:tcBorders>
            <w:noWrap/>
            <w:vAlign w:val="center"/>
          </w:tcPr>
          <w:p w14:paraId="4FFE780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主要材料</w:t>
            </w:r>
          </w:p>
        </w:tc>
        <w:tc>
          <w:tcPr>
            <w:tcW w:w="1260" w:type="dxa"/>
            <w:tcBorders>
              <w:top w:val="single" w:color="auto" w:sz="4" w:space="0"/>
              <w:left w:val="single" w:color="auto" w:sz="4" w:space="0"/>
              <w:bottom w:val="single" w:color="auto" w:sz="4" w:space="0"/>
              <w:right w:val="single" w:color="auto" w:sz="4" w:space="0"/>
            </w:tcBorders>
            <w:noWrap/>
            <w:vAlign w:val="center"/>
          </w:tcPr>
          <w:p w14:paraId="4B5A3B6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FEA067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15D0550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295231A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7C29585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6B51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14:paraId="6644F38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14:paraId="4F9A6F9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2190BB5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6E9891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11B4F60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334D4F2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1FCBD0D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720A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14:paraId="384AC26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14:paraId="3734351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439A6BC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7F14FFE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98FB8A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14535B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2AF1F15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32D8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14:paraId="466FAA5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3F87813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其他材料费</w:t>
            </w:r>
          </w:p>
        </w:tc>
        <w:tc>
          <w:tcPr>
            <w:tcW w:w="1620" w:type="dxa"/>
            <w:tcBorders>
              <w:top w:val="single" w:color="auto" w:sz="4" w:space="0"/>
              <w:left w:val="single" w:color="auto" w:sz="4" w:space="0"/>
              <w:bottom w:val="single" w:color="auto" w:sz="4" w:space="0"/>
              <w:right w:val="single" w:color="auto" w:sz="4" w:space="0"/>
            </w:tcBorders>
            <w:noWrap/>
            <w:vAlign w:val="center"/>
          </w:tcPr>
          <w:p w14:paraId="5A0930C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2AEF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6364EB1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2</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17BD6EA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材料费小计</w:t>
            </w:r>
          </w:p>
        </w:tc>
        <w:tc>
          <w:tcPr>
            <w:tcW w:w="1620" w:type="dxa"/>
            <w:tcBorders>
              <w:top w:val="single" w:color="auto" w:sz="4" w:space="0"/>
              <w:left w:val="single" w:color="auto" w:sz="4" w:space="0"/>
              <w:bottom w:val="single" w:color="auto" w:sz="4" w:space="0"/>
              <w:right w:val="single" w:color="auto" w:sz="4" w:space="0"/>
            </w:tcBorders>
            <w:noWrap/>
            <w:vAlign w:val="center"/>
          </w:tcPr>
          <w:p w14:paraId="7D4EC6D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07406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14:paraId="1ACADC9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0" w:type="dxa"/>
            <w:vMerge w:val="restart"/>
            <w:tcBorders>
              <w:top w:val="single" w:color="auto" w:sz="4" w:space="0"/>
              <w:left w:val="single" w:color="auto" w:sz="4" w:space="0"/>
              <w:bottom w:val="single" w:color="auto" w:sz="4" w:space="0"/>
              <w:right w:val="single" w:color="auto" w:sz="4" w:space="0"/>
            </w:tcBorders>
            <w:noWrap/>
            <w:vAlign w:val="center"/>
          </w:tcPr>
          <w:p w14:paraId="524D904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主要机械</w:t>
            </w:r>
          </w:p>
        </w:tc>
        <w:tc>
          <w:tcPr>
            <w:tcW w:w="1260" w:type="dxa"/>
            <w:tcBorders>
              <w:top w:val="single" w:color="auto" w:sz="4" w:space="0"/>
              <w:left w:val="single" w:color="auto" w:sz="4" w:space="0"/>
              <w:bottom w:val="single" w:color="auto" w:sz="4" w:space="0"/>
              <w:right w:val="single" w:color="auto" w:sz="4" w:space="0"/>
            </w:tcBorders>
            <w:noWrap/>
            <w:vAlign w:val="center"/>
          </w:tcPr>
          <w:p w14:paraId="3F974BB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12B2E7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F8DF68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5677B7D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06E6456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59B9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14:paraId="0BA3929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14:paraId="4376D92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24A96D5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C84C8B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1DF26B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D659B8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6872BFC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04AFD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14:paraId="4E0C139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14:paraId="31A52F0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7EF5049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0E53377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3EF4C8E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3BFC74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695A60C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47F6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14:paraId="4362A56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2B12A65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其他机械费</w:t>
            </w:r>
          </w:p>
        </w:tc>
        <w:tc>
          <w:tcPr>
            <w:tcW w:w="1620" w:type="dxa"/>
            <w:tcBorders>
              <w:top w:val="single" w:color="auto" w:sz="4" w:space="0"/>
              <w:left w:val="single" w:color="auto" w:sz="4" w:space="0"/>
              <w:bottom w:val="single" w:color="auto" w:sz="4" w:space="0"/>
              <w:right w:val="single" w:color="auto" w:sz="4" w:space="0"/>
            </w:tcBorders>
            <w:noWrap/>
            <w:vAlign w:val="center"/>
          </w:tcPr>
          <w:p w14:paraId="37DB84C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1A87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634B7E1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3</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313A4F5D">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机械费小计</w:t>
            </w:r>
          </w:p>
        </w:tc>
        <w:tc>
          <w:tcPr>
            <w:tcW w:w="1620" w:type="dxa"/>
            <w:tcBorders>
              <w:top w:val="single" w:color="auto" w:sz="4" w:space="0"/>
              <w:left w:val="single" w:color="auto" w:sz="4" w:space="0"/>
              <w:bottom w:val="single" w:color="auto" w:sz="4" w:space="0"/>
              <w:right w:val="single" w:color="auto" w:sz="4" w:space="0"/>
            </w:tcBorders>
            <w:noWrap/>
            <w:vAlign w:val="center"/>
          </w:tcPr>
          <w:p w14:paraId="4D02DA9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37CF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13AC217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4</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572EBDC6">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直接工程费(1+2+3)</w:t>
            </w:r>
          </w:p>
        </w:tc>
        <w:tc>
          <w:tcPr>
            <w:tcW w:w="1620" w:type="dxa"/>
            <w:tcBorders>
              <w:top w:val="single" w:color="auto" w:sz="4" w:space="0"/>
              <w:left w:val="single" w:color="auto" w:sz="4" w:space="0"/>
              <w:bottom w:val="single" w:color="auto" w:sz="4" w:space="0"/>
              <w:right w:val="single" w:color="auto" w:sz="4" w:space="0"/>
            </w:tcBorders>
            <w:noWrap/>
            <w:vAlign w:val="center"/>
          </w:tcPr>
          <w:p w14:paraId="5EC5FA9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09A2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51706A0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5</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032CD03D">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管理费</w:t>
            </w:r>
          </w:p>
        </w:tc>
        <w:tc>
          <w:tcPr>
            <w:tcW w:w="1620" w:type="dxa"/>
            <w:tcBorders>
              <w:top w:val="single" w:color="auto" w:sz="4" w:space="0"/>
              <w:left w:val="single" w:color="auto" w:sz="4" w:space="0"/>
              <w:bottom w:val="single" w:color="auto" w:sz="4" w:space="0"/>
              <w:right w:val="single" w:color="auto" w:sz="4" w:space="0"/>
            </w:tcBorders>
            <w:noWrap/>
            <w:vAlign w:val="center"/>
          </w:tcPr>
          <w:p w14:paraId="03A8ECF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4F5B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3AABCF1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6</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28E58792">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利润</w:t>
            </w:r>
          </w:p>
        </w:tc>
        <w:tc>
          <w:tcPr>
            <w:tcW w:w="1620" w:type="dxa"/>
            <w:tcBorders>
              <w:top w:val="single" w:color="auto" w:sz="4" w:space="0"/>
              <w:left w:val="single" w:color="auto" w:sz="4" w:space="0"/>
              <w:bottom w:val="single" w:color="auto" w:sz="4" w:space="0"/>
              <w:right w:val="single" w:color="auto" w:sz="4" w:space="0"/>
            </w:tcBorders>
            <w:noWrap/>
            <w:vAlign w:val="center"/>
          </w:tcPr>
          <w:p w14:paraId="345AFFC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70EC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08FF7E6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7</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2754984D">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风险费用</w:t>
            </w:r>
          </w:p>
        </w:tc>
        <w:tc>
          <w:tcPr>
            <w:tcW w:w="1620" w:type="dxa"/>
            <w:tcBorders>
              <w:top w:val="single" w:color="auto" w:sz="4" w:space="0"/>
              <w:left w:val="single" w:color="auto" w:sz="4" w:space="0"/>
              <w:bottom w:val="single" w:color="auto" w:sz="4" w:space="0"/>
              <w:right w:val="single" w:color="auto" w:sz="4" w:space="0"/>
            </w:tcBorders>
            <w:noWrap/>
            <w:vAlign w:val="center"/>
          </w:tcPr>
          <w:p w14:paraId="7D3963C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009C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5C0E9E3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8</w:t>
            </w:r>
          </w:p>
        </w:tc>
        <w:tc>
          <w:tcPr>
            <w:tcW w:w="6300" w:type="dxa"/>
            <w:gridSpan w:val="5"/>
            <w:tcBorders>
              <w:top w:val="single" w:color="auto" w:sz="4" w:space="0"/>
              <w:left w:val="single" w:color="auto" w:sz="4" w:space="0"/>
              <w:bottom w:val="single" w:color="auto" w:sz="4" w:space="0"/>
              <w:right w:val="single" w:color="auto" w:sz="4" w:space="0"/>
            </w:tcBorders>
            <w:noWrap/>
            <w:vAlign w:val="center"/>
          </w:tcPr>
          <w:p w14:paraId="7FE448AA">
            <w:pPr>
              <w:keepNext w:val="0"/>
              <w:keepLines w:val="0"/>
              <w:pageBreakBefore w:val="0"/>
              <w:kinsoku/>
              <w:wordWrap w:val="0"/>
              <w:overflowPunct/>
              <w:topLinePunct w:val="0"/>
              <w:autoSpaceDE/>
              <w:autoSpaceDN/>
              <w:bidi w:val="0"/>
              <w:adjustRightInd/>
              <w:spacing w:line="460" w:lineRule="exact"/>
              <w:textAlignment w:val="auto"/>
              <w:outlineLvl w:val="9"/>
              <w:rPr>
                <w:rFonts w:cs="仿宋"/>
                <w:color w:val="auto"/>
                <w:highlight w:val="none"/>
              </w:rPr>
            </w:pPr>
            <w:r>
              <w:rPr>
                <w:rFonts w:hint="eastAsia" w:ascii="宋体" w:hAnsi="宋体" w:cs="仿宋"/>
                <w:color w:val="auto"/>
                <w:highlight w:val="none"/>
              </w:rPr>
              <w:t>合计（4+5+6+7）</w:t>
            </w:r>
          </w:p>
        </w:tc>
        <w:tc>
          <w:tcPr>
            <w:tcW w:w="1620" w:type="dxa"/>
            <w:tcBorders>
              <w:top w:val="single" w:color="auto" w:sz="4" w:space="0"/>
              <w:left w:val="single" w:color="auto" w:sz="4" w:space="0"/>
              <w:bottom w:val="single" w:color="auto" w:sz="4" w:space="0"/>
              <w:right w:val="single" w:color="auto" w:sz="4" w:space="0"/>
            </w:tcBorders>
            <w:noWrap/>
            <w:vAlign w:val="center"/>
          </w:tcPr>
          <w:p w14:paraId="3825BC7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bl>
    <w:p w14:paraId="02BDAFB3">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r>
        <w:rPr>
          <w:rFonts w:hint="eastAsia" w:ascii="宋体" w:hAnsi="宋体" w:cs="仿宋"/>
          <w:color w:val="auto"/>
          <w:highlight w:val="none"/>
        </w:rPr>
        <w:t>注：本表由招标人按需要提出</w:t>
      </w:r>
    </w:p>
    <w:p w14:paraId="67442C27">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p>
    <w:p w14:paraId="75C2E999">
      <w:pPr>
        <w:keepNext w:val="0"/>
        <w:keepLines w:val="0"/>
        <w:pageBreakBefore w:val="0"/>
        <w:kinsoku/>
        <w:wordWrap w:val="0"/>
        <w:overflowPunct/>
        <w:topLinePunct w:val="0"/>
        <w:autoSpaceDE/>
        <w:autoSpaceDN/>
        <w:bidi w:val="0"/>
        <w:jc w:val="center"/>
        <w:textAlignment w:val="auto"/>
        <w:outlineLvl w:val="9"/>
        <w:rPr>
          <w:rFonts w:cs="仿宋"/>
          <w:b/>
          <w:bCs/>
          <w:color w:val="auto"/>
          <w:sz w:val="32"/>
          <w:szCs w:val="28"/>
          <w:highlight w:val="none"/>
        </w:rPr>
      </w:pPr>
      <w:r>
        <w:rPr>
          <w:rFonts w:hint="eastAsia" w:ascii="宋体" w:hAnsi="宋体" w:cs="仿宋"/>
          <w:b/>
          <w:bCs/>
          <w:color w:val="auto"/>
          <w:sz w:val="32"/>
          <w:szCs w:val="28"/>
          <w:highlight w:val="none"/>
        </w:rPr>
        <w:br w:type="page"/>
      </w:r>
      <w:r>
        <w:rPr>
          <w:rFonts w:hint="eastAsia" w:ascii="宋体" w:hAnsi="宋体" w:cs="仿宋"/>
          <w:b/>
          <w:bCs/>
          <w:color w:val="auto"/>
          <w:sz w:val="32"/>
          <w:szCs w:val="28"/>
          <w:highlight w:val="none"/>
        </w:rPr>
        <w:t>表2-5  临时宿舍取暖降温等费用分析表</w:t>
      </w:r>
    </w:p>
    <w:p w14:paraId="75DC098B">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r>
        <w:rPr>
          <w:rFonts w:hint="eastAsia" w:ascii="宋体" w:hAnsi="宋体" w:cs="仿宋"/>
          <w:color w:val="auto"/>
          <w:highlight w:val="none"/>
        </w:rPr>
        <w:t>工程名称：                                        第  页共  页</w:t>
      </w:r>
    </w:p>
    <w:tbl>
      <w:tblPr>
        <w:tblStyle w:val="62"/>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182"/>
        <w:gridCol w:w="884"/>
        <w:gridCol w:w="996"/>
        <w:gridCol w:w="1524"/>
        <w:gridCol w:w="1362"/>
      </w:tblGrid>
      <w:tr w14:paraId="72E6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14:paraId="72DB35A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序号</w:t>
            </w:r>
          </w:p>
        </w:tc>
        <w:tc>
          <w:tcPr>
            <w:tcW w:w="3182" w:type="dxa"/>
            <w:tcBorders>
              <w:top w:val="single" w:color="auto" w:sz="4" w:space="0"/>
              <w:left w:val="single" w:color="auto" w:sz="4" w:space="0"/>
              <w:bottom w:val="single" w:color="auto" w:sz="4" w:space="0"/>
              <w:right w:val="single" w:color="auto" w:sz="4" w:space="0"/>
            </w:tcBorders>
            <w:noWrap/>
            <w:vAlign w:val="center"/>
          </w:tcPr>
          <w:p w14:paraId="6B80DDC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费用名称</w:t>
            </w:r>
          </w:p>
        </w:tc>
        <w:tc>
          <w:tcPr>
            <w:tcW w:w="884" w:type="dxa"/>
            <w:tcBorders>
              <w:top w:val="single" w:color="auto" w:sz="4" w:space="0"/>
              <w:left w:val="single" w:color="auto" w:sz="4" w:space="0"/>
              <w:bottom w:val="single" w:color="auto" w:sz="4" w:space="0"/>
              <w:right w:val="single" w:color="auto" w:sz="4" w:space="0"/>
            </w:tcBorders>
            <w:noWrap/>
            <w:vAlign w:val="center"/>
          </w:tcPr>
          <w:p w14:paraId="366084D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单位</w:t>
            </w:r>
          </w:p>
        </w:tc>
        <w:tc>
          <w:tcPr>
            <w:tcW w:w="996" w:type="dxa"/>
            <w:tcBorders>
              <w:top w:val="single" w:color="auto" w:sz="4" w:space="0"/>
              <w:left w:val="single" w:color="auto" w:sz="4" w:space="0"/>
              <w:bottom w:val="single" w:color="auto" w:sz="4" w:space="0"/>
              <w:right w:val="single" w:color="auto" w:sz="4" w:space="0"/>
            </w:tcBorders>
            <w:noWrap/>
            <w:vAlign w:val="center"/>
          </w:tcPr>
          <w:p w14:paraId="61F8961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数量</w:t>
            </w:r>
          </w:p>
        </w:tc>
        <w:tc>
          <w:tcPr>
            <w:tcW w:w="1524" w:type="dxa"/>
            <w:tcBorders>
              <w:top w:val="single" w:color="auto" w:sz="4" w:space="0"/>
              <w:left w:val="single" w:color="auto" w:sz="4" w:space="0"/>
              <w:bottom w:val="single" w:color="auto" w:sz="4" w:space="0"/>
              <w:right w:val="single" w:color="auto" w:sz="4" w:space="0"/>
            </w:tcBorders>
            <w:noWrap/>
            <w:vAlign w:val="center"/>
          </w:tcPr>
          <w:p w14:paraId="2C78607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单价（元）</w:t>
            </w:r>
          </w:p>
        </w:tc>
        <w:tc>
          <w:tcPr>
            <w:tcW w:w="1362" w:type="dxa"/>
            <w:tcBorders>
              <w:top w:val="single" w:color="auto" w:sz="4" w:space="0"/>
              <w:left w:val="single" w:color="auto" w:sz="4" w:space="0"/>
              <w:bottom w:val="single" w:color="auto" w:sz="4" w:space="0"/>
              <w:right w:val="single" w:color="auto" w:sz="4" w:space="0"/>
            </w:tcBorders>
            <w:noWrap/>
            <w:vAlign w:val="center"/>
          </w:tcPr>
          <w:p w14:paraId="02D9A97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合价（元）</w:t>
            </w:r>
          </w:p>
        </w:tc>
      </w:tr>
      <w:tr w14:paraId="1D6E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14:paraId="3A17D0D9">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一</w:t>
            </w:r>
          </w:p>
        </w:tc>
        <w:tc>
          <w:tcPr>
            <w:tcW w:w="3182" w:type="dxa"/>
            <w:tcBorders>
              <w:top w:val="single" w:color="auto" w:sz="4" w:space="0"/>
              <w:left w:val="single" w:color="auto" w:sz="4" w:space="0"/>
              <w:bottom w:val="single" w:color="auto" w:sz="4" w:space="0"/>
              <w:right w:val="single" w:color="auto" w:sz="4" w:space="0"/>
            </w:tcBorders>
            <w:noWrap/>
            <w:vAlign w:val="center"/>
          </w:tcPr>
          <w:p w14:paraId="1CA16D8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现场临时宿舍空调设施</w:t>
            </w:r>
          </w:p>
        </w:tc>
        <w:tc>
          <w:tcPr>
            <w:tcW w:w="884" w:type="dxa"/>
            <w:tcBorders>
              <w:top w:val="single" w:color="auto" w:sz="4" w:space="0"/>
              <w:left w:val="single" w:color="auto" w:sz="4" w:space="0"/>
              <w:bottom w:val="single" w:color="auto" w:sz="4" w:space="0"/>
              <w:right w:val="single" w:color="auto" w:sz="4" w:space="0"/>
            </w:tcBorders>
            <w:noWrap/>
            <w:vAlign w:val="center"/>
          </w:tcPr>
          <w:p w14:paraId="6BD6427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96" w:type="dxa"/>
            <w:tcBorders>
              <w:top w:val="single" w:color="auto" w:sz="4" w:space="0"/>
              <w:left w:val="single" w:color="auto" w:sz="4" w:space="0"/>
              <w:bottom w:val="single" w:color="auto" w:sz="4" w:space="0"/>
              <w:right w:val="single" w:color="auto" w:sz="4" w:space="0"/>
            </w:tcBorders>
            <w:noWrap/>
            <w:vAlign w:val="center"/>
          </w:tcPr>
          <w:p w14:paraId="540A05E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14:paraId="03B3CAA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362" w:type="dxa"/>
            <w:tcBorders>
              <w:top w:val="single" w:color="auto" w:sz="4" w:space="0"/>
              <w:left w:val="single" w:color="auto" w:sz="4" w:space="0"/>
              <w:bottom w:val="single" w:color="auto" w:sz="4" w:space="0"/>
              <w:right w:val="single" w:color="auto" w:sz="4" w:space="0"/>
            </w:tcBorders>
            <w:noWrap/>
            <w:vAlign w:val="center"/>
          </w:tcPr>
          <w:p w14:paraId="06F814C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22B7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14:paraId="5C521FA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3182" w:type="dxa"/>
            <w:tcBorders>
              <w:top w:val="single" w:color="auto" w:sz="4" w:space="0"/>
              <w:left w:val="single" w:color="auto" w:sz="4" w:space="0"/>
              <w:bottom w:val="single" w:color="auto" w:sz="4" w:space="0"/>
              <w:right w:val="single" w:color="auto" w:sz="4" w:space="0"/>
            </w:tcBorders>
            <w:noWrap/>
            <w:vAlign w:val="center"/>
          </w:tcPr>
          <w:p w14:paraId="3DC7810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84" w:type="dxa"/>
            <w:tcBorders>
              <w:top w:val="single" w:color="auto" w:sz="4" w:space="0"/>
              <w:left w:val="single" w:color="auto" w:sz="4" w:space="0"/>
              <w:bottom w:val="single" w:color="auto" w:sz="4" w:space="0"/>
              <w:right w:val="single" w:color="auto" w:sz="4" w:space="0"/>
            </w:tcBorders>
            <w:noWrap/>
            <w:vAlign w:val="center"/>
          </w:tcPr>
          <w:p w14:paraId="449DCC0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96" w:type="dxa"/>
            <w:tcBorders>
              <w:top w:val="single" w:color="auto" w:sz="4" w:space="0"/>
              <w:left w:val="single" w:color="auto" w:sz="4" w:space="0"/>
              <w:bottom w:val="single" w:color="auto" w:sz="4" w:space="0"/>
              <w:right w:val="single" w:color="auto" w:sz="4" w:space="0"/>
            </w:tcBorders>
            <w:noWrap/>
            <w:vAlign w:val="center"/>
          </w:tcPr>
          <w:p w14:paraId="1E310E1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14:paraId="0EDE98E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362" w:type="dxa"/>
            <w:tcBorders>
              <w:top w:val="single" w:color="auto" w:sz="4" w:space="0"/>
              <w:left w:val="single" w:color="auto" w:sz="4" w:space="0"/>
              <w:bottom w:val="single" w:color="auto" w:sz="4" w:space="0"/>
              <w:right w:val="single" w:color="auto" w:sz="4" w:space="0"/>
            </w:tcBorders>
            <w:noWrap/>
            <w:vAlign w:val="center"/>
          </w:tcPr>
          <w:p w14:paraId="11D9B63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6CA2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14:paraId="4FE9C79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二</w:t>
            </w:r>
          </w:p>
        </w:tc>
        <w:tc>
          <w:tcPr>
            <w:tcW w:w="3182" w:type="dxa"/>
            <w:tcBorders>
              <w:top w:val="single" w:color="auto" w:sz="4" w:space="0"/>
              <w:left w:val="single" w:color="auto" w:sz="4" w:space="0"/>
              <w:bottom w:val="single" w:color="auto" w:sz="4" w:space="0"/>
              <w:right w:val="single" w:color="auto" w:sz="4" w:space="0"/>
            </w:tcBorders>
            <w:noWrap/>
            <w:vAlign w:val="center"/>
          </w:tcPr>
          <w:p w14:paraId="466746D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安全生产责任保险</w:t>
            </w:r>
          </w:p>
        </w:tc>
        <w:tc>
          <w:tcPr>
            <w:tcW w:w="884" w:type="dxa"/>
            <w:tcBorders>
              <w:top w:val="single" w:color="auto" w:sz="4" w:space="0"/>
              <w:left w:val="single" w:color="auto" w:sz="4" w:space="0"/>
              <w:bottom w:val="single" w:color="auto" w:sz="4" w:space="0"/>
              <w:right w:val="single" w:color="auto" w:sz="4" w:space="0"/>
            </w:tcBorders>
            <w:noWrap/>
            <w:vAlign w:val="center"/>
          </w:tcPr>
          <w:p w14:paraId="7555029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96" w:type="dxa"/>
            <w:tcBorders>
              <w:top w:val="single" w:color="auto" w:sz="4" w:space="0"/>
              <w:left w:val="single" w:color="auto" w:sz="4" w:space="0"/>
              <w:bottom w:val="single" w:color="auto" w:sz="4" w:space="0"/>
              <w:right w:val="single" w:color="auto" w:sz="4" w:space="0"/>
            </w:tcBorders>
            <w:noWrap/>
            <w:vAlign w:val="center"/>
          </w:tcPr>
          <w:p w14:paraId="7EA0E6C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14:paraId="4D6A895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362" w:type="dxa"/>
            <w:tcBorders>
              <w:top w:val="single" w:color="auto" w:sz="4" w:space="0"/>
              <w:left w:val="single" w:color="auto" w:sz="4" w:space="0"/>
              <w:bottom w:val="single" w:color="auto" w:sz="4" w:space="0"/>
              <w:right w:val="single" w:color="auto" w:sz="4" w:space="0"/>
            </w:tcBorders>
            <w:noWrap/>
            <w:vAlign w:val="center"/>
          </w:tcPr>
          <w:p w14:paraId="35D0F70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5A88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14:paraId="603EE15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3182" w:type="dxa"/>
            <w:tcBorders>
              <w:top w:val="single" w:color="auto" w:sz="4" w:space="0"/>
              <w:left w:val="single" w:color="auto" w:sz="4" w:space="0"/>
              <w:bottom w:val="single" w:color="auto" w:sz="4" w:space="0"/>
              <w:right w:val="single" w:color="auto" w:sz="4" w:space="0"/>
            </w:tcBorders>
            <w:noWrap/>
            <w:vAlign w:val="center"/>
          </w:tcPr>
          <w:p w14:paraId="67B08BA5">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84" w:type="dxa"/>
            <w:tcBorders>
              <w:top w:val="single" w:color="auto" w:sz="4" w:space="0"/>
              <w:left w:val="single" w:color="auto" w:sz="4" w:space="0"/>
              <w:bottom w:val="single" w:color="auto" w:sz="4" w:space="0"/>
              <w:right w:val="single" w:color="auto" w:sz="4" w:space="0"/>
            </w:tcBorders>
            <w:noWrap/>
            <w:vAlign w:val="center"/>
          </w:tcPr>
          <w:p w14:paraId="7875AC5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96" w:type="dxa"/>
            <w:tcBorders>
              <w:top w:val="single" w:color="auto" w:sz="4" w:space="0"/>
              <w:left w:val="single" w:color="auto" w:sz="4" w:space="0"/>
              <w:bottom w:val="single" w:color="auto" w:sz="4" w:space="0"/>
              <w:right w:val="single" w:color="auto" w:sz="4" w:space="0"/>
            </w:tcBorders>
            <w:noWrap/>
            <w:vAlign w:val="center"/>
          </w:tcPr>
          <w:p w14:paraId="6CB21EC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14:paraId="583860E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362" w:type="dxa"/>
            <w:tcBorders>
              <w:top w:val="single" w:color="auto" w:sz="4" w:space="0"/>
              <w:left w:val="single" w:color="auto" w:sz="4" w:space="0"/>
              <w:bottom w:val="single" w:color="auto" w:sz="4" w:space="0"/>
              <w:right w:val="single" w:color="auto" w:sz="4" w:space="0"/>
            </w:tcBorders>
            <w:noWrap/>
            <w:vAlign w:val="center"/>
          </w:tcPr>
          <w:p w14:paraId="20B4000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1763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14:paraId="615842B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3182" w:type="dxa"/>
            <w:tcBorders>
              <w:top w:val="single" w:color="auto" w:sz="4" w:space="0"/>
              <w:left w:val="single" w:color="auto" w:sz="4" w:space="0"/>
              <w:bottom w:val="single" w:color="auto" w:sz="4" w:space="0"/>
              <w:right w:val="single" w:color="auto" w:sz="4" w:space="0"/>
            </w:tcBorders>
            <w:noWrap/>
            <w:vAlign w:val="center"/>
          </w:tcPr>
          <w:p w14:paraId="5915A9C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84" w:type="dxa"/>
            <w:tcBorders>
              <w:top w:val="single" w:color="auto" w:sz="4" w:space="0"/>
              <w:left w:val="single" w:color="auto" w:sz="4" w:space="0"/>
              <w:bottom w:val="single" w:color="auto" w:sz="4" w:space="0"/>
              <w:right w:val="single" w:color="auto" w:sz="4" w:space="0"/>
            </w:tcBorders>
            <w:noWrap/>
            <w:vAlign w:val="center"/>
          </w:tcPr>
          <w:p w14:paraId="1796E3B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96" w:type="dxa"/>
            <w:tcBorders>
              <w:top w:val="single" w:color="auto" w:sz="4" w:space="0"/>
              <w:left w:val="single" w:color="auto" w:sz="4" w:space="0"/>
              <w:bottom w:val="single" w:color="auto" w:sz="4" w:space="0"/>
              <w:right w:val="single" w:color="auto" w:sz="4" w:space="0"/>
            </w:tcBorders>
            <w:noWrap/>
            <w:vAlign w:val="center"/>
          </w:tcPr>
          <w:p w14:paraId="5B63035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14:paraId="4345A33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362" w:type="dxa"/>
            <w:tcBorders>
              <w:top w:val="single" w:color="auto" w:sz="4" w:space="0"/>
              <w:left w:val="single" w:color="auto" w:sz="4" w:space="0"/>
              <w:bottom w:val="single" w:color="auto" w:sz="4" w:space="0"/>
              <w:right w:val="single" w:color="auto" w:sz="4" w:space="0"/>
            </w:tcBorders>
            <w:noWrap/>
            <w:vAlign w:val="center"/>
          </w:tcPr>
          <w:p w14:paraId="0967F3A7">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6496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14:paraId="064E58D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3182" w:type="dxa"/>
            <w:tcBorders>
              <w:top w:val="single" w:color="auto" w:sz="4" w:space="0"/>
              <w:left w:val="single" w:color="auto" w:sz="4" w:space="0"/>
              <w:bottom w:val="single" w:color="auto" w:sz="4" w:space="0"/>
              <w:right w:val="single" w:color="auto" w:sz="4" w:space="0"/>
            </w:tcBorders>
            <w:noWrap/>
            <w:vAlign w:val="center"/>
          </w:tcPr>
          <w:p w14:paraId="39DBB28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84" w:type="dxa"/>
            <w:tcBorders>
              <w:top w:val="single" w:color="auto" w:sz="4" w:space="0"/>
              <w:left w:val="single" w:color="auto" w:sz="4" w:space="0"/>
              <w:bottom w:val="single" w:color="auto" w:sz="4" w:space="0"/>
              <w:right w:val="single" w:color="auto" w:sz="4" w:space="0"/>
            </w:tcBorders>
            <w:noWrap/>
            <w:vAlign w:val="center"/>
          </w:tcPr>
          <w:p w14:paraId="106FE32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96" w:type="dxa"/>
            <w:tcBorders>
              <w:top w:val="single" w:color="auto" w:sz="4" w:space="0"/>
              <w:left w:val="single" w:color="auto" w:sz="4" w:space="0"/>
              <w:bottom w:val="single" w:color="auto" w:sz="4" w:space="0"/>
              <w:right w:val="single" w:color="auto" w:sz="4" w:space="0"/>
            </w:tcBorders>
            <w:noWrap/>
            <w:vAlign w:val="center"/>
          </w:tcPr>
          <w:p w14:paraId="25031E3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14:paraId="0A318C8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362" w:type="dxa"/>
            <w:tcBorders>
              <w:top w:val="single" w:color="auto" w:sz="4" w:space="0"/>
              <w:left w:val="single" w:color="auto" w:sz="4" w:space="0"/>
              <w:bottom w:val="single" w:color="auto" w:sz="4" w:space="0"/>
              <w:right w:val="single" w:color="auto" w:sz="4" w:space="0"/>
            </w:tcBorders>
            <w:noWrap/>
            <w:vAlign w:val="center"/>
          </w:tcPr>
          <w:p w14:paraId="1FE6DD5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538B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14:paraId="05C353D2">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3182" w:type="dxa"/>
            <w:tcBorders>
              <w:top w:val="single" w:color="auto" w:sz="4" w:space="0"/>
              <w:left w:val="single" w:color="auto" w:sz="4" w:space="0"/>
              <w:bottom w:val="single" w:color="auto" w:sz="4" w:space="0"/>
              <w:right w:val="single" w:color="auto" w:sz="4" w:space="0"/>
            </w:tcBorders>
            <w:noWrap/>
            <w:vAlign w:val="center"/>
          </w:tcPr>
          <w:p w14:paraId="109D6CF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84" w:type="dxa"/>
            <w:tcBorders>
              <w:top w:val="single" w:color="auto" w:sz="4" w:space="0"/>
              <w:left w:val="single" w:color="auto" w:sz="4" w:space="0"/>
              <w:bottom w:val="single" w:color="auto" w:sz="4" w:space="0"/>
              <w:right w:val="single" w:color="auto" w:sz="4" w:space="0"/>
            </w:tcBorders>
            <w:noWrap/>
            <w:vAlign w:val="center"/>
          </w:tcPr>
          <w:p w14:paraId="71B7F91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96" w:type="dxa"/>
            <w:tcBorders>
              <w:top w:val="single" w:color="auto" w:sz="4" w:space="0"/>
              <w:left w:val="single" w:color="auto" w:sz="4" w:space="0"/>
              <w:bottom w:val="single" w:color="auto" w:sz="4" w:space="0"/>
              <w:right w:val="single" w:color="auto" w:sz="4" w:space="0"/>
            </w:tcBorders>
            <w:noWrap/>
            <w:vAlign w:val="center"/>
          </w:tcPr>
          <w:p w14:paraId="7789927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14:paraId="418CD7A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362" w:type="dxa"/>
            <w:tcBorders>
              <w:top w:val="single" w:color="auto" w:sz="4" w:space="0"/>
              <w:left w:val="single" w:color="auto" w:sz="4" w:space="0"/>
              <w:bottom w:val="single" w:color="auto" w:sz="4" w:space="0"/>
              <w:right w:val="single" w:color="auto" w:sz="4" w:space="0"/>
            </w:tcBorders>
            <w:noWrap/>
            <w:vAlign w:val="center"/>
          </w:tcPr>
          <w:p w14:paraId="327C61C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2031B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14:paraId="136EE6D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3182" w:type="dxa"/>
            <w:tcBorders>
              <w:top w:val="single" w:color="auto" w:sz="4" w:space="0"/>
              <w:left w:val="single" w:color="auto" w:sz="4" w:space="0"/>
              <w:bottom w:val="single" w:color="auto" w:sz="4" w:space="0"/>
              <w:right w:val="single" w:color="auto" w:sz="4" w:space="0"/>
            </w:tcBorders>
            <w:noWrap/>
            <w:vAlign w:val="center"/>
          </w:tcPr>
          <w:p w14:paraId="51C190B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84" w:type="dxa"/>
            <w:tcBorders>
              <w:top w:val="single" w:color="auto" w:sz="4" w:space="0"/>
              <w:left w:val="single" w:color="auto" w:sz="4" w:space="0"/>
              <w:bottom w:val="single" w:color="auto" w:sz="4" w:space="0"/>
              <w:right w:val="single" w:color="auto" w:sz="4" w:space="0"/>
            </w:tcBorders>
            <w:noWrap/>
            <w:vAlign w:val="center"/>
          </w:tcPr>
          <w:p w14:paraId="5FB3567F">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96" w:type="dxa"/>
            <w:tcBorders>
              <w:top w:val="single" w:color="auto" w:sz="4" w:space="0"/>
              <w:left w:val="single" w:color="auto" w:sz="4" w:space="0"/>
              <w:bottom w:val="single" w:color="auto" w:sz="4" w:space="0"/>
              <w:right w:val="single" w:color="auto" w:sz="4" w:space="0"/>
            </w:tcBorders>
            <w:noWrap/>
            <w:vAlign w:val="center"/>
          </w:tcPr>
          <w:p w14:paraId="69AD8D43">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14:paraId="07B6BACE">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362" w:type="dxa"/>
            <w:tcBorders>
              <w:top w:val="single" w:color="auto" w:sz="4" w:space="0"/>
              <w:left w:val="single" w:color="auto" w:sz="4" w:space="0"/>
              <w:bottom w:val="single" w:color="auto" w:sz="4" w:space="0"/>
              <w:right w:val="single" w:color="auto" w:sz="4" w:space="0"/>
            </w:tcBorders>
            <w:noWrap/>
            <w:vAlign w:val="center"/>
          </w:tcPr>
          <w:p w14:paraId="096F3D5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389F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14:paraId="266540E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3182" w:type="dxa"/>
            <w:tcBorders>
              <w:top w:val="single" w:color="auto" w:sz="4" w:space="0"/>
              <w:left w:val="single" w:color="auto" w:sz="4" w:space="0"/>
              <w:bottom w:val="single" w:color="auto" w:sz="4" w:space="0"/>
              <w:right w:val="single" w:color="auto" w:sz="4" w:space="0"/>
            </w:tcBorders>
            <w:noWrap/>
            <w:vAlign w:val="center"/>
          </w:tcPr>
          <w:p w14:paraId="26E75FB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884" w:type="dxa"/>
            <w:tcBorders>
              <w:top w:val="single" w:color="auto" w:sz="4" w:space="0"/>
              <w:left w:val="single" w:color="auto" w:sz="4" w:space="0"/>
              <w:bottom w:val="single" w:color="auto" w:sz="4" w:space="0"/>
              <w:right w:val="single" w:color="auto" w:sz="4" w:space="0"/>
            </w:tcBorders>
            <w:noWrap/>
            <w:vAlign w:val="center"/>
          </w:tcPr>
          <w:p w14:paraId="5ACE3976">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96" w:type="dxa"/>
            <w:tcBorders>
              <w:top w:val="single" w:color="auto" w:sz="4" w:space="0"/>
              <w:left w:val="single" w:color="auto" w:sz="4" w:space="0"/>
              <w:bottom w:val="single" w:color="auto" w:sz="4" w:space="0"/>
              <w:right w:val="single" w:color="auto" w:sz="4" w:space="0"/>
            </w:tcBorders>
            <w:noWrap/>
            <w:vAlign w:val="center"/>
          </w:tcPr>
          <w:p w14:paraId="500BC19C">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14:paraId="76CE8B3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362" w:type="dxa"/>
            <w:tcBorders>
              <w:top w:val="single" w:color="auto" w:sz="4" w:space="0"/>
              <w:left w:val="single" w:color="auto" w:sz="4" w:space="0"/>
              <w:bottom w:val="single" w:color="auto" w:sz="4" w:space="0"/>
              <w:right w:val="single" w:color="auto" w:sz="4" w:space="0"/>
            </w:tcBorders>
            <w:noWrap/>
            <w:vAlign w:val="center"/>
          </w:tcPr>
          <w:p w14:paraId="6D6B0E9A">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r w14:paraId="3E18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top w:val="single" w:color="auto" w:sz="4" w:space="0"/>
              <w:left w:val="single" w:color="auto" w:sz="4" w:space="0"/>
              <w:bottom w:val="single" w:color="auto" w:sz="4" w:space="0"/>
              <w:right w:val="single" w:color="auto" w:sz="4" w:space="0"/>
            </w:tcBorders>
            <w:noWrap/>
            <w:vAlign w:val="center"/>
          </w:tcPr>
          <w:p w14:paraId="19817CA1">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3182" w:type="dxa"/>
            <w:tcBorders>
              <w:top w:val="single" w:color="auto" w:sz="4" w:space="0"/>
              <w:left w:val="single" w:color="auto" w:sz="4" w:space="0"/>
              <w:bottom w:val="single" w:color="auto" w:sz="4" w:space="0"/>
              <w:right w:val="single" w:color="auto" w:sz="4" w:space="0"/>
            </w:tcBorders>
            <w:noWrap/>
            <w:vAlign w:val="center"/>
          </w:tcPr>
          <w:p w14:paraId="1707D3D4">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r>
              <w:rPr>
                <w:rFonts w:hint="eastAsia" w:ascii="宋体" w:hAnsi="宋体" w:cs="仿宋"/>
                <w:color w:val="auto"/>
                <w:highlight w:val="none"/>
              </w:rPr>
              <w:t>合计</w:t>
            </w:r>
          </w:p>
        </w:tc>
        <w:tc>
          <w:tcPr>
            <w:tcW w:w="884" w:type="dxa"/>
            <w:tcBorders>
              <w:top w:val="single" w:color="auto" w:sz="4" w:space="0"/>
              <w:left w:val="single" w:color="auto" w:sz="4" w:space="0"/>
              <w:bottom w:val="single" w:color="auto" w:sz="4" w:space="0"/>
              <w:right w:val="single" w:color="auto" w:sz="4" w:space="0"/>
            </w:tcBorders>
            <w:noWrap/>
            <w:vAlign w:val="center"/>
          </w:tcPr>
          <w:p w14:paraId="369CB7FB">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996" w:type="dxa"/>
            <w:tcBorders>
              <w:top w:val="single" w:color="auto" w:sz="4" w:space="0"/>
              <w:left w:val="single" w:color="auto" w:sz="4" w:space="0"/>
              <w:bottom w:val="single" w:color="auto" w:sz="4" w:space="0"/>
              <w:right w:val="single" w:color="auto" w:sz="4" w:space="0"/>
            </w:tcBorders>
            <w:noWrap/>
            <w:vAlign w:val="center"/>
          </w:tcPr>
          <w:p w14:paraId="36CD9E5D">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524" w:type="dxa"/>
            <w:tcBorders>
              <w:top w:val="single" w:color="auto" w:sz="4" w:space="0"/>
              <w:left w:val="single" w:color="auto" w:sz="4" w:space="0"/>
              <w:bottom w:val="single" w:color="auto" w:sz="4" w:space="0"/>
              <w:right w:val="single" w:color="auto" w:sz="4" w:space="0"/>
            </w:tcBorders>
            <w:noWrap/>
            <w:vAlign w:val="center"/>
          </w:tcPr>
          <w:p w14:paraId="37FEB7C0">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c>
          <w:tcPr>
            <w:tcW w:w="1362" w:type="dxa"/>
            <w:tcBorders>
              <w:top w:val="single" w:color="auto" w:sz="4" w:space="0"/>
              <w:left w:val="single" w:color="auto" w:sz="4" w:space="0"/>
              <w:bottom w:val="single" w:color="auto" w:sz="4" w:space="0"/>
              <w:right w:val="single" w:color="auto" w:sz="4" w:space="0"/>
            </w:tcBorders>
            <w:noWrap/>
            <w:vAlign w:val="center"/>
          </w:tcPr>
          <w:p w14:paraId="18F24458">
            <w:pPr>
              <w:keepNext w:val="0"/>
              <w:keepLines w:val="0"/>
              <w:pageBreakBefore w:val="0"/>
              <w:kinsoku/>
              <w:wordWrap w:val="0"/>
              <w:overflowPunct/>
              <w:topLinePunct w:val="0"/>
              <w:autoSpaceDE/>
              <w:autoSpaceDN/>
              <w:bidi w:val="0"/>
              <w:adjustRightInd/>
              <w:spacing w:line="460" w:lineRule="exact"/>
              <w:jc w:val="center"/>
              <w:textAlignment w:val="auto"/>
              <w:outlineLvl w:val="9"/>
              <w:rPr>
                <w:rFonts w:cs="仿宋"/>
                <w:color w:val="auto"/>
                <w:highlight w:val="none"/>
              </w:rPr>
            </w:pPr>
          </w:p>
        </w:tc>
      </w:tr>
    </w:tbl>
    <w:p w14:paraId="7D8A94D9">
      <w:pPr>
        <w:keepNext w:val="0"/>
        <w:keepLines w:val="0"/>
        <w:pageBreakBefore w:val="0"/>
        <w:kinsoku/>
        <w:wordWrap w:val="0"/>
        <w:overflowPunct/>
        <w:topLinePunct w:val="0"/>
        <w:autoSpaceDE/>
        <w:autoSpaceDN/>
        <w:bidi w:val="0"/>
        <w:adjustRightInd/>
        <w:spacing w:line="460" w:lineRule="exact"/>
        <w:ind w:firstLine="420" w:firstLineChars="200"/>
        <w:textAlignment w:val="auto"/>
        <w:outlineLvl w:val="9"/>
        <w:rPr>
          <w:rFonts w:cs="仿宋"/>
          <w:color w:val="auto"/>
          <w:highlight w:val="none"/>
        </w:rPr>
      </w:pPr>
    </w:p>
    <w:p w14:paraId="1E966BE2">
      <w:pPr>
        <w:keepNext w:val="0"/>
        <w:keepLines w:val="0"/>
        <w:pageBreakBefore w:val="0"/>
        <w:kinsoku/>
        <w:overflowPunct/>
        <w:topLinePunct w:val="0"/>
        <w:autoSpaceDE/>
        <w:autoSpaceDN/>
        <w:bidi w:val="0"/>
        <w:spacing w:line="360" w:lineRule="auto"/>
        <w:ind w:right="420" w:firstLine="420" w:firstLineChars="200"/>
        <w:textAlignment w:val="auto"/>
        <w:outlineLvl w:val="9"/>
        <w:rPr>
          <w:rFonts w:ascii="宋体" w:hAnsi="宋体" w:cs="宋体"/>
          <w:color w:val="auto"/>
          <w:sz w:val="24"/>
          <w:highlight w:val="none"/>
        </w:rPr>
      </w:pPr>
      <w:r>
        <w:rPr>
          <w:rFonts w:hint="eastAsia" w:ascii="宋体" w:hAnsi="宋体" w:cs="仿宋"/>
          <w:color w:val="auto"/>
          <w:highlight w:val="none"/>
        </w:rPr>
        <w:t>注：本表为企业管理费部分内容的报价分析表，由投标人根据市政府、市建设行政主管部门颁发的有关文件对于现场民工宿舍空调的设置要求或标准、安责险等规定进行相应数量和费用的报价。</w:t>
      </w:r>
    </w:p>
    <w:p w14:paraId="38E40007">
      <w:pPr>
        <w:pStyle w:val="61"/>
        <w:keepNext w:val="0"/>
        <w:keepLines w:val="0"/>
        <w:pageBreakBefore w:val="0"/>
        <w:kinsoku/>
        <w:overflowPunct/>
        <w:topLinePunct w:val="0"/>
        <w:autoSpaceDE/>
        <w:autoSpaceDN/>
        <w:bidi w:val="0"/>
        <w:ind w:firstLine="480"/>
        <w:textAlignment w:val="auto"/>
        <w:outlineLvl w:val="9"/>
        <w:rPr>
          <w:rFonts w:cs="宋体"/>
          <w:color w:val="auto"/>
          <w:sz w:val="24"/>
          <w:highlight w:val="none"/>
        </w:rPr>
      </w:pPr>
    </w:p>
    <w:p w14:paraId="10BCDB0A">
      <w:pPr>
        <w:pStyle w:val="61"/>
        <w:keepNext w:val="0"/>
        <w:keepLines w:val="0"/>
        <w:pageBreakBefore w:val="0"/>
        <w:kinsoku/>
        <w:overflowPunct/>
        <w:topLinePunct w:val="0"/>
        <w:autoSpaceDE/>
        <w:autoSpaceDN/>
        <w:bidi w:val="0"/>
        <w:ind w:firstLine="480"/>
        <w:textAlignment w:val="auto"/>
        <w:outlineLvl w:val="9"/>
        <w:rPr>
          <w:rFonts w:cs="宋体"/>
          <w:color w:val="auto"/>
          <w:sz w:val="24"/>
          <w:highlight w:val="none"/>
        </w:rPr>
        <w:sectPr>
          <w:footerReference r:id="rId24" w:type="first"/>
          <w:headerReference r:id="rId21" w:type="default"/>
          <w:footerReference r:id="rId22" w:type="default"/>
          <w:footerReference r:id="rId23" w:type="even"/>
          <w:pgSz w:w="11905" w:h="16838"/>
          <w:pgMar w:top="1417" w:right="1417" w:bottom="1417" w:left="1417" w:header="850" w:footer="992" w:gutter="0"/>
          <w:cols w:space="0" w:num="1"/>
          <w:titlePg/>
          <w:rtlGutter w:val="0"/>
          <w:docGrid w:linePitch="312" w:charSpace="0"/>
        </w:sectPr>
      </w:pPr>
    </w:p>
    <w:p w14:paraId="483B7862">
      <w:pPr>
        <w:pStyle w:val="693"/>
        <w:keepNext w:val="0"/>
        <w:keepLines w:val="0"/>
        <w:pageBreakBefore w:val="0"/>
        <w:tabs>
          <w:tab w:val="clear" w:pos="720"/>
        </w:tabs>
        <w:kinsoku/>
        <w:overflowPunct/>
        <w:topLinePunct w:val="0"/>
        <w:autoSpaceDE/>
        <w:autoSpaceDN/>
        <w:bidi w:val="0"/>
        <w:snapToGrid w:val="0"/>
        <w:spacing w:before="120" w:after="120"/>
        <w:ind w:firstLine="643"/>
        <w:textAlignment w:val="auto"/>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603" w:name="_Hlk101259491"/>
      <w:r>
        <w:rPr>
          <w:rFonts w:hint="eastAsia" w:ascii="宋体" w:hAnsi="宋体" w:eastAsia="宋体" w:cs="宋体"/>
          <w:color w:val="auto"/>
          <w:sz w:val="32"/>
          <w:szCs w:val="32"/>
          <w:highlight w:val="none"/>
        </w:rPr>
        <w:t>（如果有）</w:t>
      </w:r>
      <w:bookmarkEnd w:id="603"/>
    </w:p>
    <w:p w14:paraId="7C74AB04">
      <w:pPr>
        <w:keepNext w:val="0"/>
        <w:keepLines w:val="0"/>
        <w:pageBreakBefore w:val="0"/>
        <w:widowControl/>
        <w:kinsoku/>
        <w:overflowPunct/>
        <w:topLinePunct w:val="0"/>
        <w:autoSpaceDE/>
        <w:autoSpaceDN/>
        <w:bidi w:val="0"/>
        <w:spacing w:line="360" w:lineRule="auto"/>
        <w:ind w:firstLine="120" w:firstLineChars="5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F4F9768">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604" w:name="_Toc465665161"/>
      <w:r>
        <w:rPr>
          <w:rFonts w:hint="eastAsia" w:ascii="宋体" w:hAnsi="宋体" w:cs="宋体"/>
          <w:color w:val="auto"/>
          <w:highlight w:val="none"/>
        </w:rPr>
        <w:t>附件</w:t>
      </w:r>
      <w:bookmarkEnd w:id="604"/>
    </w:p>
    <w:p w14:paraId="3E87CBDD">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3223EFA">
      <w:pPr>
        <w:spacing w:line="360" w:lineRule="auto"/>
        <w:jc w:val="center"/>
        <w:rPr>
          <w:rFonts w:ascii="宋体" w:hAnsi="宋体" w:cs="宋体"/>
          <w:b/>
          <w:color w:val="auto"/>
          <w:spacing w:val="6"/>
          <w:sz w:val="32"/>
          <w:szCs w:val="32"/>
          <w:highlight w:val="none"/>
        </w:rPr>
      </w:pPr>
      <w:bookmarkStart w:id="605" w:name="OLE_LINK14"/>
      <w:bookmarkStart w:id="606" w:name="OLE_LINK13"/>
      <w:r>
        <w:rPr>
          <w:rFonts w:hint="eastAsia" w:ascii="宋体" w:hAnsi="宋体" w:cs="宋体"/>
          <w:b/>
          <w:color w:val="auto"/>
          <w:spacing w:val="6"/>
          <w:sz w:val="32"/>
          <w:szCs w:val="32"/>
          <w:highlight w:val="none"/>
        </w:rPr>
        <w:t>残疾人福利性单位声明函</w:t>
      </w:r>
    </w:p>
    <w:bookmarkEnd w:id="605"/>
    <w:bookmarkEnd w:id="606"/>
    <w:p w14:paraId="502E1781">
      <w:pPr>
        <w:spacing w:line="360" w:lineRule="auto"/>
        <w:rPr>
          <w:rFonts w:ascii="宋体" w:hAnsi="宋体" w:cs="宋体"/>
          <w:b/>
          <w:color w:val="auto"/>
          <w:spacing w:val="6"/>
          <w:sz w:val="30"/>
          <w:szCs w:val="30"/>
          <w:highlight w:val="none"/>
        </w:rPr>
      </w:pPr>
    </w:p>
    <w:p w14:paraId="0E27E0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3F352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1F39490">
      <w:pPr>
        <w:spacing w:line="360" w:lineRule="auto"/>
        <w:ind w:firstLine="480" w:firstLineChars="200"/>
        <w:rPr>
          <w:rFonts w:ascii="宋体" w:hAnsi="宋体" w:cs="宋体"/>
          <w:color w:val="auto"/>
          <w:sz w:val="24"/>
          <w:highlight w:val="none"/>
        </w:rPr>
      </w:pPr>
    </w:p>
    <w:p w14:paraId="67130F0B">
      <w:pPr>
        <w:spacing w:line="360" w:lineRule="auto"/>
        <w:ind w:firstLine="480" w:firstLineChars="200"/>
        <w:rPr>
          <w:rFonts w:ascii="宋体" w:hAnsi="宋体" w:cs="宋体"/>
          <w:color w:val="auto"/>
          <w:sz w:val="24"/>
          <w:highlight w:val="none"/>
        </w:rPr>
      </w:pPr>
    </w:p>
    <w:p w14:paraId="3F8E4B0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6236E15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35064C6">
      <w:pPr>
        <w:spacing w:line="360" w:lineRule="auto"/>
        <w:ind w:firstLine="480" w:firstLineChars="200"/>
        <w:rPr>
          <w:rFonts w:ascii="宋体" w:hAnsi="宋体" w:cs="宋体"/>
          <w:color w:val="auto"/>
          <w:sz w:val="24"/>
          <w:highlight w:val="none"/>
        </w:rPr>
      </w:pPr>
    </w:p>
    <w:p w14:paraId="788A947C">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E7B048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BF45A1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D2AA84A">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8AA384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8D9EC1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B6FAE1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DEFDCE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B9AAE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FCD2C8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C8BFE1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01ECA0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2B4E32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2729FE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BFACDD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39C05F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EC1A0F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2D84B9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D79D986">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3D311C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F33C9E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951C95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15FE7F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3D54F4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B4C21F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9A82E2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15838D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5A43AAA">
      <w:pPr>
        <w:spacing w:line="360" w:lineRule="auto"/>
        <w:jc w:val="center"/>
        <w:rPr>
          <w:rFonts w:ascii="宋体" w:hAnsi="宋体" w:cs="宋体"/>
          <w:b/>
          <w:bCs/>
          <w:color w:val="auto"/>
          <w:sz w:val="24"/>
          <w:highlight w:val="none"/>
        </w:rPr>
      </w:pPr>
    </w:p>
    <w:p w14:paraId="585C809A">
      <w:pPr>
        <w:spacing w:line="360" w:lineRule="auto"/>
        <w:rPr>
          <w:rFonts w:ascii="宋体" w:hAnsi="宋体" w:cs="宋体"/>
          <w:b/>
          <w:color w:val="auto"/>
          <w:sz w:val="24"/>
          <w:highlight w:val="none"/>
        </w:rPr>
      </w:pPr>
    </w:p>
    <w:p w14:paraId="30EEAF3C">
      <w:pPr>
        <w:spacing w:line="360" w:lineRule="auto"/>
        <w:rPr>
          <w:rFonts w:ascii="宋体" w:hAnsi="宋体" w:cs="宋体"/>
          <w:b/>
          <w:color w:val="auto"/>
          <w:sz w:val="24"/>
          <w:highlight w:val="none"/>
        </w:rPr>
      </w:pPr>
    </w:p>
    <w:p w14:paraId="4E7E5E1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A3DED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52D421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316C16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47C60F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D7126D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ABFDB2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B5F7030">
      <w:pPr>
        <w:widowControl/>
        <w:spacing w:line="360" w:lineRule="auto"/>
        <w:ind w:firstLine="600" w:firstLineChars="200"/>
        <w:jc w:val="left"/>
        <w:rPr>
          <w:rFonts w:ascii="宋体" w:hAnsi="宋体" w:cs="宋体"/>
          <w:color w:val="auto"/>
          <w:sz w:val="30"/>
          <w:szCs w:val="30"/>
          <w:highlight w:val="none"/>
        </w:rPr>
      </w:pPr>
    </w:p>
    <w:p w14:paraId="6E4A335C">
      <w:pP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0E4D439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AFB3144">
      <w:pPr>
        <w:spacing w:line="360" w:lineRule="auto"/>
        <w:jc w:val="center"/>
        <w:rPr>
          <w:rFonts w:ascii="宋体" w:hAnsi="宋体" w:cs="宋体"/>
          <w:b/>
          <w:color w:val="auto"/>
          <w:sz w:val="24"/>
          <w:highlight w:val="none"/>
        </w:rPr>
      </w:pPr>
    </w:p>
    <w:p w14:paraId="141E9E4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8D47D5E">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72D32C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2E78D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FFE800">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55B289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F6C4D2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3351C7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520F9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E3D1A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9BB1D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7DD6A7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96D7D8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4F17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AB2C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9488E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7CCFF0C">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087E62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17E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C5EE214">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AEEEE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3851EE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A2C05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3CF4C6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EA5F26A">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0F1678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8F45DC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8560C">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851608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12860E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72A771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311D95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887281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517BBE">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60F0A1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E8AF15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89A48F7">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DCB75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630512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7EFC3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B5B4474">
      <w:pPr>
        <w:spacing w:line="360" w:lineRule="auto"/>
        <w:rPr>
          <w:rFonts w:ascii="宋体" w:hAnsi="宋体" w:cs="宋体"/>
          <w:b/>
          <w:color w:val="auto"/>
          <w:sz w:val="24"/>
          <w:highlight w:val="none"/>
        </w:rPr>
      </w:pPr>
    </w:p>
    <w:p w14:paraId="1D469746">
      <w:pPr>
        <w:spacing w:line="360" w:lineRule="auto"/>
        <w:rPr>
          <w:rFonts w:ascii="宋体" w:hAnsi="宋体" w:cs="宋体"/>
          <w:b/>
          <w:color w:val="auto"/>
          <w:sz w:val="24"/>
          <w:highlight w:val="none"/>
        </w:rPr>
      </w:pPr>
    </w:p>
    <w:p w14:paraId="01F4A77F">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B5781A3">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145A32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5F8187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F16F93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5593E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6442E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73CDD5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80B7299">
      <w:pPr>
        <w:spacing w:line="360" w:lineRule="auto"/>
        <w:rPr>
          <w:rFonts w:ascii="宋体" w:hAnsi="宋体" w:cs="宋体"/>
          <w:b/>
          <w:color w:val="auto"/>
          <w:sz w:val="24"/>
          <w:highlight w:val="none"/>
        </w:rPr>
      </w:pPr>
    </w:p>
    <w:p w14:paraId="23F1B651">
      <w:pPr>
        <w:autoSpaceDE w:val="0"/>
        <w:autoSpaceDN w:val="0"/>
        <w:jc w:val="center"/>
        <w:rPr>
          <w:rFonts w:ascii="宋体" w:hAnsi="宋体" w:cs="宋体"/>
          <w:b/>
          <w:color w:val="auto"/>
          <w:spacing w:val="6"/>
          <w:sz w:val="32"/>
          <w:szCs w:val="32"/>
          <w:highlight w:val="none"/>
        </w:rPr>
      </w:pPr>
    </w:p>
    <w:p w14:paraId="3B7FB56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6A4A04">
      <w:pPr>
        <w:spacing w:line="360" w:lineRule="auto"/>
        <w:rPr>
          <w:rFonts w:ascii="宋体" w:hAnsi="宋体" w:cs="宋体"/>
          <w:color w:val="auto"/>
          <w:sz w:val="24"/>
          <w:highlight w:val="none"/>
          <w:u w:val="single"/>
        </w:rPr>
      </w:pPr>
    </w:p>
    <w:p w14:paraId="36D03885">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101502D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你方组织的（项目名称）项目【项目编号：（采购编号）】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659B9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C3900C5">
      <w:pPr>
        <w:spacing w:line="360" w:lineRule="auto"/>
        <w:ind w:firstLine="494"/>
        <w:rPr>
          <w:rFonts w:ascii="宋体" w:hAnsi="宋体" w:cs="宋体"/>
          <w:color w:val="auto"/>
          <w:sz w:val="24"/>
          <w:highlight w:val="none"/>
        </w:rPr>
      </w:pPr>
    </w:p>
    <w:p w14:paraId="7838EAD7">
      <w:pPr>
        <w:spacing w:line="360" w:lineRule="auto"/>
        <w:ind w:firstLine="494"/>
        <w:rPr>
          <w:rFonts w:ascii="宋体" w:hAnsi="宋体" w:cs="宋体"/>
          <w:color w:val="auto"/>
          <w:sz w:val="24"/>
          <w:highlight w:val="none"/>
        </w:rPr>
      </w:pPr>
    </w:p>
    <w:p w14:paraId="26D4113F">
      <w:pPr>
        <w:spacing w:line="360" w:lineRule="auto"/>
        <w:ind w:firstLine="494"/>
        <w:rPr>
          <w:rFonts w:ascii="宋体" w:hAnsi="宋体" w:cs="宋体"/>
          <w:color w:val="auto"/>
          <w:sz w:val="24"/>
          <w:highlight w:val="none"/>
        </w:rPr>
      </w:pPr>
    </w:p>
    <w:p w14:paraId="16A0CA1B">
      <w:pPr>
        <w:spacing w:line="360" w:lineRule="auto"/>
        <w:ind w:firstLine="494"/>
        <w:rPr>
          <w:rFonts w:ascii="宋体" w:hAnsi="宋体" w:cs="宋体"/>
          <w:color w:val="auto"/>
          <w:sz w:val="24"/>
          <w:highlight w:val="none"/>
        </w:rPr>
      </w:pPr>
    </w:p>
    <w:p w14:paraId="7CC82ECA">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195BF5CA">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E883BAC">
      <w:pPr>
        <w:rPr>
          <w:rFonts w:ascii="宋体" w:hAnsi="宋体" w:cs="宋体"/>
          <w:color w:val="auto"/>
          <w:sz w:val="24"/>
          <w:highlight w:val="none"/>
        </w:rPr>
      </w:pPr>
      <w:r>
        <w:rPr>
          <w:rFonts w:hint="eastAsia" w:ascii="宋体" w:hAnsi="宋体" w:cs="宋体"/>
          <w:b/>
          <w:bCs/>
          <w:color w:val="auto"/>
          <w:sz w:val="24"/>
          <w:highlight w:val="none"/>
        </w:rPr>
        <w:t>附：</w:t>
      </w:r>
    </w:p>
    <w:p w14:paraId="41DFDA0C">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21490A57">
      <w:pPr>
        <w:autoSpaceDE w:val="0"/>
        <w:autoSpaceDN w:val="0"/>
        <w:jc w:val="center"/>
        <w:rPr>
          <w:rFonts w:ascii="宋体" w:hAnsi="宋体" w:cs="宋体"/>
          <w:b/>
          <w:color w:val="auto"/>
          <w:spacing w:val="6"/>
          <w:sz w:val="32"/>
          <w:szCs w:val="32"/>
          <w:highlight w:val="none"/>
        </w:rPr>
      </w:pPr>
    </w:p>
    <w:p w14:paraId="115CB6A7">
      <w:pPr>
        <w:autoSpaceDE w:val="0"/>
        <w:autoSpaceDN w:val="0"/>
        <w:jc w:val="center"/>
        <w:rPr>
          <w:rFonts w:ascii="宋体" w:hAnsi="宋体" w:cs="宋体"/>
          <w:b/>
          <w:color w:val="auto"/>
          <w:spacing w:val="6"/>
          <w:sz w:val="32"/>
          <w:szCs w:val="32"/>
          <w:highlight w:val="none"/>
        </w:rPr>
      </w:pPr>
    </w:p>
    <w:p w14:paraId="195A1B58">
      <w:pPr>
        <w:autoSpaceDE w:val="0"/>
        <w:autoSpaceDN w:val="0"/>
        <w:jc w:val="center"/>
        <w:rPr>
          <w:rFonts w:ascii="宋体" w:hAnsi="宋体" w:cs="宋体"/>
          <w:b/>
          <w:color w:val="auto"/>
          <w:spacing w:val="6"/>
          <w:sz w:val="32"/>
          <w:szCs w:val="32"/>
          <w:highlight w:val="none"/>
        </w:rPr>
      </w:pPr>
    </w:p>
    <w:p w14:paraId="1224DE0A">
      <w:pPr>
        <w:autoSpaceDE w:val="0"/>
        <w:autoSpaceDN w:val="0"/>
        <w:jc w:val="center"/>
        <w:rPr>
          <w:rFonts w:ascii="宋体" w:hAnsi="宋体" w:cs="宋体"/>
          <w:b/>
          <w:color w:val="auto"/>
          <w:spacing w:val="6"/>
          <w:sz w:val="32"/>
          <w:szCs w:val="32"/>
          <w:highlight w:val="none"/>
        </w:rPr>
      </w:pPr>
    </w:p>
    <w:p w14:paraId="0B5DC42E">
      <w:pPr>
        <w:autoSpaceDE w:val="0"/>
        <w:autoSpaceDN w:val="0"/>
        <w:jc w:val="center"/>
        <w:rPr>
          <w:rFonts w:ascii="宋体" w:hAnsi="宋体" w:cs="宋体"/>
          <w:b/>
          <w:color w:val="auto"/>
          <w:spacing w:val="6"/>
          <w:sz w:val="32"/>
          <w:szCs w:val="32"/>
          <w:highlight w:val="none"/>
        </w:rPr>
      </w:pPr>
    </w:p>
    <w:p w14:paraId="67603521">
      <w:pPr>
        <w:autoSpaceDE w:val="0"/>
        <w:autoSpaceDN w:val="0"/>
        <w:jc w:val="center"/>
        <w:rPr>
          <w:rFonts w:ascii="宋体" w:hAnsi="宋体" w:cs="宋体"/>
          <w:b/>
          <w:color w:val="auto"/>
          <w:spacing w:val="6"/>
          <w:sz w:val="32"/>
          <w:szCs w:val="32"/>
          <w:highlight w:val="none"/>
        </w:rPr>
      </w:pPr>
    </w:p>
    <w:p w14:paraId="31E4B10F">
      <w:pPr>
        <w:autoSpaceDE w:val="0"/>
        <w:autoSpaceDN w:val="0"/>
        <w:jc w:val="center"/>
        <w:rPr>
          <w:rFonts w:ascii="宋体" w:hAnsi="宋体" w:cs="宋体"/>
          <w:b/>
          <w:color w:val="auto"/>
          <w:spacing w:val="6"/>
          <w:sz w:val="32"/>
          <w:szCs w:val="32"/>
          <w:highlight w:val="none"/>
        </w:rPr>
      </w:pPr>
    </w:p>
    <w:p w14:paraId="72688C5D">
      <w:pPr>
        <w:autoSpaceDE w:val="0"/>
        <w:autoSpaceDN w:val="0"/>
        <w:jc w:val="center"/>
        <w:rPr>
          <w:rFonts w:ascii="宋体" w:hAnsi="宋体" w:cs="宋体"/>
          <w:b/>
          <w:color w:val="auto"/>
          <w:spacing w:val="6"/>
          <w:sz w:val="32"/>
          <w:szCs w:val="32"/>
          <w:highlight w:val="none"/>
        </w:rPr>
      </w:pPr>
    </w:p>
    <w:p w14:paraId="389B2A50">
      <w:pPr>
        <w:autoSpaceDE w:val="0"/>
        <w:autoSpaceDN w:val="0"/>
        <w:jc w:val="center"/>
        <w:rPr>
          <w:rFonts w:ascii="宋体" w:hAnsi="宋体" w:cs="宋体"/>
          <w:b/>
          <w:color w:val="auto"/>
          <w:spacing w:val="6"/>
          <w:sz w:val="32"/>
          <w:szCs w:val="32"/>
          <w:highlight w:val="none"/>
        </w:rPr>
      </w:pPr>
    </w:p>
    <w:p w14:paraId="5F852AB8">
      <w:pPr>
        <w:autoSpaceDE w:val="0"/>
        <w:autoSpaceDN w:val="0"/>
        <w:jc w:val="center"/>
        <w:rPr>
          <w:rFonts w:ascii="宋体" w:hAnsi="宋体" w:cs="宋体"/>
          <w:b/>
          <w:color w:val="auto"/>
          <w:spacing w:val="6"/>
          <w:sz w:val="32"/>
          <w:szCs w:val="32"/>
          <w:highlight w:val="none"/>
        </w:rPr>
      </w:pPr>
    </w:p>
    <w:p w14:paraId="79A2CF06">
      <w:pPr>
        <w:autoSpaceDE w:val="0"/>
        <w:autoSpaceDN w:val="0"/>
        <w:jc w:val="center"/>
        <w:rPr>
          <w:rFonts w:ascii="宋体" w:hAnsi="宋体" w:cs="宋体"/>
          <w:b/>
          <w:color w:val="auto"/>
          <w:spacing w:val="6"/>
          <w:sz w:val="32"/>
          <w:szCs w:val="32"/>
          <w:highlight w:val="none"/>
        </w:rPr>
      </w:pPr>
    </w:p>
    <w:p w14:paraId="2054325E">
      <w:pPr>
        <w:autoSpaceDE w:val="0"/>
        <w:autoSpaceDN w:val="0"/>
        <w:jc w:val="center"/>
        <w:rPr>
          <w:rFonts w:ascii="宋体" w:hAnsi="宋体" w:cs="宋体"/>
          <w:b/>
          <w:color w:val="auto"/>
          <w:spacing w:val="6"/>
          <w:sz w:val="32"/>
          <w:szCs w:val="32"/>
          <w:highlight w:val="none"/>
        </w:rPr>
      </w:pPr>
    </w:p>
    <w:p w14:paraId="3D3B6A92">
      <w:pPr>
        <w:autoSpaceDE w:val="0"/>
        <w:autoSpaceDN w:val="0"/>
        <w:jc w:val="center"/>
        <w:rPr>
          <w:rFonts w:ascii="宋体" w:hAnsi="宋体" w:cs="宋体"/>
          <w:b/>
          <w:color w:val="auto"/>
          <w:spacing w:val="6"/>
          <w:sz w:val="32"/>
          <w:szCs w:val="32"/>
          <w:highlight w:val="none"/>
        </w:rPr>
      </w:pPr>
    </w:p>
    <w:p w14:paraId="6797984C">
      <w:pPr>
        <w:autoSpaceDE w:val="0"/>
        <w:autoSpaceDN w:val="0"/>
        <w:jc w:val="center"/>
        <w:rPr>
          <w:rFonts w:ascii="宋体" w:hAnsi="宋体" w:cs="宋体"/>
          <w:b/>
          <w:color w:val="auto"/>
          <w:spacing w:val="6"/>
          <w:sz w:val="32"/>
          <w:szCs w:val="32"/>
          <w:highlight w:val="none"/>
        </w:rPr>
      </w:pPr>
    </w:p>
    <w:p w14:paraId="3AB778A4">
      <w:pPr>
        <w:autoSpaceDE w:val="0"/>
        <w:autoSpaceDN w:val="0"/>
        <w:jc w:val="center"/>
        <w:rPr>
          <w:rFonts w:ascii="宋体" w:hAnsi="宋体" w:cs="宋体"/>
          <w:b/>
          <w:color w:val="auto"/>
          <w:spacing w:val="6"/>
          <w:sz w:val="32"/>
          <w:szCs w:val="32"/>
          <w:highlight w:val="none"/>
        </w:rPr>
      </w:pPr>
    </w:p>
    <w:p w14:paraId="79A87368">
      <w:pPr>
        <w:autoSpaceDE w:val="0"/>
        <w:autoSpaceDN w:val="0"/>
        <w:jc w:val="center"/>
        <w:rPr>
          <w:rFonts w:ascii="宋体" w:hAnsi="宋体" w:cs="宋体"/>
          <w:b/>
          <w:color w:val="auto"/>
          <w:spacing w:val="6"/>
          <w:sz w:val="32"/>
          <w:szCs w:val="32"/>
          <w:highlight w:val="none"/>
        </w:rPr>
      </w:pPr>
    </w:p>
    <w:p w14:paraId="039C67AB">
      <w:pPr>
        <w:autoSpaceDE w:val="0"/>
        <w:autoSpaceDN w:val="0"/>
        <w:jc w:val="center"/>
        <w:rPr>
          <w:rFonts w:ascii="宋体" w:hAnsi="宋体" w:cs="宋体"/>
          <w:b/>
          <w:color w:val="auto"/>
          <w:spacing w:val="6"/>
          <w:sz w:val="32"/>
          <w:szCs w:val="32"/>
          <w:highlight w:val="none"/>
        </w:rPr>
      </w:pPr>
    </w:p>
    <w:p w14:paraId="2F0955DB">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66475D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19F86A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17981B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D1287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1B381C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1F46ED60">
      <w:pPr>
        <w:snapToGrid w:val="0"/>
        <w:spacing w:line="360" w:lineRule="auto"/>
        <w:ind w:firstLine="576"/>
        <w:rPr>
          <w:rFonts w:ascii="宋体" w:hAnsi="宋体" w:cs="宋体"/>
          <w:color w:val="auto"/>
          <w:kern w:val="0"/>
          <w:sz w:val="24"/>
          <w:highlight w:val="none"/>
          <w:lang w:val="zh-CN"/>
        </w:rPr>
      </w:pPr>
      <w:bookmarkStart w:id="60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9AF582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C37691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607"/>
    <w:p w14:paraId="51C397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9314FB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1B1A04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7C5795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129486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469BE6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B06C7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34A47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94A552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1B7D6C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CB2A05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C31107">
      <w:pPr>
        <w:autoSpaceDE w:val="0"/>
        <w:autoSpaceDN w:val="0"/>
        <w:jc w:val="center"/>
        <w:rPr>
          <w:rFonts w:ascii="宋体" w:hAnsi="宋体" w:cs="宋体"/>
          <w:b/>
          <w:color w:val="auto"/>
          <w:spacing w:val="6"/>
          <w:sz w:val="32"/>
          <w:szCs w:val="32"/>
          <w:highlight w:val="none"/>
        </w:rPr>
        <w:sectPr>
          <w:pgSz w:w="11905" w:h="16838"/>
          <w:pgMar w:top="1417" w:right="1417" w:bottom="1417" w:left="1417" w:header="850" w:footer="992" w:gutter="0"/>
          <w:cols w:space="0" w:num="1"/>
          <w:titlePg/>
          <w:rtlGutter w:val="0"/>
          <w:docGrid w:linePitch="312" w:charSpace="0"/>
        </w:sectPr>
      </w:pPr>
    </w:p>
    <w:p w14:paraId="3B196C5E">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1B4EB81C">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713A981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25D8F1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F149C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C7F96FB">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5F40B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ED26E70">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B83CAED">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60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608"/>
    </w:p>
    <w:p w14:paraId="00FB70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926ED96">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C7ABB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A6EDD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E5D6C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28A034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90DDE5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103B3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FEBB8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1E3A5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09EBBC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5A43129B">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642FAE6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9596F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80895EB">
      <w:pPr>
        <w:autoSpaceDE w:val="0"/>
        <w:autoSpaceDN w:val="0"/>
        <w:jc w:val="center"/>
        <w:rPr>
          <w:rFonts w:ascii="宋体" w:hAnsi="宋体" w:cs="宋体"/>
          <w:b/>
          <w:color w:val="auto"/>
          <w:spacing w:val="6"/>
          <w:sz w:val="32"/>
          <w:szCs w:val="32"/>
          <w:highlight w:val="none"/>
        </w:rPr>
      </w:pPr>
    </w:p>
    <w:p w14:paraId="15F7B769">
      <w:pPr>
        <w:autoSpaceDE w:val="0"/>
        <w:autoSpaceDN w:val="0"/>
        <w:jc w:val="center"/>
        <w:rPr>
          <w:rFonts w:ascii="宋体" w:hAnsi="宋体" w:cs="宋体"/>
          <w:b/>
          <w:color w:val="auto"/>
          <w:spacing w:val="6"/>
          <w:sz w:val="32"/>
          <w:szCs w:val="32"/>
          <w:highlight w:val="none"/>
        </w:rPr>
        <w:sectPr>
          <w:pgSz w:w="11905" w:h="16838"/>
          <w:pgMar w:top="1417" w:right="1417" w:bottom="1417" w:left="1417" w:header="850" w:footer="992" w:gutter="0"/>
          <w:cols w:space="0" w:num="1"/>
          <w:titlePg/>
          <w:rtlGutter w:val="0"/>
          <w:docGrid w:linePitch="312" w:charSpace="0"/>
        </w:sectPr>
      </w:pPr>
    </w:p>
    <w:p w14:paraId="551D76B6">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2715583E">
      <w:pPr>
        <w:spacing w:line="360" w:lineRule="auto"/>
        <w:jc w:val="center"/>
        <w:rPr>
          <w:rFonts w:ascii="宋体" w:hAnsi="宋体" w:cs="宋体"/>
          <w:color w:val="auto"/>
          <w:sz w:val="24"/>
          <w:highlight w:val="none"/>
          <w:u w:val="single"/>
        </w:rPr>
      </w:pPr>
    </w:p>
    <w:p w14:paraId="1CF09516">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10534D0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杭州二中东河校区校舍维修与环境提升项目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E890B4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9C174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3C9281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291BBF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14FACE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A4BDF3E">
      <w:pPr>
        <w:spacing w:line="360" w:lineRule="auto"/>
        <w:ind w:firstLine="480" w:firstLineChars="200"/>
        <w:rPr>
          <w:rFonts w:ascii="宋体" w:hAnsi="宋体" w:cs="宋体"/>
          <w:color w:val="auto"/>
          <w:sz w:val="24"/>
          <w:highlight w:val="none"/>
        </w:rPr>
      </w:pPr>
    </w:p>
    <w:p w14:paraId="62BE0BEF">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C27A4A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CBAC3F8">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4614C9C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62EC2167">
      <w:pPr>
        <w:spacing w:line="360" w:lineRule="auto"/>
        <w:ind w:firstLine="480" w:firstLineChars="200"/>
        <w:rPr>
          <w:rFonts w:ascii="宋体" w:hAnsi="宋体" w:cs="仿宋_GB2312"/>
          <w:b/>
          <w:color w:val="auto"/>
          <w:sz w:val="24"/>
          <w:highlight w:val="none"/>
        </w:rPr>
      </w:pPr>
      <w:r>
        <w:rPr>
          <w:rFonts w:hint="eastAsia" w:ascii="宋体" w:hAnsi="宋体" w:cs="宋体"/>
          <w:color w:val="auto"/>
          <w:sz w:val="24"/>
          <w:highlight w:val="none"/>
          <w:lang w:bidi="ar"/>
        </w:rPr>
        <w:t>①从业人员、营业收入、资产总额填报上一年度数据，无上一年度数据的新成立企业可不填报。</w:t>
      </w:r>
      <w:r>
        <w:rPr>
          <w:rFonts w:hint="eastAsia" w:ascii="宋体" w:hAnsi="宋体" w:cs="宋体"/>
          <w:color w:val="auto"/>
          <w:sz w:val="24"/>
          <w:highlight w:val="none"/>
          <w:shd w:val="clear" w:color="auto"/>
          <w:lang w:bidi="ar"/>
        </w:rPr>
        <w:t>②《中小企业声明函》中“标的名称”、“采购文件中明确的所属行业”依据招标文件第二部分投标人须知前附表中“采购标的及其对应的中小企业划分标准所属行业”的指引，逐一填写，不得缺漏。</w:t>
      </w:r>
    </w:p>
    <w:p w14:paraId="61456C06">
      <w:pPr>
        <w:spacing w:line="360" w:lineRule="auto"/>
        <w:jc w:val="center"/>
        <w:rPr>
          <w:rFonts w:ascii="宋体" w:hAnsi="宋体" w:cs="宋体"/>
          <w:b/>
          <w:color w:val="auto"/>
          <w:sz w:val="32"/>
          <w:szCs w:val="32"/>
          <w:highlight w:val="none"/>
        </w:rPr>
      </w:pPr>
    </w:p>
    <w:p w14:paraId="4E5D8E2F">
      <w:pPr>
        <w:spacing w:line="360" w:lineRule="auto"/>
        <w:rPr>
          <w:rFonts w:ascii="宋体" w:hAnsi="宋体" w:cs="宋体"/>
          <w:bCs/>
          <w:color w:val="auto"/>
          <w:sz w:val="24"/>
          <w:highlight w:val="none"/>
        </w:rPr>
        <w:sectPr>
          <w:pgSz w:w="11905" w:h="16838"/>
          <w:pgMar w:top="1417" w:right="1417" w:bottom="1417" w:left="1417" w:header="850" w:footer="992" w:gutter="0"/>
          <w:cols w:space="0" w:num="1"/>
          <w:titlePg/>
          <w:rtlGutter w:val="0"/>
          <w:docGrid w:linePitch="312" w:charSpace="0"/>
        </w:sectPr>
      </w:pPr>
    </w:p>
    <w:p w14:paraId="2A81E48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465FF71A">
      <w:pPr>
        <w:spacing w:line="360" w:lineRule="auto"/>
        <w:rPr>
          <w:rFonts w:ascii="宋体" w:hAnsi="宋体" w:cs="宋体"/>
          <w:b/>
          <w:color w:val="auto"/>
          <w:spacing w:val="6"/>
          <w:sz w:val="32"/>
          <w:szCs w:val="32"/>
          <w:highlight w:val="none"/>
        </w:rPr>
      </w:pPr>
    </w:p>
    <w:p w14:paraId="4A408212">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758970F6">
      <w:pPr>
        <w:pStyle w:val="27"/>
        <w:ind w:firstLine="0" w:firstLineChars="0"/>
        <w:rPr>
          <w:color w:val="auto"/>
          <w:highlight w:val="none"/>
        </w:rPr>
        <w:sectPr>
          <w:pgSz w:w="11905" w:h="16838"/>
          <w:pgMar w:top="1417" w:right="1417" w:bottom="1417" w:left="1417" w:header="850" w:footer="992" w:gutter="0"/>
          <w:cols w:space="0" w:num="1"/>
          <w:titlePg/>
          <w:rtlGutter w:val="0"/>
          <w:docGrid w:linePitch="312" w:charSpace="0"/>
        </w:sectPr>
      </w:pPr>
    </w:p>
    <w:p w14:paraId="4D581233">
      <w:pPr>
        <w:pStyle w:val="4"/>
        <w:numPr>
          <w:ilvl w:val="255"/>
          <w:numId w:val="0"/>
        </w:numPr>
        <w:rPr>
          <w:rFonts w:ascii="宋体" w:hAnsi="宋体" w:cs="宋体"/>
          <w:color w:val="auto"/>
          <w:highlight w:val="none"/>
        </w:rPr>
      </w:pPr>
      <w:bookmarkStart w:id="609" w:name="_Toc7668947"/>
      <w:bookmarkStart w:id="610" w:name="_Toc7663594"/>
      <w:bookmarkStart w:id="611" w:name="_Toc17428251"/>
      <w:bookmarkStart w:id="612" w:name="_Toc7993638"/>
      <w:bookmarkStart w:id="613" w:name="_Toc7492525"/>
      <w:bookmarkStart w:id="614" w:name="_Toc7988472"/>
      <w:bookmarkStart w:id="615" w:name="_Toc7488756"/>
      <w:bookmarkStart w:id="616" w:name="_Toc8007002"/>
      <w:bookmarkStart w:id="617" w:name="_Toc10432455"/>
      <w:bookmarkStart w:id="618" w:name="_Toc7988418"/>
      <w:bookmarkStart w:id="619" w:name="_Toc24471815"/>
      <w:bookmarkStart w:id="620" w:name="_Toc20358289"/>
      <w:bookmarkStart w:id="621" w:name="_Toc25765007"/>
      <w:bookmarkStart w:id="622" w:name="_Toc7542913"/>
      <w:bookmarkStart w:id="623" w:name="_Toc7664194"/>
      <w:bookmarkStart w:id="624" w:name="_Toc7574702"/>
      <w:bookmarkStart w:id="625" w:name="_Toc17428346"/>
      <w:r>
        <w:rPr>
          <w:rFonts w:hint="eastAsia" w:ascii="宋体" w:hAnsi="宋体" w:cs="宋体"/>
          <w:color w:val="auto"/>
          <w:highlight w:val="none"/>
        </w:rPr>
        <w:t>其它</w:t>
      </w:r>
    </w:p>
    <w:p w14:paraId="4F6FEE60">
      <w:pPr>
        <w:pStyle w:val="5"/>
        <w:rPr>
          <w:rFonts w:hAnsi="宋体" w:cs="宋体"/>
          <w:color w:val="auto"/>
          <w:highlight w:val="none"/>
        </w:rPr>
      </w:pPr>
      <w:r>
        <w:rPr>
          <w:rFonts w:hint="eastAsia" w:hAnsi="宋体" w:cs="宋体"/>
          <w:color w:val="auto"/>
          <w:highlight w:val="none"/>
        </w:rPr>
        <w:t>（以下文件及规定如与最新规定不一致，以最新发布的为准）</w:t>
      </w:r>
    </w:p>
    <w:p w14:paraId="06F1A70E">
      <w:pPr>
        <w:pStyle w:val="4"/>
        <w:rPr>
          <w:rFonts w:ascii="宋体" w:hAnsi="宋体" w:cs="宋体"/>
          <w:color w:val="auto"/>
          <w:highlight w:val="none"/>
        </w:rPr>
      </w:pPr>
      <w:r>
        <w:rPr>
          <w:rFonts w:hint="eastAsia" w:ascii="宋体" w:hAnsi="宋体" w:cs="宋体"/>
          <w:color w:val="auto"/>
          <w:highlight w:val="none"/>
        </w:rPr>
        <w:t>关于调整优化节能产品、环境标志产品政府采购执行机制的通知（财库[2019]9号）</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tbl>
      <w:tblPr>
        <w:tblStyle w:val="62"/>
        <w:tblW w:w="0" w:type="auto"/>
        <w:jc w:val="center"/>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14:paraId="7B08662D">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rPr>
          <w:jc w:val="center"/>
        </w:trPr>
        <w:tc>
          <w:tcPr>
            <w:tcW w:w="9145" w:type="dxa"/>
          </w:tcPr>
          <w:p w14:paraId="6FE6D79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财政部 发展改革委 生态环境部 市场监管总局</w:t>
            </w:r>
          </w:p>
          <w:p w14:paraId="6C881CC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关于调整优化节能产品、环境标志产品政府采购执行机制的通知</w:t>
            </w:r>
          </w:p>
          <w:p w14:paraId="7539917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财库〔2019〕9号</w:t>
            </w:r>
          </w:p>
          <w:p w14:paraId="4713B984">
            <w:pPr>
              <w:spacing w:line="360" w:lineRule="auto"/>
              <w:jc w:val="center"/>
              <w:rPr>
                <w:rFonts w:ascii="宋体" w:hAnsi="宋体" w:cs="宋体"/>
                <w:b/>
                <w:color w:val="auto"/>
                <w:sz w:val="24"/>
                <w:highlight w:val="none"/>
              </w:rPr>
            </w:pPr>
          </w:p>
          <w:p w14:paraId="533ACA51">
            <w:pPr>
              <w:spacing w:line="360" w:lineRule="auto"/>
              <w:ind w:firstLine="487"/>
              <w:rPr>
                <w:rFonts w:ascii="宋体" w:hAnsi="宋体" w:cs="宋体"/>
                <w:b/>
                <w:color w:val="auto"/>
                <w:sz w:val="24"/>
                <w:highlight w:val="none"/>
              </w:rPr>
            </w:pPr>
            <w:r>
              <w:rPr>
                <w:rFonts w:hint="eastAsia" w:ascii="宋体" w:hAnsi="宋体" w:cs="宋体"/>
                <w:b/>
                <w:color w:val="auto"/>
                <w:sz w:val="24"/>
                <w:highlight w:val="none"/>
              </w:rPr>
              <w:t>有关中央预算单位，各省、自治区、直辖市、计划单列市财政厅（局）、发展改革委（经信委、工信委、工信厅、经信局）、生态环境厅（局）、市场监管部门，新疆生产建设兵团财政局、发展改革委、工信委、环境保护局、市场监管局：</w:t>
            </w:r>
          </w:p>
          <w:p w14:paraId="139F4185">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38E502EF">
            <w:pPr>
              <w:spacing w:line="360" w:lineRule="auto"/>
              <w:ind w:firstLine="426" w:firstLineChars="177"/>
              <w:rPr>
                <w:rFonts w:ascii="宋体" w:hAnsi="宋体" w:cs="宋体"/>
                <w:color w:val="auto"/>
                <w:sz w:val="24"/>
                <w:highlight w:val="none"/>
              </w:rPr>
            </w:pPr>
            <w:r>
              <w:rPr>
                <w:rFonts w:hint="eastAsia" w:ascii="宋体" w:hAnsi="宋体" w:cs="宋体"/>
                <w:b/>
                <w:color w:val="auto"/>
                <w:sz w:val="24"/>
                <w:highlight w:val="none"/>
              </w:rPr>
              <w:t>一、对政府采购节能产品、环境标志产品实施品目清单管理。</w:t>
            </w:r>
            <w:r>
              <w:rPr>
                <w:rFonts w:hint="eastAsia" w:ascii="宋体" w:hAnsi="宋体" w:cs="宋体"/>
                <w:color w:val="auto"/>
                <w:sz w:val="24"/>
                <w:highlight w:val="none"/>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164C942F">
            <w:pPr>
              <w:spacing w:line="360" w:lineRule="auto"/>
              <w:ind w:firstLine="426" w:firstLineChars="177"/>
              <w:rPr>
                <w:rFonts w:ascii="宋体" w:hAnsi="宋体" w:cs="宋体"/>
                <w:color w:val="auto"/>
                <w:sz w:val="24"/>
                <w:highlight w:val="none"/>
              </w:rPr>
            </w:pPr>
            <w:r>
              <w:rPr>
                <w:rFonts w:hint="eastAsia" w:ascii="宋体" w:hAnsi="宋体" w:cs="宋体"/>
                <w:b/>
                <w:color w:val="auto"/>
                <w:sz w:val="24"/>
                <w:highlight w:val="none"/>
              </w:rPr>
              <w:t>二、依据品目清单和认证证书实施政府优先采购和强制采购。</w:t>
            </w:r>
            <w:r>
              <w:rPr>
                <w:rFonts w:hint="eastAsia" w:ascii="宋体" w:hAnsi="宋体" w:cs="宋体"/>
                <w:color w:val="auto"/>
                <w:sz w:val="24"/>
                <w:highlight w:val="none"/>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F56D094">
            <w:pPr>
              <w:spacing w:line="360" w:lineRule="auto"/>
              <w:ind w:firstLine="426" w:firstLineChars="177"/>
              <w:rPr>
                <w:rFonts w:ascii="宋体" w:hAnsi="宋体" w:cs="宋体"/>
                <w:color w:val="auto"/>
                <w:sz w:val="24"/>
                <w:highlight w:val="none"/>
              </w:rPr>
            </w:pPr>
            <w:r>
              <w:rPr>
                <w:rFonts w:hint="eastAsia" w:ascii="宋体" w:hAnsi="宋体" w:cs="宋体"/>
                <w:b/>
                <w:color w:val="auto"/>
                <w:sz w:val="24"/>
                <w:highlight w:val="none"/>
              </w:rPr>
              <w:t>三、逐步扩大节能产品、环境标志产品认证机构范围。</w:t>
            </w:r>
            <w:r>
              <w:rPr>
                <w:rFonts w:hint="eastAsia" w:ascii="宋体" w:hAnsi="宋体" w:cs="宋体"/>
                <w:color w:val="auto"/>
                <w:sz w:val="24"/>
                <w:highlight w:val="none"/>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2B6C66F7">
            <w:pPr>
              <w:spacing w:line="360" w:lineRule="auto"/>
              <w:ind w:firstLine="426" w:firstLineChars="177"/>
              <w:rPr>
                <w:rFonts w:ascii="宋体" w:hAnsi="宋体" w:cs="宋体"/>
                <w:color w:val="auto"/>
                <w:sz w:val="24"/>
                <w:highlight w:val="none"/>
              </w:rPr>
            </w:pPr>
            <w:r>
              <w:rPr>
                <w:rFonts w:hint="eastAsia" w:ascii="宋体" w:hAnsi="宋体" w:cs="宋体"/>
                <w:b/>
                <w:color w:val="auto"/>
                <w:sz w:val="24"/>
                <w:highlight w:val="none"/>
              </w:rPr>
              <w:t>四、发布认证机构和获证产品信息。</w:t>
            </w:r>
            <w:r>
              <w:rPr>
                <w:rFonts w:hint="eastAsia" w:ascii="宋体" w:hAnsi="宋体" w:cs="宋体"/>
                <w:color w:val="auto"/>
                <w:sz w:val="24"/>
                <w:highlight w:val="none"/>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422F8980">
            <w:pPr>
              <w:spacing w:line="360" w:lineRule="auto"/>
              <w:ind w:firstLine="426" w:firstLineChars="177"/>
              <w:rPr>
                <w:rFonts w:ascii="宋体" w:hAnsi="宋体" w:cs="宋体"/>
                <w:color w:val="auto"/>
                <w:sz w:val="24"/>
                <w:highlight w:val="none"/>
              </w:rPr>
            </w:pPr>
            <w:r>
              <w:rPr>
                <w:rFonts w:hint="eastAsia" w:ascii="宋体" w:hAnsi="宋体" w:cs="宋体"/>
                <w:b/>
                <w:color w:val="auto"/>
                <w:sz w:val="24"/>
                <w:highlight w:val="none"/>
              </w:rPr>
              <w:t>五、加大政府绿色采购力度。</w:t>
            </w:r>
            <w:r>
              <w:rPr>
                <w:rFonts w:hint="eastAsia" w:ascii="宋体" w:hAnsi="宋体" w:cs="宋体"/>
                <w:color w:val="auto"/>
                <w:sz w:val="24"/>
                <w:highlight w:val="none"/>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0576AD98">
            <w:pPr>
              <w:spacing w:line="360" w:lineRule="auto"/>
              <w:ind w:firstLine="426" w:firstLineChars="177"/>
              <w:rPr>
                <w:rFonts w:ascii="宋体" w:hAnsi="宋体" w:cs="宋体"/>
                <w:color w:val="auto"/>
                <w:sz w:val="24"/>
                <w:highlight w:val="none"/>
              </w:rPr>
            </w:pPr>
            <w:r>
              <w:rPr>
                <w:rFonts w:hint="eastAsia" w:ascii="宋体" w:hAnsi="宋体" w:cs="宋体"/>
                <w:b/>
                <w:color w:val="auto"/>
                <w:sz w:val="24"/>
                <w:highlight w:val="none"/>
              </w:rPr>
              <w:t>六、本通知自2019年4月1日起执行。</w:t>
            </w:r>
            <w:r>
              <w:rPr>
                <w:rFonts w:hint="eastAsia" w:ascii="宋体" w:hAnsi="宋体" w:cs="宋体"/>
                <w:color w:val="auto"/>
                <w:sz w:val="24"/>
                <w:highlight w:val="none"/>
              </w:rPr>
              <w:t>《财政部 生态环境部关于调整公布第二十二期环境标志产品政府采购清单的通知》（财库〔2018〕70号）和《财政部 国家发展改革委关于调整公布第二十四期节能产品政府采购清单的通知》（财库〔2018〕73号）同时停止执行。</w:t>
            </w:r>
          </w:p>
          <w:p w14:paraId="3C6DA629">
            <w:pPr>
              <w:spacing w:line="360" w:lineRule="auto"/>
              <w:jc w:val="right"/>
              <w:rPr>
                <w:rFonts w:ascii="宋体" w:hAnsi="宋体" w:cs="宋体"/>
                <w:color w:val="auto"/>
                <w:sz w:val="24"/>
                <w:highlight w:val="none"/>
              </w:rPr>
            </w:pPr>
            <w:r>
              <w:rPr>
                <w:rFonts w:hint="eastAsia" w:ascii="宋体" w:hAnsi="宋体" w:cs="宋体"/>
                <w:color w:val="auto"/>
                <w:sz w:val="24"/>
                <w:highlight w:val="none"/>
              </w:rPr>
              <w:t>财政部 发展改革委 生态环境部 市场监管总局</w:t>
            </w:r>
          </w:p>
          <w:p w14:paraId="07C7D84F">
            <w:pPr>
              <w:spacing w:line="360" w:lineRule="auto"/>
              <w:jc w:val="right"/>
              <w:rPr>
                <w:rFonts w:ascii="宋体" w:hAnsi="宋体" w:cs="宋体"/>
                <w:color w:val="auto"/>
                <w:kern w:val="0"/>
                <w:sz w:val="30"/>
                <w:szCs w:val="30"/>
                <w:highlight w:val="none"/>
              </w:rPr>
            </w:pPr>
            <w:r>
              <w:rPr>
                <w:rFonts w:hint="eastAsia" w:ascii="宋体" w:hAnsi="宋体" w:cs="宋体"/>
                <w:color w:val="auto"/>
                <w:sz w:val="24"/>
                <w:highlight w:val="none"/>
              </w:rPr>
              <w:t>2019年2月1日</w:t>
            </w:r>
          </w:p>
        </w:tc>
      </w:tr>
    </w:tbl>
    <w:p w14:paraId="500AD819">
      <w:pPr>
        <w:widowControl/>
        <w:shd w:val="clear" w:color="auto"/>
        <w:spacing w:line="360" w:lineRule="auto"/>
        <w:jc w:val="center"/>
        <w:textAlignment w:val="baseline"/>
        <w:rPr>
          <w:rFonts w:ascii="宋体" w:hAnsi="宋体" w:cs="宋体"/>
          <w:color w:val="auto"/>
          <w:kern w:val="0"/>
          <w:sz w:val="30"/>
          <w:szCs w:val="30"/>
          <w:highlight w:val="none"/>
        </w:rPr>
      </w:pPr>
    </w:p>
    <w:p w14:paraId="11FC0BC7">
      <w:pPr>
        <w:widowControl/>
        <w:spacing w:line="360" w:lineRule="auto"/>
        <w:jc w:val="right"/>
        <w:rPr>
          <w:rFonts w:ascii="宋体" w:hAnsi="宋体" w:cs="宋体"/>
          <w:color w:val="auto"/>
          <w:kern w:val="0"/>
          <w:sz w:val="24"/>
          <w:szCs w:val="28"/>
          <w:highlight w:val="none"/>
        </w:rPr>
      </w:pPr>
    </w:p>
    <w:p w14:paraId="6EB4BC1F">
      <w:pPr>
        <w:pStyle w:val="4"/>
        <w:rPr>
          <w:rFonts w:ascii="宋体" w:hAnsi="宋体" w:cs="宋体"/>
          <w:color w:val="auto"/>
          <w:szCs w:val="28"/>
          <w:highlight w:val="none"/>
        </w:rPr>
      </w:pPr>
      <w:r>
        <w:rPr>
          <w:rFonts w:hint="eastAsia" w:ascii="宋体" w:hAnsi="宋体" w:cs="宋体"/>
          <w:color w:val="auto"/>
          <w:szCs w:val="28"/>
          <w:highlight w:val="none"/>
        </w:rPr>
        <w:br w:type="page"/>
      </w:r>
      <w:bookmarkStart w:id="626" w:name="_Toc7663595"/>
      <w:bookmarkStart w:id="627" w:name="_Toc24471816"/>
      <w:bookmarkStart w:id="628" w:name="_Toc17428347"/>
      <w:bookmarkStart w:id="629" w:name="_Toc10432456"/>
      <w:bookmarkStart w:id="630" w:name="_Toc7488757"/>
      <w:bookmarkStart w:id="631" w:name="_Toc8007003"/>
      <w:bookmarkStart w:id="632" w:name="_Toc25765008"/>
      <w:bookmarkStart w:id="633" w:name="_Toc7664195"/>
      <w:bookmarkStart w:id="634" w:name="_Toc7668948"/>
      <w:bookmarkStart w:id="635" w:name="_Toc7993639"/>
      <w:bookmarkStart w:id="636" w:name="_Toc7542914"/>
      <w:bookmarkStart w:id="637" w:name="_Toc7492526"/>
      <w:bookmarkStart w:id="638" w:name="_Toc7574703"/>
      <w:bookmarkStart w:id="639" w:name="_Toc7988419"/>
      <w:bookmarkStart w:id="640" w:name="_Toc7988473"/>
      <w:bookmarkStart w:id="641" w:name="_Toc20358290"/>
      <w:bookmarkStart w:id="642" w:name="_Toc17428252"/>
      <w:r>
        <w:rPr>
          <w:rFonts w:hint="eastAsia" w:ascii="宋体" w:hAnsi="宋体" w:cs="宋体"/>
          <w:color w:val="auto"/>
          <w:sz w:val="28"/>
          <w:szCs w:val="28"/>
          <w:highlight w:val="none"/>
        </w:rPr>
        <w:t>关于印发节能产品政府采购品目清单的通知（财库〔2019〕19号）</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tbl>
      <w:tblPr>
        <w:tblStyle w:val="62"/>
        <w:tblW w:w="0" w:type="auto"/>
        <w:jc w:val="center"/>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14:paraId="06E1234C">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rPr>
          <w:jc w:val="center"/>
        </w:trPr>
        <w:tc>
          <w:tcPr>
            <w:tcW w:w="9145" w:type="dxa"/>
          </w:tcPr>
          <w:p w14:paraId="340667E7">
            <w:pPr>
              <w:widowControl/>
              <w:spacing w:line="360" w:lineRule="auto"/>
              <w:jc w:val="center"/>
              <w:rPr>
                <w:rFonts w:ascii="宋体" w:hAnsi="宋体" w:cs="宋体"/>
                <w:b/>
                <w:color w:val="auto"/>
                <w:kern w:val="0"/>
                <w:sz w:val="32"/>
                <w:highlight w:val="none"/>
              </w:rPr>
            </w:pPr>
            <w:r>
              <w:rPr>
                <w:rFonts w:hint="eastAsia" w:ascii="宋体" w:hAnsi="宋体" w:cs="宋体"/>
                <w:b/>
                <w:color w:val="auto"/>
                <w:kern w:val="0"/>
                <w:sz w:val="32"/>
                <w:highlight w:val="none"/>
              </w:rPr>
              <w:t>关于印发节能产品政府采购品目清单的通知</w:t>
            </w:r>
          </w:p>
          <w:p w14:paraId="7B6F465F">
            <w:pPr>
              <w:widowControl/>
              <w:spacing w:line="360" w:lineRule="auto"/>
              <w:jc w:val="center"/>
              <w:rPr>
                <w:rFonts w:ascii="宋体" w:hAnsi="宋体" w:cs="宋体"/>
                <w:color w:val="auto"/>
                <w:kern w:val="0"/>
                <w:sz w:val="28"/>
                <w:highlight w:val="none"/>
              </w:rPr>
            </w:pPr>
            <w:r>
              <w:rPr>
                <w:rFonts w:hint="eastAsia" w:ascii="宋体" w:hAnsi="宋体" w:cs="宋体"/>
                <w:b/>
                <w:color w:val="auto"/>
                <w:kern w:val="0"/>
                <w:sz w:val="32"/>
                <w:highlight w:val="none"/>
              </w:rPr>
              <w:t>财库〔2019〕19号</w:t>
            </w:r>
          </w:p>
          <w:p w14:paraId="516FFDBB">
            <w:pPr>
              <w:widowControl/>
              <w:spacing w:line="360" w:lineRule="auto"/>
              <w:jc w:val="center"/>
              <w:rPr>
                <w:rFonts w:ascii="宋体" w:hAnsi="宋体" w:cs="宋体"/>
                <w:color w:val="auto"/>
                <w:kern w:val="0"/>
                <w:sz w:val="28"/>
                <w:highlight w:val="none"/>
              </w:rPr>
            </w:pPr>
          </w:p>
          <w:p w14:paraId="11C744D1">
            <w:pPr>
              <w:widowControl/>
              <w:spacing w:line="360" w:lineRule="auto"/>
              <w:jc w:val="left"/>
              <w:rPr>
                <w:rFonts w:ascii="宋体" w:hAnsi="宋体" w:cs="宋体"/>
                <w:b/>
                <w:color w:val="auto"/>
                <w:kern w:val="0"/>
                <w:sz w:val="28"/>
                <w:highlight w:val="none"/>
              </w:rPr>
            </w:pPr>
            <w:r>
              <w:rPr>
                <w:rFonts w:hint="eastAsia" w:ascii="宋体" w:hAnsi="宋体" w:cs="宋体"/>
                <w:b/>
                <w:color w:val="auto"/>
                <w:kern w:val="0"/>
                <w:sz w:val="28"/>
                <w:highlight w:val="none"/>
              </w:rPr>
              <w:t>有关中央预算单位，各省、自治区、直辖市、计划单列市财政厅（局）、发展改革委（经信委、工信委、工信厅、经信局），新疆生产建设兵团财政局、发展改革委：</w:t>
            </w:r>
          </w:p>
          <w:p w14:paraId="54B278F0">
            <w:pPr>
              <w:widowControl/>
              <w:spacing w:line="360" w:lineRule="auto"/>
              <w:jc w:val="left"/>
              <w:rPr>
                <w:rFonts w:ascii="宋体" w:hAnsi="宋体" w:cs="宋体"/>
                <w:color w:val="auto"/>
                <w:kern w:val="0"/>
                <w:sz w:val="28"/>
                <w:highlight w:val="none"/>
              </w:rPr>
            </w:pPr>
          </w:p>
          <w:p w14:paraId="12A7F13A">
            <w:pPr>
              <w:widowControl/>
              <w:spacing w:line="360" w:lineRule="auto"/>
              <w:ind w:firstLine="565" w:firstLineChars="202"/>
              <w:jc w:val="left"/>
              <w:rPr>
                <w:rFonts w:ascii="宋体" w:hAnsi="宋体" w:cs="宋体"/>
                <w:color w:val="auto"/>
                <w:kern w:val="0"/>
                <w:sz w:val="28"/>
                <w:highlight w:val="none"/>
              </w:rPr>
            </w:pPr>
            <w:r>
              <w:rPr>
                <w:rFonts w:hint="eastAsia" w:ascii="宋体" w:hAnsi="宋体" w:cs="宋体"/>
                <w:color w:val="auto"/>
                <w:kern w:val="0"/>
                <w:sz w:val="28"/>
                <w:highlight w:val="none"/>
              </w:rPr>
              <w:t>根据《财政部发展改革委 生态环境部 市场监管总局关于调整优化节能产品 环境标志产品政府采购执行机制的通知》（财库〔2019〕9号），我们研究制定节能产品政府采购品目清单，现印发给你们，请遵照执行。</w:t>
            </w:r>
          </w:p>
          <w:p w14:paraId="31660656">
            <w:pPr>
              <w:widowControl/>
              <w:spacing w:line="360" w:lineRule="auto"/>
              <w:jc w:val="left"/>
              <w:rPr>
                <w:rFonts w:ascii="宋体" w:hAnsi="宋体" w:cs="宋体"/>
                <w:color w:val="auto"/>
                <w:kern w:val="0"/>
                <w:sz w:val="28"/>
                <w:highlight w:val="none"/>
              </w:rPr>
            </w:pPr>
          </w:p>
          <w:p w14:paraId="080818B5">
            <w:pPr>
              <w:widowControl/>
              <w:spacing w:line="360" w:lineRule="auto"/>
              <w:jc w:val="left"/>
              <w:rPr>
                <w:rFonts w:ascii="宋体" w:hAnsi="宋体" w:cs="宋体"/>
                <w:color w:val="auto"/>
                <w:kern w:val="0"/>
                <w:sz w:val="28"/>
                <w:highlight w:val="none"/>
              </w:rPr>
            </w:pPr>
          </w:p>
          <w:p w14:paraId="4774DAFD">
            <w:pPr>
              <w:widowControl/>
              <w:spacing w:line="360" w:lineRule="auto"/>
              <w:jc w:val="left"/>
              <w:rPr>
                <w:rFonts w:ascii="宋体" w:hAnsi="宋体" w:cs="宋体"/>
                <w:color w:val="auto"/>
                <w:kern w:val="0"/>
                <w:sz w:val="28"/>
                <w:highlight w:val="none"/>
              </w:rPr>
            </w:pPr>
          </w:p>
          <w:p w14:paraId="53A7C4B9">
            <w:pPr>
              <w:widowControl/>
              <w:spacing w:line="360" w:lineRule="auto"/>
              <w:jc w:val="left"/>
              <w:rPr>
                <w:rFonts w:ascii="宋体" w:hAnsi="宋体" w:cs="宋体"/>
                <w:color w:val="auto"/>
                <w:kern w:val="0"/>
                <w:sz w:val="28"/>
                <w:highlight w:val="none"/>
              </w:rPr>
            </w:pPr>
          </w:p>
          <w:p w14:paraId="2F522B6E">
            <w:pPr>
              <w:widowControl/>
              <w:spacing w:line="360" w:lineRule="auto"/>
              <w:jc w:val="left"/>
              <w:rPr>
                <w:rFonts w:ascii="宋体" w:hAnsi="宋体" w:cs="宋体"/>
                <w:color w:val="auto"/>
                <w:kern w:val="0"/>
                <w:sz w:val="28"/>
                <w:highlight w:val="none"/>
              </w:rPr>
            </w:pPr>
            <w:r>
              <w:rPr>
                <w:rFonts w:hint="eastAsia" w:ascii="宋体" w:hAnsi="宋体" w:cs="宋体"/>
                <w:color w:val="auto"/>
                <w:kern w:val="0"/>
                <w:sz w:val="28"/>
                <w:highlight w:val="none"/>
              </w:rPr>
              <w:t>附件：节能产品政府采购品目清单</w:t>
            </w:r>
          </w:p>
          <w:p w14:paraId="772E0C06">
            <w:pPr>
              <w:widowControl/>
              <w:spacing w:line="360" w:lineRule="auto"/>
              <w:jc w:val="left"/>
              <w:rPr>
                <w:rFonts w:ascii="宋体" w:hAnsi="宋体" w:cs="宋体"/>
                <w:color w:val="auto"/>
                <w:kern w:val="0"/>
                <w:sz w:val="28"/>
                <w:highlight w:val="none"/>
              </w:rPr>
            </w:pPr>
          </w:p>
          <w:p w14:paraId="4A34BC82">
            <w:pPr>
              <w:widowControl/>
              <w:spacing w:line="360" w:lineRule="auto"/>
              <w:jc w:val="left"/>
              <w:rPr>
                <w:rFonts w:ascii="宋体" w:hAnsi="宋体" w:cs="宋体"/>
                <w:color w:val="auto"/>
                <w:kern w:val="0"/>
                <w:sz w:val="28"/>
                <w:highlight w:val="none"/>
              </w:rPr>
            </w:pPr>
          </w:p>
          <w:p w14:paraId="688F5CF0">
            <w:pPr>
              <w:widowControl/>
              <w:spacing w:line="360" w:lineRule="auto"/>
              <w:jc w:val="right"/>
              <w:rPr>
                <w:rFonts w:ascii="宋体" w:hAnsi="宋体" w:cs="宋体"/>
                <w:color w:val="auto"/>
                <w:kern w:val="0"/>
                <w:sz w:val="28"/>
                <w:highlight w:val="none"/>
              </w:rPr>
            </w:pPr>
            <w:r>
              <w:rPr>
                <w:rFonts w:hint="eastAsia" w:ascii="宋体" w:hAnsi="宋体" w:cs="宋体"/>
                <w:color w:val="auto"/>
                <w:kern w:val="0"/>
                <w:sz w:val="28"/>
                <w:highlight w:val="none"/>
              </w:rPr>
              <w:t>财政部  发展改革委</w:t>
            </w:r>
          </w:p>
          <w:p w14:paraId="5DB3EA74">
            <w:pPr>
              <w:widowControl/>
              <w:spacing w:line="360" w:lineRule="auto"/>
              <w:jc w:val="right"/>
              <w:rPr>
                <w:rFonts w:ascii="宋体" w:hAnsi="宋体" w:cs="宋体"/>
                <w:b/>
                <w:color w:val="auto"/>
                <w:kern w:val="0"/>
                <w:sz w:val="32"/>
                <w:highlight w:val="none"/>
              </w:rPr>
            </w:pPr>
            <w:r>
              <w:rPr>
                <w:rFonts w:hint="eastAsia" w:ascii="宋体" w:hAnsi="宋体" w:cs="宋体"/>
                <w:color w:val="auto"/>
                <w:kern w:val="0"/>
                <w:sz w:val="28"/>
                <w:highlight w:val="none"/>
              </w:rPr>
              <w:t>2019年4月2日</w:t>
            </w:r>
          </w:p>
        </w:tc>
      </w:tr>
    </w:tbl>
    <w:p w14:paraId="71C88EA1">
      <w:pPr>
        <w:widowControl/>
        <w:spacing w:line="360" w:lineRule="auto"/>
        <w:jc w:val="center"/>
        <w:rPr>
          <w:rFonts w:ascii="宋体" w:hAnsi="宋体" w:cs="宋体"/>
          <w:b/>
          <w:color w:val="auto"/>
          <w:kern w:val="0"/>
          <w:sz w:val="32"/>
          <w:highlight w:val="none"/>
        </w:rPr>
      </w:pPr>
    </w:p>
    <w:p w14:paraId="5FD1F6C7">
      <w:pPr>
        <w:widowControl/>
        <w:spacing w:line="360" w:lineRule="auto"/>
        <w:jc w:val="right"/>
        <w:rPr>
          <w:rFonts w:ascii="宋体" w:hAnsi="宋体" w:cs="宋体"/>
          <w:color w:val="auto"/>
          <w:highlight w:val="none"/>
        </w:rPr>
      </w:pPr>
    </w:p>
    <w:p w14:paraId="38FAF15E">
      <w:pPr>
        <w:keepNext/>
        <w:widowControl/>
        <w:adjustRightInd/>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附：节能产品政府采购品目清单</w:t>
      </w:r>
    </w:p>
    <w:tbl>
      <w:tblPr>
        <w:tblStyle w:val="62"/>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209"/>
        <w:gridCol w:w="1807"/>
        <w:gridCol w:w="3301"/>
      </w:tblGrid>
      <w:tr w14:paraId="36C093A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6DE01B24">
            <w:pPr>
              <w:jc w:val="center"/>
              <w:rPr>
                <w:rFonts w:ascii="宋体" w:hAnsi="宋体" w:cs="宋体"/>
                <w:b/>
                <w:color w:val="auto"/>
                <w:w w:val="90"/>
                <w:szCs w:val="21"/>
                <w:highlight w:val="none"/>
              </w:rPr>
            </w:pPr>
            <w:r>
              <w:rPr>
                <w:rFonts w:hint="eastAsia" w:ascii="宋体" w:hAnsi="宋体" w:cs="宋体"/>
                <w:b/>
                <w:color w:val="auto"/>
                <w:w w:val="90"/>
                <w:szCs w:val="21"/>
                <w:highlight w:val="none"/>
              </w:rPr>
              <w:t>品目序号</w:t>
            </w:r>
          </w:p>
        </w:tc>
        <w:tc>
          <w:tcPr>
            <w:tcW w:w="5949" w:type="dxa"/>
            <w:gridSpan w:val="3"/>
            <w:shd w:val="clear" w:color="auto" w:fill="DAEEF3"/>
            <w:vAlign w:val="center"/>
          </w:tcPr>
          <w:p w14:paraId="69C9968A">
            <w:pPr>
              <w:jc w:val="center"/>
              <w:rPr>
                <w:rFonts w:ascii="宋体" w:hAnsi="宋体" w:cs="宋体"/>
                <w:b/>
                <w:color w:val="auto"/>
                <w:w w:val="90"/>
                <w:szCs w:val="21"/>
                <w:highlight w:val="none"/>
              </w:rPr>
            </w:pPr>
            <w:r>
              <w:rPr>
                <w:rFonts w:hint="eastAsia" w:ascii="宋体" w:hAnsi="宋体" w:cs="宋体"/>
                <w:b/>
                <w:color w:val="auto"/>
                <w:w w:val="90"/>
                <w:szCs w:val="21"/>
                <w:highlight w:val="none"/>
              </w:rPr>
              <w:t>名称</w:t>
            </w:r>
          </w:p>
        </w:tc>
        <w:tc>
          <w:tcPr>
            <w:tcW w:w="3301" w:type="dxa"/>
            <w:shd w:val="clear" w:color="auto" w:fill="DAEEF3"/>
            <w:vAlign w:val="center"/>
          </w:tcPr>
          <w:p w14:paraId="0BA35E67">
            <w:pPr>
              <w:jc w:val="center"/>
              <w:rPr>
                <w:rFonts w:ascii="宋体" w:hAnsi="宋体" w:cs="宋体"/>
                <w:b/>
                <w:color w:val="auto"/>
                <w:w w:val="90"/>
                <w:szCs w:val="21"/>
                <w:highlight w:val="none"/>
              </w:rPr>
            </w:pPr>
            <w:r>
              <w:rPr>
                <w:rFonts w:hint="eastAsia" w:ascii="宋体" w:hAnsi="宋体" w:cs="宋体"/>
                <w:b/>
                <w:color w:val="auto"/>
                <w:w w:val="90"/>
                <w:szCs w:val="21"/>
                <w:highlight w:val="none"/>
              </w:rPr>
              <w:t>依据的标准</w:t>
            </w:r>
          </w:p>
        </w:tc>
      </w:tr>
      <w:tr w14:paraId="32377D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68EB433B">
            <w:pPr>
              <w:jc w:val="center"/>
              <w:rPr>
                <w:rFonts w:ascii="宋体" w:hAnsi="宋体" w:cs="宋体"/>
                <w:color w:val="auto"/>
                <w:w w:val="90"/>
                <w:szCs w:val="21"/>
                <w:highlight w:val="none"/>
              </w:rPr>
            </w:pPr>
            <w:r>
              <w:rPr>
                <w:rFonts w:hint="eastAsia" w:ascii="宋体" w:hAnsi="宋体" w:cs="宋体"/>
                <w:color w:val="auto"/>
                <w:w w:val="90"/>
                <w:szCs w:val="21"/>
                <w:highlight w:val="none"/>
              </w:rPr>
              <w:t>1</w:t>
            </w:r>
          </w:p>
        </w:tc>
        <w:tc>
          <w:tcPr>
            <w:tcW w:w="1933" w:type="dxa"/>
            <w:vMerge w:val="restart"/>
            <w:vAlign w:val="center"/>
          </w:tcPr>
          <w:p w14:paraId="12B1F7C7">
            <w:pPr>
              <w:jc w:val="left"/>
              <w:rPr>
                <w:rFonts w:ascii="宋体" w:hAnsi="宋体" w:cs="宋体"/>
                <w:color w:val="auto"/>
                <w:w w:val="90"/>
                <w:szCs w:val="21"/>
                <w:highlight w:val="none"/>
              </w:rPr>
            </w:pPr>
            <w:r>
              <w:rPr>
                <w:rFonts w:hint="eastAsia" w:ascii="宋体" w:hAnsi="宋体" w:cs="宋体"/>
                <w:color w:val="auto"/>
                <w:w w:val="90"/>
                <w:szCs w:val="21"/>
                <w:highlight w:val="none"/>
              </w:rPr>
              <w:t>A020101计算机设备</w:t>
            </w:r>
          </w:p>
        </w:tc>
        <w:tc>
          <w:tcPr>
            <w:tcW w:w="2209" w:type="dxa"/>
            <w:vAlign w:val="center"/>
          </w:tcPr>
          <w:p w14:paraId="42F1EA09">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A02010104台式计算机</w:t>
            </w:r>
          </w:p>
        </w:tc>
        <w:tc>
          <w:tcPr>
            <w:tcW w:w="1807" w:type="dxa"/>
            <w:vAlign w:val="center"/>
          </w:tcPr>
          <w:p w14:paraId="3435ED35">
            <w:pPr>
              <w:jc w:val="center"/>
              <w:rPr>
                <w:rFonts w:ascii="宋体" w:hAnsi="宋体" w:cs="宋体"/>
                <w:color w:val="auto"/>
                <w:w w:val="90"/>
                <w:szCs w:val="21"/>
                <w:highlight w:val="none"/>
              </w:rPr>
            </w:pPr>
          </w:p>
        </w:tc>
        <w:tc>
          <w:tcPr>
            <w:tcW w:w="3301" w:type="dxa"/>
            <w:vAlign w:val="center"/>
          </w:tcPr>
          <w:p w14:paraId="1F15B3BF">
            <w:pPr>
              <w:jc w:val="left"/>
              <w:rPr>
                <w:rFonts w:ascii="宋体" w:hAnsi="宋体" w:cs="宋体"/>
                <w:color w:val="auto"/>
                <w:w w:val="90"/>
                <w:szCs w:val="21"/>
                <w:highlight w:val="none"/>
              </w:rPr>
            </w:pPr>
            <w:r>
              <w:rPr>
                <w:rFonts w:hint="eastAsia" w:ascii="宋体" w:hAnsi="宋体" w:cs="宋体"/>
                <w:color w:val="auto"/>
                <w:w w:val="90"/>
                <w:szCs w:val="21"/>
                <w:highlight w:val="none"/>
              </w:rPr>
              <w:t>《微型计算机能效限定值及能效等级》（GB 28380）</w:t>
            </w:r>
          </w:p>
        </w:tc>
      </w:tr>
      <w:tr w14:paraId="6060391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1A69195">
            <w:pPr>
              <w:jc w:val="center"/>
              <w:rPr>
                <w:rFonts w:ascii="宋体" w:hAnsi="宋体" w:cs="宋体"/>
                <w:color w:val="auto"/>
                <w:w w:val="90"/>
                <w:szCs w:val="21"/>
                <w:highlight w:val="none"/>
              </w:rPr>
            </w:pPr>
          </w:p>
        </w:tc>
        <w:tc>
          <w:tcPr>
            <w:tcW w:w="1933" w:type="dxa"/>
            <w:vMerge w:val="continue"/>
            <w:vAlign w:val="center"/>
          </w:tcPr>
          <w:p w14:paraId="189FD67B">
            <w:pPr>
              <w:jc w:val="left"/>
              <w:rPr>
                <w:rFonts w:ascii="宋体" w:hAnsi="宋体" w:cs="宋体"/>
                <w:color w:val="auto"/>
                <w:w w:val="90"/>
                <w:szCs w:val="21"/>
                <w:highlight w:val="none"/>
              </w:rPr>
            </w:pPr>
          </w:p>
        </w:tc>
        <w:tc>
          <w:tcPr>
            <w:tcW w:w="2209" w:type="dxa"/>
            <w:vAlign w:val="center"/>
          </w:tcPr>
          <w:p w14:paraId="2F4AEB60">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A02010105便携式计算</w:t>
            </w:r>
          </w:p>
        </w:tc>
        <w:tc>
          <w:tcPr>
            <w:tcW w:w="1807" w:type="dxa"/>
            <w:vAlign w:val="center"/>
          </w:tcPr>
          <w:p w14:paraId="55E87C2F">
            <w:pPr>
              <w:jc w:val="center"/>
              <w:rPr>
                <w:rFonts w:ascii="宋体" w:hAnsi="宋体" w:cs="宋体"/>
                <w:color w:val="auto"/>
                <w:w w:val="90"/>
                <w:szCs w:val="21"/>
                <w:highlight w:val="none"/>
              </w:rPr>
            </w:pPr>
          </w:p>
        </w:tc>
        <w:tc>
          <w:tcPr>
            <w:tcW w:w="3301" w:type="dxa"/>
            <w:vAlign w:val="center"/>
          </w:tcPr>
          <w:p w14:paraId="541CF284">
            <w:pPr>
              <w:jc w:val="left"/>
              <w:rPr>
                <w:rFonts w:ascii="宋体" w:hAnsi="宋体" w:cs="宋体"/>
                <w:color w:val="auto"/>
                <w:w w:val="90"/>
                <w:szCs w:val="21"/>
                <w:highlight w:val="none"/>
              </w:rPr>
            </w:pPr>
            <w:r>
              <w:rPr>
                <w:rFonts w:hint="eastAsia" w:ascii="宋体" w:hAnsi="宋体" w:cs="宋体"/>
                <w:color w:val="auto"/>
                <w:w w:val="90"/>
                <w:szCs w:val="21"/>
                <w:highlight w:val="none"/>
              </w:rPr>
              <w:t>《微型计算机能效限定值及能效等级》（GB 28380）</w:t>
            </w:r>
          </w:p>
        </w:tc>
      </w:tr>
      <w:tr w14:paraId="0ACB858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B5ECF7A">
            <w:pPr>
              <w:jc w:val="center"/>
              <w:rPr>
                <w:rFonts w:ascii="宋体" w:hAnsi="宋体" w:cs="宋体"/>
                <w:color w:val="auto"/>
                <w:w w:val="90"/>
                <w:szCs w:val="21"/>
                <w:highlight w:val="none"/>
              </w:rPr>
            </w:pPr>
          </w:p>
        </w:tc>
        <w:tc>
          <w:tcPr>
            <w:tcW w:w="1933" w:type="dxa"/>
            <w:vMerge w:val="continue"/>
            <w:vAlign w:val="center"/>
          </w:tcPr>
          <w:p w14:paraId="45AE8573">
            <w:pPr>
              <w:jc w:val="left"/>
              <w:rPr>
                <w:rFonts w:ascii="宋体" w:hAnsi="宋体" w:cs="宋体"/>
                <w:color w:val="auto"/>
                <w:w w:val="90"/>
                <w:szCs w:val="21"/>
                <w:highlight w:val="none"/>
              </w:rPr>
            </w:pPr>
          </w:p>
        </w:tc>
        <w:tc>
          <w:tcPr>
            <w:tcW w:w="2209" w:type="dxa"/>
            <w:vAlign w:val="center"/>
          </w:tcPr>
          <w:p w14:paraId="484E1828">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A02010107平板式微型计算机</w:t>
            </w:r>
          </w:p>
        </w:tc>
        <w:tc>
          <w:tcPr>
            <w:tcW w:w="1807" w:type="dxa"/>
            <w:vAlign w:val="center"/>
          </w:tcPr>
          <w:p w14:paraId="077D821F">
            <w:pPr>
              <w:jc w:val="center"/>
              <w:rPr>
                <w:rFonts w:ascii="宋体" w:hAnsi="宋体" w:cs="宋体"/>
                <w:color w:val="auto"/>
                <w:w w:val="90"/>
                <w:szCs w:val="21"/>
                <w:highlight w:val="none"/>
              </w:rPr>
            </w:pPr>
          </w:p>
        </w:tc>
        <w:tc>
          <w:tcPr>
            <w:tcW w:w="3301" w:type="dxa"/>
            <w:vAlign w:val="center"/>
          </w:tcPr>
          <w:p w14:paraId="20876FEB">
            <w:pPr>
              <w:jc w:val="left"/>
              <w:rPr>
                <w:rFonts w:ascii="宋体" w:hAnsi="宋体" w:cs="宋体"/>
                <w:color w:val="auto"/>
                <w:w w:val="90"/>
                <w:szCs w:val="21"/>
                <w:highlight w:val="none"/>
              </w:rPr>
            </w:pPr>
            <w:r>
              <w:rPr>
                <w:rFonts w:hint="eastAsia" w:ascii="宋体" w:hAnsi="宋体" w:cs="宋体"/>
                <w:color w:val="auto"/>
                <w:w w:val="90"/>
                <w:szCs w:val="21"/>
                <w:highlight w:val="none"/>
              </w:rPr>
              <w:t>《微型计算机能效限定值及能效等级》（GB 28380）</w:t>
            </w:r>
          </w:p>
        </w:tc>
      </w:tr>
      <w:tr w14:paraId="4C0A8A8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14C4F0EF">
            <w:pPr>
              <w:jc w:val="center"/>
              <w:rPr>
                <w:rFonts w:ascii="宋体" w:hAnsi="宋体" w:cs="宋体"/>
                <w:color w:val="auto"/>
                <w:w w:val="90"/>
                <w:szCs w:val="21"/>
                <w:highlight w:val="none"/>
              </w:rPr>
            </w:pPr>
            <w:r>
              <w:rPr>
                <w:rFonts w:hint="eastAsia" w:ascii="宋体" w:hAnsi="宋体" w:cs="宋体"/>
                <w:color w:val="auto"/>
                <w:w w:val="90"/>
                <w:szCs w:val="21"/>
                <w:highlight w:val="none"/>
              </w:rPr>
              <w:t>2</w:t>
            </w:r>
          </w:p>
        </w:tc>
        <w:tc>
          <w:tcPr>
            <w:tcW w:w="1933" w:type="dxa"/>
            <w:vMerge w:val="restart"/>
            <w:vAlign w:val="center"/>
          </w:tcPr>
          <w:p w14:paraId="5D85FA3C">
            <w:pPr>
              <w:jc w:val="left"/>
              <w:rPr>
                <w:rFonts w:ascii="宋体" w:hAnsi="宋体" w:cs="宋体"/>
                <w:color w:val="auto"/>
                <w:w w:val="90"/>
                <w:szCs w:val="21"/>
                <w:highlight w:val="none"/>
              </w:rPr>
            </w:pPr>
            <w:r>
              <w:rPr>
                <w:rFonts w:hint="eastAsia" w:ascii="宋体" w:hAnsi="宋体" w:cs="宋体"/>
                <w:color w:val="auto"/>
                <w:w w:val="90"/>
                <w:szCs w:val="21"/>
                <w:highlight w:val="none"/>
              </w:rPr>
              <w:t>A020106输入输出设备</w:t>
            </w:r>
          </w:p>
        </w:tc>
        <w:tc>
          <w:tcPr>
            <w:tcW w:w="2209" w:type="dxa"/>
            <w:vMerge w:val="restart"/>
            <w:vAlign w:val="center"/>
          </w:tcPr>
          <w:p w14:paraId="3468624C">
            <w:pPr>
              <w:jc w:val="left"/>
              <w:rPr>
                <w:rFonts w:ascii="宋体" w:hAnsi="宋体" w:cs="宋体"/>
                <w:color w:val="auto"/>
                <w:w w:val="90"/>
                <w:szCs w:val="21"/>
                <w:highlight w:val="none"/>
              </w:rPr>
            </w:pPr>
            <w:r>
              <w:rPr>
                <w:rFonts w:hint="eastAsia" w:ascii="宋体" w:hAnsi="宋体" w:cs="宋体"/>
                <w:color w:val="auto"/>
                <w:w w:val="90"/>
                <w:szCs w:val="21"/>
                <w:highlight w:val="none"/>
              </w:rPr>
              <w:t>A02010601打印设备</w:t>
            </w:r>
          </w:p>
        </w:tc>
        <w:tc>
          <w:tcPr>
            <w:tcW w:w="1807" w:type="dxa"/>
            <w:vAlign w:val="center"/>
          </w:tcPr>
          <w:p w14:paraId="0AD941C4">
            <w:pPr>
              <w:jc w:val="left"/>
              <w:rPr>
                <w:rFonts w:ascii="宋体" w:hAnsi="宋体" w:cs="宋体"/>
                <w:color w:val="auto"/>
                <w:w w:val="90"/>
                <w:szCs w:val="21"/>
                <w:highlight w:val="none"/>
              </w:rPr>
            </w:pPr>
            <w:r>
              <w:rPr>
                <w:rFonts w:hint="eastAsia" w:ascii="宋体" w:hAnsi="宋体" w:cs="宋体"/>
                <w:b/>
                <w:bCs/>
                <w:color w:val="auto"/>
                <w:w w:val="90"/>
                <w:szCs w:val="21"/>
                <w:highlight w:val="none"/>
              </w:rPr>
              <w:t>A0201060101喷墨打印机</w:t>
            </w:r>
          </w:p>
        </w:tc>
        <w:tc>
          <w:tcPr>
            <w:tcW w:w="3301" w:type="dxa"/>
            <w:vAlign w:val="center"/>
          </w:tcPr>
          <w:p w14:paraId="61F00B01">
            <w:pPr>
              <w:jc w:val="left"/>
              <w:rPr>
                <w:rFonts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14:paraId="190EC27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2198CA5">
            <w:pPr>
              <w:jc w:val="center"/>
              <w:rPr>
                <w:rFonts w:ascii="宋体" w:hAnsi="宋体" w:cs="宋体"/>
                <w:color w:val="auto"/>
                <w:w w:val="90"/>
                <w:szCs w:val="21"/>
                <w:highlight w:val="none"/>
              </w:rPr>
            </w:pPr>
          </w:p>
        </w:tc>
        <w:tc>
          <w:tcPr>
            <w:tcW w:w="1933" w:type="dxa"/>
            <w:vMerge w:val="continue"/>
            <w:vAlign w:val="center"/>
          </w:tcPr>
          <w:p w14:paraId="35F980F2">
            <w:pPr>
              <w:jc w:val="left"/>
              <w:rPr>
                <w:rFonts w:ascii="宋体" w:hAnsi="宋体" w:cs="宋体"/>
                <w:color w:val="auto"/>
                <w:w w:val="90"/>
                <w:szCs w:val="21"/>
                <w:highlight w:val="none"/>
              </w:rPr>
            </w:pPr>
          </w:p>
        </w:tc>
        <w:tc>
          <w:tcPr>
            <w:tcW w:w="2209" w:type="dxa"/>
            <w:vMerge w:val="continue"/>
            <w:vAlign w:val="center"/>
          </w:tcPr>
          <w:p w14:paraId="76FC3F46">
            <w:pPr>
              <w:jc w:val="left"/>
              <w:rPr>
                <w:rFonts w:ascii="宋体" w:hAnsi="宋体" w:cs="宋体"/>
                <w:color w:val="auto"/>
                <w:w w:val="90"/>
                <w:szCs w:val="21"/>
                <w:highlight w:val="none"/>
              </w:rPr>
            </w:pPr>
          </w:p>
        </w:tc>
        <w:tc>
          <w:tcPr>
            <w:tcW w:w="1807" w:type="dxa"/>
            <w:vAlign w:val="center"/>
          </w:tcPr>
          <w:p w14:paraId="622B1423">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A0201060102激光打印机</w:t>
            </w:r>
          </w:p>
        </w:tc>
        <w:tc>
          <w:tcPr>
            <w:tcW w:w="3301" w:type="dxa"/>
            <w:vAlign w:val="center"/>
          </w:tcPr>
          <w:p w14:paraId="4A425F04">
            <w:pPr>
              <w:jc w:val="left"/>
              <w:rPr>
                <w:rFonts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14:paraId="3A48AC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BA36FDC">
            <w:pPr>
              <w:jc w:val="center"/>
              <w:rPr>
                <w:rFonts w:ascii="宋体" w:hAnsi="宋体" w:cs="宋体"/>
                <w:color w:val="auto"/>
                <w:w w:val="90"/>
                <w:szCs w:val="21"/>
                <w:highlight w:val="none"/>
              </w:rPr>
            </w:pPr>
          </w:p>
        </w:tc>
        <w:tc>
          <w:tcPr>
            <w:tcW w:w="1933" w:type="dxa"/>
            <w:vMerge w:val="continue"/>
            <w:vAlign w:val="center"/>
          </w:tcPr>
          <w:p w14:paraId="274DD7A9">
            <w:pPr>
              <w:jc w:val="left"/>
              <w:rPr>
                <w:rFonts w:ascii="宋体" w:hAnsi="宋体" w:cs="宋体"/>
                <w:color w:val="auto"/>
                <w:w w:val="90"/>
                <w:szCs w:val="21"/>
                <w:highlight w:val="none"/>
              </w:rPr>
            </w:pPr>
          </w:p>
        </w:tc>
        <w:tc>
          <w:tcPr>
            <w:tcW w:w="2209" w:type="dxa"/>
            <w:vMerge w:val="continue"/>
            <w:vAlign w:val="center"/>
          </w:tcPr>
          <w:p w14:paraId="30863018">
            <w:pPr>
              <w:jc w:val="left"/>
              <w:rPr>
                <w:rFonts w:ascii="宋体" w:hAnsi="宋体" w:cs="宋体"/>
                <w:color w:val="auto"/>
                <w:w w:val="90"/>
                <w:szCs w:val="21"/>
                <w:highlight w:val="none"/>
              </w:rPr>
            </w:pPr>
          </w:p>
        </w:tc>
        <w:tc>
          <w:tcPr>
            <w:tcW w:w="1807" w:type="dxa"/>
            <w:vAlign w:val="center"/>
          </w:tcPr>
          <w:p w14:paraId="4053C7F6">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A0201060104针式打印机</w:t>
            </w:r>
          </w:p>
        </w:tc>
        <w:tc>
          <w:tcPr>
            <w:tcW w:w="3301" w:type="dxa"/>
            <w:vAlign w:val="center"/>
          </w:tcPr>
          <w:p w14:paraId="3A7EB118">
            <w:pPr>
              <w:jc w:val="left"/>
              <w:rPr>
                <w:rFonts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14:paraId="043E715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C684ED9">
            <w:pPr>
              <w:jc w:val="center"/>
              <w:rPr>
                <w:rFonts w:ascii="宋体" w:hAnsi="宋体" w:cs="宋体"/>
                <w:color w:val="auto"/>
                <w:w w:val="90"/>
                <w:szCs w:val="21"/>
                <w:highlight w:val="none"/>
              </w:rPr>
            </w:pPr>
          </w:p>
        </w:tc>
        <w:tc>
          <w:tcPr>
            <w:tcW w:w="1933" w:type="dxa"/>
            <w:vMerge w:val="continue"/>
            <w:vAlign w:val="center"/>
          </w:tcPr>
          <w:p w14:paraId="3B9674FA">
            <w:pPr>
              <w:jc w:val="left"/>
              <w:rPr>
                <w:rFonts w:ascii="宋体" w:hAnsi="宋体" w:cs="宋体"/>
                <w:color w:val="auto"/>
                <w:w w:val="90"/>
                <w:szCs w:val="21"/>
                <w:highlight w:val="none"/>
              </w:rPr>
            </w:pPr>
          </w:p>
        </w:tc>
        <w:tc>
          <w:tcPr>
            <w:tcW w:w="2209" w:type="dxa"/>
            <w:vAlign w:val="center"/>
          </w:tcPr>
          <w:p w14:paraId="55340277">
            <w:pPr>
              <w:jc w:val="left"/>
              <w:rPr>
                <w:rFonts w:ascii="宋体" w:hAnsi="宋体" w:cs="宋体"/>
                <w:color w:val="auto"/>
                <w:w w:val="90"/>
                <w:szCs w:val="21"/>
                <w:highlight w:val="none"/>
              </w:rPr>
            </w:pPr>
            <w:r>
              <w:rPr>
                <w:rFonts w:hint="eastAsia" w:ascii="宋体" w:hAnsi="宋体" w:cs="宋体"/>
                <w:color w:val="auto"/>
                <w:w w:val="90"/>
                <w:szCs w:val="21"/>
                <w:highlight w:val="none"/>
              </w:rPr>
              <w:t>A02010604显示设备</w:t>
            </w:r>
          </w:p>
        </w:tc>
        <w:tc>
          <w:tcPr>
            <w:tcW w:w="1807" w:type="dxa"/>
            <w:vAlign w:val="center"/>
          </w:tcPr>
          <w:p w14:paraId="01F088D9">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A0201060401液晶显示器</w:t>
            </w:r>
          </w:p>
        </w:tc>
        <w:tc>
          <w:tcPr>
            <w:tcW w:w="3301" w:type="dxa"/>
            <w:vAlign w:val="center"/>
          </w:tcPr>
          <w:p w14:paraId="4700ABE4">
            <w:pPr>
              <w:jc w:val="left"/>
              <w:rPr>
                <w:rFonts w:ascii="宋体" w:hAnsi="宋体" w:cs="宋体"/>
                <w:color w:val="auto"/>
                <w:w w:val="90"/>
                <w:szCs w:val="21"/>
                <w:highlight w:val="none"/>
              </w:rPr>
            </w:pPr>
            <w:r>
              <w:rPr>
                <w:rFonts w:hint="eastAsia" w:ascii="宋体" w:hAnsi="宋体" w:cs="宋体"/>
                <w:color w:val="auto"/>
                <w:w w:val="90"/>
                <w:szCs w:val="21"/>
                <w:highlight w:val="none"/>
              </w:rPr>
              <w:t>《计算机显示器能效限定值及能效等级》（GB 21520）</w:t>
            </w:r>
          </w:p>
        </w:tc>
      </w:tr>
      <w:tr w14:paraId="31EC51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68E610F">
            <w:pPr>
              <w:jc w:val="center"/>
              <w:rPr>
                <w:rFonts w:ascii="宋体" w:hAnsi="宋体" w:cs="宋体"/>
                <w:color w:val="auto"/>
                <w:w w:val="90"/>
                <w:szCs w:val="21"/>
                <w:highlight w:val="none"/>
              </w:rPr>
            </w:pPr>
          </w:p>
        </w:tc>
        <w:tc>
          <w:tcPr>
            <w:tcW w:w="1933" w:type="dxa"/>
            <w:vMerge w:val="continue"/>
            <w:vAlign w:val="center"/>
          </w:tcPr>
          <w:p w14:paraId="51DE1A68">
            <w:pPr>
              <w:jc w:val="left"/>
              <w:rPr>
                <w:rFonts w:ascii="宋体" w:hAnsi="宋体" w:cs="宋体"/>
                <w:color w:val="auto"/>
                <w:w w:val="90"/>
                <w:szCs w:val="21"/>
                <w:highlight w:val="none"/>
              </w:rPr>
            </w:pPr>
          </w:p>
        </w:tc>
        <w:tc>
          <w:tcPr>
            <w:tcW w:w="2209" w:type="dxa"/>
            <w:vAlign w:val="center"/>
          </w:tcPr>
          <w:p w14:paraId="23FF2364">
            <w:pPr>
              <w:jc w:val="left"/>
              <w:rPr>
                <w:rFonts w:ascii="宋体" w:hAnsi="宋体" w:cs="宋体"/>
                <w:color w:val="auto"/>
                <w:w w:val="90"/>
                <w:szCs w:val="21"/>
                <w:highlight w:val="none"/>
              </w:rPr>
            </w:pPr>
            <w:r>
              <w:rPr>
                <w:rFonts w:hint="eastAsia" w:ascii="宋体" w:hAnsi="宋体" w:cs="宋体"/>
                <w:color w:val="auto"/>
                <w:w w:val="90"/>
                <w:szCs w:val="21"/>
                <w:highlight w:val="none"/>
              </w:rPr>
              <w:t>A02010609图形图像输入设备</w:t>
            </w:r>
          </w:p>
        </w:tc>
        <w:tc>
          <w:tcPr>
            <w:tcW w:w="1807" w:type="dxa"/>
            <w:vAlign w:val="center"/>
          </w:tcPr>
          <w:p w14:paraId="1E001B03">
            <w:pPr>
              <w:jc w:val="left"/>
              <w:rPr>
                <w:rFonts w:ascii="宋体" w:hAnsi="宋体" w:cs="宋体"/>
                <w:color w:val="auto"/>
                <w:w w:val="90"/>
                <w:szCs w:val="21"/>
                <w:highlight w:val="none"/>
              </w:rPr>
            </w:pPr>
            <w:r>
              <w:rPr>
                <w:rFonts w:hint="eastAsia" w:ascii="宋体" w:hAnsi="宋体" w:cs="宋体"/>
                <w:color w:val="auto"/>
                <w:w w:val="90"/>
                <w:szCs w:val="21"/>
                <w:highlight w:val="none"/>
              </w:rPr>
              <w:t>A0201060901扫描仪</w:t>
            </w:r>
          </w:p>
        </w:tc>
        <w:tc>
          <w:tcPr>
            <w:tcW w:w="3301" w:type="dxa"/>
            <w:vAlign w:val="center"/>
          </w:tcPr>
          <w:p w14:paraId="6A0BE589">
            <w:pPr>
              <w:jc w:val="left"/>
              <w:rPr>
                <w:rFonts w:ascii="宋体" w:hAnsi="宋体" w:cs="宋体"/>
                <w:color w:val="auto"/>
                <w:w w:val="90"/>
                <w:szCs w:val="21"/>
                <w:highlight w:val="none"/>
              </w:rPr>
            </w:pPr>
            <w:r>
              <w:rPr>
                <w:rFonts w:hint="eastAsia" w:ascii="宋体" w:hAnsi="宋体" w:cs="宋体"/>
                <w:color w:val="auto"/>
                <w:w w:val="90"/>
                <w:szCs w:val="21"/>
                <w:highlight w:val="none"/>
              </w:rPr>
              <w:t>参照《复印机、打印机和传真机能效限定值及能效等级》（GB 21521中打印速度为 15 页/分的针式打印机相关要求</w:t>
            </w:r>
          </w:p>
        </w:tc>
      </w:tr>
      <w:tr w14:paraId="54D7CFD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3D2A966">
            <w:pPr>
              <w:jc w:val="center"/>
              <w:rPr>
                <w:rFonts w:ascii="宋体" w:hAnsi="宋体" w:cs="宋体"/>
                <w:color w:val="auto"/>
                <w:w w:val="90"/>
                <w:szCs w:val="21"/>
                <w:highlight w:val="none"/>
              </w:rPr>
            </w:pPr>
            <w:r>
              <w:rPr>
                <w:rFonts w:hint="eastAsia" w:ascii="宋体" w:hAnsi="宋体" w:cs="宋体"/>
                <w:color w:val="auto"/>
                <w:w w:val="90"/>
                <w:szCs w:val="21"/>
                <w:highlight w:val="none"/>
              </w:rPr>
              <w:t>3</w:t>
            </w:r>
          </w:p>
        </w:tc>
        <w:tc>
          <w:tcPr>
            <w:tcW w:w="1933" w:type="dxa"/>
            <w:vAlign w:val="center"/>
          </w:tcPr>
          <w:p w14:paraId="3079DBC2">
            <w:pPr>
              <w:jc w:val="left"/>
              <w:rPr>
                <w:rFonts w:ascii="宋体" w:hAnsi="宋体" w:cs="宋体"/>
                <w:color w:val="auto"/>
                <w:w w:val="90"/>
                <w:szCs w:val="21"/>
                <w:highlight w:val="none"/>
              </w:rPr>
            </w:pPr>
            <w:r>
              <w:rPr>
                <w:rFonts w:hint="eastAsia" w:ascii="宋体" w:hAnsi="宋体" w:cs="宋体"/>
                <w:color w:val="auto"/>
                <w:w w:val="90"/>
                <w:szCs w:val="21"/>
                <w:highlight w:val="none"/>
              </w:rPr>
              <w:t>A020202投影仪</w:t>
            </w:r>
          </w:p>
        </w:tc>
        <w:tc>
          <w:tcPr>
            <w:tcW w:w="2209" w:type="dxa"/>
            <w:vAlign w:val="center"/>
          </w:tcPr>
          <w:p w14:paraId="1A844351">
            <w:pPr>
              <w:jc w:val="left"/>
              <w:rPr>
                <w:rFonts w:ascii="宋体" w:hAnsi="宋体" w:cs="宋体"/>
                <w:color w:val="auto"/>
                <w:w w:val="90"/>
                <w:szCs w:val="21"/>
                <w:highlight w:val="none"/>
              </w:rPr>
            </w:pPr>
          </w:p>
        </w:tc>
        <w:tc>
          <w:tcPr>
            <w:tcW w:w="1807" w:type="dxa"/>
            <w:vAlign w:val="center"/>
          </w:tcPr>
          <w:p w14:paraId="4C98730B">
            <w:pPr>
              <w:jc w:val="center"/>
              <w:rPr>
                <w:rFonts w:ascii="宋体" w:hAnsi="宋体" w:cs="宋体"/>
                <w:color w:val="auto"/>
                <w:w w:val="90"/>
                <w:szCs w:val="21"/>
                <w:highlight w:val="none"/>
              </w:rPr>
            </w:pPr>
          </w:p>
        </w:tc>
        <w:tc>
          <w:tcPr>
            <w:tcW w:w="3301" w:type="dxa"/>
            <w:vAlign w:val="center"/>
          </w:tcPr>
          <w:p w14:paraId="092E7A63">
            <w:pPr>
              <w:jc w:val="left"/>
              <w:rPr>
                <w:rFonts w:ascii="宋体" w:hAnsi="宋体" w:cs="宋体"/>
                <w:color w:val="auto"/>
                <w:w w:val="90"/>
                <w:szCs w:val="21"/>
                <w:highlight w:val="none"/>
              </w:rPr>
            </w:pPr>
            <w:r>
              <w:rPr>
                <w:rFonts w:hint="eastAsia" w:ascii="宋体" w:hAnsi="宋体" w:cs="宋体"/>
                <w:color w:val="auto"/>
                <w:w w:val="90"/>
                <w:szCs w:val="21"/>
                <w:highlight w:val="none"/>
              </w:rPr>
              <w:t>《投影机能效限定值及能效等级（GB 32028）</w:t>
            </w:r>
          </w:p>
        </w:tc>
      </w:tr>
      <w:tr w14:paraId="7FEBB72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23D9F42">
            <w:pPr>
              <w:jc w:val="center"/>
              <w:rPr>
                <w:rFonts w:ascii="宋体" w:hAnsi="宋体" w:cs="宋体"/>
                <w:color w:val="auto"/>
                <w:w w:val="90"/>
                <w:szCs w:val="21"/>
                <w:highlight w:val="none"/>
              </w:rPr>
            </w:pPr>
            <w:r>
              <w:rPr>
                <w:rFonts w:hint="eastAsia" w:ascii="宋体" w:hAnsi="宋体" w:cs="宋体"/>
                <w:color w:val="auto"/>
                <w:w w:val="90"/>
                <w:szCs w:val="21"/>
                <w:highlight w:val="none"/>
              </w:rPr>
              <w:t>4</w:t>
            </w:r>
          </w:p>
        </w:tc>
        <w:tc>
          <w:tcPr>
            <w:tcW w:w="1933" w:type="dxa"/>
            <w:vAlign w:val="center"/>
          </w:tcPr>
          <w:p w14:paraId="79F98E73">
            <w:pPr>
              <w:jc w:val="left"/>
              <w:rPr>
                <w:rFonts w:ascii="宋体" w:hAnsi="宋体" w:cs="宋体"/>
                <w:color w:val="auto"/>
                <w:w w:val="90"/>
                <w:szCs w:val="21"/>
                <w:highlight w:val="none"/>
              </w:rPr>
            </w:pPr>
            <w:r>
              <w:rPr>
                <w:rFonts w:hint="eastAsia" w:ascii="宋体" w:hAnsi="宋体" w:cs="宋体"/>
                <w:color w:val="auto"/>
                <w:w w:val="90"/>
                <w:szCs w:val="21"/>
                <w:highlight w:val="none"/>
              </w:rPr>
              <w:t>A020204352多功能一体机</w:t>
            </w:r>
          </w:p>
        </w:tc>
        <w:tc>
          <w:tcPr>
            <w:tcW w:w="2209" w:type="dxa"/>
            <w:vAlign w:val="center"/>
          </w:tcPr>
          <w:p w14:paraId="12FFA964">
            <w:pPr>
              <w:jc w:val="left"/>
              <w:rPr>
                <w:rFonts w:ascii="宋体" w:hAnsi="宋体" w:cs="宋体"/>
                <w:color w:val="auto"/>
                <w:w w:val="90"/>
                <w:szCs w:val="21"/>
                <w:highlight w:val="none"/>
              </w:rPr>
            </w:pPr>
          </w:p>
        </w:tc>
        <w:tc>
          <w:tcPr>
            <w:tcW w:w="1807" w:type="dxa"/>
            <w:vAlign w:val="center"/>
          </w:tcPr>
          <w:p w14:paraId="75FF22E9">
            <w:pPr>
              <w:jc w:val="center"/>
              <w:rPr>
                <w:rFonts w:ascii="宋体" w:hAnsi="宋体" w:cs="宋体"/>
                <w:color w:val="auto"/>
                <w:w w:val="90"/>
                <w:szCs w:val="21"/>
                <w:highlight w:val="none"/>
              </w:rPr>
            </w:pPr>
          </w:p>
        </w:tc>
        <w:tc>
          <w:tcPr>
            <w:tcW w:w="3301" w:type="dxa"/>
            <w:vAlign w:val="center"/>
          </w:tcPr>
          <w:p w14:paraId="3E9DAF99">
            <w:pPr>
              <w:jc w:val="left"/>
              <w:rPr>
                <w:rFonts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14:paraId="16721D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3EDFFB2">
            <w:pPr>
              <w:jc w:val="center"/>
              <w:rPr>
                <w:rFonts w:ascii="宋体" w:hAnsi="宋体" w:cs="宋体"/>
                <w:color w:val="auto"/>
                <w:w w:val="90"/>
                <w:szCs w:val="21"/>
                <w:highlight w:val="none"/>
              </w:rPr>
            </w:pPr>
            <w:r>
              <w:rPr>
                <w:rFonts w:hint="eastAsia" w:ascii="宋体" w:hAnsi="宋体" w:cs="宋体"/>
                <w:color w:val="auto"/>
                <w:w w:val="90"/>
                <w:szCs w:val="21"/>
                <w:highlight w:val="none"/>
              </w:rPr>
              <w:t>5</w:t>
            </w:r>
          </w:p>
        </w:tc>
        <w:tc>
          <w:tcPr>
            <w:tcW w:w="1933" w:type="dxa"/>
            <w:vAlign w:val="center"/>
          </w:tcPr>
          <w:p w14:paraId="16CF4BFA">
            <w:pPr>
              <w:jc w:val="left"/>
              <w:rPr>
                <w:rFonts w:ascii="宋体" w:hAnsi="宋体" w:cs="宋体"/>
                <w:color w:val="auto"/>
                <w:w w:val="90"/>
                <w:szCs w:val="21"/>
                <w:highlight w:val="none"/>
              </w:rPr>
            </w:pPr>
            <w:r>
              <w:rPr>
                <w:rFonts w:hint="eastAsia" w:ascii="宋体" w:hAnsi="宋体" w:cs="宋体"/>
                <w:color w:val="auto"/>
                <w:w w:val="90"/>
                <w:szCs w:val="21"/>
                <w:highlight w:val="none"/>
              </w:rPr>
              <w:t>A020519泵</w:t>
            </w:r>
          </w:p>
        </w:tc>
        <w:tc>
          <w:tcPr>
            <w:tcW w:w="2209" w:type="dxa"/>
            <w:vAlign w:val="center"/>
          </w:tcPr>
          <w:p w14:paraId="3D787A8E">
            <w:pPr>
              <w:jc w:val="left"/>
              <w:rPr>
                <w:rFonts w:ascii="宋体" w:hAnsi="宋体" w:cs="宋体"/>
                <w:color w:val="auto"/>
                <w:w w:val="90"/>
                <w:szCs w:val="21"/>
                <w:highlight w:val="none"/>
              </w:rPr>
            </w:pPr>
            <w:r>
              <w:rPr>
                <w:rFonts w:hint="eastAsia" w:ascii="宋体" w:hAnsi="宋体" w:cs="宋体"/>
                <w:color w:val="auto"/>
                <w:w w:val="90"/>
                <w:szCs w:val="21"/>
                <w:highlight w:val="none"/>
              </w:rPr>
              <w:t>A02051901离心泵</w:t>
            </w:r>
          </w:p>
        </w:tc>
        <w:tc>
          <w:tcPr>
            <w:tcW w:w="1807" w:type="dxa"/>
            <w:vAlign w:val="center"/>
          </w:tcPr>
          <w:p w14:paraId="45ECFB82">
            <w:pPr>
              <w:jc w:val="center"/>
              <w:rPr>
                <w:rFonts w:ascii="宋体" w:hAnsi="宋体" w:cs="宋体"/>
                <w:color w:val="auto"/>
                <w:w w:val="90"/>
                <w:szCs w:val="21"/>
                <w:highlight w:val="none"/>
              </w:rPr>
            </w:pPr>
          </w:p>
        </w:tc>
        <w:tc>
          <w:tcPr>
            <w:tcW w:w="3301" w:type="dxa"/>
            <w:vAlign w:val="center"/>
          </w:tcPr>
          <w:p w14:paraId="32C71433">
            <w:pPr>
              <w:jc w:val="left"/>
              <w:rPr>
                <w:rFonts w:ascii="宋体" w:hAnsi="宋体" w:cs="宋体"/>
                <w:color w:val="auto"/>
                <w:w w:val="90"/>
                <w:szCs w:val="21"/>
                <w:highlight w:val="none"/>
              </w:rPr>
            </w:pPr>
            <w:r>
              <w:rPr>
                <w:rFonts w:hint="eastAsia" w:ascii="宋体" w:hAnsi="宋体" w:cs="宋体"/>
                <w:color w:val="auto"/>
                <w:w w:val="90"/>
                <w:szCs w:val="21"/>
                <w:highlight w:val="none"/>
              </w:rPr>
              <w:t>《清水离心泵能效限定值及节能评价值》（GB 19762）</w:t>
            </w:r>
          </w:p>
        </w:tc>
      </w:tr>
      <w:tr w14:paraId="0BFC900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4158F831">
            <w:pPr>
              <w:jc w:val="center"/>
              <w:rPr>
                <w:rFonts w:ascii="宋体" w:hAnsi="宋体" w:cs="宋体"/>
                <w:color w:val="auto"/>
                <w:w w:val="90"/>
                <w:szCs w:val="21"/>
                <w:highlight w:val="none"/>
              </w:rPr>
            </w:pPr>
            <w:r>
              <w:rPr>
                <w:rFonts w:hint="eastAsia" w:ascii="宋体" w:hAnsi="宋体" w:cs="宋体"/>
                <w:color w:val="auto"/>
                <w:w w:val="90"/>
                <w:szCs w:val="21"/>
                <w:highlight w:val="none"/>
              </w:rPr>
              <w:t>6</w:t>
            </w:r>
          </w:p>
        </w:tc>
        <w:tc>
          <w:tcPr>
            <w:tcW w:w="1933" w:type="dxa"/>
            <w:vMerge w:val="restart"/>
            <w:vAlign w:val="center"/>
          </w:tcPr>
          <w:p w14:paraId="4554086B">
            <w:pPr>
              <w:jc w:val="left"/>
              <w:rPr>
                <w:rFonts w:ascii="宋体" w:hAnsi="宋体" w:cs="宋体"/>
                <w:color w:val="auto"/>
                <w:w w:val="90"/>
                <w:szCs w:val="21"/>
                <w:highlight w:val="none"/>
              </w:rPr>
            </w:pPr>
            <w:r>
              <w:rPr>
                <w:rFonts w:hint="eastAsia" w:ascii="宋体" w:hAnsi="宋体" w:cs="宋体"/>
                <w:color w:val="auto"/>
                <w:w w:val="90"/>
                <w:szCs w:val="21"/>
                <w:highlight w:val="none"/>
              </w:rPr>
              <w:t>A020523制冷空调设备</w:t>
            </w:r>
          </w:p>
        </w:tc>
        <w:tc>
          <w:tcPr>
            <w:tcW w:w="2209" w:type="dxa"/>
            <w:vMerge w:val="restart"/>
            <w:vAlign w:val="center"/>
          </w:tcPr>
          <w:p w14:paraId="531BA7FE">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A02052301制冷压缩机</w:t>
            </w:r>
          </w:p>
        </w:tc>
        <w:tc>
          <w:tcPr>
            <w:tcW w:w="1807" w:type="dxa"/>
            <w:vAlign w:val="center"/>
          </w:tcPr>
          <w:p w14:paraId="6631E492">
            <w:pPr>
              <w:jc w:val="left"/>
              <w:rPr>
                <w:rFonts w:ascii="宋体" w:hAnsi="宋体" w:cs="宋体"/>
                <w:b/>
                <w:color w:val="auto"/>
                <w:w w:val="90"/>
                <w:szCs w:val="21"/>
                <w:highlight w:val="none"/>
              </w:rPr>
            </w:pPr>
            <w:r>
              <w:rPr>
                <w:rFonts w:hint="eastAsia" w:ascii="宋体" w:hAnsi="宋体" w:cs="宋体"/>
                <w:b/>
                <w:color w:val="auto"/>
                <w:w w:val="90"/>
                <w:szCs w:val="21"/>
                <w:highlight w:val="none"/>
              </w:rPr>
              <w:t>冷水机组</w:t>
            </w:r>
          </w:p>
        </w:tc>
        <w:tc>
          <w:tcPr>
            <w:tcW w:w="3301" w:type="dxa"/>
            <w:vAlign w:val="center"/>
          </w:tcPr>
          <w:p w14:paraId="67100CC2">
            <w:pPr>
              <w:jc w:val="left"/>
              <w:rPr>
                <w:rFonts w:ascii="宋体" w:hAnsi="宋体" w:cs="宋体"/>
                <w:color w:val="auto"/>
                <w:w w:val="90"/>
                <w:szCs w:val="21"/>
                <w:highlight w:val="none"/>
              </w:rPr>
            </w:pPr>
            <w:r>
              <w:rPr>
                <w:rFonts w:hint="eastAsia" w:ascii="宋体" w:hAnsi="宋体" w:cs="宋体"/>
                <w:color w:val="auto"/>
                <w:w w:val="90"/>
                <w:szCs w:val="21"/>
                <w:highlight w:val="none"/>
              </w:rPr>
              <w:t>《冷水机组能效限定值及能效等级》（GB 19577），《低环境温度空气源热泵（冷水）机组能效限定值及能效等级》（GB 37480）</w:t>
            </w:r>
          </w:p>
        </w:tc>
      </w:tr>
      <w:tr w14:paraId="24E685E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81618EC">
            <w:pPr>
              <w:jc w:val="center"/>
              <w:rPr>
                <w:rFonts w:ascii="宋体" w:hAnsi="宋体" w:cs="宋体"/>
                <w:color w:val="auto"/>
                <w:w w:val="90"/>
                <w:szCs w:val="21"/>
                <w:highlight w:val="none"/>
              </w:rPr>
            </w:pPr>
          </w:p>
        </w:tc>
        <w:tc>
          <w:tcPr>
            <w:tcW w:w="1933" w:type="dxa"/>
            <w:vMerge w:val="continue"/>
            <w:vAlign w:val="center"/>
          </w:tcPr>
          <w:p w14:paraId="74DDF1AF">
            <w:pPr>
              <w:jc w:val="left"/>
              <w:rPr>
                <w:rFonts w:ascii="宋体" w:hAnsi="宋体" w:cs="宋体"/>
                <w:color w:val="auto"/>
                <w:w w:val="90"/>
                <w:szCs w:val="21"/>
                <w:highlight w:val="none"/>
              </w:rPr>
            </w:pPr>
          </w:p>
        </w:tc>
        <w:tc>
          <w:tcPr>
            <w:tcW w:w="2209" w:type="dxa"/>
            <w:vMerge w:val="continue"/>
            <w:vAlign w:val="center"/>
          </w:tcPr>
          <w:p w14:paraId="4994C50C">
            <w:pPr>
              <w:jc w:val="left"/>
              <w:rPr>
                <w:rFonts w:ascii="宋体" w:hAnsi="宋体" w:cs="宋体"/>
                <w:b/>
                <w:color w:val="auto"/>
                <w:w w:val="90"/>
                <w:szCs w:val="21"/>
                <w:highlight w:val="none"/>
              </w:rPr>
            </w:pPr>
          </w:p>
        </w:tc>
        <w:tc>
          <w:tcPr>
            <w:tcW w:w="1807" w:type="dxa"/>
            <w:vAlign w:val="center"/>
          </w:tcPr>
          <w:p w14:paraId="1087D415">
            <w:pPr>
              <w:jc w:val="left"/>
              <w:rPr>
                <w:rFonts w:ascii="宋体" w:hAnsi="宋体" w:cs="宋体"/>
                <w:b/>
                <w:color w:val="auto"/>
                <w:w w:val="90"/>
                <w:szCs w:val="21"/>
                <w:highlight w:val="none"/>
              </w:rPr>
            </w:pPr>
            <w:r>
              <w:rPr>
                <w:rFonts w:hint="eastAsia" w:ascii="宋体" w:hAnsi="宋体" w:cs="宋体"/>
                <w:b/>
                <w:color w:val="auto"/>
                <w:w w:val="90"/>
                <w:szCs w:val="21"/>
                <w:highlight w:val="none"/>
              </w:rPr>
              <w:t>水源热泵机组</w:t>
            </w:r>
          </w:p>
        </w:tc>
        <w:tc>
          <w:tcPr>
            <w:tcW w:w="3301" w:type="dxa"/>
            <w:vAlign w:val="center"/>
          </w:tcPr>
          <w:p w14:paraId="13630F74">
            <w:pPr>
              <w:jc w:val="left"/>
              <w:rPr>
                <w:rFonts w:ascii="宋体" w:hAnsi="宋体" w:cs="宋体"/>
                <w:color w:val="auto"/>
                <w:w w:val="90"/>
                <w:szCs w:val="21"/>
                <w:highlight w:val="none"/>
              </w:rPr>
            </w:pPr>
            <w:r>
              <w:rPr>
                <w:rFonts w:hint="eastAsia" w:ascii="宋体" w:hAnsi="宋体" w:cs="宋体"/>
                <w:color w:val="auto"/>
                <w:w w:val="90"/>
                <w:szCs w:val="21"/>
                <w:highlight w:val="none"/>
              </w:rPr>
              <w:t>《水（地）源热泵机组能效限定值及能效等级》（GB 30721）</w:t>
            </w:r>
          </w:p>
        </w:tc>
      </w:tr>
      <w:tr w14:paraId="711594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4FF40E1">
            <w:pPr>
              <w:jc w:val="center"/>
              <w:rPr>
                <w:rFonts w:ascii="宋体" w:hAnsi="宋体" w:cs="宋体"/>
                <w:color w:val="auto"/>
                <w:w w:val="90"/>
                <w:szCs w:val="21"/>
                <w:highlight w:val="none"/>
              </w:rPr>
            </w:pPr>
          </w:p>
        </w:tc>
        <w:tc>
          <w:tcPr>
            <w:tcW w:w="1933" w:type="dxa"/>
            <w:vMerge w:val="continue"/>
            <w:vAlign w:val="center"/>
          </w:tcPr>
          <w:p w14:paraId="67BCE396">
            <w:pPr>
              <w:jc w:val="left"/>
              <w:rPr>
                <w:rFonts w:ascii="宋体" w:hAnsi="宋体" w:cs="宋体"/>
                <w:color w:val="auto"/>
                <w:w w:val="90"/>
                <w:szCs w:val="21"/>
                <w:highlight w:val="none"/>
              </w:rPr>
            </w:pPr>
          </w:p>
        </w:tc>
        <w:tc>
          <w:tcPr>
            <w:tcW w:w="2209" w:type="dxa"/>
            <w:vMerge w:val="continue"/>
            <w:vAlign w:val="center"/>
          </w:tcPr>
          <w:p w14:paraId="32F07820">
            <w:pPr>
              <w:jc w:val="left"/>
              <w:rPr>
                <w:rFonts w:ascii="宋体" w:hAnsi="宋体" w:cs="宋体"/>
                <w:b/>
                <w:color w:val="auto"/>
                <w:w w:val="90"/>
                <w:szCs w:val="21"/>
                <w:highlight w:val="none"/>
              </w:rPr>
            </w:pPr>
          </w:p>
        </w:tc>
        <w:tc>
          <w:tcPr>
            <w:tcW w:w="1807" w:type="dxa"/>
            <w:vAlign w:val="center"/>
          </w:tcPr>
          <w:p w14:paraId="1BFA3126">
            <w:pPr>
              <w:jc w:val="left"/>
              <w:rPr>
                <w:rFonts w:ascii="宋体" w:hAnsi="宋体" w:cs="宋体"/>
                <w:b/>
                <w:color w:val="auto"/>
                <w:w w:val="90"/>
                <w:szCs w:val="21"/>
                <w:highlight w:val="none"/>
              </w:rPr>
            </w:pPr>
            <w:r>
              <w:rPr>
                <w:rFonts w:hint="eastAsia" w:ascii="宋体" w:hAnsi="宋体" w:cs="宋体"/>
                <w:b/>
                <w:color w:val="auto"/>
                <w:w w:val="90"/>
                <w:szCs w:val="21"/>
                <w:highlight w:val="none"/>
              </w:rPr>
              <w:t>溴化锂吸收式冷水机组</w:t>
            </w:r>
          </w:p>
        </w:tc>
        <w:tc>
          <w:tcPr>
            <w:tcW w:w="3301" w:type="dxa"/>
            <w:vAlign w:val="center"/>
          </w:tcPr>
          <w:p w14:paraId="50D33545">
            <w:pPr>
              <w:jc w:val="left"/>
              <w:rPr>
                <w:rFonts w:ascii="宋体" w:hAnsi="宋体" w:cs="宋体"/>
                <w:color w:val="auto"/>
                <w:w w:val="90"/>
                <w:szCs w:val="21"/>
                <w:highlight w:val="none"/>
              </w:rPr>
            </w:pPr>
            <w:r>
              <w:rPr>
                <w:rFonts w:hint="eastAsia" w:ascii="宋体" w:hAnsi="宋体" w:cs="宋体"/>
                <w:color w:val="auto"/>
                <w:w w:val="90"/>
                <w:szCs w:val="21"/>
                <w:highlight w:val="none"/>
              </w:rPr>
              <w:t>《溴化锂吸收式冷水机组能效限定值及能效等级》（GB 29540）</w:t>
            </w:r>
          </w:p>
        </w:tc>
      </w:tr>
      <w:tr w14:paraId="614E46F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032C24A">
            <w:pPr>
              <w:jc w:val="center"/>
              <w:rPr>
                <w:rFonts w:ascii="宋体" w:hAnsi="宋体" w:cs="宋体"/>
                <w:color w:val="auto"/>
                <w:w w:val="90"/>
                <w:szCs w:val="21"/>
                <w:highlight w:val="none"/>
              </w:rPr>
            </w:pPr>
          </w:p>
        </w:tc>
        <w:tc>
          <w:tcPr>
            <w:tcW w:w="1933" w:type="dxa"/>
            <w:vMerge w:val="continue"/>
            <w:vAlign w:val="center"/>
          </w:tcPr>
          <w:p w14:paraId="54D9F6EB">
            <w:pPr>
              <w:jc w:val="left"/>
              <w:rPr>
                <w:rFonts w:ascii="宋体" w:hAnsi="宋体" w:cs="宋体"/>
                <w:color w:val="auto"/>
                <w:w w:val="90"/>
                <w:szCs w:val="21"/>
                <w:highlight w:val="none"/>
              </w:rPr>
            </w:pPr>
          </w:p>
        </w:tc>
        <w:tc>
          <w:tcPr>
            <w:tcW w:w="2209" w:type="dxa"/>
            <w:vMerge w:val="restart"/>
            <w:vAlign w:val="center"/>
          </w:tcPr>
          <w:p w14:paraId="5BCDBAA8">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A02052305空调机组</w:t>
            </w:r>
          </w:p>
        </w:tc>
        <w:tc>
          <w:tcPr>
            <w:tcW w:w="1807" w:type="dxa"/>
            <w:vAlign w:val="center"/>
          </w:tcPr>
          <w:p w14:paraId="0ACB7F8F">
            <w:pPr>
              <w:jc w:val="left"/>
              <w:rPr>
                <w:rFonts w:ascii="宋体" w:hAnsi="宋体" w:cs="宋体"/>
                <w:b/>
                <w:color w:val="auto"/>
                <w:w w:val="90"/>
                <w:szCs w:val="21"/>
                <w:highlight w:val="none"/>
              </w:rPr>
            </w:pPr>
            <w:r>
              <w:rPr>
                <w:rFonts w:hint="eastAsia" w:ascii="宋体" w:hAnsi="宋体" w:cs="宋体"/>
                <w:b/>
                <w:color w:val="auto"/>
                <w:w w:val="90"/>
                <w:szCs w:val="21"/>
                <w:highlight w:val="none"/>
              </w:rPr>
              <w:t>多联式空调（热泵）机组(制冷量&gt;14000W)</w:t>
            </w:r>
          </w:p>
        </w:tc>
        <w:tc>
          <w:tcPr>
            <w:tcW w:w="3301" w:type="dxa"/>
            <w:vAlign w:val="center"/>
          </w:tcPr>
          <w:p w14:paraId="725664C1">
            <w:pPr>
              <w:jc w:val="left"/>
              <w:rPr>
                <w:rFonts w:ascii="宋体" w:hAnsi="宋体" w:cs="宋体"/>
                <w:color w:val="auto"/>
                <w:w w:val="90"/>
                <w:szCs w:val="21"/>
                <w:highlight w:val="none"/>
              </w:rPr>
            </w:pPr>
            <w:r>
              <w:rPr>
                <w:rFonts w:hint="eastAsia" w:ascii="宋体" w:hAnsi="宋体" w:cs="宋体"/>
                <w:color w:val="auto"/>
                <w:w w:val="90"/>
                <w:szCs w:val="21"/>
                <w:highlight w:val="none"/>
              </w:rPr>
              <w:t>《多联式空调（热泵）机组能效限定值及能源效率等级》（GB 21454）</w:t>
            </w:r>
          </w:p>
        </w:tc>
      </w:tr>
      <w:tr w14:paraId="5B605C4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3163268">
            <w:pPr>
              <w:jc w:val="center"/>
              <w:rPr>
                <w:rFonts w:ascii="宋体" w:hAnsi="宋体" w:cs="宋体"/>
                <w:color w:val="auto"/>
                <w:w w:val="90"/>
                <w:szCs w:val="21"/>
                <w:highlight w:val="none"/>
              </w:rPr>
            </w:pPr>
          </w:p>
        </w:tc>
        <w:tc>
          <w:tcPr>
            <w:tcW w:w="1933" w:type="dxa"/>
            <w:vMerge w:val="continue"/>
            <w:vAlign w:val="center"/>
          </w:tcPr>
          <w:p w14:paraId="6F89C8DE">
            <w:pPr>
              <w:jc w:val="left"/>
              <w:rPr>
                <w:rFonts w:ascii="宋体" w:hAnsi="宋体" w:cs="宋体"/>
                <w:color w:val="auto"/>
                <w:w w:val="90"/>
                <w:szCs w:val="21"/>
                <w:highlight w:val="none"/>
              </w:rPr>
            </w:pPr>
          </w:p>
        </w:tc>
        <w:tc>
          <w:tcPr>
            <w:tcW w:w="2209" w:type="dxa"/>
            <w:vMerge w:val="continue"/>
            <w:vAlign w:val="center"/>
          </w:tcPr>
          <w:p w14:paraId="4A60B625">
            <w:pPr>
              <w:jc w:val="left"/>
              <w:rPr>
                <w:rFonts w:ascii="宋体" w:hAnsi="宋体" w:cs="宋体"/>
                <w:b/>
                <w:color w:val="auto"/>
                <w:w w:val="90"/>
                <w:szCs w:val="21"/>
                <w:highlight w:val="none"/>
              </w:rPr>
            </w:pPr>
          </w:p>
        </w:tc>
        <w:tc>
          <w:tcPr>
            <w:tcW w:w="1807" w:type="dxa"/>
            <w:vAlign w:val="center"/>
          </w:tcPr>
          <w:p w14:paraId="4EFDEF1F">
            <w:pPr>
              <w:jc w:val="left"/>
              <w:rPr>
                <w:rFonts w:ascii="宋体" w:hAnsi="宋体" w:cs="宋体"/>
                <w:b/>
                <w:color w:val="auto"/>
                <w:w w:val="90"/>
                <w:szCs w:val="21"/>
                <w:highlight w:val="none"/>
              </w:rPr>
            </w:pPr>
            <w:r>
              <w:rPr>
                <w:rFonts w:hint="eastAsia" w:ascii="宋体" w:hAnsi="宋体" w:cs="宋体"/>
                <w:b/>
                <w:color w:val="auto"/>
                <w:w w:val="90"/>
                <w:szCs w:val="21"/>
                <w:highlight w:val="none"/>
              </w:rPr>
              <w:t>单元式空气调节机(制冷量&gt;14000W)</w:t>
            </w:r>
          </w:p>
        </w:tc>
        <w:tc>
          <w:tcPr>
            <w:tcW w:w="3301" w:type="dxa"/>
            <w:vAlign w:val="center"/>
          </w:tcPr>
          <w:p w14:paraId="5D2C40D9">
            <w:pPr>
              <w:jc w:val="left"/>
              <w:rPr>
                <w:rFonts w:ascii="宋体" w:hAnsi="宋体" w:cs="宋体"/>
                <w:color w:val="auto"/>
                <w:w w:val="90"/>
                <w:szCs w:val="21"/>
                <w:highlight w:val="none"/>
              </w:rPr>
            </w:pPr>
            <w:r>
              <w:rPr>
                <w:rFonts w:hint="eastAsia" w:ascii="宋体" w:hAnsi="宋体" w:cs="宋体"/>
                <w:color w:val="auto"/>
                <w:w w:val="90"/>
                <w:szCs w:val="21"/>
                <w:highlight w:val="none"/>
              </w:rPr>
              <w:t>《单元式空气调节机能效限定值及能效等级》（GB 19576）《风管送风式空调机组能效限定值及能效等级》（GB 37479）</w:t>
            </w:r>
          </w:p>
        </w:tc>
      </w:tr>
      <w:tr w14:paraId="4AB7F15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F078D6C">
            <w:pPr>
              <w:jc w:val="center"/>
              <w:rPr>
                <w:rFonts w:ascii="宋体" w:hAnsi="宋体" w:cs="宋体"/>
                <w:color w:val="auto"/>
                <w:w w:val="90"/>
                <w:szCs w:val="21"/>
                <w:highlight w:val="none"/>
              </w:rPr>
            </w:pPr>
          </w:p>
        </w:tc>
        <w:tc>
          <w:tcPr>
            <w:tcW w:w="1933" w:type="dxa"/>
            <w:vMerge w:val="continue"/>
            <w:vAlign w:val="center"/>
          </w:tcPr>
          <w:p w14:paraId="4EDCC63B">
            <w:pPr>
              <w:jc w:val="left"/>
              <w:rPr>
                <w:rFonts w:ascii="宋体" w:hAnsi="宋体" w:cs="宋体"/>
                <w:color w:val="auto"/>
                <w:w w:val="90"/>
                <w:szCs w:val="21"/>
                <w:highlight w:val="none"/>
              </w:rPr>
            </w:pPr>
          </w:p>
        </w:tc>
        <w:tc>
          <w:tcPr>
            <w:tcW w:w="2209" w:type="dxa"/>
            <w:vAlign w:val="center"/>
          </w:tcPr>
          <w:p w14:paraId="4EFAC364">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A02052309专用制冷、空调设备</w:t>
            </w:r>
          </w:p>
        </w:tc>
        <w:tc>
          <w:tcPr>
            <w:tcW w:w="1807" w:type="dxa"/>
            <w:vAlign w:val="center"/>
          </w:tcPr>
          <w:p w14:paraId="2D2A8502">
            <w:pPr>
              <w:jc w:val="left"/>
              <w:rPr>
                <w:rFonts w:ascii="宋体" w:hAnsi="宋体" w:cs="宋体"/>
                <w:b/>
                <w:color w:val="auto"/>
                <w:w w:val="90"/>
                <w:szCs w:val="21"/>
                <w:highlight w:val="none"/>
              </w:rPr>
            </w:pPr>
            <w:r>
              <w:rPr>
                <w:rFonts w:hint="eastAsia" w:ascii="宋体" w:hAnsi="宋体" w:cs="宋体"/>
                <w:b/>
                <w:color w:val="auto"/>
                <w:w w:val="90"/>
                <w:szCs w:val="21"/>
                <w:highlight w:val="none"/>
              </w:rPr>
              <w:t>机房空调</w:t>
            </w:r>
          </w:p>
        </w:tc>
        <w:tc>
          <w:tcPr>
            <w:tcW w:w="3301" w:type="dxa"/>
            <w:vAlign w:val="center"/>
          </w:tcPr>
          <w:p w14:paraId="0A64282B">
            <w:pPr>
              <w:jc w:val="left"/>
              <w:rPr>
                <w:rFonts w:ascii="宋体" w:hAnsi="宋体" w:cs="宋体"/>
                <w:color w:val="auto"/>
                <w:w w:val="90"/>
                <w:szCs w:val="21"/>
                <w:highlight w:val="none"/>
              </w:rPr>
            </w:pPr>
            <w:r>
              <w:rPr>
                <w:rFonts w:hint="eastAsia" w:ascii="宋体" w:hAnsi="宋体" w:cs="宋体"/>
                <w:color w:val="auto"/>
                <w:w w:val="90"/>
                <w:szCs w:val="21"/>
                <w:highlight w:val="none"/>
              </w:rPr>
              <w:t>《单元式空气调节机能效限定值及能效等级》（GB 19576）</w:t>
            </w:r>
          </w:p>
        </w:tc>
      </w:tr>
      <w:tr w14:paraId="3F483D7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CB29314">
            <w:pPr>
              <w:jc w:val="center"/>
              <w:rPr>
                <w:rFonts w:ascii="宋体" w:hAnsi="宋体" w:cs="宋体"/>
                <w:color w:val="auto"/>
                <w:w w:val="90"/>
                <w:szCs w:val="21"/>
                <w:highlight w:val="none"/>
              </w:rPr>
            </w:pPr>
          </w:p>
        </w:tc>
        <w:tc>
          <w:tcPr>
            <w:tcW w:w="1933" w:type="dxa"/>
            <w:vMerge w:val="continue"/>
            <w:vAlign w:val="center"/>
          </w:tcPr>
          <w:p w14:paraId="4C444EA4">
            <w:pPr>
              <w:jc w:val="left"/>
              <w:rPr>
                <w:rFonts w:ascii="宋体" w:hAnsi="宋体" w:cs="宋体"/>
                <w:color w:val="auto"/>
                <w:w w:val="90"/>
                <w:szCs w:val="21"/>
                <w:highlight w:val="none"/>
              </w:rPr>
            </w:pPr>
          </w:p>
        </w:tc>
        <w:tc>
          <w:tcPr>
            <w:tcW w:w="2209" w:type="dxa"/>
            <w:vAlign w:val="center"/>
          </w:tcPr>
          <w:p w14:paraId="2FCD0508">
            <w:pPr>
              <w:jc w:val="left"/>
              <w:rPr>
                <w:rFonts w:ascii="宋体" w:hAnsi="宋体" w:cs="宋体"/>
                <w:color w:val="auto"/>
                <w:w w:val="90"/>
                <w:szCs w:val="21"/>
                <w:highlight w:val="none"/>
              </w:rPr>
            </w:pPr>
            <w:r>
              <w:rPr>
                <w:rFonts w:hint="eastAsia" w:ascii="宋体" w:hAnsi="宋体" w:cs="宋体"/>
                <w:color w:val="auto"/>
                <w:w w:val="90"/>
                <w:szCs w:val="21"/>
                <w:highlight w:val="none"/>
              </w:rPr>
              <w:t>A02052399其他制冷空调设备</w:t>
            </w:r>
          </w:p>
        </w:tc>
        <w:tc>
          <w:tcPr>
            <w:tcW w:w="1807" w:type="dxa"/>
            <w:vAlign w:val="center"/>
          </w:tcPr>
          <w:p w14:paraId="6FD433BF">
            <w:pPr>
              <w:jc w:val="left"/>
              <w:rPr>
                <w:rFonts w:ascii="宋体" w:hAnsi="宋体" w:cs="宋体"/>
                <w:color w:val="auto"/>
                <w:w w:val="90"/>
                <w:szCs w:val="21"/>
                <w:highlight w:val="none"/>
              </w:rPr>
            </w:pPr>
            <w:r>
              <w:rPr>
                <w:rFonts w:hint="eastAsia" w:ascii="宋体" w:hAnsi="宋体" w:cs="宋体"/>
                <w:color w:val="auto"/>
                <w:w w:val="90"/>
                <w:szCs w:val="21"/>
                <w:highlight w:val="none"/>
              </w:rPr>
              <w:t>冷却塔</w:t>
            </w:r>
          </w:p>
        </w:tc>
        <w:tc>
          <w:tcPr>
            <w:tcW w:w="3301" w:type="dxa"/>
            <w:vAlign w:val="center"/>
          </w:tcPr>
          <w:p w14:paraId="292158F7">
            <w:pPr>
              <w:jc w:val="left"/>
              <w:rPr>
                <w:rFonts w:ascii="宋体" w:hAnsi="宋体" w:cs="宋体"/>
                <w:color w:val="auto"/>
                <w:w w:val="90"/>
                <w:szCs w:val="21"/>
                <w:highlight w:val="none"/>
              </w:rPr>
            </w:pPr>
            <w:r>
              <w:rPr>
                <w:rFonts w:hint="eastAsia" w:ascii="宋体" w:hAnsi="宋体" w:cs="宋体"/>
                <w:color w:val="auto"/>
                <w:w w:val="90"/>
                <w:szCs w:val="21"/>
                <w:highlight w:val="none"/>
              </w:rPr>
              <w:t>《机械通风冷却塔 第 1 部分：中小型开式冷却塔》（GB/T 7190.1）</w:t>
            </w:r>
          </w:p>
          <w:p w14:paraId="3E6408CE">
            <w:pPr>
              <w:jc w:val="left"/>
              <w:rPr>
                <w:rFonts w:ascii="宋体" w:hAnsi="宋体" w:cs="宋体"/>
                <w:color w:val="auto"/>
                <w:w w:val="90"/>
                <w:szCs w:val="21"/>
                <w:highlight w:val="none"/>
              </w:rPr>
            </w:pPr>
            <w:r>
              <w:rPr>
                <w:rFonts w:hint="eastAsia" w:ascii="宋体" w:hAnsi="宋体" w:cs="宋体"/>
                <w:color w:val="auto"/>
                <w:w w:val="90"/>
                <w:szCs w:val="21"/>
                <w:highlight w:val="none"/>
              </w:rPr>
              <w:t>《机械通风冷却塔 第 2 部分：大型开式冷却塔》（GB/T 7190.2）</w:t>
            </w:r>
          </w:p>
        </w:tc>
      </w:tr>
      <w:tr w14:paraId="184D8FC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C482120">
            <w:pPr>
              <w:jc w:val="center"/>
              <w:rPr>
                <w:rFonts w:ascii="宋体" w:hAnsi="宋体" w:cs="宋体"/>
                <w:color w:val="auto"/>
                <w:w w:val="90"/>
                <w:szCs w:val="21"/>
                <w:highlight w:val="none"/>
              </w:rPr>
            </w:pPr>
            <w:r>
              <w:rPr>
                <w:rFonts w:hint="eastAsia" w:ascii="宋体" w:hAnsi="宋体" w:cs="宋体"/>
                <w:color w:val="auto"/>
                <w:w w:val="90"/>
                <w:szCs w:val="21"/>
                <w:highlight w:val="none"/>
              </w:rPr>
              <w:t>7</w:t>
            </w:r>
          </w:p>
        </w:tc>
        <w:tc>
          <w:tcPr>
            <w:tcW w:w="1933" w:type="dxa"/>
            <w:vAlign w:val="center"/>
          </w:tcPr>
          <w:p w14:paraId="412EE78E">
            <w:pPr>
              <w:jc w:val="left"/>
              <w:rPr>
                <w:rFonts w:ascii="宋体" w:hAnsi="宋体" w:cs="宋体"/>
                <w:color w:val="auto"/>
                <w:w w:val="90"/>
                <w:szCs w:val="21"/>
                <w:highlight w:val="none"/>
              </w:rPr>
            </w:pPr>
            <w:r>
              <w:rPr>
                <w:rFonts w:hint="eastAsia" w:ascii="宋体" w:hAnsi="宋体" w:cs="宋体"/>
                <w:color w:val="auto"/>
                <w:w w:val="90"/>
                <w:szCs w:val="21"/>
                <w:highlight w:val="none"/>
              </w:rPr>
              <w:t>A020601电机</w:t>
            </w:r>
          </w:p>
        </w:tc>
        <w:tc>
          <w:tcPr>
            <w:tcW w:w="2209" w:type="dxa"/>
            <w:vAlign w:val="center"/>
          </w:tcPr>
          <w:p w14:paraId="6A7C6CFC">
            <w:pPr>
              <w:jc w:val="left"/>
              <w:rPr>
                <w:rFonts w:ascii="宋体" w:hAnsi="宋体" w:cs="宋体"/>
                <w:color w:val="auto"/>
                <w:w w:val="90"/>
                <w:szCs w:val="21"/>
                <w:highlight w:val="none"/>
              </w:rPr>
            </w:pPr>
          </w:p>
        </w:tc>
        <w:tc>
          <w:tcPr>
            <w:tcW w:w="1807" w:type="dxa"/>
            <w:vAlign w:val="center"/>
          </w:tcPr>
          <w:p w14:paraId="48C6AC64">
            <w:pPr>
              <w:jc w:val="center"/>
              <w:rPr>
                <w:rFonts w:ascii="宋体" w:hAnsi="宋体" w:cs="宋体"/>
                <w:color w:val="auto"/>
                <w:w w:val="90"/>
                <w:szCs w:val="21"/>
                <w:highlight w:val="none"/>
              </w:rPr>
            </w:pPr>
          </w:p>
        </w:tc>
        <w:tc>
          <w:tcPr>
            <w:tcW w:w="3301" w:type="dxa"/>
            <w:vAlign w:val="center"/>
          </w:tcPr>
          <w:p w14:paraId="2C6E87CA">
            <w:pPr>
              <w:jc w:val="left"/>
              <w:rPr>
                <w:rFonts w:ascii="宋体" w:hAnsi="宋体" w:cs="宋体"/>
                <w:color w:val="auto"/>
                <w:w w:val="90"/>
                <w:szCs w:val="21"/>
                <w:highlight w:val="none"/>
              </w:rPr>
            </w:pPr>
            <w:r>
              <w:rPr>
                <w:rFonts w:hint="eastAsia" w:ascii="宋体" w:hAnsi="宋体" w:cs="宋体"/>
                <w:color w:val="auto"/>
                <w:w w:val="90"/>
                <w:szCs w:val="21"/>
                <w:highlight w:val="none"/>
              </w:rPr>
              <w:t>《中小型三相异步电动机能效限定值及能效等级》（GB 18613）</w:t>
            </w:r>
          </w:p>
        </w:tc>
      </w:tr>
      <w:tr w14:paraId="62BC3C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B0AE2F6">
            <w:pPr>
              <w:jc w:val="center"/>
              <w:rPr>
                <w:rFonts w:ascii="宋体" w:hAnsi="宋体" w:cs="宋体"/>
                <w:color w:val="auto"/>
                <w:w w:val="90"/>
                <w:szCs w:val="21"/>
                <w:highlight w:val="none"/>
              </w:rPr>
            </w:pPr>
            <w:r>
              <w:rPr>
                <w:rFonts w:hint="eastAsia" w:ascii="宋体" w:hAnsi="宋体" w:cs="宋体"/>
                <w:color w:val="auto"/>
                <w:w w:val="90"/>
                <w:szCs w:val="21"/>
                <w:highlight w:val="none"/>
              </w:rPr>
              <w:t>8</w:t>
            </w:r>
          </w:p>
        </w:tc>
        <w:tc>
          <w:tcPr>
            <w:tcW w:w="1933" w:type="dxa"/>
            <w:vAlign w:val="center"/>
          </w:tcPr>
          <w:p w14:paraId="2E36F00A">
            <w:pPr>
              <w:jc w:val="left"/>
              <w:rPr>
                <w:rFonts w:ascii="宋体" w:hAnsi="宋体" w:cs="宋体"/>
                <w:color w:val="auto"/>
                <w:w w:val="90"/>
                <w:szCs w:val="21"/>
                <w:highlight w:val="none"/>
              </w:rPr>
            </w:pPr>
            <w:r>
              <w:rPr>
                <w:rFonts w:hint="eastAsia" w:ascii="宋体" w:hAnsi="宋体" w:cs="宋体"/>
                <w:color w:val="auto"/>
                <w:w w:val="90"/>
                <w:szCs w:val="21"/>
                <w:highlight w:val="none"/>
              </w:rPr>
              <w:t>A020602变压器</w:t>
            </w:r>
          </w:p>
        </w:tc>
        <w:tc>
          <w:tcPr>
            <w:tcW w:w="2209" w:type="dxa"/>
            <w:vAlign w:val="center"/>
          </w:tcPr>
          <w:p w14:paraId="1F1AA655">
            <w:pPr>
              <w:jc w:val="left"/>
              <w:rPr>
                <w:rFonts w:ascii="宋体" w:hAnsi="宋体" w:cs="宋体"/>
                <w:color w:val="auto"/>
                <w:w w:val="90"/>
                <w:szCs w:val="21"/>
                <w:highlight w:val="none"/>
              </w:rPr>
            </w:pPr>
            <w:r>
              <w:rPr>
                <w:rFonts w:hint="eastAsia" w:ascii="宋体" w:hAnsi="宋体" w:cs="宋体"/>
                <w:color w:val="auto"/>
                <w:w w:val="90"/>
                <w:szCs w:val="21"/>
                <w:highlight w:val="none"/>
              </w:rPr>
              <w:t>配电变压器</w:t>
            </w:r>
          </w:p>
        </w:tc>
        <w:tc>
          <w:tcPr>
            <w:tcW w:w="1807" w:type="dxa"/>
            <w:vAlign w:val="center"/>
          </w:tcPr>
          <w:p w14:paraId="497F0A74">
            <w:pPr>
              <w:jc w:val="center"/>
              <w:rPr>
                <w:rFonts w:ascii="宋体" w:hAnsi="宋体" w:cs="宋体"/>
                <w:color w:val="auto"/>
                <w:w w:val="90"/>
                <w:szCs w:val="21"/>
                <w:highlight w:val="none"/>
              </w:rPr>
            </w:pPr>
          </w:p>
        </w:tc>
        <w:tc>
          <w:tcPr>
            <w:tcW w:w="3301" w:type="dxa"/>
            <w:vAlign w:val="center"/>
          </w:tcPr>
          <w:p w14:paraId="37010517">
            <w:pPr>
              <w:jc w:val="left"/>
              <w:rPr>
                <w:rFonts w:ascii="宋体" w:hAnsi="宋体" w:cs="宋体"/>
                <w:color w:val="auto"/>
                <w:w w:val="90"/>
                <w:szCs w:val="21"/>
                <w:highlight w:val="none"/>
              </w:rPr>
            </w:pPr>
            <w:r>
              <w:rPr>
                <w:rFonts w:hint="eastAsia" w:ascii="宋体" w:hAnsi="宋体" w:cs="宋体"/>
                <w:color w:val="auto"/>
                <w:w w:val="90"/>
                <w:szCs w:val="21"/>
                <w:highlight w:val="none"/>
              </w:rPr>
              <w:t>《三相配电变压器能效限定值及能效等级》（GB 20052）</w:t>
            </w:r>
          </w:p>
        </w:tc>
      </w:tr>
      <w:tr w14:paraId="0295EF0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9AD92C4">
            <w:pPr>
              <w:jc w:val="center"/>
              <w:rPr>
                <w:rFonts w:ascii="宋体" w:hAnsi="宋体" w:cs="宋体"/>
                <w:color w:val="auto"/>
                <w:w w:val="90"/>
                <w:szCs w:val="21"/>
                <w:highlight w:val="none"/>
              </w:rPr>
            </w:pPr>
            <w:r>
              <w:rPr>
                <w:rFonts w:hint="eastAsia" w:ascii="宋体" w:hAnsi="宋体" w:cs="宋体"/>
                <w:color w:val="auto"/>
                <w:w w:val="90"/>
                <w:szCs w:val="21"/>
                <w:highlight w:val="none"/>
              </w:rPr>
              <w:t>9</w:t>
            </w:r>
          </w:p>
        </w:tc>
        <w:tc>
          <w:tcPr>
            <w:tcW w:w="1933" w:type="dxa"/>
            <w:vAlign w:val="center"/>
          </w:tcPr>
          <w:p w14:paraId="7A7A611F">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A020609镇流器</w:t>
            </w:r>
          </w:p>
        </w:tc>
        <w:tc>
          <w:tcPr>
            <w:tcW w:w="2209" w:type="dxa"/>
            <w:vAlign w:val="center"/>
          </w:tcPr>
          <w:p w14:paraId="19A12031">
            <w:pPr>
              <w:jc w:val="left"/>
              <w:rPr>
                <w:rFonts w:ascii="宋体" w:hAnsi="宋体" w:cs="宋体"/>
                <w:b/>
                <w:color w:val="auto"/>
                <w:w w:val="90"/>
                <w:szCs w:val="21"/>
                <w:highlight w:val="none"/>
              </w:rPr>
            </w:pPr>
            <w:r>
              <w:rPr>
                <w:rFonts w:hint="eastAsia" w:ascii="宋体" w:hAnsi="宋体" w:cs="宋体"/>
                <w:b/>
                <w:color w:val="auto"/>
                <w:w w:val="90"/>
                <w:szCs w:val="21"/>
                <w:highlight w:val="none"/>
              </w:rPr>
              <w:t>管型荧光灯镇流器</w:t>
            </w:r>
          </w:p>
        </w:tc>
        <w:tc>
          <w:tcPr>
            <w:tcW w:w="1807" w:type="dxa"/>
            <w:vAlign w:val="center"/>
          </w:tcPr>
          <w:p w14:paraId="6B9CAE3B">
            <w:pPr>
              <w:jc w:val="center"/>
              <w:rPr>
                <w:rFonts w:ascii="宋体" w:hAnsi="宋体" w:cs="宋体"/>
                <w:color w:val="auto"/>
                <w:w w:val="90"/>
                <w:szCs w:val="21"/>
                <w:highlight w:val="none"/>
              </w:rPr>
            </w:pPr>
          </w:p>
        </w:tc>
        <w:tc>
          <w:tcPr>
            <w:tcW w:w="3301" w:type="dxa"/>
            <w:vAlign w:val="center"/>
          </w:tcPr>
          <w:p w14:paraId="34A2CEBE">
            <w:pPr>
              <w:jc w:val="left"/>
              <w:rPr>
                <w:rFonts w:ascii="宋体" w:hAnsi="宋体" w:cs="宋体"/>
                <w:color w:val="auto"/>
                <w:w w:val="90"/>
                <w:szCs w:val="21"/>
                <w:highlight w:val="none"/>
              </w:rPr>
            </w:pPr>
            <w:r>
              <w:rPr>
                <w:rFonts w:hint="eastAsia" w:ascii="宋体" w:hAnsi="宋体" w:cs="宋体"/>
                <w:color w:val="auto"/>
                <w:w w:val="90"/>
                <w:szCs w:val="21"/>
                <w:highlight w:val="none"/>
              </w:rPr>
              <w:t>《管形荧光灯镇流器能效限定值及能效等级》（GB 17896）</w:t>
            </w:r>
          </w:p>
        </w:tc>
      </w:tr>
      <w:tr w14:paraId="59A3718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945C06B">
            <w:pPr>
              <w:jc w:val="center"/>
              <w:rPr>
                <w:rFonts w:ascii="宋体" w:hAnsi="宋体" w:cs="宋体"/>
                <w:color w:val="auto"/>
                <w:w w:val="90"/>
                <w:szCs w:val="21"/>
                <w:highlight w:val="none"/>
              </w:rPr>
            </w:pPr>
            <w:r>
              <w:rPr>
                <w:rFonts w:hint="eastAsia" w:ascii="宋体" w:hAnsi="宋体" w:cs="宋体"/>
                <w:color w:val="auto"/>
                <w:w w:val="90"/>
                <w:szCs w:val="21"/>
                <w:highlight w:val="none"/>
              </w:rPr>
              <w:t>10</w:t>
            </w:r>
          </w:p>
        </w:tc>
        <w:tc>
          <w:tcPr>
            <w:tcW w:w="1933" w:type="dxa"/>
            <w:vMerge w:val="restart"/>
            <w:vAlign w:val="center"/>
          </w:tcPr>
          <w:p w14:paraId="04C6A98D">
            <w:pPr>
              <w:jc w:val="left"/>
              <w:rPr>
                <w:rFonts w:ascii="宋体" w:hAnsi="宋体" w:cs="宋体"/>
                <w:color w:val="auto"/>
                <w:w w:val="90"/>
                <w:szCs w:val="21"/>
                <w:highlight w:val="none"/>
              </w:rPr>
            </w:pPr>
            <w:r>
              <w:rPr>
                <w:rFonts w:hint="eastAsia" w:ascii="宋体" w:hAnsi="宋体" w:cs="宋体"/>
                <w:color w:val="auto"/>
                <w:w w:val="90"/>
                <w:szCs w:val="21"/>
                <w:highlight w:val="none"/>
              </w:rPr>
              <w:t>A020618 生活用电器</w:t>
            </w:r>
          </w:p>
        </w:tc>
        <w:tc>
          <w:tcPr>
            <w:tcW w:w="2209" w:type="dxa"/>
            <w:vAlign w:val="center"/>
          </w:tcPr>
          <w:p w14:paraId="2BFF6879">
            <w:pPr>
              <w:jc w:val="left"/>
              <w:rPr>
                <w:rFonts w:ascii="宋体" w:hAnsi="宋体" w:cs="宋体"/>
                <w:color w:val="auto"/>
                <w:w w:val="90"/>
                <w:szCs w:val="21"/>
                <w:highlight w:val="none"/>
              </w:rPr>
            </w:pPr>
            <w:r>
              <w:rPr>
                <w:rFonts w:hint="eastAsia" w:ascii="宋体" w:hAnsi="宋体" w:cs="宋体"/>
                <w:color w:val="auto"/>
                <w:w w:val="90"/>
                <w:szCs w:val="21"/>
                <w:highlight w:val="none"/>
              </w:rPr>
              <w:t>A0206180101电冰箱</w:t>
            </w:r>
          </w:p>
        </w:tc>
        <w:tc>
          <w:tcPr>
            <w:tcW w:w="1807" w:type="dxa"/>
            <w:vAlign w:val="center"/>
          </w:tcPr>
          <w:p w14:paraId="4A0F9FFB">
            <w:pPr>
              <w:jc w:val="center"/>
              <w:rPr>
                <w:rFonts w:ascii="宋体" w:hAnsi="宋体" w:cs="宋体"/>
                <w:color w:val="auto"/>
                <w:w w:val="90"/>
                <w:szCs w:val="21"/>
                <w:highlight w:val="none"/>
              </w:rPr>
            </w:pPr>
          </w:p>
        </w:tc>
        <w:tc>
          <w:tcPr>
            <w:tcW w:w="3301" w:type="dxa"/>
            <w:vAlign w:val="center"/>
          </w:tcPr>
          <w:p w14:paraId="5044AC29">
            <w:pPr>
              <w:jc w:val="left"/>
              <w:rPr>
                <w:rFonts w:ascii="宋体" w:hAnsi="宋体" w:cs="宋体"/>
                <w:color w:val="auto"/>
                <w:w w:val="90"/>
                <w:szCs w:val="21"/>
                <w:highlight w:val="none"/>
              </w:rPr>
            </w:pPr>
            <w:r>
              <w:rPr>
                <w:rFonts w:hint="eastAsia" w:ascii="宋体" w:hAnsi="宋体" w:cs="宋体"/>
                <w:color w:val="auto"/>
                <w:w w:val="90"/>
                <w:szCs w:val="21"/>
                <w:highlight w:val="none"/>
              </w:rPr>
              <w:t>《家用电冰箱耗电量限定值及能效等级》（GB</w:t>
            </w:r>
            <w:r>
              <w:rPr>
                <w:rFonts w:hint="eastAsia" w:ascii="宋体" w:hAnsi="宋体" w:cs="宋体"/>
                <w:color w:val="auto"/>
                <w:w w:val="90"/>
                <w:szCs w:val="21"/>
                <w:highlight w:val="none"/>
              </w:rPr>
              <w:tab/>
            </w:r>
            <w:r>
              <w:rPr>
                <w:rFonts w:hint="eastAsia" w:ascii="宋体" w:hAnsi="宋体" w:cs="宋体"/>
                <w:color w:val="auto"/>
                <w:w w:val="90"/>
                <w:szCs w:val="21"/>
                <w:highlight w:val="none"/>
              </w:rPr>
              <w:t>12021.2）</w:t>
            </w:r>
          </w:p>
        </w:tc>
      </w:tr>
      <w:tr w14:paraId="68A76F6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086CE84">
            <w:pPr>
              <w:jc w:val="center"/>
              <w:rPr>
                <w:rFonts w:ascii="宋体" w:hAnsi="宋体" w:cs="宋体"/>
                <w:color w:val="auto"/>
                <w:w w:val="90"/>
                <w:szCs w:val="21"/>
                <w:highlight w:val="none"/>
              </w:rPr>
            </w:pPr>
          </w:p>
        </w:tc>
        <w:tc>
          <w:tcPr>
            <w:tcW w:w="1933" w:type="dxa"/>
            <w:vMerge w:val="continue"/>
            <w:vAlign w:val="center"/>
          </w:tcPr>
          <w:p w14:paraId="23B5F187">
            <w:pPr>
              <w:jc w:val="left"/>
              <w:rPr>
                <w:rFonts w:ascii="宋体" w:hAnsi="宋体" w:cs="宋体"/>
                <w:color w:val="auto"/>
                <w:w w:val="90"/>
                <w:szCs w:val="21"/>
                <w:highlight w:val="none"/>
              </w:rPr>
            </w:pPr>
          </w:p>
        </w:tc>
        <w:tc>
          <w:tcPr>
            <w:tcW w:w="2209" w:type="dxa"/>
            <w:vMerge w:val="restart"/>
            <w:vAlign w:val="center"/>
          </w:tcPr>
          <w:p w14:paraId="6466CAFF">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A0206180203空调机</w:t>
            </w:r>
          </w:p>
        </w:tc>
        <w:tc>
          <w:tcPr>
            <w:tcW w:w="1807" w:type="dxa"/>
            <w:vAlign w:val="center"/>
          </w:tcPr>
          <w:p w14:paraId="34B8ADDF">
            <w:pPr>
              <w:jc w:val="left"/>
              <w:rPr>
                <w:rFonts w:ascii="宋体" w:hAnsi="宋体" w:cs="宋体"/>
                <w:b/>
                <w:color w:val="auto"/>
                <w:w w:val="90"/>
                <w:szCs w:val="21"/>
                <w:highlight w:val="none"/>
              </w:rPr>
            </w:pPr>
            <w:r>
              <w:rPr>
                <w:rFonts w:hint="eastAsia" w:ascii="宋体" w:hAnsi="宋体" w:cs="宋体"/>
                <w:b/>
                <w:color w:val="auto"/>
                <w:w w:val="90"/>
                <w:szCs w:val="21"/>
                <w:highlight w:val="none"/>
              </w:rPr>
              <w:t>房间空气调节器</w:t>
            </w:r>
          </w:p>
        </w:tc>
        <w:tc>
          <w:tcPr>
            <w:tcW w:w="3301" w:type="dxa"/>
            <w:vAlign w:val="center"/>
          </w:tcPr>
          <w:p w14:paraId="25ECDFE4">
            <w:pPr>
              <w:jc w:val="left"/>
              <w:rPr>
                <w:rFonts w:ascii="宋体" w:hAnsi="宋体" w:cs="宋体"/>
                <w:color w:val="auto"/>
                <w:w w:val="90"/>
                <w:szCs w:val="21"/>
                <w:highlight w:val="none"/>
              </w:rPr>
            </w:pPr>
            <w:r>
              <w:rPr>
                <w:rFonts w:hint="eastAsia" w:ascii="宋体" w:hAnsi="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42A8143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AB6D56F">
            <w:pPr>
              <w:jc w:val="center"/>
              <w:rPr>
                <w:rFonts w:ascii="宋体" w:hAnsi="宋体" w:cs="宋体"/>
                <w:color w:val="auto"/>
                <w:w w:val="90"/>
                <w:szCs w:val="21"/>
                <w:highlight w:val="none"/>
              </w:rPr>
            </w:pPr>
          </w:p>
        </w:tc>
        <w:tc>
          <w:tcPr>
            <w:tcW w:w="1933" w:type="dxa"/>
            <w:vMerge w:val="continue"/>
            <w:vAlign w:val="center"/>
          </w:tcPr>
          <w:p w14:paraId="200925A6">
            <w:pPr>
              <w:jc w:val="left"/>
              <w:rPr>
                <w:rFonts w:ascii="宋体" w:hAnsi="宋体" w:cs="宋体"/>
                <w:color w:val="auto"/>
                <w:w w:val="90"/>
                <w:szCs w:val="21"/>
                <w:highlight w:val="none"/>
              </w:rPr>
            </w:pPr>
          </w:p>
        </w:tc>
        <w:tc>
          <w:tcPr>
            <w:tcW w:w="2209" w:type="dxa"/>
            <w:vMerge w:val="continue"/>
            <w:vAlign w:val="center"/>
          </w:tcPr>
          <w:p w14:paraId="207FD6CC">
            <w:pPr>
              <w:jc w:val="left"/>
              <w:rPr>
                <w:rFonts w:ascii="宋体" w:hAnsi="宋体" w:cs="宋体"/>
                <w:b/>
                <w:color w:val="auto"/>
                <w:w w:val="90"/>
                <w:szCs w:val="21"/>
                <w:highlight w:val="none"/>
              </w:rPr>
            </w:pPr>
          </w:p>
        </w:tc>
        <w:tc>
          <w:tcPr>
            <w:tcW w:w="1807" w:type="dxa"/>
            <w:vAlign w:val="center"/>
          </w:tcPr>
          <w:p w14:paraId="2DBC2C13">
            <w:pPr>
              <w:jc w:val="left"/>
              <w:rPr>
                <w:rFonts w:ascii="宋体" w:hAnsi="宋体" w:cs="宋体"/>
                <w:b/>
                <w:color w:val="auto"/>
                <w:w w:val="90"/>
                <w:szCs w:val="21"/>
                <w:highlight w:val="none"/>
              </w:rPr>
            </w:pPr>
            <w:r>
              <w:rPr>
                <w:rFonts w:hint="eastAsia" w:ascii="宋体" w:hAnsi="宋体" w:cs="宋体"/>
                <w:b/>
                <w:color w:val="auto"/>
                <w:w w:val="90"/>
                <w:szCs w:val="21"/>
                <w:highlight w:val="none"/>
              </w:rPr>
              <w:t>多联式空调（热泵）机组（制冷量≤ 14000W）</w:t>
            </w:r>
          </w:p>
        </w:tc>
        <w:tc>
          <w:tcPr>
            <w:tcW w:w="3301" w:type="dxa"/>
            <w:vAlign w:val="center"/>
          </w:tcPr>
          <w:p w14:paraId="1735EAE6">
            <w:pPr>
              <w:jc w:val="left"/>
              <w:rPr>
                <w:rFonts w:ascii="宋体" w:hAnsi="宋体" w:cs="宋体"/>
                <w:color w:val="auto"/>
                <w:w w:val="90"/>
                <w:szCs w:val="21"/>
                <w:highlight w:val="none"/>
              </w:rPr>
            </w:pPr>
            <w:r>
              <w:rPr>
                <w:rFonts w:hint="eastAsia" w:ascii="宋体" w:hAnsi="宋体" w:cs="宋体"/>
                <w:color w:val="auto"/>
                <w:w w:val="90"/>
                <w:szCs w:val="21"/>
                <w:highlight w:val="none"/>
              </w:rPr>
              <w:t>《多联式空调（热泵）机组能效限定值及能源效率等级》（GB 21454）</w:t>
            </w:r>
          </w:p>
        </w:tc>
      </w:tr>
      <w:tr w14:paraId="2E99044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025AC94">
            <w:pPr>
              <w:jc w:val="center"/>
              <w:rPr>
                <w:rFonts w:ascii="宋体" w:hAnsi="宋体" w:cs="宋体"/>
                <w:color w:val="auto"/>
                <w:w w:val="90"/>
                <w:szCs w:val="21"/>
                <w:highlight w:val="none"/>
              </w:rPr>
            </w:pPr>
          </w:p>
        </w:tc>
        <w:tc>
          <w:tcPr>
            <w:tcW w:w="1933" w:type="dxa"/>
            <w:vMerge w:val="continue"/>
            <w:vAlign w:val="center"/>
          </w:tcPr>
          <w:p w14:paraId="43DD4DC9">
            <w:pPr>
              <w:jc w:val="left"/>
              <w:rPr>
                <w:rFonts w:ascii="宋体" w:hAnsi="宋体" w:cs="宋体"/>
                <w:color w:val="auto"/>
                <w:w w:val="90"/>
                <w:szCs w:val="21"/>
                <w:highlight w:val="none"/>
              </w:rPr>
            </w:pPr>
          </w:p>
        </w:tc>
        <w:tc>
          <w:tcPr>
            <w:tcW w:w="2209" w:type="dxa"/>
            <w:vMerge w:val="continue"/>
            <w:vAlign w:val="center"/>
          </w:tcPr>
          <w:p w14:paraId="36559378">
            <w:pPr>
              <w:jc w:val="left"/>
              <w:rPr>
                <w:rFonts w:ascii="宋体" w:hAnsi="宋体" w:cs="宋体"/>
                <w:b/>
                <w:color w:val="auto"/>
                <w:w w:val="90"/>
                <w:szCs w:val="21"/>
                <w:highlight w:val="none"/>
              </w:rPr>
            </w:pPr>
          </w:p>
        </w:tc>
        <w:tc>
          <w:tcPr>
            <w:tcW w:w="1807" w:type="dxa"/>
            <w:vAlign w:val="center"/>
          </w:tcPr>
          <w:p w14:paraId="0A2F615F">
            <w:pPr>
              <w:jc w:val="left"/>
              <w:rPr>
                <w:rFonts w:ascii="宋体" w:hAnsi="宋体" w:cs="宋体"/>
                <w:b/>
                <w:color w:val="auto"/>
                <w:w w:val="90"/>
                <w:szCs w:val="21"/>
                <w:highlight w:val="none"/>
              </w:rPr>
            </w:pPr>
            <w:r>
              <w:rPr>
                <w:rFonts w:hint="eastAsia" w:ascii="宋体" w:hAnsi="宋体" w:cs="宋体"/>
                <w:b/>
                <w:color w:val="auto"/>
                <w:w w:val="90"/>
                <w:szCs w:val="21"/>
                <w:highlight w:val="none"/>
              </w:rPr>
              <w:t>单元式空气调节机(制冷量≤14000W)</w:t>
            </w:r>
          </w:p>
        </w:tc>
        <w:tc>
          <w:tcPr>
            <w:tcW w:w="3301" w:type="dxa"/>
            <w:vAlign w:val="center"/>
          </w:tcPr>
          <w:p w14:paraId="1C775F2D">
            <w:pPr>
              <w:jc w:val="left"/>
              <w:rPr>
                <w:rFonts w:ascii="宋体" w:hAnsi="宋体" w:cs="宋体"/>
                <w:color w:val="auto"/>
                <w:w w:val="90"/>
                <w:szCs w:val="21"/>
                <w:highlight w:val="none"/>
              </w:rPr>
            </w:pPr>
            <w:r>
              <w:rPr>
                <w:rFonts w:hint="eastAsia" w:ascii="宋体" w:hAnsi="宋体" w:cs="宋体"/>
                <w:color w:val="auto"/>
                <w:w w:val="90"/>
                <w:szCs w:val="21"/>
                <w:highlight w:val="none"/>
              </w:rPr>
              <w:t>《单元式空气调节机能效限定值及能源效率等级》（GB 19576）《风管送风式空调机组能效限定值及能效等级》（GB 37479）</w:t>
            </w:r>
          </w:p>
        </w:tc>
      </w:tr>
      <w:tr w14:paraId="655FEA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3E0F70A">
            <w:pPr>
              <w:jc w:val="center"/>
              <w:rPr>
                <w:rFonts w:ascii="宋体" w:hAnsi="宋体" w:cs="宋体"/>
                <w:color w:val="auto"/>
                <w:w w:val="90"/>
                <w:szCs w:val="21"/>
                <w:highlight w:val="none"/>
              </w:rPr>
            </w:pPr>
          </w:p>
        </w:tc>
        <w:tc>
          <w:tcPr>
            <w:tcW w:w="1933" w:type="dxa"/>
            <w:vMerge w:val="continue"/>
            <w:vAlign w:val="center"/>
          </w:tcPr>
          <w:p w14:paraId="6F9D93C1">
            <w:pPr>
              <w:jc w:val="left"/>
              <w:rPr>
                <w:rFonts w:ascii="宋体" w:hAnsi="宋体" w:cs="宋体"/>
                <w:color w:val="auto"/>
                <w:w w:val="90"/>
                <w:szCs w:val="21"/>
                <w:highlight w:val="none"/>
              </w:rPr>
            </w:pPr>
          </w:p>
        </w:tc>
        <w:tc>
          <w:tcPr>
            <w:tcW w:w="2209" w:type="dxa"/>
            <w:vAlign w:val="center"/>
          </w:tcPr>
          <w:p w14:paraId="6DF2424A">
            <w:pPr>
              <w:jc w:val="left"/>
              <w:rPr>
                <w:rFonts w:ascii="宋体" w:hAnsi="宋体" w:cs="宋体"/>
                <w:color w:val="auto"/>
                <w:w w:val="90"/>
                <w:szCs w:val="21"/>
                <w:highlight w:val="none"/>
              </w:rPr>
            </w:pPr>
            <w:r>
              <w:rPr>
                <w:rFonts w:hint="eastAsia" w:ascii="宋体" w:hAnsi="宋体" w:cs="宋体"/>
                <w:color w:val="auto"/>
                <w:w w:val="90"/>
                <w:szCs w:val="21"/>
                <w:highlight w:val="none"/>
              </w:rPr>
              <w:t>A0206180301洗衣机</w:t>
            </w:r>
          </w:p>
        </w:tc>
        <w:tc>
          <w:tcPr>
            <w:tcW w:w="1807" w:type="dxa"/>
            <w:vAlign w:val="center"/>
          </w:tcPr>
          <w:p w14:paraId="2F0E471E">
            <w:pPr>
              <w:jc w:val="left"/>
              <w:rPr>
                <w:rFonts w:ascii="宋体" w:hAnsi="宋体" w:cs="宋体"/>
                <w:color w:val="auto"/>
                <w:w w:val="90"/>
                <w:szCs w:val="21"/>
                <w:highlight w:val="none"/>
              </w:rPr>
            </w:pPr>
          </w:p>
        </w:tc>
        <w:tc>
          <w:tcPr>
            <w:tcW w:w="3301" w:type="dxa"/>
            <w:vAlign w:val="center"/>
          </w:tcPr>
          <w:p w14:paraId="5962D81D">
            <w:pPr>
              <w:jc w:val="left"/>
              <w:rPr>
                <w:rFonts w:ascii="宋体" w:hAnsi="宋体" w:cs="宋体"/>
                <w:color w:val="auto"/>
                <w:w w:val="90"/>
                <w:szCs w:val="21"/>
                <w:highlight w:val="none"/>
              </w:rPr>
            </w:pPr>
            <w:r>
              <w:rPr>
                <w:rFonts w:hint="eastAsia" w:ascii="宋体" w:hAnsi="宋体" w:cs="宋体"/>
                <w:color w:val="auto"/>
                <w:w w:val="90"/>
                <w:szCs w:val="21"/>
                <w:highlight w:val="none"/>
              </w:rPr>
              <w:t>《电动洗衣机能效水效限定值及等级》（GB 12021.4）</w:t>
            </w:r>
          </w:p>
        </w:tc>
      </w:tr>
      <w:tr w14:paraId="241CDC4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0CB3ADD">
            <w:pPr>
              <w:jc w:val="center"/>
              <w:rPr>
                <w:rFonts w:ascii="宋体" w:hAnsi="宋体" w:cs="宋体"/>
                <w:color w:val="auto"/>
                <w:w w:val="90"/>
                <w:szCs w:val="21"/>
                <w:highlight w:val="none"/>
              </w:rPr>
            </w:pPr>
          </w:p>
        </w:tc>
        <w:tc>
          <w:tcPr>
            <w:tcW w:w="1933" w:type="dxa"/>
            <w:vMerge w:val="continue"/>
            <w:vAlign w:val="center"/>
          </w:tcPr>
          <w:p w14:paraId="5F7E3822">
            <w:pPr>
              <w:jc w:val="left"/>
              <w:rPr>
                <w:rFonts w:ascii="宋体" w:hAnsi="宋体" w:cs="宋体"/>
                <w:color w:val="auto"/>
                <w:w w:val="90"/>
                <w:szCs w:val="21"/>
                <w:highlight w:val="none"/>
              </w:rPr>
            </w:pPr>
          </w:p>
        </w:tc>
        <w:tc>
          <w:tcPr>
            <w:tcW w:w="2209" w:type="dxa"/>
            <w:vMerge w:val="restart"/>
            <w:vAlign w:val="center"/>
          </w:tcPr>
          <w:p w14:paraId="25B2DF91">
            <w:pPr>
              <w:jc w:val="left"/>
              <w:rPr>
                <w:rFonts w:ascii="宋体" w:hAnsi="宋体" w:cs="宋体"/>
                <w:color w:val="auto"/>
                <w:w w:val="90"/>
                <w:szCs w:val="21"/>
                <w:highlight w:val="none"/>
              </w:rPr>
            </w:pPr>
            <w:r>
              <w:rPr>
                <w:rFonts w:hint="eastAsia" w:ascii="宋体" w:hAnsi="宋体" w:cs="宋体"/>
                <w:color w:val="auto"/>
                <w:w w:val="90"/>
                <w:szCs w:val="21"/>
                <w:highlight w:val="none"/>
              </w:rPr>
              <w:t>A02061808热水器</w:t>
            </w:r>
          </w:p>
        </w:tc>
        <w:tc>
          <w:tcPr>
            <w:tcW w:w="1807" w:type="dxa"/>
            <w:vAlign w:val="center"/>
          </w:tcPr>
          <w:p w14:paraId="522B8DAC">
            <w:pPr>
              <w:jc w:val="left"/>
              <w:rPr>
                <w:rFonts w:ascii="宋体" w:hAnsi="宋体" w:cs="宋体"/>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电热水器</w:t>
            </w:r>
          </w:p>
        </w:tc>
        <w:tc>
          <w:tcPr>
            <w:tcW w:w="3301" w:type="dxa"/>
            <w:vAlign w:val="center"/>
          </w:tcPr>
          <w:p w14:paraId="44CAF99F">
            <w:pPr>
              <w:jc w:val="left"/>
              <w:rPr>
                <w:rFonts w:ascii="宋体" w:hAnsi="宋体" w:cs="宋体"/>
                <w:color w:val="auto"/>
                <w:w w:val="90"/>
                <w:szCs w:val="21"/>
                <w:highlight w:val="none"/>
              </w:rPr>
            </w:pPr>
            <w:r>
              <w:rPr>
                <w:rFonts w:hint="eastAsia" w:ascii="宋体" w:hAnsi="宋体" w:cs="宋体"/>
                <w:color w:val="auto"/>
                <w:w w:val="90"/>
                <w:szCs w:val="21"/>
                <w:highlight w:val="none"/>
              </w:rPr>
              <w:t>《储水式电热水器能效限定值及能效等级》（GB 21519）</w:t>
            </w:r>
          </w:p>
        </w:tc>
      </w:tr>
      <w:tr w14:paraId="0D8D467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0FAC1F1">
            <w:pPr>
              <w:jc w:val="center"/>
              <w:rPr>
                <w:rFonts w:ascii="宋体" w:hAnsi="宋体" w:cs="宋体"/>
                <w:color w:val="auto"/>
                <w:w w:val="90"/>
                <w:szCs w:val="21"/>
                <w:highlight w:val="none"/>
              </w:rPr>
            </w:pPr>
          </w:p>
        </w:tc>
        <w:tc>
          <w:tcPr>
            <w:tcW w:w="1933" w:type="dxa"/>
            <w:vMerge w:val="continue"/>
            <w:vAlign w:val="center"/>
          </w:tcPr>
          <w:p w14:paraId="2493CBD3">
            <w:pPr>
              <w:jc w:val="left"/>
              <w:rPr>
                <w:rFonts w:ascii="宋体" w:hAnsi="宋体" w:cs="宋体"/>
                <w:color w:val="auto"/>
                <w:w w:val="90"/>
                <w:szCs w:val="21"/>
                <w:highlight w:val="none"/>
              </w:rPr>
            </w:pPr>
          </w:p>
        </w:tc>
        <w:tc>
          <w:tcPr>
            <w:tcW w:w="2209" w:type="dxa"/>
            <w:vMerge w:val="continue"/>
            <w:vAlign w:val="center"/>
          </w:tcPr>
          <w:p w14:paraId="18608745">
            <w:pPr>
              <w:jc w:val="left"/>
              <w:rPr>
                <w:rFonts w:ascii="宋体" w:hAnsi="宋体" w:cs="宋体"/>
                <w:color w:val="auto"/>
                <w:w w:val="90"/>
                <w:szCs w:val="21"/>
                <w:highlight w:val="none"/>
              </w:rPr>
            </w:pPr>
          </w:p>
        </w:tc>
        <w:tc>
          <w:tcPr>
            <w:tcW w:w="1807" w:type="dxa"/>
            <w:vAlign w:val="center"/>
          </w:tcPr>
          <w:p w14:paraId="5BF04720">
            <w:pPr>
              <w:jc w:val="left"/>
              <w:rPr>
                <w:rFonts w:ascii="宋体" w:hAnsi="宋体" w:cs="宋体"/>
                <w:color w:val="auto"/>
                <w:w w:val="90"/>
                <w:szCs w:val="21"/>
                <w:highlight w:val="none"/>
              </w:rPr>
            </w:pPr>
            <w:r>
              <w:rPr>
                <w:rFonts w:hint="eastAsia" w:ascii="宋体" w:hAnsi="宋体" w:cs="宋体"/>
                <w:color w:val="auto"/>
                <w:w w:val="90"/>
                <w:szCs w:val="21"/>
                <w:highlight w:val="none"/>
              </w:rPr>
              <w:t>燃气热水器</w:t>
            </w:r>
          </w:p>
        </w:tc>
        <w:tc>
          <w:tcPr>
            <w:tcW w:w="3301" w:type="dxa"/>
            <w:vAlign w:val="center"/>
          </w:tcPr>
          <w:p w14:paraId="5E5DCF03">
            <w:pPr>
              <w:jc w:val="left"/>
              <w:rPr>
                <w:rFonts w:ascii="宋体" w:hAnsi="宋体" w:cs="宋体"/>
                <w:color w:val="auto"/>
                <w:w w:val="90"/>
                <w:szCs w:val="21"/>
                <w:highlight w:val="none"/>
              </w:rPr>
            </w:pPr>
            <w:r>
              <w:rPr>
                <w:rFonts w:hint="eastAsia" w:ascii="宋体" w:hAnsi="宋体" w:cs="宋体"/>
                <w:color w:val="auto"/>
                <w:w w:val="90"/>
                <w:szCs w:val="21"/>
                <w:highlight w:val="none"/>
              </w:rPr>
              <w:t>《家用燃气快速热水器和燃气采暖热水炉能效限定值及能效等级（GB 20665）</w:t>
            </w:r>
          </w:p>
        </w:tc>
      </w:tr>
      <w:tr w14:paraId="7A97D8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DFB7028">
            <w:pPr>
              <w:jc w:val="center"/>
              <w:rPr>
                <w:rFonts w:ascii="宋体" w:hAnsi="宋体" w:cs="宋体"/>
                <w:color w:val="auto"/>
                <w:w w:val="90"/>
                <w:szCs w:val="21"/>
                <w:highlight w:val="none"/>
              </w:rPr>
            </w:pPr>
          </w:p>
        </w:tc>
        <w:tc>
          <w:tcPr>
            <w:tcW w:w="1933" w:type="dxa"/>
            <w:vMerge w:val="continue"/>
            <w:vAlign w:val="center"/>
          </w:tcPr>
          <w:p w14:paraId="0BCBCCF0">
            <w:pPr>
              <w:jc w:val="left"/>
              <w:rPr>
                <w:rFonts w:ascii="宋体" w:hAnsi="宋体" w:cs="宋体"/>
                <w:color w:val="auto"/>
                <w:w w:val="90"/>
                <w:szCs w:val="21"/>
                <w:highlight w:val="none"/>
              </w:rPr>
            </w:pPr>
          </w:p>
        </w:tc>
        <w:tc>
          <w:tcPr>
            <w:tcW w:w="2209" w:type="dxa"/>
            <w:vMerge w:val="continue"/>
            <w:vAlign w:val="center"/>
          </w:tcPr>
          <w:p w14:paraId="65B95246">
            <w:pPr>
              <w:jc w:val="left"/>
              <w:rPr>
                <w:rFonts w:ascii="宋体" w:hAnsi="宋体" w:cs="宋体"/>
                <w:color w:val="auto"/>
                <w:w w:val="90"/>
                <w:szCs w:val="21"/>
                <w:highlight w:val="none"/>
              </w:rPr>
            </w:pPr>
          </w:p>
        </w:tc>
        <w:tc>
          <w:tcPr>
            <w:tcW w:w="1807" w:type="dxa"/>
            <w:vAlign w:val="center"/>
          </w:tcPr>
          <w:p w14:paraId="24E7E5CE">
            <w:pPr>
              <w:jc w:val="left"/>
              <w:rPr>
                <w:rFonts w:ascii="宋体" w:hAnsi="宋体" w:cs="宋体"/>
                <w:color w:val="auto"/>
                <w:w w:val="90"/>
                <w:szCs w:val="21"/>
                <w:highlight w:val="none"/>
              </w:rPr>
            </w:pPr>
            <w:r>
              <w:rPr>
                <w:rFonts w:hint="eastAsia" w:ascii="宋体" w:hAnsi="宋体" w:cs="宋体"/>
                <w:color w:val="auto"/>
                <w:w w:val="90"/>
                <w:szCs w:val="21"/>
                <w:highlight w:val="none"/>
              </w:rPr>
              <w:t>热泵热水器</w:t>
            </w:r>
          </w:p>
        </w:tc>
        <w:tc>
          <w:tcPr>
            <w:tcW w:w="3301" w:type="dxa"/>
            <w:vAlign w:val="center"/>
          </w:tcPr>
          <w:p w14:paraId="6ABC6BF5">
            <w:pPr>
              <w:jc w:val="left"/>
              <w:rPr>
                <w:rFonts w:ascii="宋体" w:hAnsi="宋体" w:cs="宋体"/>
                <w:color w:val="auto"/>
                <w:w w:val="90"/>
                <w:szCs w:val="21"/>
                <w:highlight w:val="none"/>
              </w:rPr>
            </w:pPr>
            <w:r>
              <w:rPr>
                <w:rFonts w:hint="eastAsia" w:ascii="宋体" w:hAnsi="宋体" w:cs="宋体"/>
                <w:color w:val="auto"/>
                <w:w w:val="90"/>
                <w:szCs w:val="21"/>
                <w:highlight w:val="none"/>
              </w:rPr>
              <w:t>《热泵热水机（器）能效限定值及能效等级》（GB 29541）</w:t>
            </w:r>
          </w:p>
        </w:tc>
      </w:tr>
      <w:tr w14:paraId="4E21BE3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E260DBE">
            <w:pPr>
              <w:jc w:val="center"/>
              <w:rPr>
                <w:rFonts w:ascii="宋体" w:hAnsi="宋体" w:cs="宋体"/>
                <w:color w:val="auto"/>
                <w:w w:val="90"/>
                <w:szCs w:val="21"/>
                <w:highlight w:val="none"/>
              </w:rPr>
            </w:pPr>
          </w:p>
        </w:tc>
        <w:tc>
          <w:tcPr>
            <w:tcW w:w="1933" w:type="dxa"/>
            <w:vMerge w:val="continue"/>
            <w:vAlign w:val="center"/>
          </w:tcPr>
          <w:p w14:paraId="7DB3B020">
            <w:pPr>
              <w:jc w:val="left"/>
              <w:rPr>
                <w:rFonts w:ascii="宋体" w:hAnsi="宋体" w:cs="宋体"/>
                <w:color w:val="auto"/>
                <w:w w:val="90"/>
                <w:szCs w:val="21"/>
                <w:highlight w:val="none"/>
              </w:rPr>
            </w:pPr>
          </w:p>
        </w:tc>
        <w:tc>
          <w:tcPr>
            <w:tcW w:w="2209" w:type="dxa"/>
            <w:vMerge w:val="continue"/>
            <w:vAlign w:val="center"/>
          </w:tcPr>
          <w:p w14:paraId="6651EA4C">
            <w:pPr>
              <w:jc w:val="left"/>
              <w:rPr>
                <w:rFonts w:ascii="宋体" w:hAnsi="宋体" w:cs="宋体"/>
                <w:color w:val="auto"/>
                <w:w w:val="90"/>
                <w:szCs w:val="21"/>
                <w:highlight w:val="none"/>
              </w:rPr>
            </w:pPr>
          </w:p>
        </w:tc>
        <w:tc>
          <w:tcPr>
            <w:tcW w:w="1807" w:type="dxa"/>
            <w:vAlign w:val="center"/>
          </w:tcPr>
          <w:p w14:paraId="08E76A72">
            <w:pPr>
              <w:jc w:val="left"/>
              <w:rPr>
                <w:rFonts w:ascii="宋体" w:hAnsi="宋体" w:cs="宋体"/>
                <w:color w:val="auto"/>
                <w:w w:val="90"/>
                <w:szCs w:val="21"/>
                <w:highlight w:val="none"/>
              </w:rPr>
            </w:pPr>
            <w:r>
              <w:rPr>
                <w:rFonts w:hint="eastAsia" w:ascii="宋体" w:hAnsi="宋体" w:cs="宋体"/>
                <w:color w:val="auto"/>
                <w:w w:val="90"/>
                <w:szCs w:val="21"/>
                <w:highlight w:val="none"/>
              </w:rPr>
              <w:t>太阳能热水系统</w:t>
            </w:r>
          </w:p>
        </w:tc>
        <w:tc>
          <w:tcPr>
            <w:tcW w:w="3301" w:type="dxa"/>
            <w:vAlign w:val="center"/>
          </w:tcPr>
          <w:p w14:paraId="1959C1D4">
            <w:pPr>
              <w:jc w:val="left"/>
              <w:rPr>
                <w:rFonts w:ascii="宋体" w:hAnsi="宋体" w:cs="宋体"/>
                <w:color w:val="auto"/>
                <w:w w:val="90"/>
                <w:szCs w:val="21"/>
                <w:highlight w:val="none"/>
              </w:rPr>
            </w:pPr>
            <w:r>
              <w:rPr>
                <w:rFonts w:hint="eastAsia" w:ascii="宋体" w:hAnsi="宋体" w:cs="宋体"/>
                <w:color w:val="auto"/>
                <w:w w:val="90"/>
                <w:szCs w:val="21"/>
                <w:highlight w:val="none"/>
              </w:rPr>
              <w:t>《家用太阳能热水系统能效限定值及能效等级》（GB 26969）</w:t>
            </w:r>
          </w:p>
        </w:tc>
      </w:tr>
      <w:tr w14:paraId="7C9D7F5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DA42CAA">
            <w:pPr>
              <w:jc w:val="center"/>
              <w:rPr>
                <w:rFonts w:ascii="宋体" w:hAnsi="宋体" w:cs="宋体"/>
                <w:color w:val="auto"/>
                <w:w w:val="90"/>
                <w:szCs w:val="21"/>
                <w:highlight w:val="none"/>
              </w:rPr>
            </w:pPr>
            <w:r>
              <w:rPr>
                <w:rFonts w:hint="eastAsia" w:ascii="宋体" w:hAnsi="宋体" w:cs="宋体"/>
                <w:color w:val="auto"/>
                <w:w w:val="90"/>
                <w:szCs w:val="21"/>
                <w:highlight w:val="none"/>
              </w:rPr>
              <w:t>11</w:t>
            </w:r>
          </w:p>
        </w:tc>
        <w:tc>
          <w:tcPr>
            <w:tcW w:w="1933" w:type="dxa"/>
            <w:vMerge w:val="restart"/>
            <w:vAlign w:val="center"/>
          </w:tcPr>
          <w:p w14:paraId="1A274D5D">
            <w:pPr>
              <w:jc w:val="left"/>
              <w:rPr>
                <w:rFonts w:ascii="宋体" w:hAnsi="宋体" w:cs="宋体"/>
                <w:color w:val="auto"/>
                <w:w w:val="90"/>
                <w:szCs w:val="21"/>
                <w:highlight w:val="none"/>
              </w:rPr>
            </w:pPr>
            <w:r>
              <w:rPr>
                <w:rFonts w:hint="eastAsia" w:ascii="宋体" w:hAnsi="宋体" w:cs="宋体"/>
                <w:color w:val="auto"/>
                <w:w w:val="90"/>
                <w:szCs w:val="21"/>
                <w:highlight w:val="none"/>
              </w:rPr>
              <w:t>A020619 照明设备</w:t>
            </w:r>
          </w:p>
        </w:tc>
        <w:tc>
          <w:tcPr>
            <w:tcW w:w="2209" w:type="dxa"/>
            <w:vAlign w:val="center"/>
          </w:tcPr>
          <w:p w14:paraId="0463CC38">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普通照明用双端荧光灯</w:t>
            </w:r>
          </w:p>
        </w:tc>
        <w:tc>
          <w:tcPr>
            <w:tcW w:w="1807" w:type="dxa"/>
            <w:vAlign w:val="center"/>
          </w:tcPr>
          <w:p w14:paraId="7AF84FEE">
            <w:pPr>
              <w:jc w:val="center"/>
              <w:rPr>
                <w:rFonts w:ascii="宋体" w:hAnsi="宋体" w:cs="宋体"/>
                <w:color w:val="auto"/>
                <w:w w:val="90"/>
                <w:szCs w:val="21"/>
                <w:highlight w:val="none"/>
              </w:rPr>
            </w:pPr>
          </w:p>
        </w:tc>
        <w:tc>
          <w:tcPr>
            <w:tcW w:w="3301" w:type="dxa"/>
            <w:vAlign w:val="center"/>
          </w:tcPr>
          <w:p w14:paraId="5DEF1460">
            <w:pPr>
              <w:jc w:val="left"/>
              <w:rPr>
                <w:rFonts w:ascii="宋体" w:hAnsi="宋体" w:cs="宋体"/>
                <w:color w:val="auto"/>
                <w:w w:val="90"/>
                <w:szCs w:val="21"/>
                <w:highlight w:val="none"/>
              </w:rPr>
            </w:pPr>
            <w:r>
              <w:rPr>
                <w:rFonts w:hint="eastAsia" w:ascii="宋体" w:hAnsi="宋体" w:cs="宋体"/>
                <w:color w:val="auto"/>
                <w:w w:val="90"/>
                <w:szCs w:val="21"/>
                <w:highlight w:val="none"/>
              </w:rPr>
              <w:t>《普通照明用双端荧光灯能效限定值及能效等级》（GB 19043）</w:t>
            </w:r>
          </w:p>
        </w:tc>
      </w:tr>
      <w:tr w14:paraId="46CC237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4904848">
            <w:pPr>
              <w:jc w:val="center"/>
              <w:rPr>
                <w:rFonts w:ascii="宋体" w:hAnsi="宋体" w:cs="宋体"/>
                <w:color w:val="auto"/>
                <w:w w:val="90"/>
                <w:szCs w:val="21"/>
                <w:highlight w:val="none"/>
              </w:rPr>
            </w:pPr>
          </w:p>
        </w:tc>
        <w:tc>
          <w:tcPr>
            <w:tcW w:w="1933" w:type="dxa"/>
            <w:vMerge w:val="continue"/>
            <w:vAlign w:val="center"/>
          </w:tcPr>
          <w:p w14:paraId="6254D1E6">
            <w:pPr>
              <w:jc w:val="left"/>
              <w:rPr>
                <w:rFonts w:ascii="宋体" w:hAnsi="宋体" w:cs="宋体"/>
                <w:color w:val="auto"/>
                <w:w w:val="90"/>
                <w:szCs w:val="21"/>
                <w:highlight w:val="none"/>
              </w:rPr>
            </w:pPr>
          </w:p>
        </w:tc>
        <w:tc>
          <w:tcPr>
            <w:tcW w:w="2209" w:type="dxa"/>
            <w:vAlign w:val="center"/>
          </w:tcPr>
          <w:p w14:paraId="5E7917B9">
            <w:pPr>
              <w:jc w:val="left"/>
              <w:rPr>
                <w:rFonts w:ascii="宋体" w:hAnsi="宋体" w:cs="宋体"/>
                <w:color w:val="auto"/>
                <w:w w:val="90"/>
                <w:szCs w:val="21"/>
                <w:highlight w:val="none"/>
              </w:rPr>
            </w:pPr>
            <w:r>
              <w:rPr>
                <w:rFonts w:hint="eastAsia" w:ascii="宋体" w:hAnsi="宋体" w:cs="宋体"/>
                <w:color w:val="auto"/>
                <w:w w:val="90"/>
                <w:szCs w:val="21"/>
                <w:highlight w:val="none"/>
              </w:rPr>
              <w:t>LED道路/隧道照明产品</w:t>
            </w:r>
          </w:p>
        </w:tc>
        <w:tc>
          <w:tcPr>
            <w:tcW w:w="1807" w:type="dxa"/>
            <w:vAlign w:val="center"/>
          </w:tcPr>
          <w:p w14:paraId="156D90FF">
            <w:pPr>
              <w:jc w:val="center"/>
              <w:rPr>
                <w:rFonts w:ascii="宋体" w:hAnsi="宋体" w:cs="宋体"/>
                <w:color w:val="auto"/>
                <w:w w:val="90"/>
                <w:szCs w:val="21"/>
                <w:highlight w:val="none"/>
              </w:rPr>
            </w:pPr>
          </w:p>
        </w:tc>
        <w:tc>
          <w:tcPr>
            <w:tcW w:w="3301" w:type="dxa"/>
            <w:vAlign w:val="center"/>
          </w:tcPr>
          <w:p w14:paraId="52CCDF06">
            <w:pPr>
              <w:jc w:val="left"/>
              <w:rPr>
                <w:rFonts w:ascii="宋体" w:hAnsi="宋体" w:cs="宋体"/>
                <w:color w:val="auto"/>
                <w:w w:val="90"/>
                <w:szCs w:val="21"/>
                <w:highlight w:val="none"/>
              </w:rPr>
            </w:pPr>
            <w:r>
              <w:rPr>
                <w:rFonts w:hint="eastAsia" w:ascii="宋体" w:hAnsi="宋体" w:cs="宋体"/>
                <w:color w:val="auto"/>
                <w:w w:val="90"/>
                <w:szCs w:val="21"/>
                <w:highlight w:val="none"/>
              </w:rPr>
              <w:t>《道路和隧道照明用LED灯具能效限定值及能效等级》（GB 37478）</w:t>
            </w:r>
          </w:p>
        </w:tc>
      </w:tr>
      <w:tr w14:paraId="40B6110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4E56BB1">
            <w:pPr>
              <w:jc w:val="center"/>
              <w:rPr>
                <w:rFonts w:ascii="宋体" w:hAnsi="宋体" w:cs="宋体"/>
                <w:color w:val="auto"/>
                <w:w w:val="90"/>
                <w:szCs w:val="21"/>
                <w:highlight w:val="none"/>
              </w:rPr>
            </w:pPr>
          </w:p>
        </w:tc>
        <w:tc>
          <w:tcPr>
            <w:tcW w:w="1933" w:type="dxa"/>
            <w:vMerge w:val="continue"/>
            <w:vAlign w:val="center"/>
          </w:tcPr>
          <w:p w14:paraId="71AC1332">
            <w:pPr>
              <w:jc w:val="left"/>
              <w:rPr>
                <w:rFonts w:ascii="宋体" w:hAnsi="宋体" w:cs="宋体"/>
                <w:color w:val="auto"/>
                <w:w w:val="90"/>
                <w:szCs w:val="21"/>
                <w:highlight w:val="none"/>
              </w:rPr>
            </w:pPr>
          </w:p>
        </w:tc>
        <w:tc>
          <w:tcPr>
            <w:tcW w:w="2209" w:type="dxa"/>
            <w:vAlign w:val="center"/>
          </w:tcPr>
          <w:p w14:paraId="1781ABAA">
            <w:pPr>
              <w:jc w:val="left"/>
              <w:rPr>
                <w:rFonts w:ascii="宋体" w:hAnsi="宋体" w:cs="宋体"/>
                <w:color w:val="auto"/>
                <w:w w:val="90"/>
                <w:szCs w:val="21"/>
                <w:highlight w:val="none"/>
              </w:rPr>
            </w:pPr>
            <w:r>
              <w:rPr>
                <w:rFonts w:hint="eastAsia" w:ascii="宋体" w:hAnsi="宋体" w:cs="宋体"/>
                <w:color w:val="auto"/>
                <w:w w:val="90"/>
                <w:szCs w:val="21"/>
                <w:highlight w:val="none"/>
              </w:rPr>
              <w:t>LED筒灯</w:t>
            </w:r>
          </w:p>
        </w:tc>
        <w:tc>
          <w:tcPr>
            <w:tcW w:w="1807" w:type="dxa"/>
            <w:vAlign w:val="center"/>
          </w:tcPr>
          <w:p w14:paraId="5C5D2B90">
            <w:pPr>
              <w:jc w:val="center"/>
              <w:rPr>
                <w:rFonts w:ascii="宋体" w:hAnsi="宋体" w:cs="宋体"/>
                <w:color w:val="auto"/>
                <w:w w:val="90"/>
                <w:szCs w:val="21"/>
                <w:highlight w:val="none"/>
              </w:rPr>
            </w:pPr>
          </w:p>
        </w:tc>
        <w:tc>
          <w:tcPr>
            <w:tcW w:w="3301" w:type="dxa"/>
            <w:vAlign w:val="center"/>
          </w:tcPr>
          <w:p w14:paraId="1B5CBC4C">
            <w:pPr>
              <w:jc w:val="left"/>
              <w:rPr>
                <w:rFonts w:ascii="宋体" w:hAnsi="宋体" w:cs="宋体"/>
                <w:color w:val="auto"/>
                <w:w w:val="90"/>
                <w:szCs w:val="21"/>
                <w:highlight w:val="none"/>
              </w:rPr>
            </w:pPr>
            <w:r>
              <w:rPr>
                <w:rFonts w:hint="eastAsia" w:ascii="宋体" w:hAnsi="宋体" w:cs="宋体"/>
                <w:color w:val="auto"/>
                <w:w w:val="90"/>
                <w:szCs w:val="21"/>
                <w:highlight w:val="none"/>
              </w:rPr>
              <w:t>《室内照明用LED产品能效限定值及能效等级》（GB 30255）</w:t>
            </w:r>
          </w:p>
        </w:tc>
      </w:tr>
      <w:tr w14:paraId="744A707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CCE2437">
            <w:pPr>
              <w:jc w:val="center"/>
              <w:rPr>
                <w:rFonts w:ascii="宋体" w:hAnsi="宋体" w:cs="宋体"/>
                <w:color w:val="auto"/>
                <w:w w:val="90"/>
                <w:szCs w:val="21"/>
                <w:highlight w:val="none"/>
              </w:rPr>
            </w:pPr>
          </w:p>
        </w:tc>
        <w:tc>
          <w:tcPr>
            <w:tcW w:w="1933" w:type="dxa"/>
            <w:vMerge w:val="continue"/>
            <w:vAlign w:val="center"/>
          </w:tcPr>
          <w:p w14:paraId="62D6F462">
            <w:pPr>
              <w:jc w:val="left"/>
              <w:rPr>
                <w:rFonts w:ascii="宋体" w:hAnsi="宋体" w:cs="宋体"/>
                <w:color w:val="auto"/>
                <w:w w:val="90"/>
                <w:szCs w:val="21"/>
                <w:highlight w:val="none"/>
              </w:rPr>
            </w:pPr>
          </w:p>
        </w:tc>
        <w:tc>
          <w:tcPr>
            <w:tcW w:w="2209" w:type="dxa"/>
            <w:vAlign w:val="center"/>
          </w:tcPr>
          <w:p w14:paraId="7DB9426B">
            <w:pPr>
              <w:jc w:val="left"/>
              <w:rPr>
                <w:rFonts w:ascii="宋体" w:hAnsi="宋体" w:cs="宋体"/>
                <w:color w:val="auto"/>
                <w:w w:val="90"/>
                <w:szCs w:val="21"/>
                <w:highlight w:val="none"/>
              </w:rPr>
            </w:pPr>
            <w:r>
              <w:rPr>
                <w:rFonts w:hint="eastAsia" w:ascii="宋体" w:hAnsi="宋体" w:cs="宋体"/>
                <w:color w:val="auto"/>
                <w:w w:val="90"/>
                <w:szCs w:val="21"/>
                <w:highlight w:val="none"/>
              </w:rPr>
              <w:t>普通照明用非定向自镇流LED灯</w:t>
            </w:r>
          </w:p>
        </w:tc>
        <w:tc>
          <w:tcPr>
            <w:tcW w:w="1807" w:type="dxa"/>
            <w:vAlign w:val="center"/>
          </w:tcPr>
          <w:p w14:paraId="6277061B">
            <w:pPr>
              <w:jc w:val="center"/>
              <w:rPr>
                <w:rFonts w:ascii="宋体" w:hAnsi="宋体" w:cs="宋体"/>
                <w:color w:val="auto"/>
                <w:w w:val="90"/>
                <w:szCs w:val="21"/>
                <w:highlight w:val="none"/>
              </w:rPr>
            </w:pPr>
          </w:p>
        </w:tc>
        <w:tc>
          <w:tcPr>
            <w:tcW w:w="3301" w:type="dxa"/>
            <w:vAlign w:val="center"/>
          </w:tcPr>
          <w:p w14:paraId="57C3BF2C">
            <w:pPr>
              <w:jc w:val="left"/>
              <w:rPr>
                <w:rFonts w:ascii="宋体" w:hAnsi="宋体" w:cs="宋体"/>
                <w:color w:val="auto"/>
                <w:w w:val="90"/>
                <w:szCs w:val="21"/>
                <w:highlight w:val="none"/>
              </w:rPr>
            </w:pPr>
            <w:r>
              <w:rPr>
                <w:rFonts w:hint="eastAsia" w:ascii="宋体" w:hAnsi="宋体" w:cs="宋体"/>
                <w:color w:val="auto"/>
                <w:w w:val="90"/>
                <w:szCs w:val="21"/>
                <w:highlight w:val="none"/>
              </w:rPr>
              <w:t>《室内照明用LED产品能效限定值及能效等级》（GB 30255）</w:t>
            </w:r>
          </w:p>
        </w:tc>
      </w:tr>
      <w:tr w14:paraId="59B92B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4775F0D">
            <w:pPr>
              <w:jc w:val="center"/>
              <w:rPr>
                <w:rFonts w:ascii="宋体" w:hAnsi="宋体" w:cs="宋体"/>
                <w:color w:val="auto"/>
                <w:w w:val="90"/>
                <w:szCs w:val="21"/>
                <w:highlight w:val="none"/>
              </w:rPr>
            </w:pPr>
            <w:r>
              <w:rPr>
                <w:rFonts w:hint="eastAsia" w:ascii="宋体" w:hAnsi="宋体" w:cs="宋体"/>
                <w:color w:val="auto"/>
                <w:w w:val="90"/>
                <w:szCs w:val="21"/>
                <w:highlight w:val="none"/>
              </w:rPr>
              <w:t>12</w:t>
            </w:r>
          </w:p>
        </w:tc>
        <w:tc>
          <w:tcPr>
            <w:tcW w:w="1933" w:type="dxa"/>
            <w:vAlign w:val="center"/>
          </w:tcPr>
          <w:p w14:paraId="5EBB59FA">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A020910电视设备</w:t>
            </w:r>
          </w:p>
        </w:tc>
        <w:tc>
          <w:tcPr>
            <w:tcW w:w="2209" w:type="dxa"/>
            <w:vAlign w:val="center"/>
          </w:tcPr>
          <w:p w14:paraId="22E2B50A">
            <w:pPr>
              <w:jc w:val="left"/>
              <w:rPr>
                <w:rFonts w:ascii="宋体" w:hAnsi="宋体" w:cs="宋体"/>
                <w:b/>
                <w:color w:val="auto"/>
                <w:w w:val="90"/>
                <w:szCs w:val="21"/>
                <w:highlight w:val="none"/>
              </w:rPr>
            </w:pPr>
            <w:r>
              <w:rPr>
                <w:rFonts w:hint="eastAsia" w:ascii="宋体" w:hAnsi="宋体" w:cs="宋体"/>
                <w:b/>
                <w:color w:val="auto"/>
                <w:w w:val="90"/>
                <w:szCs w:val="21"/>
                <w:highlight w:val="none"/>
              </w:rPr>
              <w:t>A02091001普通电视设备（电视机）</w:t>
            </w:r>
          </w:p>
        </w:tc>
        <w:tc>
          <w:tcPr>
            <w:tcW w:w="1807" w:type="dxa"/>
            <w:vAlign w:val="center"/>
          </w:tcPr>
          <w:p w14:paraId="5CC1FDFA">
            <w:pPr>
              <w:jc w:val="center"/>
              <w:rPr>
                <w:rFonts w:ascii="宋体" w:hAnsi="宋体" w:cs="宋体"/>
                <w:color w:val="auto"/>
                <w:w w:val="90"/>
                <w:szCs w:val="21"/>
                <w:highlight w:val="none"/>
              </w:rPr>
            </w:pPr>
          </w:p>
        </w:tc>
        <w:tc>
          <w:tcPr>
            <w:tcW w:w="3301" w:type="dxa"/>
            <w:vAlign w:val="center"/>
          </w:tcPr>
          <w:p w14:paraId="14C9B1CD">
            <w:pPr>
              <w:jc w:val="left"/>
              <w:rPr>
                <w:rFonts w:ascii="宋体" w:hAnsi="宋体" w:cs="宋体"/>
                <w:color w:val="auto"/>
                <w:w w:val="90"/>
                <w:szCs w:val="21"/>
                <w:highlight w:val="none"/>
              </w:rPr>
            </w:pPr>
            <w:r>
              <w:rPr>
                <w:rFonts w:hint="eastAsia" w:ascii="宋体" w:hAnsi="宋体" w:cs="宋体"/>
                <w:color w:val="auto"/>
                <w:w w:val="90"/>
                <w:szCs w:val="21"/>
                <w:highlight w:val="none"/>
              </w:rPr>
              <w:t>《平板电视能效限定值及能效等级》（GB 24850）</w:t>
            </w:r>
          </w:p>
        </w:tc>
      </w:tr>
      <w:tr w14:paraId="19D3593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8770A90">
            <w:pPr>
              <w:jc w:val="center"/>
              <w:rPr>
                <w:rFonts w:ascii="宋体" w:hAnsi="宋体" w:cs="宋体"/>
                <w:color w:val="auto"/>
                <w:w w:val="90"/>
                <w:szCs w:val="21"/>
                <w:highlight w:val="none"/>
              </w:rPr>
            </w:pPr>
            <w:r>
              <w:rPr>
                <w:rFonts w:hint="eastAsia" w:ascii="宋体" w:hAnsi="宋体" w:cs="宋体"/>
                <w:color w:val="auto"/>
                <w:w w:val="90"/>
                <w:szCs w:val="21"/>
                <w:highlight w:val="none"/>
              </w:rPr>
              <w:t>13</w:t>
            </w:r>
          </w:p>
        </w:tc>
        <w:tc>
          <w:tcPr>
            <w:tcW w:w="1933" w:type="dxa"/>
            <w:vAlign w:val="center"/>
          </w:tcPr>
          <w:p w14:paraId="6447EB0E">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A020911视频设备</w:t>
            </w:r>
          </w:p>
        </w:tc>
        <w:tc>
          <w:tcPr>
            <w:tcW w:w="2209" w:type="dxa"/>
            <w:vAlign w:val="center"/>
          </w:tcPr>
          <w:p w14:paraId="75CE839F">
            <w:pPr>
              <w:jc w:val="left"/>
              <w:rPr>
                <w:rFonts w:ascii="宋体" w:hAnsi="宋体" w:cs="宋体"/>
                <w:b/>
                <w:color w:val="auto"/>
                <w:w w:val="90"/>
                <w:szCs w:val="21"/>
                <w:highlight w:val="none"/>
              </w:rPr>
            </w:pPr>
            <w:r>
              <w:rPr>
                <w:rFonts w:hint="eastAsia" w:ascii="宋体" w:hAnsi="宋体" w:cs="宋体"/>
                <w:b/>
                <w:color w:val="auto"/>
                <w:w w:val="90"/>
                <w:szCs w:val="21"/>
                <w:highlight w:val="none"/>
              </w:rPr>
              <w:t>A02091107视频监控设备</w:t>
            </w:r>
          </w:p>
        </w:tc>
        <w:tc>
          <w:tcPr>
            <w:tcW w:w="1807" w:type="dxa"/>
            <w:vAlign w:val="center"/>
          </w:tcPr>
          <w:p w14:paraId="4F5516BF">
            <w:pPr>
              <w:jc w:val="center"/>
              <w:rPr>
                <w:rFonts w:ascii="宋体" w:hAnsi="宋体" w:cs="宋体"/>
                <w:b/>
                <w:color w:val="auto"/>
                <w:w w:val="90"/>
                <w:szCs w:val="21"/>
                <w:highlight w:val="none"/>
              </w:rPr>
            </w:pPr>
            <w:r>
              <w:rPr>
                <w:rFonts w:hint="eastAsia" w:ascii="宋体" w:hAnsi="宋体" w:cs="宋体"/>
                <w:b/>
                <w:color w:val="auto"/>
                <w:w w:val="90"/>
                <w:szCs w:val="21"/>
                <w:highlight w:val="none"/>
              </w:rPr>
              <w:t>监视器</w:t>
            </w:r>
          </w:p>
        </w:tc>
        <w:tc>
          <w:tcPr>
            <w:tcW w:w="3301" w:type="dxa"/>
            <w:vAlign w:val="center"/>
          </w:tcPr>
          <w:p w14:paraId="151CB8FA">
            <w:pPr>
              <w:jc w:val="left"/>
              <w:rPr>
                <w:rFonts w:ascii="宋体" w:hAnsi="宋体" w:cs="宋体"/>
                <w:color w:val="auto"/>
                <w:w w:val="90"/>
                <w:szCs w:val="21"/>
                <w:highlight w:val="none"/>
              </w:rPr>
            </w:pPr>
            <w:r>
              <w:rPr>
                <w:rFonts w:hint="eastAsia" w:ascii="宋体" w:hAnsi="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251398E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9917BFD">
            <w:pPr>
              <w:jc w:val="center"/>
              <w:rPr>
                <w:rFonts w:ascii="宋体" w:hAnsi="宋体" w:cs="宋体"/>
                <w:color w:val="auto"/>
                <w:w w:val="90"/>
                <w:szCs w:val="21"/>
                <w:highlight w:val="none"/>
              </w:rPr>
            </w:pPr>
            <w:r>
              <w:rPr>
                <w:rFonts w:hint="eastAsia" w:ascii="宋体" w:hAnsi="宋体" w:cs="宋体"/>
                <w:color w:val="auto"/>
                <w:w w:val="90"/>
                <w:szCs w:val="21"/>
                <w:highlight w:val="none"/>
              </w:rPr>
              <w:t>14</w:t>
            </w:r>
          </w:p>
        </w:tc>
        <w:tc>
          <w:tcPr>
            <w:tcW w:w="1933" w:type="dxa"/>
            <w:vAlign w:val="center"/>
          </w:tcPr>
          <w:p w14:paraId="021193D7">
            <w:pPr>
              <w:jc w:val="left"/>
              <w:rPr>
                <w:rFonts w:ascii="宋体" w:hAnsi="宋体" w:cs="宋体"/>
                <w:color w:val="auto"/>
                <w:w w:val="90"/>
                <w:szCs w:val="21"/>
                <w:highlight w:val="none"/>
              </w:rPr>
            </w:pPr>
            <w:r>
              <w:rPr>
                <w:rFonts w:hint="eastAsia" w:ascii="宋体" w:hAnsi="宋体" w:cs="宋体"/>
                <w:color w:val="auto"/>
                <w:w w:val="90"/>
                <w:szCs w:val="21"/>
                <w:highlight w:val="none"/>
              </w:rPr>
              <w:t>A031210饮食炊事机械</w:t>
            </w:r>
          </w:p>
        </w:tc>
        <w:tc>
          <w:tcPr>
            <w:tcW w:w="2209" w:type="dxa"/>
            <w:vAlign w:val="center"/>
          </w:tcPr>
          <w:p w14:paraId="4C3217FE">
            <w:pPr>
              <w:jc w:val="left"/>
              <w:rPr>
                <w:rFonts w:ascii="宋体" w:hAnsi="宋体" w:cs="宋体"/>
                <w:color w:val="auto"/>
                <w:w w:val="90"/>
                <w:szCs w:val="21"/>
                <w:highlight w:val="none"/>
              </w:rPr>
            </w:pPr>
            <w:r>
              <w:rPr>
                <w:rFonts w:hint="eastAsia" w:ascii="宋体" w:hAnsi="宋体" w:cs="宋体"/>
                <w:color w:val="auto"/>
                <w:w w:val="90"/>
                <w:szCs w:val="21"/>
                <w:highlight w:val="none"/>
              </w:rPr>
              <w:t>商用燃气灶具</w:t>
            </w:r>
          </w:p>
        </w:tc>
        <w:tc>
          <w:tcPr>
            <w:tcW w:w="1807" w:type="dxa"/>
            <w:vAlign w:val="center"/>
          </w:tcPr>
          <w:p w14:paraId="33BBF0E2">
            <w:pPr>
              <w:jc w:val="center"/>
              <w:rPr>
                <w:rFonts w:ascii="宋体" w:hAnsi="宋体" w:cs="宋体"/>
                <w:color w:val="auto"/>
                <w:w w:val="90"/>
                <w:szCs w:val="21"/>
                <w:highlight w:val="none"/>
              </w:rPr>
            </w:pPr>
          </w:p>
        </w:tc>
        <w:tc>
          <w:tcPr>
            <w:tcW w:w="3301" w:type="dxa"/>
            <w:vAlign w:val="center"/>
          </w:tcPr>
          <w:p w14:paraId="7382CD3D">
            <w:pPr>
              <w:jc w:val="left"/>
              <w:rPr>
                <w:rFonts w:ascii="宋体" w:hAnsi="宋体" w:cs="宋体"/>
                <w:color w:val="auto"/>
                <w:w w:val="90"/>
                <w:szCs w:val="21"/>
                <w:highlight w:val="none"/>
              </w:rPr>
            </w:pPr>
          </w:p>
        </w:tc>
      </w:tr>
      <w:tr w14:paraId="0AB8977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262D672">
            <w:pPr>
              <w:jc w:val="center"/>
              <w:rPr>
                <w:rFonts w:ascii="宋体" w:hAnsi="宋体" w:cs="宋体"/>
                <w:color w:val="auto"/>
                <w:w w:val="90"/>
                <w:szCs w:val="21"/>
                <w:highlight w:val="none"/>
              </w:rPr>
            </w:pPr>
            <w:r>
              <w:rPr>
                <w:rFonts w:hint="eastAsia" w:ascii="宋体" w:hAnsi="宋体" w:cs="宋体"/>
                <w:color w:val="auto"/>
                <w:w w:val="90"/>
                <w:szCs w:val="21"/>
                <w:highlight w:val="none"/>
              </w:rPr>
              <w:t>15</w:t>
            </w:r>
          </w:p>
        </w:tc>
        <w:tc>
          <w:tcPr>
            <w:tcW w:w="1933" w:type="dxa"/>
            <w:vMerge w:val="restart"/>
            <w:vAlign w:val="center"/>
          </w:tcPr>
          <w:p w14:paraId="4F508AAE">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A060805便器</w:t>
            </w:r>
          </w:p>
        </w:tc>
        <w:tc>
          <w:tcPr>
            <w:tcW w:w="2209" w:type="dxa"/>
            <w:vAlign w:val="center"/>
          </w:tcPr>
          <w:p w14:paraId="27A406F3">
            <w:pPr>
              <w:jc w:val="left"/>
              <w:rPr>
                <w:rFonts w:ascii="宋体" w:hAnsi="宋体" w:cs="宋体"/>
                <w:b/>
                <w:color w:val="auto"/>
                <w:w w:val="90"/>
                <w:szCs w:val="21"/>
                <w:highlight w:val="none"/>
              </w:rPr>
            </w:pPr>
            <w:r>
              <w:rPr>
                <w:rFonts w:hint="eastAsia" w:ascii="宋体" w:hAnsi="宋体" w:cs="宋体"/>
                <w:b/>
                <w:color w:val="auto"/>
                <w:w w:val="90"/>
                <w:szCs w:val="21"/>
                <w:highlight w:val="none"/>
              </w:rPr>
              <w:t>坐便器</w:t>
            </w:r>
          </w:p>
        </w:tc>
        <w:tc>
          <w:tcPr>
            <w:tcW w:w="1807" w:type="dxa"/>
            <w:vAlign w:val="center"/>
          </w:tcPr>
          <w:p w14:paraId="179003AA">
            <w:pPr>
              <w:jc w:val="center"/>
              <w:rPr>
                <w:rFonts w:ascii="宋体" w:hAnsi="宋体" w:cs="宋体"/>
                <w:color w:val="auto"/>
                <w:w w:val="90"/>
                <w:szCs w:val="21"/>
                <w:highlight w:val="none"/>
              </w:rPr>
            </w:pPr>
          </w:p>
        </w:tc>
        <w:tc>
          <w:tcPr>
            <w:tcW w:w="3301" w:type="dxa"/>
            <w:vAlign w:val="center"/>
          </w:tcPr>
          <w:p w14:paraId="71F98094">
            <w:pPr>
              <w:jc w:val="left"/>
              <w:rPr>
                <w:rFonts w:ascii="宋体" w:hAnsi="宋体" w:cs="宋体"/>
                <w:color w:val="auto"/>
                <w:w w:val="90"/>
                <w:szCs w:val="21"/>
                <w:highlight w:val="none"/>
              </w:rPr>
            </w:pPr>
            <w:r>
              <w:rPr>
                <w:rFonts w:hint="eastAsia" w:ascii="宋体" w:hAnsi="宋体" w:cs="宋体"/>
                <w:color w:val="auto"/>
                <w:w w:val="90"/>
                <w:szCs w:val="21"/>
                <w:highlight w:val="none"/>
              </w:rPr>
              <w:t>《坐便器水效限定值及水效等级</w:t>
            </w:r>
          </w:p>
          <w:p w14:paraId="4192F426">
            <w:pPr>
              <w:jc w:val="left"/>
              <w:rPr>
                <w:rFonts w:ascii="宋体" w:hAnsi="宋体" w:cs="宋体"/>
                <w:color w:val="auto"/>
                <w:w w:val="90"/>
                <w:szCs w:val="21"/>
                <w:highlight w:val="none"/>
              </w:rPr>
            </w:pPr>
            <w:r>
              <w:rPr>
                <w:rFonts w:hint="eastAsia" w:ascii="宋体" w:hAnsi="宋体" w:cs="宋体"/>
                <w:color w:val="auto"/>
                <w:w w:val="90"/>
                <w:szCs w:val="21"/>
                <w:highlight w:val="none"/>
              </w:rPr>
              <w:t>（GB 25502）</w:t>
            </w:r>
          </w:p>
        </w:tc>
      </w:tr>
      <w:tr w14:paraId="6B1F78E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85D667D">
            <w:pPr>
              <w:jc w:val="center"/>
              <w:rPr>
                <w:rFonts w:ascii="宋体" w:hAnsi="宋体" w:cs="宋体"/>
                <w:color w:val="auto"/>
                <w:w w:val="90"/>
                <w:szCs w:val="21"/>
                <w:highlight w:val="none"/>
              </w:rPr>
            </w:pPr>
          </w:p>
        </w:tc>
        <w:tc>
          <w:tcPr>
            <w:tcW w:w="1933" w:type="dxa"/>
            <w:vMerge w:val="continue"/>
            <w:vAlign w:val="center"/>
          </w:tcPr>
          <w:p w14:paraId="4B9C328A">
            <w:pPr>
              <w:jc w:val="left"/>
              <w:rPr>
                <w:rFonts w:ascii="宋体" w:hAnsi="宋体" w:cs="宋体"/>
                <w:b/>
                <w:color w:val="auto"/>
                <w:w w:val="90"/>
                <w:szCs w:val="21"/>
                <w:highlight w:val="none"/>
              </w:rPr>
            </w:pPr>
          </w:p>
        </w:tc>
        <w:tc>
          <w:tcPr>
            <w:tcW w:w="2209" w:type="dxa"/>
            <w:vAlign w:val="center"/>
          </w:tcPr>
          <w:p w14:paraId="6B3A141B">
            <w:pPr>
              <w:jc w:val="left"/>
              <w:rPr>
                <w:rFonts w:ascii="宋体" w:hAnsi="宋体" w:cs="宋体"/>
                <w:b/>
                <w:color w:val="auto"/>
                <w:w w:val="90"/>
                <w:szCs w:val="21"/>
                <w:highlight w:val="none"/>
              </w:rPr>
            </w:pPr>
            <w:r>
              <w:rPr>
                <w:rFonts w:hint="eastAsia" w:ascii="宋体" w:hAnsi="宋体" w:cs="宋体"/>
                <w:b/>
                <w:color w:val="auto"/>
                <w:w w:val="90"/>
                <w:szCs w:val="21"/>
                <w:highlight w:val="none"/>
              </w:rPr>
              <w:t>蹲便器</w:t>
            </w:r>
          </w:p>
        </w:tc>
        <w:tc>
          <w:tcPr>
            <w:tcW w:w="1807" w:type="dxa"/>
            <w:vAlign w:val="center"/>
          </w:tcPr>
          <w:p w14:paraId="183F95C6">
            <w:pPr>
              <w:jc w:val="center"/>
              <w:rPr>
                <w:rFonts w:ascii="宋体" w:hAnsi="宋体" w:cs="宋体"/>
                <w:color w:val="auto"/>
                <w:w w:val="90"/>
                <w:szCs w:val="21"/>
                <w:highlight w:val="none"/>
              </w:rPr>
            </w:pPr>
          </w:p>
        </w:tc>
        <w:tc>
          <w:tcPr>
            <w:tcW w:w="3301" w:type="dxa"/>
            <w:vAlign w:val="center"/>
          </w:tcPr>
          <w:p w14:paraId="0C9F6D3F">
            <w:pPr>
              <w:jc w:val="left"/>
              <w:rPr>
                <w:rFonts w:ascii="宋体" w:hAnsi="宋体" w:cs="宋体"/>
                <w:color w:val="auto"/>
                <w:w w:val="90"/>
                <w:szCs w:val="21"/>
                <w:highlight w:val="none"/>
              </w:rPr>
            </w:pPr>
            <w:r>
              <w:rPr>
                <w:rFonts w:hint="eastAsia" w:ascii="宋体" w:hAnsi="宋体" w:cs="宋体"/>
                <w:color w:val="auto"/>
                <w:w w:val="90"/>
                <w:szCs w:val="21"/>
                <w:highlight w:val="none"/>
              </w:rPr>
              <w:t>《蹲便器用水效率限定值及用水效率等级》（GB 30717）</w:t>
            </w:r>
          </w:p>
        </w:tc>
      </w:tr>
      <w:tr w14:paraId="6B5E41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A068512">
            <w:pPr>
              <w:jc w:val="center"/>
              <w:rPr>
                <w:rFonts w:ascii="宋体" w:hAnsi="宋体" w:cs="宋体"/>
                <w:color w:val="auto"/>
                <w:w w:val="90"/>
                <w:szCs w:val="21"/>
                <w:highlight w:val="none"/>
              </w:rPr>
            </w:pPr>
          </w:p>
        </w:tc>
        <w:tc>
          <w:tcPr>
            <w:tcW w:w="1933" w:type="dxa"/>
            <w:vMerge w:val="continue"/>
            <w:vAlign w:val="center"/>
          </w:tcPr>
          <w:p w14:paraId="1814EB74">
            <w:pPr>
              <w:jc w:val="left"/>
              <w:rPr>
                <w:rFonts w:ascii="宋体" w:hAnsi="宋体" w:cs="宋体"/>
                <w:b/>
                <w:color w:val="auto"/>
                <w:w w:val="90"/>
                <w:szCs w:val="21"/>
                <w:highlight w:val="none"/>
              </w:rPr>
            </w:pPr>
          </w:p>
        </w:tc>
        <w:tc>
          <w:tcPr>
            <w:tcW w:w="2209" w:type="dxa"/>
            <w:vAlign w:val="center"/>
          </w:tcPr>
          <w:p w14:paraId="1B4E22E4">
            <w:pPr>
              <w:jc w:val="left"/>
              <w:rPr>
                <w:rFonts w:ascii="宋体" w:hAnsi="宋体" w:cs="宋体"/>
                <w:b/>
                <w:color w:val="auto"/>
                <w:w w:val="90"/>
                <w:szCs w:val="21"/>
                <w:highlight w:val="none"/>
              </w:rPr>
            </w:pPr>
            <w:r>
              <w:rPr>
                <w:rFonts w:hint="eastAsia" w:ascii="宋体" w:hAnsi="宋体" w:cs="宋体"/>
                <w:b/>
                <w:color w:val="auto"/>
                <w:w w:val="90"/>
                <w:szCs w:val="21"/>
                <w:highlight w:val="none"/>
              </w:rPr>
              <w:t>小便器</w:t>
            </w:r>
          </w:p>
        </w:tc>
        <w:tc>
          <w:tcPr>
            <w:tcW w:w="1807" w:type="dxa"/>
            <w:vAlign w:val="center"/>
          </w:tcPr>
          <w:p w14:paraId="76669E41">
            <w:pPr>
              <w:jc w:val="center"/>
              <w:rPr>
                <w:rFonts w:ascii="宋体" w:hAnsi="宋体" w:cs="宋体"/>
                <w:color w:val="auto"/>
                <w:w w:val="90"/>
                <w:szCs w:val="21"/>
                <w:highlight w:val="none"/>
              </w:rPr>
            </w:pPr>
          </w:p>
        </w:tc>
        <w:tc>
          <w:tcPr>
            <w:tcW w:w="3301" w:type="dxa"/>
            <w:vAlign w:val="center"/>
          </w:tcPr>
          <w:p w14:paraId="1FB74CA9">
            <w:pPr>
              <w:jc w:val="left"/>
              <w:rPr>
                <w:rFonts w:ascii="宋体" w:hAnsi="宋体" w:cs="宋体"/>
                <w:color w:val="auto"/>
                <w:w w:val="90"/>
                <w:szCs w:val="21"/>
                <w:highlight w:val="none"/>
              </w:rPr>
            </w:pPr>
            <w:r>
              <w:rPr>
                <w:rFonts w:hint="eastAsia" w:ascii="宋体" w:hAnsi="宋体" w:cs="宋体"/>
                <w:color w:val="auto"/>
                <w:w w:val="90"/>
                <w:szCs w:val="21"/>
                <w:highlight w:val="none"/>
              </w:rPr>
              <w:t>《小便器用水效率限定值及用水效率等级》（GB 28377）</w:t>
            </w:r>
          </w:p>
        </w:tc>
      </w:tr>
      <w:tr w14:paraId="2528A92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8508C81">
            <w:pPr>
              <w:jc w:val="center"/>
              <w:rPr>
                <w:rFonts w:ascii="宋体" w:hAnsi="宋体" w:cs="宋体"/>
                <w:color w:val="auto"/>
                <w:w w:val="90"/>
                <w:szCs w:val="21"/>
                <w:highlight w:val="none"/>
              </w:rPr>
            </w:pPr>
            <w:r>
              <w:rPr>
                <w:rFonts w:hint="eastAsia" w:ascii="宋体" w:hAnsi="宋体" w:cs="宋体"/>
                <w:color w:val="auto"/>
                <w:w w:val="90"/>
                <w:szCs w:val="21"/>
                <w:highlight w:val="none"/>
              </w:rPr>
              <w:t>16</w:t>
            </w:r>
          </w:p>
        </w:tc>
        <w:tc>
          <w:tcPr>
            <w:tcW w:w="1933" w:type="dxa"/>
            <w:vAlign w:val="center"/>
          </w:tcPr>
          <w:p w14:paraId="0E7D3898">
            <w:pPr>
              <w:jc w:val="left"/>
              <w:rPr>
                <w:rFonts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A060806水嘴</w:t>
            </w:r>
          </w:p>
        </w:tc>
        <w:tc>
          <w:tcPr>
            <w:tcW w:w="2209" w:type="dxa"/>
            <w:vAlign w:val="center"/>
          </w:tcPr>
          <w:p w14:paraId="4FD797A9">
            <w:pPr>
              <w:jc w:val="left"/>
              <w:rPr>
                <w:rFonts w:ascii="宋体" w:hAnsi="宋体" w:cs="宋体"/>
                <w:color w:val="auto"/>
                <w:w w:val="90"/>
                <w:szCs w:val="21"/>
                <w:highlight w:val="none"/>
              </w:rPr>
            </w:pPr>
          </w:p>
        </w:tc>
        <w:tc>
          <w:tcPr>
            <w:tcW w:w="1807" w:type="dxa"/>
            <w:vAlign w:val="center"/>
          </w:tcPr>
          <w:p w14:paraId="78818993">
            <w:pPr>
              <w:jc w:val="center"/>
              <w:rPr>
                <w:rFonts w:ascii="宋体" w:hAnsi="宋体" w:cs="宋体"/>
                <w:color w:val="auto"/>
                <w:w w:val="90"/>
                <w:szCs w:val="21"/>
                <w:highlight w:val="none"/>
              </w:rPr>
            </w:pPr>
          </w:p>
        </w:tc>
        <w:tc>
          <w:tcPr>
            <w:tcW w:w="3301" w:type="dxa"/>
            <w:vAlign w:val="center"/>
          </w:tcPr>
          <w:p w14:paraId="1769EB3C">
            <w:pPr>
              <w:jc w:val="left"/>
              <w:rPr>
                <w:rFonts w:ascii="宋体" w:hAnsi="宋体" w:cs="宋体"/>
                <w:color w:val="auto"/>
                <w:w w:val="90"/>
                <w:szCs w:val="21"/>
                <w:highlight w:val="none"/>
              </w:rPr>
            </w:pPr>
            <w:r>
              <w:rPr>
                <w:rFonts w:hint="eastAsia" w:ascii="宋体" w:hAnsi="宋体" w:cs="宋体"/>
                <w:color w:val="auto"/>
                <w:w w:val="90"/>
                <w:szCs w:val="21"/>
                <w:highlight w:val="none"/>
              </w:rPr>
              <w:t>《水嘴用水效率限定值及用水效率等级》（GB 25501）</w:t>
            </w:r>
          </w:p>
        </w:tc>
      </w:tr>
      <w:tr w14:paraId="60BC1C6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870BB91">
            <w:pPr>
              <w:jc w:val="center"/>
              <w:rPr>
                <w:rFonts w:ascii="宋体" w:hAnsi="宋体" w:cs="宋体"/>
                <w:color w:val="auto"/>
                <w:w w:val="90"/>
                <w:szCs w:val="21"/>
                <w:highlight w:val="none"/>
              </w:rPr>
            </w:pPr>
            <w:r>
              <w:rPr>
                <w:rFonts w:hint="eastAsia" w:ascii="宋体" w:hAnsi="宋体" w:cs="宋体"/>
                <w:color w:val="auto"/>
                <w:w w:val="90"/>
                <w:szCs w:val="21"/>
                <w:highlight w:val="none"/>
              </w:rPr>
              <w:t>17</w:t>
            </w:r>
          </w:p>
        </w:tc>
        <w:tc>
          <w:tcPr>
            <w:tcW w:w="1933" w:type="dxa"/>
            <w:vAlign w:val="center"/>
          </w:tcPr>
          <w:p w14:paraId="34A29EDE">
            <w:pPr>
              <w:jc w:val="left"/>
              <w:rPr>
                <w:rFonts w:ascii="宋体" w:hAnsi="宋体" w:cs="宋体"/>
                <w:color w:val="auto"/>
                <w:w w:val="90"/>
                <w:szCs w:val="21"/>
                <w:highlight w:val="none"/>
              </w:rPr>
            </w:pPr>
            <w:r>
              <w:rPr>
                <w:rFonts w:hint="eastAsia" w:ascii="宋体" w:hAnsi="宋体" w:cs="宋体"/>
                <w:color w:val="auto"/>
                <w:w w:val="90"/>
                <w:szCs w:val="21"/>
                <w:highlight w:val="none"/>
              </w:rPr>
              <w:t>A060807便器冲洗阀</w:t>
            </w:r>
          </w:p>
        </w:tc>
        <w:tc>
          <w:tcPr>
            <w:tcW w:w="2209" w:type="dxa"/>
            <w:vAlign w:val="center"/>
          </w:tcPr>
          <w:p w14:paraId="508774F6">
            <w:pPr>
              <w:jc w:val="left"/>
              <w:rPr>
                <w:rFonts w:ascii="宋体" w:hAnsi="宋体" w:cs="宋体"/>
                <w:color w:val="auto"/>
                <w:w w:val="90"/>
                <w:szCs w:val="21"/>
                <w:highlight w:val="none"/>
              </w:rPr>
            </w:pPr>
          </w:p>
        </w:tc>
        <w:tc>
          <w:tcPr>
            <w:tcW w:w="1807" w:type="dxa"/>
            <w:vAlign w:val="center"/>
          </w:tcPr>
          <w:p w14:paraId="0D35D6ED">
            <w:pPr>
              <w:jc w:val="center"/>
              <w:rPr>
                <w:rFonts w:ascii="宋体" w:hAnsi="宋体" w:cs="宋体"/>
                <w:color w:val="auto"/>
                <w:w w:val="90"/>
                <w:szCs w:val="21"/>
                <w:highlight w:val="none"/>
              </w:rPr>
            </w:pPr>
          </w:p>
        </w:tc>
        <w:tc>
          <w:tcPr>
            <w:tcW w:w="3301" w:type="dxa"/>
            <w:vAlign w:val="center"/>
          </w:tcPr>
          <w:p w14:paraId="2749B105">
            <w:pPr>
              <w:jc w:val="left"/>
              <w:rPr>
                <w:rFonts w:ascii="宋体" w:hAnsi="宋体" w:cs="宋体"/>
                <w:color w:val="auto"/>
                <w:w w:val="90"/>
                <w:szCs w:val="21"/>
                <w:highlight w:val="none"/>
              </w:rPr>
            </w:pPr>
            <w:r>
              <w:rPr>
                <w:rFonts w:hint="eastAsia" w:ascii="宋体" w:hAnsi="宋体" w:cs="宋体"/>
                <w:color w:val="auto"/>
                <w:w w:val="90"/>
                <w:szCs w:val="21"/>
                <w:highlight w:val="none"/>
              </w:rPr>
              <w:t>《便器冲洗阀用水效率限定值及用水效率等级》（GB 28379）</w:t>
            </w:r>
          </w:p>
        </w:tc>
      </w:tr>
      <w:tr w14:paraId="4DE371A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AA902A5">
            <w:pPr>
              <w:jc w:val="center"/>
              <w:rPr>
                <w:rFonts w:ascii="宋体" w:hAnsi="宋体" w:cs="宋体"/>
                <w:color w:val="auto"/>
                <w:w w:val="90"/>
                <w:szCs w:val="21"/>
                <w:highlight w:val="none"/>
              </w:rPr>
            </w:pPr>
            <w:r>
              <w:rPr>
                <w:rFonts w:hint="eastAsia" w:ascii="宋体" w:hAnsi="宋体" w:cs="宋体"/>
                <w:color w:val="auto"/>
                <w:w w:val="90"/>
                <w:szCs w:val="21"/>
                <w:highlight w:val="none"/>
              </w:rPr>
              <w:t>18</w:t>
            </w:r>
          </w:p>
        </w:tc>
        <w:tc>
          <w:tcPr>
            <w:tcW w:w="1933" w:type="dxa"/>
            <w:vAlign w:val="center"/>
          </w:tcPr>
          <w:p w14:paraId="139A774E">
            <w:pPr>
              <w:jc w:val="left"/>
              <w:rPr>
                <w:rFonts w:ascii="宋体" w:hAnsi="宋体" w:cs="宋体"/>
                <w:color w:val="auto"/>
                <w:w w:val="90"/>
                <w:szCs w:val="21"/>
                <w:highlight w:val="none"/>
              </w:rPr>
            </w:pPr>
            <w:r>
              <w:rPr>
                <w:rFonts w:hint="eastAsia" w:ascii="宋体" w:hAnsi="宋体" w:cs="宋体"/>
                <w:color w:val="auto"/>
                <w:w w:val="90"/>
                <w:szCs w:val="21"/>
                <w:highlight w:val="none"/>
              </w:rPr>
              <w:t>A060810淋浴器</w:t>
            </w:r>
          </w:p>
        </w:tc>
        <w:tc>
          <w:tcPr>
            <w:tcW w:w="2209" w:type="dxa"/>
            <w:vAlign w:val="center"/>
          </w:tcPr>
          <w:p w14:paraId="520814DD">
            <w:pPr>
              <w:jc w:val="left"/>
              <w:rPr>
                <w:rFonts w:ascii="宋体" w:hAnsi="宋体" w:cs="宋体"/>
                <w:color w:val="auto"/>
                <w:w w:val="90"/>
                <w:szCs w:val="21"/>
                <w:highlight w:val="none"/>
              </w:rPr>
            </w:pPr>
          </w:p>
        </w:tc>
        <w:tc>
          <w:tcPr>
            <w:tcW w:w="1807" w:type="dxa"/>
            <w:vAlign w:val="center"/>
          </w:tcPr>
          <w:p w14:paraId="538C16D2">
            <w:pPr>
              <w:jc w:val="center"/>
              <w:rPr>
                <w:rFonts w:ascii="宋体" w:hAnsi="宋体" w:cs="宋体"/>
                <w:color w:val="auto"/>
                <w:w w:val="90"/>
                <w:szCs w:val="21"/>
                <w:highlight w:val="none"/>
              </w:rPr>
            </w:pPr>
          </w:p>
        </w:tc>
        <w:tc>
          <w:tcPr>
            <w:tcW w:w="3301" w:type="dxa"/>
            <w:vAlign w:val="center"/>
          </w:tcPr>
          <w:p w14:paraId="3906E90E">
            <w:pPr>
              <w:jc w:val="left"/>
              <w:rPr>
                <w:rFonts w:ascii="宋体" w:hAnsi="宋体" w:cs="宋体"/>
                <w:color w:val="auto"/>
                <w:w w:val="90"/>
                <w:szCs w:val="21"/>
                <w:highlight w:val="none"/>
              </w:rPr>
            </w:pPr>
            <w:r>
              <w:rPr>
                <w:rFonts w:hint="eastAsia" w:ascii="宋体" w:hAnsi="宋体" w:cs="宋体"/>
                <w:color w:val="auto"/>
                <w:w w:val="90"/>
                <w:szCs w:val="21"/>
                <w:highlight w:val="none"/>
              </w:rPr>
              <w:t>《淋浴器用水效率限定值及用水效率等级》（GB 28378）</w:t>
            </w:r>
          </w:p>
        </w:tc>
      </w:tr>
    </w:tbl>
    <w:p w14:paraId="40B9FFA8">
      <w:pPr>
        <w:spacing w:line="360" w:lineRule="auto"/>
        <w:ind w:left="-850" w:leftChars="-405" w:right="-1050" w:rightChars="-500" w:firstLine="382" w:firstLineChars="201"/>
        <w:rPr>
          <w:rFonts w:ascii="宋体" w:hAnsi="宋体" w:cs="宋体"/>
          <w:b/>
          <w:color w:val="auto"/>
          <w:w w:val="90"/>
          <w:highlight w:val="none"/>
        </w:rPr>
      </w:pPr>
      <w:r>
        <w:rPr>
          <w:rFonts w:hint="eastAsia" w:ascii="宋体" w:hAnsi="宋体" w:cs="宋体"/>
          <w:b/>
          <w:color w:val="auto"/>
          <w:w w:val="90"/>
          <w:highlight w:val="none"/>
        </w:rPr>
        <w:t>注：1、节能产品认证应依据相关国家标准的最新版本，依据国家标准中二级能效（水效）指标。</w:t>
      </w:r>
    </w:p>
    <w:p w14:paraId="13E78FCC">
      <w:pPr>
        <w:spacing w:line="360" w:lineRule="auto"/>
        <w:ind w:left="-850" w:leftChars="-405" w:right="-1050" w:rightChars="-500" w:firstLine="382" w:firstLineChars="201"/>
        <w:rPr>
          <w:rFonts w:ascii="宋体" w:hAnsi="宋体" w:cs="宋体"/>
          <w:b/>
          <w:color w:val="auto"/>
          <w:w w:val="90"/>
          <w:highlight w:val="none"/>
        </w:rPr>
      </w:pPr>
      <w:r>
        <w:rPr>
          <w:rFonts w:hint="eastAsia" w:ascii="宋体" w:hAnsi="宋体" w:cs="宋体"/>
          <w:b/>
          <w:color w:val="auto"/>
          <w:w w:val="90"/>
          <w:highlight w:val="none"/>
        </w:rPr>
        <w:t>2、上述产品中认证标准发生变更的，依据原认证标准获得的、仍在有效期内的认证证书可使用至2019年6月1日。</w:t>
      </w:r>
    </w:p>
    <w:p w14:paraId="2B7B6B48">
      <w:pPr>
        <w:spacing w:line="360" w:lineRule="auto"/>
        <w:ind w:left="-850" w:leftChars="-405" w:right="-1050" w:rightChars="-500" w:firstLine="382" w:firstLineChars="201"/>
        <w:rPr>
          <w:rFonts w:ascii="宋体" w:hAnsi="宋体" w:cs="宋体"/>
          <w:color w:val="auto"/>
          <w:highlight w:val="none"/>
        </w:rPr>
      </w:pPr>
      <w:r>
        <w:rPr>
          <w:rFonts w:hint="eastAsia" w:ascii="宋体" w:hAnsi="宋体" w:cs="宋体"/>
          <w:b/>
          <w:color w:val="auto"/>
          <w:w w:val="90"/>
          <w:highlight w:val="none"/>
        </w:rPr>
        <w:t>3、以“★”标注的为政府强制采购产品。</w:t>
      </w:r>
    </w:p>
    <w:p w14:paraId="7AB393DF">
      <w:pPr>
        <w:rPr>
          <w:color w:val="auto"/>
          <w:highlight w:val="none"/>
        </w:rPr>
      </w:pPr>
    </w:p>
    <w:p w14:paraId="078F335C">
      <w:pPr>
        <w:rPr>
          <w:color w:val="auto"/>
          <w:highlight w:val="none"/>
        </w:rPr>
      </w:pPr>
    </w:p>
    <w:sectPr>
      <w:pgSz w:w="11905" w:h="16838"/>
      <w:pgMar w:top="1417" w:right="1417" w:bottom="1417" w:left="1417" w:header="850"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6BE9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BF757">
    <w:pPr>
      <w:framePr w:wrap="around" w:vAnchor="text" w:hAnchor="margin" w:xAlign="center" w:y="1"/>
      <w:wordWrap w:val="0"/>
      <w:snapToGrid w:val="0"/>
      <w:spacing w:line="460" w:lineRule="exact"/>
      <w:ind w:firstLine="360" w:firstLineChars="200"/>
      <w:jc w:val="center"/>
      <w:rPr>
        <w:rFonts w:ascii="仿宋" w:hAnsi="仿宋" w:eastAsia="仿宋" w:cs="仿宋"/>
        <w:sz w:val="18"/>
        <w:szCs w:val="18"/>
      </w:rPr>
    </w:pPr>
    <w:r>
      <w:rPr>
        <w:rFonts w:ascii="仿宋" w:hAnsi="仿宋" w:eastAsia="仿宋" w:cs="仿宋"/>
        <w:sz w:val="18"/>
        <w:szCs w:val="18"/>
      </w:rPr>
      <w:fldChar w:fldCharType="begin"/>
    </w:r>
    <w:r>
      <w:rPr>
        <w:sz w:val="18"/>
        <w:szCs w:val="18"/>
      </w:rPr>
      <w:instrText xml:space="preserve"> PAGE </w:instrText>
    </w:r>
    <w:r>
      <w:rPr>
        <w:rFonts w:ascii="仿宋" w:hAnsi="仿宋" w:eastAsia="仿宋" w:cs="仿宋"/>
        <w:sz w:val="18"/>
        <w:szCs w:val="18"/>
      </w:rPr>
      <w:fldChar w:fldCharType="separate"/>
    </w:r>
    <w:r>
      <w:rPr>
        <w:sz w:val="18"/>
        <w:szCs w:val="18"/>
      </w:rPr>
      <w:t>126</w:t>
    </w:r>
    <w:r>
      <w:rPr>
        <w:rFonts w:ascii="仿宋" w:hAnsi="仿宋" w:eastAsia="仿宋" w:cs="仿宋"/>
        <w:sz w:val="18"/>
        <w:szCs w:val="18"/>
      </w:rPr>
      <w:fldChar w:fldCharType="end"/>
    </w:r>
  </w:p>
  <w:p w14:paraId="027F87AE">
    <w:pPr>
      <w:framePr w:wrap="around" w:vAnchor="text" w:hAnchor="margin" w:xAlign="center" w:y="1"/>
      <w:wordWrap w:val="0"/>
      <w:snapToGrid w:val="0"/>
      <w:spacing w:line="460" w:lineRule="exact"/>
      <w:ind w:firstLine="360" w:firstLineChars="200"/>
      <w:rPr>
        <w:rFonts w:ascii="仿宋" w:hAnsi="仿宋" w:eastAsia="仿宋" w:cs="仿宋"/>
        <w:sz w:val="18"/>
        <w:szCs w:val="18"/>
      </w:rPr>
    </w:pPr>
  </w:p>
  <w:p w14:paraId="6743B1BB">
    <w:pPr>
      <w:wordWrap w:val="0"/>
      <w:snapToGrid w:val="0"/>
      <w:spacing w:line="460" w:lineRule="exact"/>
      <w:ind w:firstLine="360" w:firstLineChars="200"/>
      <w:jc w:val="center"/>
      <w:rPr>
        <w:rFonts w:ascii="仿宋" w:hAnsi="仿宋" w:eastAsia="仿宋" w:cs="仿宋"/>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3E75A">
    <w:pPr>
      <w:wordWrap w:val="0"/>
      <w:adjustRightInd/>
      <w:spacing w:line="460" w:lineRule="exact"/>
      <w:ind w:firstLine="420" w:firstLineChars="200"/>
      <w:jc w:val="center"/>
      <w:rPr>
        <w:rFonts w:ascii="仿宋" w:hAnsi="仿宋" w:eastAsia="仿宋" w:cs="仿宋"/>
      </w:rPr>
    </w:pPr>
    <w:r>
      <w:rPr>
        <w:rFonts w:ascii="仿宋" w:hAnsi="仿宋" w:eastAsia="仿宋" w:cs="仿宋"/>
      </w:rPr>
      <w:fldChar w:fldCharType="begin"/>
    </w:r>
    <w:r>
      <w:rPr>
        <w:rFonts w:ascii="仿宋" w:hAnsi="仿宋" w:eastAsia="仿宋" w:cs="仿宋"/>
      </w:rPr>
      <w:instrText xml:space="preserve"> PAGE  \* MERGEFORMAT </w:instrText>
    </w:r>
    <w:r>
      <w:rPr>
        <w:rFonts w:ascii="仿宋" w:hAnsi="仿宋" w:eastAsia="仿宋" w:cs="仿宋"/>
      </w:rPr>
      <w:fldChar w:fldCharType="separate"/>
    </w:r>
    <w:r>
      <w:rPr>
        <w:rFonts w:ascii="仿宋" w:hAnsi="仿宋" w:eastAsia="仿宋" w:cs="仿宋"/>
        <w:lang w:val="zh-CN"/>
      </w:rPr>
      <w:t>125</w:t>
    </w:r>
    <w:r>
      <w:rPr>
        <w:rFonts w:ascii="仿宋" w:hAnsi="仿宋" w:eastAsia="仿宋" w:cs="仿宋"/>
        <w:lang w:val="zh-CN"/>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5E84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160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91C91">
    <w:pPr>
      <w:pStyle w:val="41"/>
      <w:framePr w:wrap="around" w:vAnchor="text" w:hAnchor="margin" w:xAlign="right" w:y="1"/>
      <w:rPr>
        <w:rStyle w:val="72"/>
      </w:rPr>
    </w:pPr>
    <w:r>
      <w:fldChar w:fldCharType="begin"/>
    </w:r>
    <w:r>
      <w:rPr>
        <w:rStyle w:val="72"/>
      </w:rPr>
      <w:instrText xml:space="preserve">PAGE  </w:instrText>
    </w:r>
    <w:r>
      <w:fldChar w:fldCharType="end"/>
    </w:r>
  </w:p>
  <w:p w14:paraId="34E16E77">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FABF9">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160</w:t>
    </w:r>
    <w:r>
      <w:rPr>
        <w:rFonts w:hint="eastAsia" w:ascii="仿宋_GB2312" w:eastAsia="仿宋_GB2312"/>
        <w:kern w:val="0"/>
        <w:szCs w:val="21"/>
      </w:rPr>
      <w:fldChar w:fldCharType="end"/>
    </w:r>
    <w:bookmarkStart w:id="643" w:name="_Toc131845147"/>
    <w:bookmarkStart w:id="644" w:name="_Toc36110187"/>
    <w:bookmarkStart w:id="645" w:name="_Toc91899912"/>
    <w:bookmarkStart w:id="646" w:name="_Toc164085800"/>
    <w:r>
      <w:rPr>
        <w:rFonts w:hint="eastAsia" w:ascii="仿宋_GB2312" w:eastAsia="仿宋_GB2312"/>
        <w:kern w:val="0"/>
        <w:szCs w:val="21"/>
      </w:rPr>
      <w:t xml:space="preserve"> 页</w:t>
    </w:r>
    <w:bookmarkEnd w:id="643"/>
    <w:bookmarkEnd w:id="644"/>
    <w:bookmarkEnd w:id="645"/>
    <w:bookmarkEnd w:id="64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ECCAF">
    <w:pPr>
      <w:pStyle w:val="41"/>
      <w:framePr w:wrap="around" w:vAnchor="text" w:hAnchor="margin" w:xAlign="right" w:y="1"/>
      <w:rPr>
        <w:rStyle w:val="72"/>
      </w:rPr>
    </w:pPr>
    <w:r>
      <w:fldChar w:fldCharType="begin"/>
    </w:r>
    <w:r>
      <w:rPr>
        <w:rStyle w:val="72"/>
      </w:rPr>
      <w:instrText xml:space="preserve">PAGE  </w:instrText>
    </w:r>
    <w:r>
      <w:fldChar w:fldCharType="end"/>
    </w:r>
  </w:p>
  <w:p w14:paraId="7BDEF080">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9292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6571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107</w:t>
    </w:r>
    <w:r>
      <w:rPr>
        <w:rFonts w:hint="eastAsia" w:ascii="仿宋_GB2312" w:eastAsia="仿宋_GB2312"/>
        <w:kern w:val="0"/>
      </w:rPr>
      <w:fldChar w:fldCharType="end"/>
    </w:r>
    <w:r>
      <w:rPr>
        <w:rFonts w:hint="eastAsia" w:ascii="仿宋_GB2312" w:eastAsia="仿宋_GB2312"/>
        <w:kern w:val="0"/>
      </w:rPr>
      <w:t xml:space="preserve"> 页</w:t>
    </w:r>
  </w:p>
  <w:p w14:paraId="35EACD1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55C0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p w14:paraId="42C3D64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DBC8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65668E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23F6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112</w:t>
    </w:r>
    <w:r>
      <w:rPr>
        <w:rFonts w:hint="eastAsia" w:ascii="仿宋_GB2312" w:eastAsia="仿宋_GB2312"/>
        <w:kern w:val="0"/>
      </w:rPr>
      <w:fldChar w:fldCharType="end"/>
    </w:r>
    <w:r>
      <w:rPr>
        <w:rFonts w:hint="eastAsia" w:ascii="仿宋_GB2312" w:eastAsia="仿宋_GB2312"/>
        <w:kern w:val="0"/>
      </w:rPr>
      <w:t xml:space="preserve"> 页</w:t>
    </w:r>
  </w:p>
  <w:p w14:paraId="2D26811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DF72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115</w:t>
    </w:r>
    <w:r>
      <w:rPr>
        <w:rFonts w:hint="eastAsia" w:ascii="仿宋_GB2312" w:eastAsia="仿宋_GB2312"/>
        <w:kern w:val="0"/>
      </w:rPr>
      <w:fldChar w:fldCharType="end"/>
    </w:r>
    <w:r>
      <w:rPr>
        <w:rFonts w:hint="eastAsia" w:ascii="仿宋_GB2312" w:eastAsia="仿宋_GB2312"/>
        <w:kern w:val="0"/>
      </w:rPr>
      <w:t xml:space="preserve"> 页</w:t>
    </w:r>
  </w:p>
  <w:p w14:paraId="219A9B2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9790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w:t>
    </w:r>
  </w:p>
  <w:p w14:paraId="7FAB727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3F94F">
    <w:pPr>
      <w:pStyle w:val="42"/>
      <w:pBdr>
        <w:bottom w:val="single" w:color="auto" w:sz="6" w:space="0"/>
      </w:pBdr>
      <w:jc w:val="right"/>
      <w:rPr>
        <w:rFonts w:ascii="仿宋_GB2312" w:eastAsia="仿宋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4D780">
    <w:pPr>
      <w:pStyle w:val="42"/>
      <w:pBdr>
        <w:bottom w:val="single" w:color="auto" w:sz="6"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679AE">
    <w:pPr>
      <w:tabs>
        <w:tab w:val="center" w:pos="4153"/>
        <w:tab w:val="right" w:pos="8306"/>
      </w:tabs>
      <w:snapToGrid w:val="0"/>
      <w:jc w:val="center"/>
      <w:rPr>
        <w:rFonts w:eastAsia="仿宋_GB2312"/>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F9DBE">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190B7">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18F8C">
    <w:pPr>
      <w:wordWrap w:val="0"/>
      <w:snapToGrid w:val="0"/>
      <w:spacing w:line="460" w:lineRule="exact"/>
      <w:ind w:firstLine="360" w:firstLineChars="200"/>
      <w:jc w:val="center"/>
      <w:rPr>
        <w:rFonts w:ascii="仿宋" w:hAnsi="仿宋" w:eastAsia="仿宋" w:cs="仿宋"/>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37B54">
    <w:pPr>
      <w:pBdr>
        <w:bottom w:val="none" w:color="auto" w:sz="0" w:space="1"/>
      </w:pBdr>
      <w:wordWrap w:val="0"/>
      <w:snapToGrid w:val="0"/>
      <w:spacing w:line="460" w:lineRule="exact"/>
      <w:rPr>
        <w:rFonts w:ascii="仿宋" w:hAnsi="仿宋" w:eastAsia="仿宋" w:cs="仿宋"/>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F1D2B">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00000005"/>
    <w:multiLevelType w:val="singleLevel"/>
    <w:tmpl w:val="00000005"/>
    <w:lvl w:ilvl="0" w:tentative="0">
      <w:start w:val="10"/>
      <w:numFmt w:val="decimal"/>
      <w:suff w:val="nothing"/>
      <w:lvlText w:val="（%1）"/>
      <w:lvlJc w:val="left"/>
    </w:lvl>
  </w:abstractNum>
  <w:abstractNum w:abstractNumId="2">
    <w:nsid w:val="00000008"/>
    <w:multiLevelType w:val="singleLevel"/>
    <w:tmpl w:val="00000008"/>
    <w:lvl w:ilvl="0" w:tentative="0">
      <w:start w:val="1"/>
      <w:numFmt w:val="decimal"/>
      <w:lvlText w:val="(%1)"/>
      <w:lvlJc w:val="left"/>
      <w:pPr>
        <w:ind w:left="425" w:hanging="425"/>
      </w:pPr>
      <w:rPr>
        <w:rFonts w:hint="default"/>
      </w:rPr>
    </w:lvl>
  </w:abstractNum>
  <w:abstractNum w:abstractNumId="3">
    <w:nsid w:val="2C672248"/>
    <w:multiLevelType w:val="singleLevel"/>
    <w:tmpl w:val="2C672248"/>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trackRevisions w:val="1"/>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6A3"/>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07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9E"/>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EE0"/>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ADF"/>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6ED"/>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AF2815"/>
    <w:rsid w:val="03DD35E4"/>
    <w:rsid w:val="03F040A4"/>
    <w:rsid w:val="04076900"/>
    <w:rsid w:val="041A5A3B"/>
    <w:rsid w:val="042311BA"/>
    <w:rsid w:val="042B157A"/>
    <w:rsid w:val="048F763B"/>
    <w:rsid w:val="049F330E"/>
    <w:rsid w:val="04AA775C"/>
    <w:rsid w:val="04AF1889"/>
    <w:rsid w:val="04C64E6C"/>
    <w:rsid w:val="04F66F48"/>
    <w:rsid w:val="05251E14"/>
    <w:rsid w:val="053F49BF"/>
    <w:rsid w:val="05A16594"/>
    <w:rsid w:val="05A7762D"/>
    <w:rsid w:val="05FF2AF4"/>
    <w:rsid w:val="060E5941"/>
    <w:rsid w:val="06110FAF"/>
    <w:rsid w:val="061E21DC"/>
    <w:rsid w:val="06493CA7"/>
    <w:rsid w:val="065A6178"/>
    <w:rsid w:val="066606B5"/>
    <w:rsid w:val="066F1CF3"/>
    <w:rsid w:val="06930BB8"/>
    <w:rsid w:val="06951992"/>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2366F3"/>
    <w:rsid w:val="09335624"/>
    <w:rsid w:val="09394C92"/>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177354"/>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2DC0B78"/>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1E56"/>
    <w:rsid w:val="16BC70A7"/>
    <w:rsid w:val="16C6339E"/>
    <w:rsid w:val="172F2D79"/>
    <w:rsid w:val="17557BEF"/>
    <w:rsid w:val="17D349C1"/>
    <w:rsid w:val="1830729E"/>
    <w:rsid w:val="18624A54"/>
    <w:rsid w:val="1870062C"/>
    <w:rsid w:val="18817102"/>
    <w:rsid w:val="18830A15"/>
    <w:rsid w:val="18852B28"/>
    <w:rsid w:val="188B5321"/>
    <w:rsid w:val="18CD637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CA31499"/>
    <w:rsid w:val="1D2228B1"/>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ED16490"/>
    <w:rsid w:val="1F0A0FF3"/>
    <w:rsid w:val="1F5771FF"/>
    <w:rsid w:val="1F646BF6"/>
    <w:rsid w:val="1F904124"/>
    <w:rsid w:val="1FE868A9"/>
    <w:rsid w:val="20034907"/>
    <w:rsid w:val="20173E4B"/>
    <w:rsid w:val="204E48BC"/>
    <w:rsid w:val="208921B3"/>
    <w:rsid w:val="20973DEB"/>
    <w:rsid w:val="20B26522"/>
    <w:rsid w:val="20B44310"/>
    <w:rsid w:val="20D567D6"/>
    <w:rsid w:val="211116EB"/>
    <w:rsid w:val="216133FC"/>
    <w:rsid w:val="21BD49E8"/>
    <w:rsid w:val="21D56769"/>
    <w:rsid w:val="21E52EF3"/>
    <w:rsid w:val="21FB5D7B"/>
    <w:rsid w:val="22015E94"/>
    <w:rsid w:val="220B1C3D"/>
    <w:rsid w:val="221D1D20"/>
    <w:rsid w:val="22334A87"/>
    <w:rsid w:val="22BE6801"/>
    <w:rsid w:val="233500BF"/>
    <w:rsid w:val="23377FF7"/>
    <w:rsid w:val="23490CEA"/>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201F1F"/>
    <w:rsid w:val="258B00E2"/>
    <w:rsid w:val="25A917A6"/>
    <w:rsid w:val="25B676B1"/>
    <w:rsid w:val="25BE27CC"/>
    <w:rsid w:val="25F74A5C"/>
    <w:rsid w:val="2628662C"/>
    <w:rsid w:val="262D45DE"/>
    <w:rsid w:val="26871DC8"/>
    <w:rsid w:val="26A53EF9"/>
    <w:rsid w:val="26A94201"/>
    <w:rsid w:val="26AC274F"/>
    <w:rsid w:val="27044A29"/>
    <w:rsid w:val="27151B69"/>
    <w:rsid w:val="2715353A"/>
    <w:rsid w:val="271D34C8"/>
    <w:rsid w:val="276142BF"/>
    <w:rsid w:val="27783712"/>
    <w:rsid w:val="27907362"/>
    <w:rsid w:val="28333E1D"/>
    <w:rsid w:val="28454BD6"/>
    <w:rsid w:val="28455253"/>
    <w:rsid w:val="28551971"/>
    <w:rsid w:val="285B1C53"/>
    <w:rsid w:val="289F7086"/>
    <w:rsid w:val="28C32028"/>
    <w:rsid w:val="28CC490F"/>
    <w:rsid w:val="28DE40AA"/>
    <w:rsid w:val="29220014"/>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7B4D60"/>
    <w:rsid w:val="2DD15014"/>
    <w:rsid w:val="2DF72DE4"/>
    <w:rsid w:val="2E0220AF"/>
    <w:rsid w:val="2E270C85"/>
    <w:rsid w:val="2E4B082A"/>
    <w:rsid w:val="2E5D4E86"/>
    <w:rsid w:val="2E5D790B"/>
    <w:rsid w:val="2E9A3C18"/>
    <w:rsid w:val="2EBB0FEE"/>
    <w:rsid w:val="2EC63002"/>
    <w:rsid w:val="2F0A6B38"/>
    <w:rsid w:val="2F866E22"/>
    <w:rsid w:val="2F946CCB"/>
    <w:rsid w:val="2FD25781"/>
    <w:rsid w:val="2FDC745C"/>
    <w:rsid w:val="2FFD7934"/>
    <w:rsid w:val="30733ACD"/>
    <w:rsid w:val="308C3862"/>
    <w:rsid w:val="309379D8"/>
    <w:rsid w:val="30A270F7"/>
    <w:rsid w:val="30AA14F8"/>
    <w:rsid w:val="30DF1478"/>
    <w:rsid w:val="30EC586F"/>
    <w:rsid w:val="30F65C58"/>
    <w:rsid w:val="319C6071"/>
    <w:rsid w:val="31A11ECE"/>
    <w:rsid w:val="31AC537E"/>
    <w:rsid w:val="31E3679B"/>
    <w:rsid w:val="31E732FD"/>
    <w:rsid w:val="32517576"/>
    <w:rsid w:val="32BE5C2C"/>
    <w:rsid w:val="32D63C1D"/>
    <w:rsid w:val="32D72556"/>
    <w:rsid w:val="32FB6478"/>
    <w:rsid w:val="332410BB"/>
    <w:rsid w:val="33263B3F"/>
    <w:rsid w:val="336963EB"/>
    <w:rsid w:val="33816EEB"/>
    <w:rsid w:val="33A67A93"/>
    <w:rsid w:val="33EB55CD"/>
    <w:rsid w:val="33EC4C02"/>
    <w:rsid w:val="340D2360"/>
    <w:rsid w:val="3410665D"/>
    <w:rsid w:val="341A21EB"/>
    <w:rsid w:val="34211214"/>
    <w:rsid w:val="342E63AB"/>
    <w:rsid w:val="34901769"/>
    <w:rsid w:val="34950E68"/>
    <w:rsid w:val="34986E94"/>
    <w:rsid w:val="34AF62C9"/>
    <w:rsid w:val="34CB4388"/>
    <w:rsid w:val="34FA6E12"/>
    <w:rsid w:val="354D7158"/>
    <w:rsid w:val="356123CB"/>
    <w:rsid w:val="358D5588"/>
    <w:rsid w:val="363A3B40"/>
    <w:rsid w:val="365302AE"/>
    <w:rsid w:val="36607A0A"/>
    <w:rsid w:val="366E227C"/>
    <w:rsid w:val="366F2E0D"/>
    <w:rsid w:val="367B6A5C"/>
    <w:rsid w:val="36A74ADA"/>
    <w:rsid w:val="36AD60D5"/>
    <w:rsid w:val="36B224F9"/>
    <w:rsid w:val="36EC0CC9"/>
    <w:rsid w:val="37313B18"/>
    <w:rsid w:val="373F410B"/>
    <w:rsid w:val="37BD36D2"/>
    <w:rsid w:val="37EE7094"/>
    <w:rsid w:val="38296C89"/>
    <w:rsid w:val="383002EB"/>
    <w:rsid w:val="38586797"/>
    <w:rsid w:val="38BC0149"/>
    <w:rsid w:val="38D87D1C"/>
    <w:rsid w:val="392B1943"/>
    <w:rsid w:val="393671C3"/>
    <w:rsid w:val="39636459"/>
    <w:rsid w:val="396B7F6C"/>
    <w:rsid w:val="39865FD6"/>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1A20A1"/>
    <w:rsid w:val="40592157"/>
    <w:rsid w:val="406E1CAE"/>
    <w:rsid w:val="40A0133A"/>
    <w:rsid w:val="40C31A53"/>
    <w:rsid w:val="40E669A0"/>
    <w:rsid w:val="40FF545D"/>
    <w:rsid w:val="410067C8"/>
    <w:rsid w:val="416176D3"/>
    <w:rsid w:val="418F0D2A"/>
    <w:rsid w:val="41D01505"/>
    <w:rsid w:val="420B4DA0"/>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65349"/>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EA64D4"/>
    <w:rsid w:val="49F6167F"/>
    <w:rsid w:val="4A064FA0"/>
    <w:rsid w:val="4A113A61"/>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4D50EA"/>
    <w:rsid w:val="4D905305"/>
    <w:rsid w:val="4D964A72"/>
    <w:rsid w:val="4D9C1254"/>
    <w:rsid w:val="4D9E5B15"/>
    <w:rsid w:val="4E493976"/>
    <w:rsid w:val="4E5403C0"/>
    <w:rsid w:val="4E593C28"/>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3FD7CD5"/>
    <w:rsid w:val="54013861"/>
    <w:rsid w:val="543665A5"/>
    <w:rsid w:val="54487265"/>
    <w:rsid w:val="544D6070"/>
    <w:rsid w:val="54605E1E"/>
    <w:rsid w:val="549C661D"/>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3626C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4D1716"/>
    <w:rsid w:val="607330CE"/>
    <w:rsid w:val="60825176"/>
    <w:rsid w:val="609F2AC4"/>
    <w:rsid w:val="60FA2EE8"/>
    <w:rsid w:val="61054A27"/>
    <w:rsid w:val="610A52BC"/>
    <w:rsid w:val="610D059B"/>
    <w:rsid w:val="611D2366"/>
    <w:rsid w:val="61421856"/>
    <w:rsid w:val="615227C4"/>
    <w:rsid w:val="61654E3F"/>
    <w:rsid w:val="6182292A"/>
    <w:rsid w:val="619F7F92"/>
    <w:rsid w:val="61F94C26"/>
    <w:rsid w:val="61FD7922"/>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5756D"/>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41E8D"/>
    <w:rsid w:val="725923E4"/>
    <w:rsid w:val="72864BF7"/>
    <w:rsid w:val="729023FC"/>
    <w:rsid w:val="73B2339D"/>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340EA3"/>
    <w:rsid w:val="765D347C"/>
    <w:rsid w:val="76826699"/>
    <w:rsid w:val="76C87133"/>
    <w:rsid w:val="76CD08D5"/>
    <w:rsid w:val="76DB4B92"/>
    <w:rsid w:val="77052AA4"/>
    <w:rsid w:val="77136511"/>
    <w:rsid w:val="77340A39"/>
    <w:rsid w:val="77351FD0"/>
    <w:rsid w:val="77472422"/>
    <w:rsid w:val="777F31F2"/>
    <w:rsid w:val="77D1700D"/>
    <w:rsid w:val="77EC04CC"/>
    <w:rsid w:val="78335F25"/>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C1788"/>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C43E74"/>
    <w:rsid w:val="7BEE0103"/>
    <w:rsid w:val="7C0A0FE4"/>
    <w:rsid w:val="7C254906"/>
    <w:rsid w:val="7C590818"/>
    <w:rsid w:val="7C7C10F6"/>
    <w:rsid w:val="7C853BEA"/>
    <w:rsid w:val="7C881368"/>
    <w:rsid w:val="7CD564F7"/>
    <w:rsid w:val="7CE27788"/>
    <w:rsid w:val="7D0C32F1"/>
    <w:rsid w:val="7D0F408D"/>
    <w:rsid w:val="7D491C6C"/>
    <w:rsid w:val="7D5429C0"/>
    <w:rsid w:val="7D6E6D43"/>
    <w:rsid w:val="7D93007E"/>
    <w:rsid w:val="7DB57A34"/>
    <w:rsid w:val="7DE60973"/>
    <w:rsid w:val="7DEF0916"/>
    <w:rsid w:val="7DF53035"/>
    <w:rsid w:val="7E1E5218"/>
    <w:rsid w:val="7E261803"/>
    <w:rsid w:val="7E6C679B"/>
    <w:rsid w:val="7E6D133C"/>
    <w:rsid w:val="7E9A4E1F"/>
    <w:rsid w:val="7EA7723A"/>
    <w:rsid w:val="7EF56FBB"/>
    <w:rsid w:val="7F0768EB"/>
    <w:rsid w:val="7F143BEC"/>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25"/>
    <w:qFormat/>
    <w:uiPriority w:val="0"/>
    <w:rPr>
      <w:rFonts w:ascii="宋体" w:hAnsi="Courier New" w:cs="Arial"/>
      <w:snapToGrid w:val="0"/>
      <w:szCs w:val="21"/>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1"/>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65"/>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2"/>
    <w:basedOn w:val="27"/>
    <w:next w:val="30"/>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7"/>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118</Pages>
  <Words>3562</Words>
  <Characters>4138</Characters>
  <Lines>668</Lines>
  <Paragraphs>188</Paragraphs>
  <TotalTime>51</TotalTime>
  <ScaleCrop>false</ScaleCrop>
  <LinksUpToDate>false</LinksUpToDate>
  <CharactersWithSpaces>4329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2025-04-14T03:50:00Z</dcterms:created>
  <dc:creator>玥</dc:creator>
  <cp:lastModifiedBy>froth</cp:lastModifiedBy>
  <cp:lastPrinted>2021-12-28T03:06:00Z</cp:lastPrinted>
  <dcterms:modified xsi:type="dcterms:W3CDTF">2025-06-16T03:10:44Z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4A46E0FCE2EA011A02E7BA67BE254928_43</vt:lpwstr>
  </property>
  <property fmtid="{D5CDD505-2E9C-101B-9397-08002B2CF9AE}" pid="5" name="commondata">
    <vt:lpwstr>eyJoZGlkIjoiNGNlMmFkMDQ1NDY0ZmRiM2Q0NjY4NTFjN2IwMTllYjMifQ==</vt:lpwstr>
  </property>
  <property fmtid="{D5CDD505-2E9C-101B-9397-08002B2CF9AE}" pid="6" name="KSOTemplateDocerSaveRecord">
    <vt:lpwstr>eyJoZGlkIjoiMzEwNTM5NzYwMDRjMzkwZTVkZjY2ODkwMGIxNGU0OTUiLCJ1c2VySWQiOiIzMzkwMTAxNzUifQ==</vt:lpwstr>
  </property>
</Properties>
</file>