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9BD709">
      <w:pPr>
        <w:spacing w:line="360" w:lineRule="auto"/>
        <w:jc w:val="center"/>
        <w:rPr>
          <w:rFonts w:asciiTheme="minorEastAsia" w:hAnsiTheme="minorEastAsia" w:eastAsiaTheme="minorEastAsia" w:cstheme="minorEastAsia"/>
          <w:color w:val="auto"/>
          <w:sz w:val="48"/>
          <w:szCs w:val="48"/>
          <w:highlight w:val="none"/>
        </w:rPr>
      </w:pPr>
    </w:p>
    <w:p w14:paraId="741F1481">
      <w:pPr>
        <w:spacing w:line="360" w:lineRule="auto"/>
        <w:jc w:val="center"/>
        <w:rPr>
          <w:rFonts w:hint="eastAsia" w:asciiTheme="minorEastAsia" w:hAnsiTheme="minorEastAsia" w:eastAsiaTheme="minorEastAsia" w:cstheme="minorEastAsia"/>
          <w:color w:val="auto"/>
          <w:sz w:val="44"/>
          <w:szCs w:val="44"/>
          <w:highlight w:val="none"/>
          <w:lang w:val="en-US" w:eastAsia="zh-CN"/>
        </w:rPr>
      </w:pPr>
      <w:r>
        <w:rPr>
          <w:rFonts w:hint="eastAsia" w:asciiTheme="minorEastAsia" w:hAnsiTheme="minorEastAsia" w:eastAsiaTheme="minorEastAsia" w:cstheme="minorEastAsia"/>
          <w:color w:val="auto"/>
          <w:sz w:val="44"/>
          <w:szCs w:val="44"/>
          <w:highlight w:val="none"/>
          <w:lang w:eastAsia="zh-CN"/>
        </w:rPr>
        <w:t>奉化区溪口三隐潭沿线电缆改造工程</w:t>
      </w:r>
      <w:r>
        <w:rPr>
          <w:rFonts w:hint="eastAsia" w:asciiTheme="minorEastAsia" w:hAnsiTheme="minorEastAsia" w:eastAsiaTheme="minorEastAsia" w:cstheme="minorEastAsia"/>
          <w:color w:val="auto"/>
          <w:sz w:val="44"/>
          <w:szCs w:val="44"/>
          <w:highlight w:val="none"/>
        </w:rPr>
        <w:t>竞争性</w:t>
      </w:r>
      <w:r>
        <w:rPr>
          <w:rFonts w:hint="eastAsia" w:asciiTheme="minorEastAsia" w:hAnsiTheme="minorEastAsia" w:eastAsiaTheme="minorEastAsia" w:cstheme="minorEastAsia"/>
          <w:color w:val="auto"/>
          <w:sz w:val="44"/>
          <w:szCs w:val="44"/>
          <w:highlight w:val="none"/>
          <w:lang w:val="en-US" w:eastAsia="zh-CN"/>
        </w:rPr>
        <w:t>磋商</w:t>
      </w:r>
    </w:p>
    <w:p w14:paraId="71545505">
      <w:pPr>
        <w:spacing w:line="360" w:lineRule="auto"/>
        <w:jc w:val="center"/>
        <w:rPr>
          <w:rFonts w:hint="eastAsia" w:asciiTheme="minorEastAsia" w:hAnsiTheme="minorEastAsia" w:eastAsiaTheme="minorEastAsia" w:cstheme="minorEastAsia"/>
          <w:color w:val="auto"/>
          <w:sz w:val="44"/>
          <w:szCs w:val="44"/>
          <w:highlight w:val="none"/>
          <w:lang w:eastAsia="zh-CN"/>
        </w:rPr>
      </w:pPr>
      <w:r>
        <w:rPr>
          <w:rFonts w:hint="eastAsia" w:asciiTheme="minorEastAsia" w:hAnsiTheme="minorEastAsia" w:eastAsiaTheme="minorEastAsia" w:cstheme="minorEastAsia"/>
          <w:color w:val="auto"/>
          <w:sz w:val="44"/>
          <w:szCs w:val="44"/>
          <w:highlight w:val="none"/>
          <w:lang w:eastAsia="zh-CN"/>
        </w:rPr>
        <w:t>采购文件</w:t>
      </w:r>
    </w:p>
    <w:p w14:paraId="140908BC">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（电子交易项目）</w:t>
      </w:r>
    </w:p>
    <w:p w14:paraId="115008DB">
      <w:pPr>
        <w:tabs>
          <w:tab w:val="left" w:pos="610"/>
          <w:tab w:val="center" w:pos="4595"/>
        </w:tabs>
        <w:snapToGrid w:val="0"/>
        <w:spacing w:line="360" w:lineRule="auto"/>
        <w:jc w:val="left"/>
        <w:rPr>
          <w:rFonts w:hint="default" w:asciiTheme="minorEastAsia" w:hAnsiTheme="minorEastAsia" w:eastAsiaTheme="minorEastAsia" w:cstheme="minorEastAsia"/>
          <w:color w:val="auto"/>
          <w:sz w:val="30"/>
          <w:szCs w:val="30"/>
          <w:highlight w:val="none"/>
          <w:lang w:val="en-US" w:eastAsia="zh-CN"/>
        </w:rPr>
      </w:pP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lang w:eastAsia="zh-CN"/>
        </w:rPr>
        <w:tab/>
      </w:r>
      <w:r>
        <w:rPr>
          <w:rFonts w:hint="eastAsia" w:asciiTheme="minorEastAsia" w:hAnsiTheme="minorEastAsia" w:eastAsiaTheme="minorEastAsia" w:cstheme="minorEastAsia"/>
          <w:color w:val="auto"/>
          <w:sz w:val="30"/>
          <w:szCs w:val="30"/>
          <w:highlight w:val="none"/>
        </w:rPr>
        <w:t>编号</w:t>
      </w:r>
      <w:r>
        <w:rPr>
          <w:rFonts w:hint="eastAsia" w:asciiTheme="minorEastAsia" w:hAnsiTheme="minorEastAsia" w:eastAsiaTheme="minorEastAsia" w:cstheme="minorEastAsia"/>
          <w:color w:val="auto"/>
          <w:sz w:val="30"/>
          <w:szCs w:val="30"/>
          <w:highlight w:val="none"/>
          <w:lang w:eastAsia="zh-CN"/>
        </w:rPr>
        <w:t>：</w:t>
      </w:r>
      <w:r>
        <w:rPr>
          <w:rFonts w:hint="eastAsia" w:asciiTheme="minorEastAsia" w:hAnsiTheme="minorEastAsia" w:eastAsiaTheme="minorEastAsia" w:cstheme="minorEastAsia"/>
          <w:color w:val="auto"/>
          <w:sz w:val="30"/>
          <w:szCs w:val="30"/>
          <w:highlight w:val="none"/>
        </w:rPr>
        <w:t xml:space="preserve"> </w:t>
      </w:r>
      <w:r>
        <w:rPr>
          <w:rFonts w:hint="eastAsia" w:asciiTheme="minorEastAsia" w:hAnsiTheme="minorEastAsia" w:eastAsiaTheme="minorEastAsia" w:cstheme="minorEastAsia"/>
          <w:color w:val="auto"/>
          <w:sz w:val="30"/>
          <w:szCs w:val="30"/>
          <w:highlight w:val="none"/>
          <w:lang w:val="en-US" w:eastAsia="zh-CN"/>
        </w:rPr>
        <w:t>FHGQZB(2025)228D</w:t>
      </w:r>
    </w:p>
    <w:p w14:paraId="702F60CB">
      <w:pPr>
        <w:spacing w:line="360" w:lineRule="auto"/>
        <w:rPr>
          <w:rFonts w:asciiTheme="minorEastAsia" w:hAnsiTheme="minorEastAsia" w:eastAsiaTheme="minorEastAsia" w:cstheme="minorEastAsia"/>
          <w:color w:val="auto"/>
          <w:sz w:val="28"/>
          <w:szCs w:val="20"/>
          <w:highlight w:val="none"/>
        </w:rPr>
      </w:pPr>
    </w:p>
    <w:p w14:paraId="0F99E098">
      <w:pPr>
        <w:spacing w:line="360" w:lineRule="auto"/>
        <w:jc w:val="center"/>
        <w:rPr>
          <w:rFonts w:asciiTheme="minorEastAsia" w:hAnsiTheme="minorEastAsia" w:eastAsiaTheme="minorEastAsia" w:cstheme="minorEastAsia"/>
          <w:b/>
          <w:color w:val="auto"/>
          <w:sz w:val="44"/>
          <w:szCs w:val="44"/>
          <w:highlight w:val="none"/>
        </w:rPr>
      </w:pPr>
      <w:r>
        <w:rPr>
          <w:rFonts w:hint="eastAsia" w:asciiTheme="minorEastAsia" w:hAnsiTheme="minorEastAsia" w:eastAsiaTheme="minorEastAsia" w:cstheme="minorEastAsia"/>
          <w:b/>
          <w:color w:val="auto"/>
          <w:sz w:val="44"/>
          <w:szCs w:val="44"/>
          <w:highlight w:val="none"/>
        </w:rPr>
        <w:t xml:space="preserve"> </w:t>
      </w:r>
    </w:p>
    <w:p w14:paraId="7179E5C9">
      <w:pPr>
        <w:spacing w:line="360" w:lineRule="auto"/>
        <w:jc w:val="center"/>
        <w:rPr>
          <w:rFonts w:asciiTheme="minorEastAsia" w:hAnsiTheme="minorEastAsia" w:eastAsiaTheme="minorEastAsia" w:cstheme="minorEastAsia"/>
          <w:b/>
          <w:color w:val="auto"/>
          <w:sz w:val="44"/>
          <w:szCs w:val="44"/>
          <w:highlight w:val="none"/>
        </w:rPr>
      </w:pPr>
    </w:p>
    <w:p w14:paraId="22B7750D">
      <w:pPr>
        <w:pStyle w:val="35"/>
        <w:ind w:firstLine="560"/>
        <w:rPr>
          <w:rFonts w:asciiTheme="minorEastAsia" w:hAnsiTheme="minorEastAsia" w:eastAsiaTheme="minorEastAsia" w:cstheme="minorEastAsia"/>
          <w:color w:val="auto"/>
          <w:highlight w:val="none"/>
        </w:rPr>
      </w:pPr>
    </w:p>
    <w:p w14:paraId="789450AB">
      <w:pPr>
        <w:pStyle w:val="35"/>
        <w:ind w:firstLine="560"/>
        <w:rPr>
          <w:rFonts w:asciiTheme="minorEastAsia" w:hAnsiTheme="minorEastAsia" w:eastAsiaTheme="minorEastAsia" w:cstheme="minorEastAsia"/>
          <w:color w:val="auto"/>
          <w:highlight w:val="none"/>
        </w:rPr>
      </w:pPr>
    </w:p>
    <w:p w14:paraId="2C101C40">
      <w:pPr>
        <w:spacing w:line="360" w:lineRule="auto"/>
        <w:rPr>
          <w:rFonts w:asciiTheme="minorEastAsia" w:hAnsiTheme="minorEastAsia" w:eastAsiaTheme="minorEastAsia" w:cstheme="minorEastAsia"/>
          <w:color w:val="auto"/>
          <w:sz w:val="24"/>
          <w:highlight w:val="none"/>
        </w:rPr>
      </w:pPr>
    </w:p>
    <w:p w14:paraId="5583FB92">
      <w:pPr>
        <w:pStyle w:val="9"/>
        <w:rPr>
          <w:color w:val="auto"/>
          <w:highlight w:val="none"/>
        </w:rPr>
      </w:pPr>
    </w:p>
    <w:p w14:paraId="07E7112B">
      <w:pPr>
        <w:spacing w:line="360" w:lineRule="auto"/>
        <w:jc w:val="center"/>
        <w:rPr>
          <w:rFonts w:asciiTheme="minorEastAsia" w:hAnsiTheme="minorEastAsia" w:eastAsiaTheme="minorEastAsia" w:cstheme="minorEastAsia"/>
          <w:color w:val="auto"/>
          <w:sz w:val="24"/>
          <w:highlight w:val="none"/>
        </w:rPr>
      </w:pPr>
    </w:p>
    <w:p w14:paraId="02F5813F">
      <w:pPr>
        <w:spacing w:line="360" w:lineRule="auto"/>
        <w:rPr>
          <w:rFonts w:asciiTheme="minorEastAsia" w:hAnsiTheme="minorEastAsia" w:eastAsiaTheme="minorEastAsia" w:cstheme="minorEastAsia"/>
          <w:color w:val="auto"/>
          <w:sz w:val="32"/>
          <w:szCs w:val="32"/>
          <w:highlight w:val="none"/>
        </w:rPr>
      </w:pPr>
    </w:p>
    <w:p w14:paraId="2C017D2F">
      <w:pPr>
        <w:spacing w:line="360" w:lineRule="auto"/>
        <w:ind w:firstLine="960" w:firstLineChars="300"/>
        <w:rPr>
          <w:rFonts w:hint="eastAsia" w:asciiTheme="minorEastAsia" w:hAnsiTheme="minorEastAsia" w:eastAsiaTheme="minorEastAsia" w:cstheme="minorEastAsia"/>
          <w:color w:val="auto"/>
          <w:sz w:val="32"/>
          <w:szCs w:val="32"/>
          <w:highlight w:val="none"/>
          <w:lang w:eastAsia="zh-CN"/>
        </w:rPr>
      </w:pPr>
      <w:r>
        <w:rPr>
          <w:rFonts w:hint="eastAsia" w:asciiTheme="minorEastAsia" w:hAnsiTheme="minorEastAsia" w:eastAsiaTheme="minorEastAsia" w:cstheme="minorEastAsia"/>
          <w:color w:val="auto"/>
          <w:sz w:val="32"/>
          <w:szCs w:val="32"/>
          <w:highlight w:val="none"/>
        </w:rPr>
        <w:t>采购人：</w:t>
      </w:r>
      <w:r>
        <w:rPr>
          <w:rFonts w:hint="eastAsia" w:asciiTheme="minorEastAsia" w:hAnsiTheme="minorEastAsia" w:eastAsiaTheme="minorEastAsia" w:cstheme="minorEastAsia"/>
          <w:color w:val="auto"/>
          <w:sz w:val="32"/>
          <w:szCs w:val="32"/>
          <w:highlight w:val="none"/>
          <w:lang w:eastAsia="zh-CN"/>
        </w:rPr>
        <w:t>宁波市奉化区惠海地下管线投资有限公司</w:t>
      </w:r>
    </w:p>
    <w:p w14:paraId="70726ED5">
      <w:pPr>
        <w:snapToGrid w:val="0"/>
        <w:spacing w:line="360" w:lineRule="auto"/>
        <w:ind w:firstLine="960" w:firstLineChars="300"/>
        <w:jc w:val="both"/>
        <w:rPr>
          <w:rFonts w:hint="eastAsia" w:asciiTheme="minorEastAsia" w:hAnsiTheme="minorEastAsia" w:eastAsiaTheme="minorEastAsia" w:cstheme="minorEastAsia"/>
          <w:color w:val="auto"/>
          <w:sz w:val="32"/>
          <w:szCs w:val="32"/>
          <w:highlight w:val="none"/>
          <w:lang w:val="en-US" w:eastAsia="zh-CN"/>
        </w:rPr>
      </w:pPr>
      <w:r>
        <w:rPr>
          <w:rFonts w:hint="eastAsia" w:asciiTheme="minorEastAsia" w:hAnsiTheme="minorEastAsia" w:eastAsiaTheme="minorEastAsia" w:cstheme="minorEastAsia"/>
          <w:bCs/>
          <w:color w:val="auto"/>
          <w:sz w:val="32"/>
          <w:szCs w:val="32"/>
          <w:highlight w:val="none"/>
        </w:rPr>
        <w:t>采购代理机构：</w:t>
      </w:r>
      <w:r>
        <w:rPr>
          <w:rFonts w:hint="eastAsia" w:asciiTheme="minorEastAsia" w:hAnsiTheme="minorEastAsia" w:eastAsiaTheme="minorEastAsia" w:cstheme="minorEastAsia"/>
          <w:color w:val="auto"/>
          <w:sz w:val="32"/>
          <w:szCs w:val="32"/>
          <w:highlight w:val="none"/>
          <w:lang w:val="en-US" w:eastAsia="zh-CN"/>
        </w:rPr>
        <w:t xml:space="preserve"> 宁波锦业工程咨询管理有限公司</w:t>
      </w:r>
    </w:p>
    <w:p w14:paraId="33760D14">
      <w:pPr>
        <w:snapToGrid w:val="0"/>
        <w:spacing w:line="360" w:lineRule="auto"/>
        <w:jc w:val="center"/>
        <w:rPr>
          <w:rFonts w:asciiTheme="minorEastAsia" w:hAnsiTheme="minorEastAsia" w:eastAsiaTheme="minorEastAsia" w:cstheme="minorEastAsia"/>
          <w:bCs/>
          <w:color w:val="auto"/>
          <w:sz w:val="32"/>
          <w:szCs w:val="32"/>
          <w:highlight w:val="none"/>
        </w:rPr>
      </w:pPr>
      <w:r>
        <w:rPr>
          <w:rFonts w:hint="eastAsia" w:asciiTheme="minorEastAsia" w:hAnsiTheme="minorEastAsia" w:eastAsiaTheme="minorEastAsia" w:cstheme="minorEastAsia"/>
          <w:bCs/>
          <w:color w:val="auto"/>
          <w:sz w:val="32"/>
          <w:szCs w:val="32"/>
          <w:highlight w:val="none"/>
        </w:rPr>
        <w:t>二零二</w:t>
      </w:r>
      <w:r>
        <w:rPr>
          <w:rFonts w:hint="eastAsia" w:asciiTheme="minorEastAsia" w:hAnsiTheme="minorEastAsia" w:eastAsiaTheme="minorEastAsia" w:cstheme="minorEastAsia"/>
          <w:bCs/>
          <w:color w:val="auto"/>
          <w:sz w:val="32"/>
          <w:szCs w:val="32"/>
          <w:highlight w:val="none"/>
          <w:lang w:val="en-US" w:eastAsia="zh-CN"/>
        </w:rPr>
        <w:t>五</w:t>
      </w:r>
      <w:r>
        <w:rPr>
          <w:rFonts w:hint="eastAsia" w:asciiTheme="minorEastAsia" w:hAnsiTheme="minorEastAsia" w:eastAsiaTheme="minorEastAsia" w:cstheme="minorEastAsia"/>
          <w:bCs/>
          <w:color w:val="auto"/>
          <w:sz w:val="32"/>
          <w:szCs w:val="32"/>
          <w:highlight w:val="none"/>
        </w:rPr>
        <w:t>年</w:t>
      </w:r>
    </w:p>
    <w:p w14:paraId="2975E775">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bookmarkStart w:id="0" w:name="_Hlt67893495"/>
      <w:bookmarkEnd w:id="0"/>
    </w:p>
    <w:p w14:paraId="3A658324">
      <w:pPr>
        <w:spacing w:line="360" w:lineRule="auto"/>
        <w:jc w:val="center"/>
        <w:rPr>
          <w:rFonts w:asciiTheme="minorEastAsia" w:hAnsiTheme="minorEastAsia" w:eastAsiaTheme="minorEastAsia" w:cstheme="minorEastAsia"/>
          <w:color w:val="auto"/>
          <w:sz w:val="24"/>
          <w:highlight w:val="none"/>
        </w:rPr>
      </w:pPr>
    </w:p>
    <w:p w14:paraId="2455CC19">
      <w:pPr>
        <w:spacing w:line="360" w:lineRule="auto"/>
        <w:jc w:val="center"/>
        <w:rPr>
          <w:rFonts w:asciiTheme="minorEastAsia" w:hAnsiTheme="minorEastAsia" w:eastAsiaTheme="minorEastAsia" w:cstheme="minorEastAsia"/>
          <w:b/>
          <w:color w:val="auto"/>
          <w:sz w:val="48"/>
          <w:szCs w:val="48"/>
          <w:highlight w:val="none"/>
        </w:rPr>
      </w:pPr>
      <w:r>
        <w:rPr>
          <w:rFonts w:hint="eastAsia" w:asciiTheme="minorEastAsia" w:hAnsiTheme="minorEastAsia" w:eastAsiaTheme="minorEastAsia" w:cstheme="minorEastAsia"/>
          <w:b/>
          <w:color w:val="auto"/>
          <w:sz w:val="48"/>
          <w:szCs w:val="48"/>
          <w:highlight w:val="none"/>
        </w:rPr>
        <w:t>目  录</w:t>
      </w:r>
    </w:p>
    <w:p w14:paraId="082573F7">
      <w:pPr>
        <w:spacing w:line="360" w:lineRule="auto"/>
        <w:rPr>
          <w:rFonts w:asciiTheme="minorEastAsia" w:hAnsiTheme="minorEastAsia" w:eastAsiaTheme="minorEastAsia" w:cstheme="minorEastAsia"/>
          <w:color w:val="auto"/>
          <w:sz w:val="32"/>
          <w:szCs w:val="32"/>
          <w:highlight w:val="none"/>
        </w:rPr>
      </w:pPr>
    </w:p>
    <w:p w14:paraId="70ED746D">
      <w:pPr>
        <w:spacing w:line="360" w:lineRule="auto"/>
        <w:rPr>
          <w:rFonts w:asciiTheme="minorEastAsia" w:hAnsiTheme="minorEastAsia" w:eastAsiaTheme="minorEastAsia" w:cstheme="minorEastAsia"/>
          <w:color w:val="auto"/>
          <w:sz w:val="32"/>
          <w:szCs w:val="32"/>
          <w:highlight w:val="none"/>
        </w:rPr>
      </w:pPr>
    </w:p>
    <w:p w14:paraId="4EED7BF8">
      <w:pPr>
        <w:spacing w:line="360" w:lineRule="auto"/>
        <w:ind w:firstLine="732" w:firstLineChars="229"/>
        <w:rPr>
          <w:rFonts w:asciiTheme="minorEastAsia" w:hAnsiTheme="minorEastAsia" w:eastAsiaTheme="minorEastAsia" w:cstheme="minorEastAsia"/>
          <w:color w:val="auto"/>
          <w:sz w:val="32"/>
          <w:szCs w:val="32"/>
          <w:highlight w:val="none"/>
        </w:rPr>
      </w:pPr>
      <w:bookmarkStart w:id="1" w:name="_Hlt91233176"/>
      <w:bookmarkEnd w:id="1"/>
      <w:bookmarkStart w:id="2" w:name="_Toc91899869"/>
      <w:r>
        <w:rPr>
          <w:rFonts w:hint="eastAsia" w:asciiTheme="minorEastAsia" w:hAnsiTheme="minorEastAsia" w:eastAsiaTheme="minorEastAsia" w:cstheme="minorEastAsia"/>
          <w:color w:val="auto"/>
          <w:sz w:val="32"/>
          <w:szCs w:val="32"/>
          <w:highlight w:val="none"/>
        </w:rPr>
        <w:t>第一部分  竞争性磋商公告</w:t>
      </w:r>
    </w:p>
    <w:p w14:paraId="7AF1725A">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第二部分  响应须知</w:t>
      </w:r>
    </w:p>
    <w:p w14:paraId="69BDC844">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第三部分  采购需求</w:t>
      </w:r>
    </w:p>
    <w:p w14:paraId="0034B0EB">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第四部分  评审办法</w:t>
      </w:r>
    </w:p>
    <w:p w14:paraId="44C85AA0">
      <w:pPr>
        <w:spacing w:line="360" w:lineRule="auto"/>
        <w:ind w:firstLine="732" w:firstLineChars="229"/>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第五部分  合同文本</w:t>
      </w:r>
    </w:p>
    <w:p w14:paraId="522E1D6D">
      <w:pPr>
        <w:spacing w:line="360" w:lineRule="auto"/>
        <w:ind w:firstLine="732" w:firstLineChars="229"/>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32"/>
          <w:szCs w:val="32"/>
          <w:highlight w:val="none"/>
        </w:rPr>
        <w:t>第六部分  应提交的有关格式范例</w:t>
      </w:r>
    </w:p>
    <w:p w14:paraId="1C0C88E2">
      <w:pPr>
        <w:spacing w:line="360" w:lineRule="auto"/>
        <w:ind w:firstLine="549" w:firstLineChars="229"/>
        <w:rPr>
          <w:rFonts w:asciiTheme="minorEastAsia" w:hAnsiTheme="minorEastAsia" w:eastAsiaTheme="minorEastAsia" w:cstheme="minorEastAsia"/>
          <w:color w:val="auto"/>
          <w:sz w:val="24"/>
          <w:highlight w:val="none"/>
        </w:rPr>
      </w:pPr>
    </w:p>
    <w:p w14:paraId="33D24454">
      <w:pPr>
        <w:spacing w:line="360" w:lineRule="auto"/>
        <w:ind w:firstLine="480" w:firstLineChars="229"/>
        <w:rPr>
          <w:rFonts w:asciiTheme="minorEastAsia" w:hAnsiTheme="minorEastAsia" w:eastAsiaTheme="minorEastAsia" w:cstheme="minorEastAsia"/>
          <w:color w:val="auto"/>
          <w:sz w:val="24"/>
          <w:highlight w:val="none"/>
        </w:rPr>
      </w:pPr>
      <w:r>
        <w:rPr>
          <w:rFonts w:hint="eastAsia" w:ascii="宋体" w:hAnsi="宋体" w:cs="宋体"/>
          <w:bCs/>
          <w:snapToGrid w:val="0"/>
          <w:color w:val="auto"/>
          <w:kern w:val="2"/>
          <w:sz w:val="21"/>
          <w:szCs w:val="21"/>
          <w:highlight w:val="none"/>
          <w:u w:val="none"/>
          <w:lang w:val="en-US" w:eastAsia="zh-CN" w:bidi="ar-SA"/>
        </w:rPr>
        <w:t xml:space="preserve"> </w:t>
      </w:r>
    </w:p>
    <w:p w14:paraId="3312E5A4">
      <w:pPr>
        <w:spacing w:line="360" w:lineRule="auto"/>
        <w:rPr>
          <w:rFonts w:asciiTheme="minorEastAsia" w:hAnsiTheme="minorEastAsia" w:eastAsiaTheme="minorEastAsia" w:cstheme="minorEastAsia"/>
          <w:color w:val="auto"/>
          <w:sz w:val="24"/>
          <w:highlight w:val="none"/>
        </w:rPr>
      </w:pPr>
    </w:p>
    <w:p w14:paraId="11A190DB">
      <w:pPr>
        <w:spacing w:line="360" w:lineRule="auto"/>
        <w:ind w:firstLine="549" w:firstLineChars="229"/>
        <w:rPr>
          <w:rFonts w:asciiTheme="minorEastAsia" w:hAnsiTheme="minorEastAsia" w:eastAsiaTheme="minorEastAsia" w:cstheme="minorEastAsia"/>
          <w:color w:val="auto"/>
          <w:sz w:val="24"/>
          <w:highlight w:val="none"/>
        </w:rPr>
      </w:pPr>
    </w:p>
    <w:p w14:paraId="5A3DA7DF">
      <w:pPr>
        <w:spacing w:line="360" w:lineRule="auto"/>
        <w:ind w:firstLine="549" w:firstLineChars="229"/>
        <w:rPr>
          <w:rFonts w:asciiTheme="minorEastAsia" w:hAnsiTheme="minorEastAsia" w:eastAsiaTheme="minorEastAsia" w:cstheme="minorEastAsia"/>
          <w:color w:val="auto"/>
          <w:sz w:val="24"/>
          <w:highlight w:val="none"/>
        </w:rPr>
      </w:pPr>
    </w:p>
    <w:p w14:paraId="4DD057C3">
      <w:pPr>
        <w:spacing w:line="360" w:lineRule="auto"/>
        <w:ind w:firstLine="549" w:firstLineChars="229"/>
        <w:rPr>
          <w:rFonts w:asciiTheme="minorEastAsia" w:hAnsiTheme="minorEastAsia" w:eastAsiaTheme="minorEastAsia" w:cstheme="minorEastAsia"/>
          <w:color w:val="auto"/>
          <w:sz w:val="24"/>
          <w:highlight w:val="none"/>
        </w:rPr>
      </w:pPr>
    </w:p>
    <w:p w14:paraId="5A0F9392">
      <w:pPr>
        <w:spacing w:line="360" w:lineRule="auto"/>
        <w:ind w:firstLine="549" w:firstLineChars="229"/>
        <w:rPr>
          <w:rFonts w:asciiTheme="minorEastAsia" w:hAnsiTheme="minorEastAsia" w:eastAsiaTheme="minorEastAsia" w:cstheme="minorEastAsia"/>
          <w:color w:val="auto"/>
          <w:sz w:val="24"/>
          <w:highlight w:val="none"/>
        </w:rPr>
      </w:pPr>
    </w:p>
    <w:p w14:paraId="01AF3693">
      <w:pPr>
        <w:spacing w:line="360" w:lineRule="auto"/>
        <w:ind w:firstLine="549" w:firstLineChars="229"/>
        <w:rPr>
          <w:rFonts w:asciiTheme="minorEastAsia" w:hAnsiTheme="minorEastAsia" w:eastAsiaTheme="minorEastAsia" w:cstheme="minorEastAsia"/>
          <w:color w:val="auto"/>
          <w:sz w:val="24"/>
          <w:highlight w:val="none"/>
        </w:rPr>
      </w:pPr>
    </w:p>
    <w:p w14:paraId="65E853ED">
      <w:pPr>
        <w:spacing w:line="360" w:lineRule="auto"/>
        <w:ind w:firstLine="549" w:firstLineChars="229"/>
        <w:rPr>
          <w:rFonts w:asciiTheme="minorEastAsia" w:hAnsiTheme="minorEastAsia" w:eastAsiaTheme="minorEastAsia" w:cstheme="minorEastAsia"/>
          <w:color w:val="auto"/>
          <w:sz w:val="24"/>
          <w:highlight w:val="none"/>
        </w:rPr>
      </w:pPr>
    </w:p>
    <w:p w14:paraId="24B4D470">
      <w:pPr>
        <w:spacing w:line="360" w:lineRule="auto"/>
        <w:ind w:firstLine="549" w:firstLineChars="229"/>
        <w:rPr>
          <w:rFonts w:asciiTheme="minorEastAsia" w:hAnsiTheme="minorEastAsia" w:eastAsiaTheme="minorEastAsia" w:cstheme="minorEastAsia"/>
          <w:color w:val="auto"/>
          <w:sz w:val="24"/>
          <w:highlight w:val="none"/>
        </w:rPr>
      </w:pPr>
    </w:p>
    <w:p w14:paraId="3612DF51">
      <w:pPr>
        <w:spacing w:line="360" w:lineRule="auto"/>
        <w:ind w:firstLine="549" w:firstLineChars="229"/>
        <w:rPr>
          <w:rFonts w:asciiTheme="minorEastAsia" w:hAnsiTheme="minorEastAsia" w:eastAsiaTheme="minorEastAsia" w:cstheme="minorEastAsia"/>
          <w:color w:val="auto"/>
          <w:sz w:val="24"/>
          <w:highlight w:val="none"/>
        </w:rPr>
      </w:pPr>
    </w:p>
    <w:p w14:paraId="570103D6">
      <w:pPr>
        <w:spacing w:line="360" w:lineRule="auto"/>
        <w:rPr>
          <w:rFonts w:asciiTheme="minorEastAsia" w:hAnsiTheme="minorEastAsia" w:eastAsiaTheme="minorEastAsia" w:cstheme="minorEastAsia"/>
          <w:color w:val="auto"/>
          <w:sz w:val="24"/>
          <w:highlight w:val="none"/>
        </w:rPr>
      </w:pPr>
    </w:p>
    <w:p w14:paraId="15F8A6FF">
      <w:pPr>
        <w:spacing w:line="360" w:lineRule="auto"/>
        <w:jc w:val="center"/>
        <w:outlineLvl w:val="0"/>
        <w:rPr>
          <w:rFonts w:asciiTheme="minorEastAsia" w:hAnsiTheme="minorEastAsia" w:eastAsiaTheme="minorEastAsia" w:cstheme="minorEastAsia"/>
          <w:b/>
          <w:color w:val="auto"/>
          <w:sz w:val="24"/>
          <w:highlight w:val="none"/>
        </w:rPr>
      </w:pPr>
      <w:bookmarkStart w:id="3" w:name="第一部分"/>
      <w:r>
        <w:rPr>
          <w:rFonts w:hint="eastAsia" w:asciiTheme="minorEastAsia" w:hAnsiTheme="minorEastAsia" w:eastAsiaTheme="minorEastAsia" w:cstheme="minorEastAsia"/>
          <w:b/>
          <w:color w:val="auto"/>
          <w:sz w:val="36"/>
          <w:szCs w:val="36"/>
          <w:highlight w:val="none"/>
        </w:rPr>
        <w:br w:type="page"/>
      </w:r>
      <w:bookmarkEnd w:id="2"/>
      <w:bookmarkEnd w:id="3"/>
      <w:bookmarkStart w:id="4" w:name="_Hlt74707423"/>
      <w:bookmarkEnd w:id="4"/>
      <w:bookmarkStart w:id="5" w:name="_Hlt74649545"/>
      <w:bookmarkEnd w:id="5"/>
      <w:bookmarkStart w:id="6" w:name="_Hlt74729822"/>
      <w:bookmarkEnd w:id="6"/>
      <w:bookmarkStart w:id="7" w:name="_Hlt74728647"/>
      <w:bookmarkEnd w:id="7"/>
      <w:bookmarkStart w:id="8" w:name="第二部分"/>
      <w:bookmarkStart w:id="9" w:name="_Toc91899870"/>
      <w:bookmarkStart w:id="10" w:name="_Toc91899871"/>
      <w:r>
        <w:rPr>
          <w:rFonts w:hint="eastAsia" w:asciiTheme="minorEastAsia" w:hAnsiTheme="minorEastAsia" w:eastAsiaTheme="minorEastAsia" w:cstheme="minorEastAsia"/>
          <w:b/>
          <w:color w:val="auto"/>
          <w:sz w:val="36"/>
          <w:szCs w:val="20"/>
          <w:highlight w:val="none"/>
        </w:rPr>
        <w:t>第一部分 竞争性磋商公告</w:t>
      </w:r>
    </w:p>
    <w:p w14:paraId="19DCD6F5">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项目概况</w:t>
      </w:r>
    </w:p>
    <w:p w14:paraId="1087B1C1">
      <w:pPr>
        <w:keepNext w:val="0"/>
        <w:keepLines w:val="0"/>
        <w:pageBreakBefore w:val="0"/>
        <w:pBdr>
          <w:top w:val="single" w:color="auto" w:sz="4" w:space="1"/>
          <w:left w:val="single" w:color="auto" w:sz="4" w:space="4"/>
          <w:bottom w:val="single" w:color="auto" w:sz="4" w:space="1"/>
          <w:right w:val="single" w:color="auto" w:sz="4" w:space="4"/>
        </w:pBdr>
        <w:kinsoku/>
        <w:wordWrap/>
        <w:overflowPunct/>
        <w:topLinePunct w:val="0"/>
        <w:bidi w:val="0"/>
        <w:spacing w:line="440" w:lineRule="exact"/>
        <w:ind w:firstLine="420" w:firstLineChars="200"/>
        <w:textAlignment w:val="auto"/>
        <w:rPr>
          <w:rFonts w:hint="eastAsia" w:ascii="宋体" w:hAnsi="宋体" w:eastAsia="宋体" w:cs="宋体"/>
          <w:color w:val="auto"/>
          <w:sz w:val="21"/>
          <w:szCs w:val="21"/>
          <w:highlight w:val="none"/>
          <w:u w:val="single"/>
        </w:rPr>
      </w:pPr>
      <w:r>
        <w:rPr>
          <w:rFonts w:hint="eastAsia" w:ascii="宋体" w:hAnsi="宋体" w:cs="宋体"/>
          <w:bCs/>
          <w:snapToGrid w:val="0"/>
          <w:color w:val="auto"/>
          <w:kern w:val="2"/>
          <w:sz w:val="21"/>
          <w:szCs w:val="21"/>
          <w:highlight w:val="none"/>
          <w:u w:val="single"/>
          <w:lang w:val="en-US" w:eastAsia="zh-CN" w:bidi="ar-SA"/>
        </w:rPr>
        <w:t xml:space="preserve">奉化区溪口三隐潭沿线电缆改造工程 </w:t>
      </w:r>
      <w:r>
        <w:rPr>
          <w:rFonts w:hint="eastAsia" w:ascii="宋体" w:hAnsi="宋体" w:eastAsia="宋体" w:cs="宋体"/>
          <w:color w:val="auto"/>
          <w:sz w:val="21"/>
          <w:szCs w:val="21"/>
          <w:highlight w:val="none"/>
        </w:rPr>
        <w:t>的潜在供应商应在</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 xml:space="preserve">平台（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"https://www.zcygov.cn/）获取（下载）招标文件，并于2022年00月00日14点30分00秒" </w:instrText>
      </w:r>
      <w:r>
        <w:rPr>
          <w:rFonts w:hint="eastAsia" w:ascii="宋体" w:hAnsi="宋体" w:eastAsia="宋体" w:cs="宋体"/>
          <w:color w:val="auto"/>
          <w:sz w:val="21"/>
          <w:szCs w:val="21"/>
          <w:highlight w:val="none"/>
        </w:rPr>
        <w:fldChar w:fldCharType="separate"/>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）获取（下载）采购文件，并于202</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年</w:t>
      </w:r>
      <w:r>
        <w:rPr>
          <w:rFonts w:hint="eastAsia" w:ascii="宋体" w:hAnsi="宋体" w:cs="宋体"/>
          <w:color w:val="auto"/>
          <w:sz w:val="21"/>
          <w:szCs w:val="21"/>
          <w:highlight w:val="none"/>
          <w:lang w:val="en-US" w:eastAsia="zh-CN"/>
        </w:rPr>
        <w:t>07</w:t>
      </w:r>
      <w:r>
        <w:rPr>
          <w:rFonts w:hint="eastAsia" w:ascii="宋体" w:hAnsi="宋体" w:eastAsia="宋体" w:cs="宋体"/>
          <w:color w:val="auto"/>
          <w:sz w:val="21"/>
          <w:szCs w:val="21"/>
          <w:highlight w:val="none"/>
        </w:rPr>
        <w:t>月</w:t>
      </w:r>
      <w:r>
        <w:rPr>
          <w:rFonts w:hint="eastAsia" w:ascii="宋体" w:hAnsi="宋体" w:cs="宋体"/>
          <w:color w:val="auto"/>
          <w:sz w:val="21"/>
          <w:szCs w:val="21"/>
          <w:highlight w:val="none"/>
          <w:lang w:val="en-US" w:eastAsia="zh-CN"/>
        </w:rPr>
        <w:t>14</w:t>
      </w:r>
      <w:r>
        <w:rPr>
          <w:rFonts w:hint="eastAsia" w:ascii="宋体" w:hAnsi="宋体" w:eastAsia="宋体" w:cs="宋体"/>
          <w:color w:val="auto"/>
          <w:sz w:val="21"/>
          <w:szCs w:val="21"/>
          <w:highlight w:val="none"/>
        </w:rPr>
        <w:t>日</w:t>
      </w:r>
      <w:r>
        <w:rPr>
          <w:rFonts w:hint="eastAsia" w:ascii="宋体" w:hAnsi="宋体" w:cs="宋体"/>
          <w:color w:val="auto"/>
          <w:sz w:val="21"/>
          <w:szCs w:val="21"/>
          <w:highlight w:val="none"/>
          <w:lang w:val="en-US" w:eastAsia="zh-CN"/>
        </w:rPr>
        <w:t>09</w:t>
      </w:r>
      <w:r>
        <w:rPr>
          <w:rFonts w:hint="eastAsia" w:ascii="宋体" w:hAnsi="宋体" w:eastAsia="宋体" w:cs="宋体"/>
          <w:color w:val="auto"/>
          <w:sz w:val="21"/>
          <w:szCs w:val="21"/>
          <w:highlight w:val="none"/>
        </w:rPr>
        <w:t>点</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分</w:t>
      </w:r>
      <w:r>
        <w:rPr>
          <w:rFonts w:hint="eastAsia" w:ascii="宋体" w:hAnsi="宋体" w:cs="宋体"/>
          <w:color w:val="auto"/>
          <w:sz w:val="21"/>
          <w:szCs w:val="21"/>
          <w:highlight w:val="none"/>
          <w:lang w:val="en-US" w:eastAsia="zh-CN"/>
        </w:rPr>
        <w:t>00</w:t>
      </w:r>
      <w:r>
        <w:rPr>
          <w:rFonts w:hint="eastAsia" w:ascii="宋体" w:hAnsi="宋体" w:eastAsia="宋体" w:cs="宋体"/>
          <w:color w:val="auto"/>
          <w:sz w:val="21"/>
          <w:szCs w:val="21"/>
          <w:highlight w:val="none"/>
        </w:rPr>
        <w:t>秒</w:t>
      </w:r>
      <w:r>
        <w:rPr>
          <w:rFonts w:hint="eastAsia" w:ascii="宋体" w:hAnsi="宋体" w:eastAsia="宋体" w:cs="宋体"/>
          <w:color w:val="auto"/>
          <w:sz w:val="21"/>
          <w:szCs w:val="21"/>
          <w:highlight w:val="none"/>
        </w:rPr>
        <w:fldChar w:fldCharType="end"/>
      </w:r>
      <w:r>
        <w:rPr>
          <w:rFonts w:hint="eastAsia" w:ascii="宋体" w:hAnsi="宋体" w:eastAsia="宋体" w:cs="宋体"/>
          <w:bCs/>
          <w:color w:val="auto"/>
          <w:sz w:val="21"/>
          <w:szCs w:val="21"/>
          <w:highlight w:val="none"/>
        </w:rPr>
        <w:t>（北京时间）前</w:t>
      </w:r>
      <w:r>
        <w:rPr>
          <w:rFonts w:hint="eastAsia" w:ascii="宋体" w:hAnsi="宋体" w:eastAsia="宋体" w:cs="宋体"/>
          <w:color w:val="auto"/>
          <w:sz w:val="21"/>
          <w:szCs w:val="21"/>
          <w:highlight w:val="none"/>
        </w:rPr>
        <w:t>递交（上传）响应文件。</w:t>
      </w:r>
    </w:p>
    <w:p w14:paraId="0A74FF83">
      <w:pPr>
        <w:keepNext w:val="0"/>
        <w:keepLines w:val="0"/>
        <w:pageBreakBefore w:val="0"/>
        <w:kinsoku/>
        <w:wordWrap/>
        <w:overflowPunct/>
        <w:topLinePunct w:val="0"/>
        <w:bidi w:val="0"/>
        <w:spacing w:line="440" w:lineRule="exac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一、项目基本情况                                            </w:t>
      </w:r>
    </w:p>
    <w:p w14:paraId="135F256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default" w:ascii="宋体" w:hAnsi="宋体" w:eastAsia="宋体" w:cs="宋体"/>
          <w:bCs/>
          <w:snapToGrid w:val="0"/>
          <w:color w:val="auto"/>
          <w:kern w:val="2"/>
          <w:sz w:val="22"/>
          <w:szCs w:val="22"/>
          <w:highlight w:val="none"/>
          <w:lang w:val="en-US" w:eastAsia="zh-CN" w:bidi="ar-SA"/>
        </w:rPr>
      </w:pPr>
      <w:r>
        <w:rPr>
          <w:rFonts w:hint="eastAsia" w:ascii="宋体" w:hAnsi="宋体" w:eastAsia="宋体" w:cs="宋体"/>
          <w:b/>
          <w:color w:val="auto"/>
          <w:sz w:val="21"/>
          <w:szCs w:val="21"/>
          <w:highlight w:val="none"/>
        </w:rPr>
        <w:t>项目编号：</w:t>
      </w:r>
      <w:r>
        <w:rPr>
          <w:rFonts w:hint="eastAsia" w:ascii="宋体" w:hAnsi="宋体" w:cs="宋体"/>
          <w:b/>
          <w:color w:val="auto"/>
          <w:sz w:val="21"/>
          <w:szCs w:val="21"/>
          <w:highlight w:val="none"/>
          <w:lang w:val="en-US" w:eastAsia="zh-CN"/>
        </w:rPr>
        <w:t xml:space="preserve"> </w:t>
      </w:r>
      <w:r>
        <w:rPr>
          <w:rFonts w:hint="eastAsia" w:ascii="宋体" w:hAnsi="宋体" w:cs="宋体"/>
          <w:bCs/>
          <w:snapToGrid w:val="0"/>
          <w:color w:val="auto"/>
          <w:kern w:val="2"/>
          <w:sz w:val="22"/>
          <w:szCs w:val="22"/>
          <w:highlight w:val="none"/>
          <w:lang w:val="en-US" w:eastAsia="zh-CN" w:bidi="ar-SA"/>
        </w:rPr>
        <w:t>FHGQZB(2025)228D</w:t>
      </w:r>
    </w:p>
    <w:p w14:paraId="5E90CD38">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项目名称：</w:t>
      </w:r>
      <w:r>
        <w:rPr>
          <w:rFonts w:hint="eastAsia" w:ascii="宋体" w:hAnsi="宋体" w:cs="宋体"/>
          <w:bCs/>
          <w:snapToGrid w:val="0"/>
          <w:color w:val="auto"/>
          <w:kern w:val="2"/>
          <w:sz w:val="21"/>
          <w:szCs w:val="21"/>
          <w:highlight w:val="none"/>
          <w:lang w:val="en-US" w:eastAsia="zh-CN" w:bidi="ar-SA"/>
        </w:rPr>
        <w:t xml:space="preserve">奉化区溪口三隐潭沿线电缆改造工程 </w:t>
      </w:r>
      <w:r>
        <w:rPr>
          <w:rFonts w:hint="eastAsia" w:ascii="宋体" w:hAnsi="宋体" w:eastAsia="宋体" w:cs="宋体"/>
          <w:bCs/>
          <w:snapToGrid w:val="0"/>
          <w:color w:val="auto"/>
          <w:kern w:val="2"/>
          <w:sz w:val="21"/>
          <w:szCs w:val="21"/>
          <w:highlight w:val="none"/>
          <w:lang w:val="en-US" w:eastAsia="zh-CN" w:bidi="ar-SA"/>
        </w:rPr>
        <w:t xml:space="preserve">  </w:t>
      </w:r>
    </w:p>
    <w:p w14:paraId="56C56AAC">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Theme="minorEastAsia" w:hAnsiTheme="minorEastAsia" w:eastAsiaTheme="minorEastAsia" w:cstheme="minorEastAsia"/>
          <w:color w:val="auto"/>
          <w:sz w:val="22"/>
          <w:szCs w:val="22"/>
          <w:highlight w:val="none"/>
          <w:lang w:val="en-US" w:eastAsia="zh-CN"/>
        </w:rPr>
      </w:pPr>
      <w:r>
        <w:rPr>
          <w:rFonts w:hint="eastAsia" w:asciiTheme="minorEastAsia" w:hAnsiTheme="minorEastAsia" w:eastAsiaTheme="minorEastAsia" w:cstheme="minorEastAsia"/>
          <w:b/>
          <w:color w:val="auto"/>
          <w:sz w:val="21"/>
          <w:szCs w:val="21"/>
          <w:highlight w:val="none"/>
        </w:rPr>
        <w:t>预算金额（元）：</w:t>
      </w:r>
      <w:r>
        <w:rPr>
          <w:rFonts w:hint="eastAsia" w:asciiTheme="minorEastAsia" w:hAnsiTheme="minorEastAsia" w:eastAsiaTheme="minorEastAsia" w:cstheme="minorEastAsia"/>
          <w:color w:val="auto"/>
          <w:sz w:val="22"/>
          <w:szCs w:val="22"/>
          <w:highlight w:val="none"/>
          <w:lang w:val="en-US" w:eastAsia="zh-CN"/>
        </w:rPr>
        <w:t>1368333</w:t>
      </w:r>
    </w:p>
    <w:p w14:paraId="24D2C359">
      <w:pPr>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Theme="minorEastAsia" w:hAnsiTheme="minorEastAsia" w:eastAsiaTheme="minorEastAsia" w:cstheme="minorEastAsia"/>
          <w:b/>
          <w:color w:val="auto"/>
          <w:sz w:val="21"/>
          <w:szCs w:val="21"/>
          <w:highlight w:val="none"/>
        </w:rPr>
        <w:t>最高限价（元）：</w:t>
      </w:r>
      <w:r>
        <w:rPr>
          <w:rFonts w:hint="eastAsia" w:asciiTheme="minorEastAsia" w:hAnsiTheme="minorEastAsia" w:eastAsiaTheme="minorEastAsia" w:cstheme="minorEastAsia"/>
          <w:bCs/>
          <w:snapToGrid w:val="0"/>
          <w:color w:val="auto"/>
          <w:kern w:val="2"/>
          <w:sz w:val="22"/>
          <w:szCs w:val="22"/>
          <w:highlight w:val="none"/>
          <w:lang w:val="en-US" w:eastAsia="zh-CN" w:bidi="ar-SA"/>
        </w:rPr>
        <w:t>1319187</w:t>
      </w:r>
      <w:r>
        <w:rPr>
          <w:rFonts w:hint="eastAsia" w:asciiTheme="minorEastAsia" w:hAnsiTheme="minorEastAsia" w:eastAsiaTheme="minorEastAsia" w:cstheme="minorEastAsia"/>
          <w:bCs/>
          <w:snapToGrid w:val="0"/>
          <w:color w:val="auto"/>
          <w:kern w:val="2"/>
          <w:sz w:val="21"/>
          <w:szCs w:val="21"/>
          <w:highlight w:val="none"/>
          <w:lang w:val="en-US" w:eastAsia="zh-CN" w:bidi="ar-SA"/>
        </w:rPr>
        <w:t xml:space="preserve">，最高综合折扣：94%  </w:t>
      </w:r>
    </w:p>
    <w:p w14:paraId="3BDA4839">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Cs/>
          <w:snapToGrid w:val="0"/>
          <w:color w:val="auto"/>
          <w:kern w:val="2"/>
          <w:sz w:val="21"/>
          <w:szCs w:val="21"/>
          <w:highlight w:val="none"/>
          <w:lang w:val="en-US" w:eastAsia="zh-CN" w:bidi="ar-SA"/>
        </w:rPr>
      </w:pPr>
      <w:r>
        <w:rPr>
          <w:rFonts w:hint="eastAsia" w:ascii="宋体" w:hAnsi="宋体" w:eastAsia="宋体" w:cs="宋体"/>
          <w:b/>
          <w:color w:val="auto"/>
          <w:sz w:val="21"/>
          <w:szCs w:val="21"/>
          <w:highlight w:val="none"/>
        </w:rPr>
        <w:t>采购需求：</w:t>
      </w:r>
      <w:r>
        <w:rPr>
          <w:rFonts w:hint="eastAsia" w:hAnsi="宋体" w:cs="宋体"/>
          <w:bCs/>
          <w:snapToGrid w:val="0"/>
          <w:color w:val="auto"/>
          <w:kern w:val="2"/>
          <w:sz w:val="21"/>
          <w:szCs w:val="21"/>
          <w:highlight w:val="none"/>
          <w:lang w:val="en-US" w:eastAsia="zh-CN" w:bidi="ar-SA"/>
        </w:rPr>
        <w:t xml:space="preserve">奉化区溪口三隐潭沿线电缆改造工程 </w:t>
      </w:r>
      <w:r>
        <w:rPr>
          <w:rFonts w:hint="eastAsia" w:ascii="宋体" w:hAnsi="宋体" w:eastAsia="宋体" w:cs="宋体"/>
          <w:bCs/>
          <w:snapToGrid w:val="0"/>
          <w:color w:val="auto"/>
          <w:kern w:val="2"/>
          <w:sz w:val="22"/>
          <w:szCs w:val="22"/>
          <w:highlight w:val="none"/>
          <w:lang w:val="en-US" w:eastAsia="zh-CN" w:bidi="ar-SA"/>
        </w:rPr>
        <w:t xml:space="preserve"> </w:t>
      </w:r>
      <w:r>
        <w:rPr>
          <w:rFonts w:hint="eastAsia" w:ascii="宋体" w:hAnsi="宋体" w:eastAsia="宋体" w:cs="宋体"/>
          <w:bCs/>
          <w:snapToGrid w:val="0"/>
          <w:color w:val="auto"/>
          <w:kern w:val="2"/>
          <w:sz w:val="21"/>
          <w:szCs w:val="21"/>
          <w:highlight w:val="none"/>
          <w:lang w:val="en-US" w:eastAsia="zh-CN" w:bidi="ar-SA"/>
        </w:rPr>
        <w:t>，详见采购文件第三部分采购需求。</w:t>
      </w:r>
    </w:p>
    <w:p w14:paraId="44C41533">
      <w:pPr>
        <w:pStyle w:val="51"/>
        <w:keepNext w:val="0"/>
        <w:keepLines w:val="0"/>
        <w:pageBreakBefore w:val="0"/>
        <w:kinsoku/>
        <w:wordWrap/>
        <w:overflowPunct/>
        <w:topLinePunct w:val="0"/>
        <w:autoSpaceDE/>
        <w:autoSpaceDN/>
        <w:bidi w:val="0"/>
        <w:adjustRightInd/>
        <w:spacing w:before="0" w:line="360" w:lineRule="auto"/>
        <w:ind w:firstLine="422" w:firstLineChars="200"/>
        <w:textAlignment w:val="auto"/>
        <w:outlineLvl w:val="2"/>
        <w:rPr>
          <w:rFonts w:hint="eastAsia" w:ascii="宋体" w:hAnsi="宋体" w:eastAsia="宋体" w:cs="宋体"/>
          <w:color w:val="auto"/>
          <w:sz w:val="21"/>
          <w:szCs w:val="21"/>
          <w:highlight w:val="none"/>
          <w:lang w:eastAsia="zh-CN"/>
        </w:rPr>
      </w:pPr>
      <w:r>
        <w:rPr>
          <w:rFonts w:hint="eastAsia" w:ascii="宋体" w:hAnsi="宋体" w:eastAsia="宋体" w:cs="宋体"/>
          <w:b/>
          <w:color w:val="auto"/>
          <w:sz w:val="21"/>
          <w:szCs w:val="21"/>
          <w:highlight w:val="none"/>
        </w:rPr>
        <w:t>合同履约期限：</w:t>
      </w:r>
      <w:r>
        <w:rPr>
          <w:rFonts w:hint="eastAsia" w:ascii="宋体" w:hAnsi="宋体" w:eastAsia="宋体" w:cs="宋体"/>
          <w:snapToGrid w:val="0"/>
          <w:color w:val="auto"/>
          <w:kern w:val="28"/>
          <w:sz w:val="21"/>
          <w:szCs w:val="21"/>
          <w:highlight w:val="none"/>
          <w:lang w:val="en-US" w:eastAsia="zh-CN" w:bidi="ar-SA"/>
        </w:rPr>
        <w:t>详见采购文件。</w:t>
      </w:r>
    </w:p>
    <w:p w14:paraId="64D6C8E7">
      <w:pPr>
        <w:pStyle w:val="7"/>
        <w:keepNext w:val="0"/>
        <w:keepLines w:val="0"/>
        <w:pageBreakBefore w:val="0"/>
        <w:kinsoku/>
        <w:wordWrap/>
        <w:overflowPunct/>
        <w:topLinePunct w:val="0"/>
        <w:autoSpaceDE/>
        <w:autoSpaceDN/>
        <w:bidi w:val="0"/>
        <w:adjustRightInd/>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本项目接受联合体：</w:t>
      </w:r>
      <w:r>
        <w:rPr>
          <w:rFonts w:hint="eastAsia" w:ascii="宋体" w:hAnsi="宋体" w:eastAsia="宋体" w:cs="宋体"/>
          <w:color w:val="auto"/>
          <w:kern w:val="0"/>
          <w:sz w:val="21"/>
          <w:szCs w:val="21"/>
          <w:highlight w:val="none"/>
        </w:rPr>
        <w:t>☐</w:t>
      </w:r>
      <w:r>
        <w:rPr>
          <w:rFonts w:hint="eastAsia" w:ascii="宋体" w:hAnsi="宋体" w:eastAsia="宋体" w:cs="宋体"/>
          <w:b/>
          <w:color w:val="auto"/>
          <w:sz w:val="21"/>
          <w:szCs w:val="21"/>
          <w:highlight w:val="none"/>
        </w:rPr>
        <w:t>是，</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rPr>
        <w:sym w:font="Wingdings" w:char="F0FE"/>
      </w:r>
      <w:r>
        <w:rPr>
          <w:rFonts w:hint="eastAsia" w:ascii="宋体" w:hAnsi="宋体" w:eastAsia="宋体" w:cs="宋体"/>
          <w:b/>
          <w:color w:val="auto"/>
          <w:sz w:val="21"/>
          <w:szCs w:val="21"/>
          <w:highlight w:val="none"/>
        </w:rPr>
        <w:t>否</w:t>
      </w:r>
      <w:r>
        <w:rPr>
          <w:rFonts w:hint="eastAsia" w:ascii="宋体" w:hAnsi="宋体" w:eastAsia="宋体" w:cs="宋体"/>
          <w:color w:val="auto"/>
          <w:kern w:val="0"/>
          <w:sz w:val="21"/>
          <w:szCs w:val="21"/>
          <w:highlight w:val="none"/>
        </w:rPr>
        <w:t>。</w:t>
      </w:r>
    </w:p>
    <w:p w14:paraId="530C0763">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二、申请人的资格要求：</w:t>
      </w:r>
    </w:p>
    <w:p w14:paraId="77E314B7">
      <w:pPr>
        <w:keepNext w:val="0"/>
        <w:keepLines w:val="0"/>
        <w:pageBreakBefore w:val="0"/>
        <w:kinsoku/>
        <w:wordWrap/>
        <w:overflowPunct/>
        <w:topLinePunct w:val="0"/>
        <w:bidi w:val="0"/>
        <w:spacing w:line="360" w:lineRule="auto"/>
        <w:ind w:firstLine="480"/>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snapToGrid w:val="0"/>
          <w:color w:val="auto"/>
          <w:kern w:val="28"/>
          <w:sz w:val="21"/>
          <w:szCs w:val="21"/>
          <w:highlight w:val="none"/>
        </w:rPr>
        <w:t>1.满足《中华人民共和国政府采购法》第二十二条规定；未被“信用中国”（www.creditchina.gov.cn)、中国政府采购网（www.ccgp.gov.cn）列入失信被执行人、重大税收违法失信主体、政府采购严重违法失信行为记录名单；</w:t>
      </w:r>
    </w:p>
    <w:p w14:paraId="50699B29">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snapToGrid w:val="0"/>
          <w:color w:val="auto"/>
          <w:kern w:val="28"/>
          <w:sz w:val="21"/>
          <w:szCs w:val="21"/>
          <w:highlight w:val="none"/>
        </w:rPr>
        <w:t xml:space="preserve">    2.落实政府采购政策需满足的资格要求：</w:t>
      </w:r>
      <w:r>
        <w:rPr>
          <w:rFonts w:hint="eastAsia" w:ascii="宋体" w:hAnsi="宋体" w:cs="宋体"/>
          <w:color w:val="auto"/>
          <w:sz w:val="21"/>
          <w:szCs w:val="21"/>
          <w:highlight w:val="none"/>
          <w:lang w:val="en-US" w:eastAsia="zh-CN"/>
        </w:rPr>
        <w:t>无</w:t>
      </w:r>
      <w:r>
        <w:rPr>
          <w:rFonts w:hint="eastAsia" w:ascii="宋体" w:hAnsi="宋体" w:eastAsia="宋体" w:cs="宋体"/>
          <w:color w:val="auto"/>
          <w:sz w:val="21"/>
          <w:szCs w:val="21"/>
          <w:highlight w:val="none"/>
        </w:rPr>
        <w:t>；</w:t>
      </w:r>
    </w:p>
    <w:p w14:paraId="71139BB7">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E32F43">
      <w:pPr>
        <w:keepNext w:val="0"/>
        <w:keepLines w:val="0"/>
        <w:pageBreakBefore w:val="0"/>
        <w:kinsoku/>
        <w:wordWrap/>
        <w:overflowPunct/>
        <w:topLinePunct w:val="0"/>
        <w:bidi w:val="0"/>
        <w:spacing w:line="360" w:lineRule="auto"/>
        <w:ind w:firstLine="420" w:firstLineChars="200"/>
        <w:textAlignment w:val="auto"/>
        <w:rPr>
          <w:rFonts w:ascii="宋体" w:hAnsi="宋体" w:cs="宋体"/>
          <w:color w:val="auto"/>
          <w:szCs w:val="21"/>
          <w:highlight w:val="none"/>
        </w:rPr>
      </w:pPr>
      <w:r>
        <w:rPr>
          <w:rFonts w:hint="eastAsia" w:ascii="宋体" w:hAnsi="宋体" w:cs="宋体"/>
          <w:color w:val="auto"/>
          <w:sz w:val="21"/>
          <w:szCs w:val="21"/>
          <w:highlight w:val="none"/>
          <w:lang w:val="en-US" w:eastAsia="zh-CN"/>
        </w:rPr>
        <w:t>3.1</w:t>
      </w:r>
      <w:r>
        <w:rPr>
          <w:rFonts w:hint="eastAsia" w:ascii="宋体" w:hAnsi="宋体" w:cs="宋体"/>
          <w:color w:val="auto"/>
          <w:szCs w:val="21"/>
          <w:highlight w:val="none"/>
        </w:rPr>
        <w:t>供应商须具有电力工程施工总承包三级及以上资质（或输变电工程专业承包叁级及以上</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p>
    <w:p w14:paraId="30E30090">
      <w:pPr>
        <w:keepNext w:val="0"/>
        <w:keepLines w:val="0"/>
        <w:pageBreakBefore w:val="0"/>
        <w:shd w:val="clear"/>
        <w:kinsoku/>
        <w:wordWrap/>
        <w:overflowPunct/>
        <w:topLinePunct w:val="0"/>
        <w:bidi w:val="0"/>
        <w:spacing w:line="360" w:lineRule="auto"/>
        <w:ind w:firstLine="420" w:firstLineChars="200"/>
        <w:textAlignment w:val="auto"/>
        <w:rPr>
          <w:rFonts w:ascii="宋体" w:hAnsi="宋体" w:cs="宋体"/>
          <w:b/>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供应商须具有有效的建筑施工企业安全生产许可证。</w:t>
      </w:r>
    </w:p>
    <w:p w14:paraId="5032DAFC">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0F8E6267">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三、获取采购文件 </w:t>
      </w:r>
    </w:p>
    <w:p w14:paraId="6BE8CB8B">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时间：</w:t>
      </w:r>
      <w:r>
        <w:rPr>
          <w:rFonts w:hint="eastAsia" w:ascii="宋体" w:hAnsi="宋体" w:cs="宋体"/>
          <w:color w:val="auto"/>
          <w:sz w:val="21"/>
          <w:szCs w:val="21"/>
          <w:highlight w:val="none"/>
          <w:u w:val="single"/>
          <w:lang w:val="en-US" w:eastAsia="zh-CN"/>
        </w:rPr>
        <w:t>2025年07月04日</w:t>
      </w:r>
      <w:r>
        <w:rPr>
          <w:rFonts w:hint="eastAsia" w:ascii="宋体" w:hAnsi="宋体" w:eastAsia="宋体" w:cs="宋体"/>
          <w:color w:val="auto"/>
          <w:sz w:val="21"/>
          <w:szCs w:val="21"/>
          <w:highlight w:val="none"/>
        </w:rPr>
        <w:t>至</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11</w:t>
      </w:r>
      <w:r>
        <w:rPr>
          <w:rFonts w:hint="eastAsia" w:ascii="宋体" w:hAnsi="宋体" w:eastAsia="宋体" w:cs="宋体"/>
          <w:color w:val="auto"/>
          <w:sz w:val="21"/>
          <w:szCs w:val="21"/>
          <w:highlight w:val="none"/>
          <w:u w:val="single"/>
        </w:rPr>
        <w:t>日</w:t>
      </w:r>
      <w:r>
        <w:rPr>
          <w:rFonts w:hint="eastAsia" w:ascii="宋体" w:hAnsi="宋体" w:eastAsia="宋体" w:cs="宋体"/>
          <w:color w:val="auto"/>
          <w:sz w:val="21"/>
          <w:szCs w:val="21"/>
          <w:highlight w:val="none"/>
        </w:rPr>
        <w:t>，每天上午00</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 ，下午12</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00至23</w:t>
      </w:r>
      <w:r>
        <w:rPr>
          <w:rFonts w:hint="eastAsia" w:ascii="宋体" w:hAnsi="宋体" w:cs="宋体"/>
          <w:color w:val="auto"/>
          <w:sz w:val="21"/>
          <w:szCs w:val="21"/>
          <w:highlight w:val="none"/>
          <w:lang w:eastAsia="zh-CN"/>
        </w:rPr>
        <w:t>：</w:t>
      </w:r>
      <w:r>
        <w:rPr>
          <w:rFonts w:hint="eastAsia" w:ascii="宋体" w:hAnsi="宋体" w:eastAsia="宋体" w:cs="宋体"/>
          <w:color w:val="auto"/>
          <w:sz w:val="21"/>
          <w:szCs w:val="21"/>
          <w:highlight w:val="none"/>
        </w:rPr>
        <w:t>59（北京时间）。</w:t>
      </w:r>
    </w:p>
    <w:p w14:paraId="6524113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1FDA68F1">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方式：</w:t>
      </w:r>
      <w:r>
        <w:rPr>
          <w:rFonts w:hint="eastAsia" w:ascii="宋体" w:hAnsi="宋体" w:eastAsia="宋体" w:cs="宋体"/>
          <w:color w:val="auto"/>
          <w:sz w:val="21"/>
          <w:szCs w:val="21"/>
          <w:highlight w:val="none"/>
        </w:rPr>
        <w:t>供应商登录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 xml:space="preserve">在线申请获取采购文件（进入“项目采购”应用，在获取采购文件菜单中选择项目，申请获取采购文件）。 </w:t>
      </w:r>
    </w:p>
    <w:p w14:paraId="3020E6E0">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售价（元）：</w:t>
      </w:r>
      <w:r>
        <w:rPr>
          <w:rFonts w:hint="eastAsia" w:ascii="宋体" w:hAnsi="宋体" w:eastAsia="宋体" w:cs="宋体"/>
          <w:color w:val="auto"/>
          <w:sz w:val="21"/>
          <w:szCs w:val="21"/>
          <w:highlight w:val="none"/>
        </w:rPr>
        <w:t xml:space="preserve">0 </w:t>
      </w:r>
      <w:r>
        <w:rPr>
          <w:rFonts w:hint="eastAsia" w:ascii="宋体" w:hAnsi="宋体" w:eastAsia="宋体" w:cs="宋体"/>
          <w:color w:val="auto"/>
          <w:sz w:val="21"/>
          <w:szCs w:val="21"/>
          <w:highlight w:val="none"/>
        </w:rPr>
        <w:tab/>
      </w:r>
    </w:p>
    <w:p w14:paraId="7DE6BE5F">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四、首次提交响应文件截止时间、磋商时间和地点</w:t>
      </w:r>
    </w:p>
    <w:p w14:paraId="35C36213">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首次提交响应文件截止时间：</w:t>
      </w:r>
      <w:r>
        <w:rPr>
          <w:rFonts w:hint="eastAsia" w:ascii="宋体" w:hAnsi="宋体" w:eastAsia="宋体" w:cs="宋体"/>
          <w:color w:val="auto"/>
          <w:sz w:val="21"/>
          <w:szCs w:val="21"/>
          <w:highlight w:val="none"/>
          <w:u w:val="single"/>
        </w:rPr>
        <w:t xml:space="preserve"> 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u w:val="single"/>
        </w:rPr>
        <w:t xml:space="preserve"> </w:t>
      </w:r>
      <w:r>
        <w:rPr>
          <w:rFonts w:hint="eastAsia" w:ascii="宋体" w:hAnsi="宋体" w:eastAsia="宋体" w:cs="宋体"/>
          <w:color w:val="auto"/>
          <w:sz w:val="21"/>
          <w:szCs w:val="21"/>
          <w:highlight w:val="none"/>
        </w:rPr>
        <w:t>（北京时间）。</w:t>
      </w:r>
    </w:p>
    <w:p w14:paraId="489E2B35">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提交响应文件地点（网址）：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u w:val="single"/>
          <w:lang w:val="en-US" w:eastAsia="zh-CN"/>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67E1638F">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Cs/>
          <w:color w:val="auto"/>
          <w:sz w:val="21"/>
          <w:szCs w:val="21"/>
          <w:highlight w:val="none"/>
          <w:u w:val="single"/>
        </w:rPr>
      </w:pPr>
      <w:r>
        <w:rPr>
          <w:rFonts w:hint="eastAsia" w:ascii="宋体" w:hAnsi="宋体" w:eastAsia="宋体" w:cs="宋体"/>
          <w:b/>
          <w:color w:val="auto"/>
          <w:sz w:val="21"/>
          <w:szCs w:val="21"/>
          <w:highlight w:val="none"/>
        </w:rPr>
        <w:t>首次提交响应文件开启时间：</w:t>
      </w:r>
      <w:r>
        <w:rPr>
          <w:rFonts w:hint="eastAsia" w:ascii="宋体" w:hAnsi="宋体" w:cs="宋体"/>
          <w:b/>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202</w:t>
      </w:r>
      <w:r>
        <w:rPr>
          <w:rFonts w:hint="eastAsia" w:ascii="宋体" w:hAnsi="宋体" w:cs="宋体"/>
          <w:color w:val="auto"/>
          <w:sz w:val="21"/>
          <w:szCs w:val="21"/>
          <w:highlight w:val="none"/>
          <w:u w:val="single"/>
          <w:lang w:val="en-US" w:eastAsia="zh-CN"/>
        </w:rPr>
        <w:t>5</w:t>
      </w:r>
      <w:r>
        <w:rPr>
          <w:rFonts w:hint="eastAsia" w:ascii="宋体" w:hAnsi="宋体" w:eastAsia="宋体" w:cs="宋体"/>
          <w:color w:val="auto"/>
          <w:sz w:val="21"/>
          <w:szCs w:val="21"/>
          <w:highlight w:val="none"/>
          <w:u w:val="single"/>
        </w:rPr>
        <w:t>年</w:t>
      </w:r>
      <w:r>
        <w:rPr>
          <w:rFonts w:hint="eastAsia" w:ascii="宋体" w:hAnsi="宋体" w:cs="宋体"/>
          <w:color w:val="auto"/>
          <w:sz w:val="21"/>
          <w:szCs w:val="21"/>
          <w:highlight w:val="none"/>
          <w:u w:val="single"/>
          <w:lang w:val="en-US" w:eastAsia="zh-CN"/>
        </w:rPr>
        <w:t>07</w:t>
      </w:r>
      <w:r>
        <w:rPr>
          <w:rFonts w:hint="eastAsia" w:ascii="宋体" w:hAnsi="宋体" w:eastAsia="宋体" w:cs="宋体"/>
          <w:color w:val="auto"/>
          <w:sz w:val="21"/>
          <w:szCs w:val="21"/>
          <w:highlight w:val="none"/>
          <w:u w:val="single"/>
        </w:rPr>
        <w:t>月</w:t>
      </w:r>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 w:val="21"/>
          <w:szCs w:val="21"/>
          <w:highlight w:val="none"/>
          <w:u w:val="single"/>
        </w:rPr>
        <w:t>日</w:t>
      </w:r>
      <w:r>
        <w:rPr>
          <w:rFonts w:hint="eastAsia" w:ascii="宋体" w:hAnsi="宋体" w:cs="宋体"/>
          <w:color w:val="auto"/>
          <w:sz w:val="21"/>
          <w:szCs w:val="21"/>
          <w:highlight w:val="none"/>
          <w:u w:val="single"/>
          <w:lang w:val="en-US" w:eastAsia="zh-CN"/>
        </w:rPr>
        <w:t>09</w:t>
      </w:r>
      <w:r>
        <w:rPr>
          <w:rFonts w:hint="eastAsia" w:ascii="宋体" w:hAnsi="宋体" w:eastAsia="宋体" w:cs="宋体"/>
          <w:color w:val="auto"/>
          <w:sz w:val="21"/>
          <w:szCs w:val="21"/>
          <w:highlight w:val="none"/>
          <w:u w:val="single"/>
        </w:rPr>
        <w:t>点</w:t>
      </w:r>
      <w:r>
        <w:rPr>
          <w:rFonts w:hint="eastAsia" w:ascii="宋体" w:hAnsi="宋体" w:cs="宋体"/>
          <w:color w:val="auto"/>
          <w:sz w:val="21"/>
          <w:szCs w:val="21"/>
          <w:highlight w:val="none"/>
          <w:u w:val="single"/>
          <w:lang w:val="en-US" w:eastAsia="zh-CN"/>
        </w:rPr>
        <w:t>00</w:t>
      </w:r>
      <w:r>
        <w:rPr>
          <w:rFonts w:hint="eastAsia" w:ascii="宋体" w:hAnsi="宋体" w:eastAsia="宋体" w:cs="宋体"/>
          <w:color w:val="auto"/>
          <w:sz w:val="21"/>
          <w:szCs w:val="21"/>
          <w:highlight w:val="none"/>
          <w:u w:val="single"/>
        </w:rPr>
        <w:t>分</w:t>
      </w:r>
      <w:r>
        <w:rPr>
          <w:rFonts w:hint="eastAsia" w:ascii="宋体" w:hAnsi="宋体" w:eastAsia="宋体" w:cs="宋体"/>
          <w:bCs/>
          <w:color w:val="auto"/>
          <w:sz w:val="21"/>
          <w:szCs w:val="21"/>
          <w:highlight w:val="none"/>
        </w:rPr>
        <w:t>。</w:t>
      </w:r>
    </w:p>
    <w:p w14:paraId="43B568BB">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首次提交响应文件开启地点（网址）：</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w:t>
      </w:r>
    </w:p>
    <w:p w14:paraId="3F53D974">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首次提交响应文件开启地点（线下）：</w:t>
      </w:r>
      <w:r>
        <w:rPr>
          <w:rFonts w:hint="eastAsia" w:ascii="宋体" w:hAnsi="宋体" w:eastAsia="宋体" w:cs="宋体"/>
          <w:bCs/>
          <w:color w:val="auto"/>
          <w:sz w:val="21"/>
          <w:szCs w:val="21"/>
          <w:highlight w:val="none"/>
        </w:rPr>
        <w:t>宁波市奉化区公共资源交易中心开标</w:t>
      </w:r>
      <w:r>
        <w:rPr>
          <w:rFonts w:hint="eastAsia" w:ascii="宋体" w:hAnsi="宋体" w:cs="宋体"/>
          <w:bCs/>
          <w:color w:val="auto"/>
          <w:sz w:val="21"/>
          <w:szCs w:val="21"/>
          <w:highlight w:val="none"/>
          <w:lang w:val="en-US" w:eastAsia="zh-CN"/>
        </w:rPr>
        <w:t>一</w:t>
      </w:r>
      <w:bookmarkStart w:id="465" w:name="_GoBack"/>
      <w:bookmarkEnd w:id="465"/>
      <w:r>
        <w:rPr>
          <w:rFonts w:hint="eastAsia" w:ascii="宋体" w:hAnsi="宋体" w:eastAsia="宋体" w:cs="宋体"/>
          <w:bCs/>
          <w:color w:val="auto"/>
          <w:sz w:val="21"/>
          <w:szCs w:val="21"/>
          <w:highlight w:val="none"/>
        </w:rPr>
        <w:t>（宁波市奉化区大成东路277号4楼）</w:t>
      </w:r>
    </w:p>
    <w:p w14:paraId="1E270C90">
      <w:pPr>
        <w:keepNext w:val="0"/>
        <w:keepLines w:val="0"/>
        <w:pageBreakBefore w:val="0"/>
        <w:kinsoku/>
        <w:wordWrap/>
        <w:overflowPunct/>
        <w:topLinePunct w:val="0"/>
        <w:bidi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 xml:space="preserve">五、公告期限 </w:t>
      </w:r>
    </w:p>
    <w:p w14:paraId="24C525F9">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自本公告发布之日起5个工作日。</w:t>
      </w:r>
    </w:p>
    <w:p w14:paraId="1F96BEB0">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六、其他补充事宜</w:t>
      </w:r>
    </w:p>
    <w:p w14:paraId="1574DB52">
      <w:pPr>
        <w:keepNext w:val="0"/>
        <w:keepLines w:val="0"/>
        <w:pageBreakBefore w:val="0"/>
        <w:kinsoku/>
        <w:wordWrap/>
        <w:overflowPunct/>
        <w:topLinePunct w:val="0"/>
        <w:bidi w:val="0"/>
        <w:spacing w:line="360" w:lineRule="auto"/>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rPr>
        <w:t>1.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w:t>
      </w:r>
      <w:r>
        <w:rPr>
          <w:rFonts w:hint="eastAsia" w:ascii="宋体" w:hAnsi="宋体" w:eastAsia="宋体" w:cs="宋体"/>
          <w:color w:val="auto"/>
          <w:sz w:val="21"/>
          <w:szCs w:val="21"/>
          <w:highlight w:val="none"/>
          <w:lang w:val="en-US" w:eastAsia="zh-CN"/>
        </w:rPr>
        <w:t>监管部</w:t>
      </w:r>
      <w:r>
        <w:rPr>
          <w:rFonts w:hint="eastAsia" w:asciiTheme="minorEastAsia" w:hAnsiTheme="minorEastAsia" w:eastAsiaTheme="minorEastAsia" w:cstheme="minorEastAsia"/>
          <w:color w:val="auto"/>
          <w:sz w:val="21"/>
          <w:szCs w:val="21"/>
          <w:highlight w:val="none"/>
          <w:lang w:val="en-US" w:eastAsia="zh-CN"/>
        </w:rPr>
        <w:t>门</w:t>
      </w:r>
      <w:r>
        <w:rPr>
          <w:rFonts w:hint="eastAsia" w:asciiTheme="minorEastAsia" w:hAnsiTheme="minorEastAsia" w:eastAsiaTheme="minorEastAsia" w:cstheme="minorEastAsia"/>
          <w:color w:val="auto"/>
          <w:sz w:val="21"/>
          <w:szCs w:val="21"/>
          <w:highlight w:val="none"/>
        </w:rPr>
        <w:t>投诉。</w:t>
      </w:r>
    </w:p>
    <w:p w14:paraId="6129875E">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Theme="minorEastAsia" w:hAnsiTheme="minorEastAsia" w:eastAsiaTheme="minorEastAsia" w:cstheme="minorEastAsia"/>
          <w:color w:val="auto"/>
          <w:sz w:val="21"/>
          <w:szCs w:val="21"/>
          <w:highlight w:val="none"/>
        </w:rPr>
        <w:t>2.其他事项：（1）需要落实的政府采购政策：包括节约资源、保护环境、支持创新、促进中小企业发展等。详见采购文件的第二部分总则。（2）电子交易的说明：①电子交易：本项目以数据电文形式，依托“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）”进行磋商活动，不接受纸质响应文件；②磋商准备：注册账号--点击“商家入驻”，进行政府采购供应商资料填写；申领CA数字证书---申领流程详见“</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-下载专区-电子交易客户端-CA驱动和申领流程”；安装“</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电子交易客户端”----前往“</w:t>
      </w:r>
      <w:r>
        <w:rPr>
          <w:rFonts w:hint="eastAsia" w:asciiTheme="minorEastAsia" w:hAnsiTheme="minorEastAsia" w:eastAsiaTheme="minorEastAsia" w:cstheme="minorEastAsia"/>
          <w:color w:val="auto"/>
          <w:sz w:val="21"/>
          <w:szCs w:val="21"/>
          <w:highlight w:val="none"/>
          <w:lang w:eastAsia="zh-CN"/>
        </w:rPr>
        <w:t>浙江企业采购信息服务网</w:t>
      </w:r>
      <w:r>
        <w:rPr>
          <w:rFonts w:hint="eastAsia" w:asciiTheme="minorEastAsia" w:hAnsiTheme="minorEastAsia" w:eastAsiaTheme="minorEastAsia" w:cstheme="minorEastAsia"/>
          <w:color w:val="auto"/>
          <w:sz w:val="21"/>
          <w:szCs w:val="21"/>
          <w:highlight w:val="none"/>
        </w:rPr>
        <w:t>-下载专区-电子交易客户端</w:t>
      </w:r>
      <w:r>
        <w:rPr>
          <w:rFonts w:hint="eastAsia" w:asciiTheme="minorEastAsia" w:hAnsiTheme="minorEastAsia" w:eastAsiaTheme="minorEastAsia" w:cstheme="minorEastAsia"/>
          <w:color w:val="auto"/>
          <w:sz w:val="21"/>
          <w:szCs w:val="21"/>
          <w:highlight w:val="none"/>
          <w:lang w:eastAsia="zh-CN"/>
        </w:rPr>
        <w:t>（https://b.zhengcaiyun.cn/luban/category?parentId=550045&amp;childrenCode=qicaiCategory17&amp;utm=luban.luban-PC-39026.959-pc-websitegroup-navBar-front.8.ebdec73052c711ef9ade896d008b9248）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sz w:val="21"/>
          <w:szCs w:val="21"/>
          <w:highlight w:val="none"/>
        </w:rPr>
        <w:t>”进行下载并安装；</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在磋商前应确保成为浙江省政府采购网正式注册入库供应商，并完成CA数字证书办理。完成CA数字证书办理在资料齐全的情况下预计7个工作日左右，请各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合理预估时间，及时办理。③采购文件的获取：使用账号登录或者使用CA登录</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平台；进入“项目采购”应用，在获取采购文件菜单中选择项目，获取采购文件；④响应文件的制作：在“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电子交易客户端”中完成“填写基本信息”、“导入响应文件”、“标书关联”、“标书检查”、“电子签名”、“生成电子标书”等操作；⑤采购人、采购代理机构将依托</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平台完成本项目的电子交易活动，平台不接受未按上</w:t>
      </w:r>
      <w:r>
        <w:rPr>
          <w:rFonts w:hint="eastAsia" w:ascii="宋体" w:hAnsi="宋体" w:eastAsia="宋体" w:cs="宋体"/>
          <w:color w:val="auto"/>
          <w:sz w:val="21"/>
          <w:szCs w:val="21"/>
          <w:highlight w:val="none"/>
        </w:rPr>
        <w:t>述方式获取采购文件的供应商进行磋商响应活动； ⑥对未按上述方式获取采购文件的供应商对该文件提出的质疑，采购人或采购代理机构将不予处理；⑦不提供采购文件纸质版；⑧响应文件的解密：</w:t>
      </w:r>
      <w:r>
        <w:rPr>
          <w:rFonts w:hint="eastAsia" w:ascii="宋体" w:hAnsi="宋体" w:eastAsia="宋体" w:cs="宋体"/>
          <w:color w:val="auto"/>
          <w:kern w:val="0"/>
          <w:sz w:val="21"/>
          <w:szCs w:val="21"/>
          <w:highlight w:val="none"/>
          <w:lang w:val="zh-CN"/>
        </w:rPr>
        <w:t>供应商</w:t>
      </w:r>
      <w:r>
        <w:rPr>
          <w:rFonts w:hint="eastAsia" w:ascii="宋体" w:hAnsi="宋体" w:eastAsia="宋体" w:cs="宋体"/>
          <w:color w:val="auto"/>
          <w:sz w:val="21"/>
          <w:szCs w:val="21"/>
          <w:highlight w:val="none"/>
        </w:rPr>
        <w:t>按照平台提示和采购文件的规定在半小时内完成在线解密。⑨具体操作指南：详见</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平台“服务中心-帮助文档-项目采购-操作流程-电子招投标-政府采购项目电子交易管理操作指南-供应商”。</w:t>
      </w:r>
    </w:p>
    <w:p w14:paraId="13934D5C">
      <w:pPr>
        <w:keepNext w:val="0"/>
        <w:keepLines w:val="0"/>
        <w:pageBreakBefore w:val="0"/>
        <w:kinsoku/>
        <w:wordWrap/>
        <w:overflowPunct/>
        <w:topLinePunct w:val="0"/>
        <w:bidi w:val="0"/>
        <w:spacing w:line="360" w:lineRule="auto"/>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七、对本次采购提出询问、质疑、投诉，请按以下方式联系</w:t>
      </w:r>
    </w:p>
    <w:p w14:paraId="3A68C631">
      <w:pPr>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1.采购人信息</w:t>
      </w:r>
    </w:p>
    <w:p w14:paraId="4E1AB2AF">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称：宁波市奉化区惠海地下管线投资有限公司</w:t>
      </w:r>
    </w:p>
    <w:p w14:paraId="6187C4B4">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yellow"/>
          <w:lang w:eastAsia="zh-CN"/>
        </w:rPr>
      </w:pPr>
      <w:r>
        <w:rPr>
          <w:rFonts w:hint="eastAsia" w:ascii="宋体" w:hAnsi="宋体" w:eastAsia="宋体" w:cs="宋体"/>
          <w:color w:val="auto"/>
          <w:sz w:val="21"/>
          <w:szCs w:val="21"/>
          <w:highlight w:val="none"/>
        </w:rPr>
        <w:t>地 址：</w:t>
      </w:r>
      <w:r>
        <w:rPr>
          <w:rFonts w:hint="eastAsia" w:ascii="宋体" w:hAnsi="宋体" w:cs="宋体"/>
          <w:color w:val="auto"/>
          <w:sz w:val="21"/>
          <w:szCs w:val="21"/>
          <w:highlight w:val="none"/>
          <w:lang w:eastAsia="zh-CN"/>
        </w:rPr>
        <w:t>浙江省宁波市奉化区岳林街道长汀东路558号（城开大厦3号楼北幢9层）</w:t>
      </w:r>
    </w:p>
    <w:p w14:paraId="10C1B989">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p>
    <w:p w14:paraId="35099ECB">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项目联系人（询问）：袁</w:t>
      </w:r>
      <w:r>
        <w:rPr>
          <w:rFonts w:hint="eastAsia" w:ascii="宋体" w:hAnsi="宋体" w:cs="宋体"/>
          <w:color w:val="auto"/>
          <w:sz w:val="21"/>
          <w:szCs w:val="21"/>
          <w:highlight w:val="none"/>
          <w:lang w:val="en-US" w:eastAsia="zh-CN"/>
        </w:rPr>
        <w:t>先生</w:t>
      </w:r>
    </w:p>
    <w:p w14:paraId="4BEAB51E">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项目联系方式（询问）：13003743437</w:t>
      </w:r>
    </w:p>
    <w:p w14:paraId="48EF5019">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质疑联系人：陈工</w:t>
      </w:r>
    </w:p>
    <w:p w14:paraId="506FB6FE">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质疑联系方式：</w:t>
      </w:r>
      <w:r>
        <w:rPr>
          <w:rFonts w:hint="eastAsia" w:ascii="宋体" w:hAnsi="宋体" w:cs="宋体"/>
          <w:color w:val="auto"/>
          <w:sz w:val="21"/>
          <w:szCs w:val="21"/>
          <w:highlight w:val="none"/>
          <w:lang w:val="en-US" w:eastAsia="zh-CN"/>
        </w:rPr>
        <w:t>0574-88523337</w:t>
      </w:r>
      <w:r>
        <w:rPr>
          <w:rFonts w:hint="eastAsia" w:ascii="宋体" w:hAnsi="宋体" w:eastAsia="宋体" w:cs="宋体"/>
          <w:color w:val="auto"/>
          <w:sz w:val="21"/>
          <w:szCs w:val="21"/>
          <w:highlight w:val="none"/>
        </w:rPr>
        <w:t xml:space="preserve">  </w:t>
      </w:r>
    </w:p>
    <w:p w14:paraId="271B82A3">
      <w:pPr>
        <w:keepNext w:val="0"/>
        <w:keepLines w:val="0"/>
        <w:pageBreakBefore w:val="0"/>
        <w:widowControl w:val="0"/>
        <w:kinsoku/>
        <w:wordWrap/>
        <w:overflowPunct/>
        <w:topLinePunct w:val="0"/>
        <w:bidi w:val="0"/>
        <w:snapToGrid/>
        <w:spacing w:line="360" w:lineRule="auto"/>
        <w:textAlignment w:val="auto"/>
        <w:rPr>
          <w:rFonts w:ascii="宋体" w:hAnsi="宋体" w:cs="宋体"/>
          <w:color w:val="auto"/>
          <w:szCs w:val="21"/>
          <w:highlight w:val="none"/>
        </w:rPr>
      </w:pPr>
      <w:r>
        <w:rPr>
          <w:rFonts w:hint="eastAsia" w:ascii="宋体" w:hAnsi="宋体" w:eastAsia="宋体" w:cs="宋体"/>
          <w:color w:val="auto"/>
          <w:sz w:val="21"/>
          <w:szCs w:val="21"/>
          <w:highlight w:val="none"/>
        </w:rPr>
        <w:t xml:space="preserve">   </w:t>
      </w:r>
      <w:r>
        <w:rPr>
          <w:rFonts w:hint="eastAsia" w:ascii="宋体" w:hAnsi="宋体" w:cs="宋体"/>
          <w:color w:val="auto"/>
          <w:szCs w:val="21"/>
          <w:highlight w:val="none"/>
        </w:rPr>
        <w:t xml:space="preserve"> 2.采购代理机构信息            </w:t>
      </w:r>
    </w:p>
    <w:p w14:paraId="20DFD40C">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 称：</w:t>
      </w:r>
      <w:r>
        <w:rPr>
          <w:rFonts w:hint="eastAsia" w:ascii="宋体" w:hAnsi="宋体" w:cs="宋体"/>
          <w:color w:val="auto"/>
          <w:szCs w:val="21"/>
          <w:highlight w:val="none"/>
          <w:lang w:eastAsia="zh-CN"/>
        </w:rPr>
        <w:t xml:space="preserve"> 宁波锦业工程咨询管理有限公司</w:t>
      </w:r>
    </w:p>
    <w:p w14:paraId="55DB3805">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rPr>
        <w:t>地 址</w:t>
      </w:r>
      <w:r>
        <w:rPr>
          <w:rFonts w:hint="eastAsia" w:ascii="宋体" w:hAnsi="宋体" w:cs="宋体"/>
          <w:color w:val="auto"/>
          <w:szCs w:val="21"/>
          <w:highlight w:val="none"/>
          <w:lang w:eastAsia="zh-CN"/>
        </w:rPr>
        <w:t>：宁波市奉化区岳林街道东郊工业开发区天峰路66号10号楼2楼</w:t>
      </w:r>
    </w:p>
    <w:p w14:paraId="6F7507A1">
      <w:pPr>
        <w:keepNext w:val="0"/>
        <w:keepLines w:val="0"/>
        <w:pageBreakBefore w:val="0"/>
        <w:widowControl w:val="0"/>
        <w:kinsoku/>
        <w:wordWrap/>
        <w:overflowPunct/>
        <w:topLinePunct w:val="0"/>
        <w:bidi w:val="0"/>
        <w:snapToGrid/>
        <w:spacing w:line="360" w:lineRule="auto"/>
        <w:ind w:firstLine="480"/>
        <w:textAlignment w:val="auto"/>
        <w:rPr>
          <w:rFonts w:ascii="宋体" w:hAnsi="宋体" w:cs="宋体"/>
          <w:color w:val="auto"/>
          <w:szCs w:val="21"/>
          <w:highlight w:val="none"/>
        </w:rPr>
      </w:pPr>
      <w:r>
        <w:rPr>
          <w:rFonts w:hint="eastAsia" w:ascii="宋体" w:hAnsi="宋体" w:cs="宋体"/>
          <w:color w:val="auto"/>
          <w:szCs w:val="21"/>
          <w:highlight w:val="none"/>
        </w:rPr>
        <w:t xml:space="preserve">传 真：/             </w:t>
      </w:r>
    </w:p>
    <w:p w14:paraId="3C421E8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项目联系人（询问）：</w:t>
      </w:r>
      <w:r>
        <w:rPr>
          <w:rFonts w:hint="eastAsia" w:ascii="宋体" w:hAnsi="宋体" w:cs="宋体"/>
          <w:color w:val="auto"/>
          <w:szCs w:val="21"/>
          <w:highlight w:val="none"/>
          <w:lang w:val="en-US" w:eastAsia="zh-CN"/>
        </w:rPr>
        <w:t>董炜</w:t>
      </w:r>
    </w:p>
    <w:p w14:paraId="105D9E8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rPr>
        <w:t>项目联系方式（询问）：</w:t>
      </w:r>
      <w:r>
        <w:rPr>
          <w:rFonts w:hint="eastAsia" w:ascii="宋体" w:hAnsi="宋体" w:cs="宋体"/>
          <w:color w:val="auto"/>
          <w:szCs w:val="21"/>
          <w:highlight w:val="none"/>
          <w:lang w:val="en-US" w:eastAsia="zh-CN"/>
        </w:rPr>
        <w:t>15068136429</w:t>
      </w:r>
    </w:p>
    <w:p w14:paraId="2915E6F3">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cs="宋体"/>
          <w:color w:val="auto"/>
          <w:szCs w:val="21"/>
          <w:highlight w:val="none"/>
        </w:rPr>
      </w:pPr>
      <w:r>
        <w:rPr>
          <w:rFonts w:hint="eastAsia" w:ascii="宋体" w:hAnsi="宋体" w:cs="宋体"/>
          <w:color w:val="auto"/>
          <w:szCs w:val="21"/>
          <w:highlight w:val="none"/>
        </w:rPr>
        <w:t>质疑联系人：</w:t>
      </w:r>
      <w:r>
        <w:rPr>
          <w:rFonts w:hint="eastAsia" w:ascii="宋体" w:hAnsi="宋体" w:cs="宋体"/>
          <w:color w:val="auto"/>
          <w:szCs w:val="21"/>
          <w:highlight w:val="none"/>
          <w:lang w:val="en-US" w:eastAsia="zh-CN"/>
        </w:rPr>
        <w:t>应维兰</w:t>
      </w:r>
      <w:r>
        <w:rPr>
          <w:rFonts w:hint="eastAsia" w:ascii="宋体" w:hAnsi="宋体" w:cs="宋体"/>
          <w:color w:val="auto"/>
          <w:szCs w:val="21"/>
          <w:highlight w:val="none"/>
        </w:rPr>
        <w:t xml:space="preserve"> </w:t>
      </w:r>
    </w:p>
    <w:p w14:paraId="09DB6180">
      <w:pPr>
        <w:keepNext w:val="0"/>
        <w:keepLines w:val="0"/>
        <w:pageBreakBefore w:val="0"/>
        <w:widowControl w:val="0"/>
        <w:kinsoku/>
        <w:wordWrap/>
        <w:overflowPunct/>
        <w:topLinePunct w:val="0"/>
        <w:bidi w:val="0"/>
        <w:snapToGrid/>
        <w:spacing w:line="360" w:lineRule="auto"/>
        <w:ind w:firstLine="48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Cs w:val="21"/>
          <w:highlight w:val="none"/>
        </w:rPr>
        <w:t>质疑联系方式：</w:t>
      </w:r>
      <w:r>
        <w:rPr>
          <w:rFonts w:hint="eastAsia" w:ascii="宋体" w:hAnsi="宋体" w:cs="宋体"/>
          <w:color w:val="auto"/>
          <w:szCs w:val="21"/>
          <w:highlight w:val="none"/>
          <w:lang w:val="en-US" w:eastAsia="zh-CN"/>
        </w:rPr>
        <w:t>13777264083</w:t>
      </w:r>
    </w:p>
    <w:p w14:paraId="2754546A">
      <w:pPr>
        <w:pStyle w:val="10"/>
        <w:keepNext w:val="0"/>
        <w:keepLines w:val="0"/>
        <w:pageBreakBefore w:val="0"/>
        <w:widowControl w:val="0"/>
        <w:kinsoku/>
        <w:wordWrap/>
        <w:overflowPunct/>
        <w:topLinePunct w:val="0"/>
        <w:bidi w:val="0"/>
        <w:snapToGrid/>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3.监督管理部门            </w:t>
      </w:r>
    </w:p>
    <w:p w14:paraId="784D0530">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名    称：宁波市奉化区城市开发建设集团有限公司纪检监察室</w:t>
      </w:r>
    </w:p>
    <w:p w14:paraId="47F78C78">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    址：宁波市奉化区中山东路518号金城大厦B座</w:t>
      </w:r>
    </w:p>
    <w:p w14:paraId="01423921">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lang w:val="en-US" w:eastAsia="zh-CN"/>
        </w:rPr>
        <w:t>/</w:t>
      </w:r>
    </w:p>
    <w:p w14:paraId="39482FA6">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 系 人 ：应女士</w:t>
      </w:r>
    </w:p>
    <w:p w14:paraId="52B24F1A">
      <w:pPr>
        <w:keepNext w:val="0"/>
        <w:keepLines w:val="0"/>
        <w:pageBreakBefore w:val="0"/>
        <w:widowControl w:val="0"/>
        <w:kinsoku/>
        <w:wordWrap/>
        <w:overflowPunct/>
        <w:topLinePunct w:val="0"/>
        <w:bidi w:val="0"/>
        <w:snapToGrid/>
        <w:spacing w:line="360" w:lineRule="auto"/>
        <w:ind w:firstLine="48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监督投诉电话：0574-88680587          </w:t>
      </w:r>
    </w:p>
    <w:p w14:paraId="587AB011">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p>
    <w:p w14:paraId="55D22935">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若对项目采购电子交易系统操作有疑问，可登录</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https://www.lecaiyun.com/</w:t>
      </w:r>
      <w:r>
        <w:rPr>
          <w:rFonts w:hint="eastAsia" w:ascii="宋体" w:hAnsi="宋体" w:eastAsia="宋体" w:cs="宋体"/>
          <w:color w:val="auto"/>
          <w:sz w:val="21"/>
          <w:szCs w:val="21"/>
          <w:highlight w:val="none"/>
        </w:rPr>
        <w:t>），点击右侧咨询小采，获取采小蜜智能服务管家帮助，或拨打</w:t>
      </w:r>
      <w:r>
        <w:rPr>
          <w:rFonts w:hint="eastAsia" w:ascii="宋体" w:hAnsi="宋体" w:cs="宋体"/>
          <w:color w:val="auto"/>
          <w:sz w:val="21"/>
          <w:szCs w:val="21"/>
          <w:highlight w:val="none"/>
          <w:lang w:eastAsia="zh-CN"/>
        </w:rPr>
        <w:t>乐采云</w:t>
      </w:r>
      <w:r>
        <w:rPr>
          <w:rFonts w:hint="eastAsia" w:ascii="宋体" w:hAnsi="宋体" w:eastAsia="宋体" w:cs="宋体"/>
          <w:color w:val="auto"/>
          <w:sz w:val="21"/>
          <w:szCs w:val="21"/>
          <w:highlight w:val="none"/>
        </w:rPr>
        <w:t>服务热线95763获取热线服务帮助。</w:t>
      </w:r>
    </w:p>
    <w:p w14:paraId="0F6651FA">
      <w:pPr>
        <w:keepNext w:val="0"/>
        <w:keepLines w:val="0"/>
        <w:pageBreakBefore w:val="0"/>
        <w:kinsoku/>
        <w:wordWrap/>
        <w:overflowPunct/>
        <w:topLinePunct w:val="0"/>
        <w:bidi w:val="0"/>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CA问题联系电话（人工）：汇信CA 400-888-4636；天谷CA 400-087-8198。</w:t>
      </w:r>
    </w:p>
    <w:p w14:paraId="05E12578">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23C3A5F4">
      <w:pPr>
        <w:spacing w:line="360" w:lineRule="auto"/>
        <w:jc w:val="both"/>
        <w:outlineLvl w:val="0"/>
        <w:rPr>
          <w:rFonts w:hint="eastAsia" w:asciiTheme="minorEastAsia" w:hAnsiTheme="minorEastAsia" w:eastAsiaTheme="minorEastAsia" w:cstheme="minorEastAsia"/>
          <w:b/>
          <w:color w:val="auto"/>
          <w:sz w:val="36"/>
          <w:szCs w:val="20"/>
          <w:highlight w:val="none"/>
        </w:rPr>
      </w:pPr>
    </w:p>
    <w:p w14:paraId="6EEDBA34">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71348AB2">
      <w:pPr>
        <w:spacing w:line="360" w:lineRule="auto"/>
        <w:jc w:val="both"/>
        <w:outlineLvl w:val="0"/>
        <w:rPr>
          <w:rFonts w:hint="eastAsia" w:asciiTheme="minorEastAsia" w:hAnsiTheme="minorEastAsia" w:eastAsiaTheme="minorEastAsia" w:cstheme="minorEastAsia"/>
          <w:b/>
          <w:color w:val="auto"/>
          <w:sz w:val="36"/>
          <w:szCs w:val="20"/>
          <w:highlight w:val="none"/>
        </w:rPr>
      </w:pPr>
    </w:p>
    <w:p w14:paraId="077297BB">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475562D2">
      <w:pPr>
        <w:spacing w:line="360" w:lineRule="auto"/>
        <w:jc w:val="center"/>
        <w:outlineLvl w:val="0"/>
        <w:rPr>
          <w:rFonts w:hint="eastAsia" w:asciiTheme="minorEastAsia" w:hAnsiTheme="minorEastAsia" w:eastAsiaTheme="minorEastAsia" w:cstheme="minorEastAsia"/>
          <w:b/>
          <w:color w:val="auto"/>
          <w:sz w:val="36"/>
          <w:szCs w:val="20"/>
          <w:highlight w:val="none"/>
        </w:rPr>
      </w:pPr>
    </w:p>
    <w:p w14:paraId="37637D34">
      <w:pPr>
        <w:spacing w:line="360" w:lineRule="auto"/>
        <w:jc w:val="center"/>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第二部分</w:t>
      </w:r>
      <w:bookmarkEnd w:id="8"/>
      <w:r>
        <w:rPr>
          <w:rFonts w:hint="eastAsia" w:asciiTheme="minorEastAsia" w:hAnsiTheme="minorEastAsia" w:eastAsiaTheme="minorEastAsia" w:cstheme="minorEastAsia"/>
          <w:b/>
          <w:color w:val="auto"/>
          <w:sz w:val="36"/>
          <w:szCs w:val="20"/>
          <w:highlight w:val="none"/>
        </w:rPr>
        <w:t xml:space="preserve"> 响应须知</w:t>
      </w:r>
      <w:bookmarkEnd w:id="9"/>
    </w:p>
    <w:p w14:paraId="53F3DC8B">
      <w:pPr>
        <w:snapToGrid w:val="0"/>
        <w:spacing w:line="360" w:lineRule="auto"/>
        <w:jc w:val="center"/>
        <w:rPr>
          <w:rFonts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前附表</w:t>
      </w:r>
    </w:p>
    <w:tbl>
      <w:tblPr>
        <w:tblStyle w:val="24"/>
        <w:tblW w:w="913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662"/>
      </w:tblGrid>
      <w:tr w14:paraId="043C6A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24FFD948">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3135F9C0">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事项</w:t>
            </w:r>
          </w:p>
        </w:tc>
        <w:tc>
          <w:tcPr>
            <w:tcW w:w="6662" w:type="dxa"/>
            <w:tcBorders>
              <w:top w:val="single" w:color="000000" w:sz="8" w:space="0"/>
              <w:left w:val="single" w:color="000000" w:sz="2" w:space="0"/>
              <w:bottom w:val="single" w:color="000000" w:sz="8" w:space="0"/>
              <w:right w:val="single" w:color="000000" w:sz="8" w:space="0"/>
            </w:tcBorders>
            <w:vAlign w:val="center"/>
          </w:tcPr>
          <w:p w14:paraId="0D20E084">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本项目的特别规定</w:t>
            </w:r>
          </w:p>
        </w:tc>
      </w:tr>
      <w:tr w14:paraId="2B630B7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053" w:hRule="atLeast"/>
          <w:tblHeader/>
        </w:trPr>
        <w:tc>
          <w:tcPr>
            <w:tcW w:w="629" w:type="dxa"/>
            <w:tcBorders>
              <w:top w:val="single" w:color="auto" w:sz="4" w:space="0"/>
              <w:left w:val="single" w:color="auto" w:sz="4" w:space="0"/>
              <w:bottom w:val="single" w:color="auto" w:sz="4" w:space="0"/>
              <w:right w:val="single" w:color="auto" w:sz="4" w:space="0"/>
            </w:tcBorders>
          </w:tcPr>
          <w:p w14:paraId="01C88CE6">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4C543C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34D6EED5">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028A27D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1560D91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p>
          <w:p w14:paraId="27CC28D7">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3A9B6A4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报价要求</w:t>
            </w:r>
          </w:p>
        </w:tc>
        <w:tc>
          <w:tcPr>
            <w:tcW w:w="6662" w:type="dxa"/>
            <w:tcBorders>
              <w:top w:val="single" w:color="000000" w:sz="8" w:space="0"/>
              <w:left w:val="single" w:color="000000" w:sz="2" w:space="0"/>
              <w:bottom w:val="single" w:color="000000" w:sz="8" w:space="0"/>
              <w:right w:val="single" w:color="000000" w:sz="8" w:space="0"/>
            </w:tcBorders>
            <w:vAlign w:val="center"/>
          </w:tcPr>
          <w:p w14:paraId="069FD812">
            <w:pPr>
              <w:keepNext w:val="0"/>
              <w:keepLines w:val="0"/>
              <w:pageBreakBefore w:val="0"/>
              <w:widowControl w:val="0"/>
              <w:kinsoku/>
              <w:wordWrap/>
              <w:overflowPunct/>
              <w:topLinePunct w:val="0"/>
              <w:autoSpaceDE/>
              <w:autoSpaceDN/>
              <w:bidi w:val="0"/>
              <w:adjustRightInd/>
              <w:snapToGrid w:val="0"/>
              <w:spacing w:line="400" w:lineRule="exact"/>
              <w:ind w:firstLine="420" w:firstLineChars="200"/>
              <w:jc w:val="left"/>
              <w:textAlignment w:val="auto"/>
              <w:rPr>
                <w:rFonts w:hint="default" w:ascii="宋体" w:hAnsi="宋体" w:eastAsia="宋体" w:cs="宋体"/>
                <w:b/>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有关本项目实施所需的所有费用（含税费）均计入报价。</w:t>
            </w:r>
            <w:r>
              <w:rPr>
                <w:rFonts w:hint="eastAsia" w:ascii="宋体" w:hAnsi="宋体" w:eastAsia="宋体" w:cs="宋体"/>
                <w:color w:val="auto"/>
                <w:sz w:val="21"/>
                <w:szCs w:val="21"/>
                <w:highlight w:val="none"/>
              </w:rPr>
              <w:t>报价一览表是报价的唯一载体</w:t>
            </w:r>
            <w:r>
              <w:rPr>
                <w:rFonts w:hint="eastAsia" w:ascii="宋体" w:hAnsi="宋体" w:eastAsia="宋体" w:cs="宋体"/>
                <w:color w:val="auto"/>
                <w:kern w:val="0"/>
                <w:sz w:val="21"/>
                <w:szCs w:val="21"/>
                <w:highlight w:val="none"/>
                <w:lang w:val="zh-CN"/>
              </w:rPr>
              <w:t>。</w:t>
            </w:r>
            <w:r>
              <w:rPr>
                <w:rFonts w:hint="eastAsia" w:ascii="宋体" w:hAnsi="宋体" w:eastAsia="宋体" w:cs="宋体"/>
                <w:b/>
                <w:bCs/>
                <w:color w:val="auto"/>
                <w:kern w:val="0"/>
                <w:sz w:val="21"/>
                <w:szCs w:val="21"/>
                <w:highlight w:val="none"/>
                <w:lang w:val="zh-CN"/>
              </w:rPr>
              <w:t>响应文件中</w:t>
            </w:r>
            <w:r>
              <w:rPr>
                <w:rFonts w:hint="eastAsia" w:ascii="宋体" w:hAnsi="宋体" w:cs="宋体"/>
                <w:b/>
                <w:bCs/>
                <w:color w:val="auto"/>
                <w:kern w:val="0"/>
                <w:sz w:val="21"/>
                <w:szCs w:val="21"/>
                <w:highlight w:val="none"/>
                <w:lang w:val="en-US" w:eastAsia="zh-CN"/>
              </w:rPr>
              <w:t>价格采用综合折扣报价。</w:t>
            </w:r>
          </w:p>
          <w:p w14:paraId="4F8308F6">
            <w:pPr>
              <w:keepNext w:val="0"/>
              <w:keepLines w:val="0"/>
              <w:pageBreakBefore w:val="0"/>
              <w:widowControl w:val="0"/>
              <w:kinsoku/>
              <w:wordWrap/>
              <w:overflowPunct/>
              <w:topLinePunct w:val="0"/>
              <w:autoSpaceDE/>
              <w:autoSpaceDN/>
              <w:bidi w:val="0"/>
              <w:adjustRightInd/>
              <w:snapToGrid w:val="0"/>
              <w:spacing w:line="400" w:lineRule="exact"/>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响应报价出现下列情形的，响应无效：</w:t>
            </w:r>
          </w:p>
          <w:p w14:paraId="4BC54E84">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响应文件出现不是唯一的、有选择性响应报价的；</w:t>
            </w:r>
          </w:p>
          <w:p w14:paraId="3E5109D6">
            <w:pPr>
              <w:keepNext w:val="0"/>
              <w:keepLines w:val="0"/>
              <w:pageBreakBefore w:val="0"/>
              <w:widowControl w:val="0"/>
              <w:kinsoku/>
              <w:wordWrap/>
              <w:overflowPunct/>
              <w:topLinePunct w:val="0"/>
              <w:autoSpaceDE/>
              <w:autoSpaceDN/>
              <w:bidi w:val="0"/>
              <w:adjustRightInd/>
              <w:snapToGrid w:val="0"/>
              <w:spacing w:line="400" w:lineRule="exact"/>
              <w:ind w:firstLine="422" w:firstLineChars="200"/>
              <w:jc w:val="left"/>
              <w:textAlignment w:val="auto"/>
              <w:rPr>
                <w:rFonts w:hint="eastAsia" w:ascii="宋体" w:hAnsi="宋体" w:eastAsia="宋体" w:cs="宋体"/>
                <w:color w:val="auto"/>
                <w:kern w:val="0"/>
                <w:sz w:val="21"/>
                <w:szCs w:val="21"/>
                <w:highlight w:val="none"/>
                <w:lang w:val="zh-CN"/>
              </w:rPr>
            </w:pPr>
            <w:r>
              <w:rPr>
                <w:rFonts w:hint="eastAsia" w:ascii="宋体" w:hAnsi="宋体" w:eastAsia="宋体" w:cs="宋体"/>
                <w:b/>
                <w:color w:val="auto"/>
                <w:kern w:val="0"/>
                <w:sz w:val="21"/>
                <w:szCs w:val="21"/>
                <w:highlight w:val="none"/>
                <w:lang w:val="zh-CN"/>
              </w:rPr>
              <w:t>响应报价超过采购文件中规定的</w:t>
            </w:r>
            <w:r>
              <w:rPr>
                <w:rFonts w:hint="eastAsia" w:ascii="宋体" w:hAnsi="宋体" w:cs="宋体"/>
                <w:b/>
                <w:color w:val="auto"/>
                <w:kern w:val="0"/>
                <w:sz w:val="21"/>
                <w:szCs w:val="21"/>
                <w:highlight w:val="none"/>
                <w:lang w:val="en-US" w:eastAsia="zh-CN"/>
              </w:rPr>
              <w:t>最高综合折扣94%的</w:t>
            </w:r>
            <w:r>
              <w:rPr>
                <w:rFonts w:hint="eastAsia" w:ascii="宋体" w:hAnsi="宋体" w:eastAsia="宋体" w:cs="宋体"/>
                <w:b/>
                <w:color w:val="auto"/>
                <w:kern w:val="0"/>
                <w:sz w:val="21"/>
                <w:szCs w:val="21"/>
                <w:highlight w:val="none"/>
                <w:lang w:val="zh-CN"/>
              </w:rPr>
              <w:t>；</w:t>
            </w:r>
          </w:p>
          <w:p w14:paraId="59CBF83B">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报价明显低于其他通过符合性审查供应商的报价，有可能影响服务质量或者不能诚信履约的，未能按要求提供书面说明或者提交相关证明材料证明其报价合理性的</w:t>
            </w:r>
            <w:r>
              <w:rPr>
                <w:rFonts w:hint="eastAsia" w:ascii="宋体" w:hAnsi="宋体" w:eastAsia="宋体" w:cs="宋体"/>
                <w:b/>
                <w:color w:val="auto"/>
                <w:sz w:val="21"/>
                <w:szCs w:val="21"/>
                <w:highlight w:val="none"/>
              </w:rPr>
              <w:t>;</w:t>
            </w:r>
          </w:p>
          <w:p w14:paraId="5A015E8A">
            <w:pPr>
              <w:keepNext w:val="0"/>
              <w:keepLines w:val="0"/>
              <w:pageBreakBefore w:val="0"/>
              <w:widowControl w:val="0"/>
              <w:kinsoku/>
              <w:wordWrap/>
              <w:overflowPunct/>
              <w:topLinePunct w:val="0"/>
              <w:autoSpaceDE/>
              <w:autoSpaceDN/>
              <w:bidi w:val="0"/>
              <w:adjustRightInd/>
              <w:spacing w:line="400" w:lineRule="exact"/>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kern w:val="0"/>
                <w:sz w:val="21"/>
                <w:szCs w:val="21"/>
                <w:highlight w:val="none"/>
              </w:rPr>
              <w:t>供应商对根据修正原则修正后的报价不确认的</w:t>
            </w:r>
            <w:r>
              <w:rPr>
                <w:rFonts w:hint="eastAsia" w:ascii="宋体" w:hAnsi="宋体" w:eastAsia="宋体" w:cs="宋体"/>
                <w:b/>
                <w:color w:val="auto"/>
                <w:sz w:val="21"/>
                <w:szCs w:val="21"/>
                <w:highlight w:val="none"/>
              </w:rPr>
              <w:t>。</w:t>
            </w:r>
          </w:p>
        </w:tc>
      </w:tr>
      <w:tr w14:paraId="5154AC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3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3308C3BD">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615679F5">
            <w:pPr>
              <w:keepNext w:val="0"/>
              <w:keepLines w:val="0"/>
              <w:pageBreakBefore w:val="0"/>
              <w:widowControl w:val="0"/>
              <w:kinsoku/>
              <w:wordWrap/>
              <w:overflowPunct/>
              <w:topLinePunct w:val="0"/>
              <w:autoSpaceDE/>
              <w:autoSpaceDN/>
              <w:bidi w:val="0"/>
              <w:adjustRightInd/>
              <w:snapToGrid w:val="0"/>
              <w:spacing w:line="400" w:lineRule="exact"/>
              <w:ind w:firstLine="632" w:firstLineChars="300"/>
              <w:jc w:val="left"/>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分包</w:t>
            </w:r>
          </w:p>
        </w:tc>
        <w:tc>
          <w:tcPr>
            <w:tcW w:w="6662" w:type="dxa"/>
            <w:tcBorders>
              <w:top w:val="single" w:color="000000" w:sz="8" w:space="0"/>
              <w:left w:val="single" w:color="000000" w:sz="2" w:space="0"/>
              <w:bottom w:val="single" w:color="000000" w:sz="8" w:space="0"/>
              <w:right w:val="single" w:color="000000" w:sz="8" w:space="0"/>
            </w:tcBorders>
            <w:vAlign w:val="center"/>
          </w:tcPr>
          <w:p w14:paraId="28092F9A">
            <w:pPr>
              <w:keepNext w:val="0"/>
              <w:keepLines w:val="0"/>
              <w:pageBreakBefore w:val="0"/>
              <w:widowControl w:val="0"/>
              <w:kinsoku/>
              <w:wordWrap/>
              <w:overflowPunct/>
              <w:topLinePunct w:val="0"/>
              <w:autoSpaceDE/>
              <w:autoSpaceDN/>
              <w:bidi w:val="0"/>
              <w:adjustRightInd/>
              <w:spacing w:line="400" w:lineRule="exact"/>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不同意分包。</w:t>
            </w:r>
          </w:p>
        </w:tc>
      </w:tr>
      <w:tr w14:paraId="509341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342"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52E8F1AA">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25A6DB4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供应商应当提供的资格文件</w:t>
            </w:r>
          </w:p>
        </w:tc>
        <w:tc>
          <w:tcPr>
            <w:tcW w:w="6662" w:type="dxa"/>
            <w:tcBorders>
              <w:top w:val="single" w:color="000000" w:sz="8" w:space="0"/>
              <w:left w:val="single" w:color="000000" w:sz="2" w:space="0"/>
              <w:bottom w:val="single" w:color="000000" w:sz="8" w:space="0"/>
              <w:right w:val="single" w:color="000000" w:sz="8" w:space="0"/>
            </w:tcBorders>
            <w:vAlign w:val="center"/>
          </w:tcPr>
          <w:p w14:paraId="125A148D">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资格证明文件：见采购文件第二部分9.1。</w:t>
            </w:r>
          </w:p>
          <w:p w14:paraId="00D7AE23">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资格证明文件不全的或者不符合采购文件标明的资格要求的</w:t>
            </w:r>
            <w:r>
              <w:rPr>
                <w:rFonts w:hint="eastAsia" w:ascii="宋体" w:hAnsi="宋体" w:eastAsia="宋体" w:cs="宋体"/>
                <w:color w:val="auto"/>
                <w:sz w:val="21"/>
                <w:szCs w:val="21"/>
                <w:highlight w:val="none"/>
                <w:lang w:val="zh-CN"/>
              </w:rPr>
              <w:t>，视为供应商不具备采购文件中规定的资格要求，响应无效。</w:t>
            </w:r>
          </w:p>
        </w:tc>
      </w:tr>
      <w:tr w14:paraId="4E15F6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tcPr>
          <w:p w14:paraId="278D5ABB">
            <w:pPr>
              <w:keepNext w:val="0"/>
              <w:keepLines w:val="0"/>
              <w:pageBreakBefore w:val="0"/>
              <w:widowControl w:val="0"/>
              <w:kinsoku/>
              <w:wordWrap/>
              <w:overflowPunct/>
              <w:topLinePunct w:val="0"/>
              <w:autoSpaceDE/>
              <w:autoSpaceDN/>
              <w:bidi w:val="0"/>
              <w:adjustRightInd/>
              <w:snapToGrid w:val="0"/>
              <w:spacing w:line="400" w:lineRule="exact"/>
              <w:ind w:firstLine="210" w:firstLineChars="100"/>
              <w:jc w:val="both"/>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47575A0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现场考察</w:t>
            </w:r>
          </w:p>
        </w:tc>
        <w:tc>
          <w:tcPr>
            <w:tcW w:w="6662" w:type="dxa"/>
            <w:tcBorders>
              <w:top w:val="single" w:color="000000" w:sz="8" w:space="0"/>
              <w:left w:val="single" w:color="000000" w:sz="2" w:space="0"/>
              <w:bottom w:val="single" w:color="000000" w:sz="8" w:space="0"/>
              <w:right w:val="single" w:color="000000" w:sz="8" w:space="0"/>
            </w:tcBorders>
            <w:vAlign w:val="center"/>
          </w:tcPr>
          <w:p w14:paraId="58B60C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不组织。</w:t>
            </w:r>
          </w:p>
        </w:tc>
      </w:tr>
      <w:tr w14:paraId="0E5B9E8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2C29C52E">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115A480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样品提供</w:t>
            </w:r>
          </w:p>
        </w:tc>
        <w:tc>
          <w:tcPr>
            <w:tcW w:w="6662" w:type="dxa"/>
            <w:tcBorders>
              <w:top w:val="single" w:color="000000" w:sz="8" w:space="0"/>
              <w:left w:val="single" w:color="000000" w:sz="2" w:space="0"/>
              <w:bottom w:val="single" w:color="000000" w:sz="8" w:space="0"/>
              <w:right w:val="single" w:color="000000" w:sz="8" w:space="0"/>
            </w:tcBorders>
            <w:vAlign w:val="center"/>
          </w:tcPr>
          <w:p w14:paraId="73C1C32C">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不要求提供。</w:t>
            </w:r>
          </w:p>
        </w:tc>
      </w:tr>
      <w:tr w14:paraId="6DA43F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25"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5C1C6B5F">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843" w:type="dxa"/>
            <w:tcBorders>
              <w:top w:val="single" w:color="000000" w:sz="8" w:space="0"/>
              <w:left w:val="single" w:color="000000" w:sz="2" w:space="0"/>
              <w:bottom w:val="single" w:color="000000" w:sz="8" w:space="0"/>
              <w:right w:val="single" w:color="000000" w:sz="8" w:space="0"/>
            </w:tcBorders>
            <w:vAlign w:val="center"/>
          </w:tcPr>
          <w:p w14:paraId="5B66402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Cs/>
                <w:color w:val="auto"/>
                <w:sz w:val="21"/>
                <w:szCs w:val="21"/>
                <w:highlight w:val="none"/>
              </w:rPr>
            </w:pPr>
            <w:r>
              <w:rPr>
                <w:rFonts w:hint="eastAsia" w:ascii="宋体" w:hAnsi="宋体" w:eastAsia="宋体" w:cs="宋体"/>
                <w:b/>
                <w:color w:val="auto"/>
                <w:sz w:val="21"/>
                <w:szCs w:val="21"/>
                <w:highlight w:val="none"/>
              </w:rPr>
              <w:t>方案讲解演示</w:t>
            </w:r>
          </w:p>
        </w:tc>
        <w:tc>
          <w:tcPr>
            <w:tcW w:w="6662" w:type="dxa"/>
            <w:tcBorders>
              <w:top w:val="single" w:color="000000" w:sz="8" w:space="0"/>
              <w:left w:val="single" w:color="000000" w:sz="2" w:space="0"/>
              <w:bottom w:val="single" w:color="000000" w:sz="8" w:space="0"/>
              <w:right w:val="single" w:color="000000" w:sz="8" w:space="0"/>
            </w:tcBorders>
            <w:vAlign w:val="center"/>
          </w:tcPr>
          <w:p w14:paraId="6487D73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b/>
                <w:color w:val="auto"/>
                <w:kern w:val="0"/>
                <w:sz w:val="21"/>
                <w:szCs w:val="21"/>
                <w:highlight w:val="none"/>
                <w:lang w:val="zh-CN"/>
              </w:rPr>
            </w:pPr>
            <w:r>
              <w:rPr>
                <w:rFonts w:hint="eastAsia" w:ascii="宋体" w:hAnsi="宋体" w:eastAsia="宋体" w:cs="宋体"/>
                <w:color w:val="auto"/>
                <w:sz w:val="21"/>
                <w:szCs w:val="21"/>
                <w:highlight w:val="none"/>
              </w:rPr>
              <w:t>不组织。</w:t>
            </w:r>
          </w:p>
        </w:tc>
      </w:tr>
      <w:tr w14:paraId="045654A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8"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713711A3">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843" w:type="dxa"/>
            <w:tcBorders>
              <w:top w:val="single" w:color="000000" w:sz="8" w:space="0"/>
              <w:left w:val="single" w:color="000000" w:sz="2" w:space="0"/>
              <w:bottom w:val="single" w:color="000000" w:sz="8" w:space="0"/>
              <w:right w:val="single" w:color="000000" w:sz="8" w:space="0"/>
            </w:tcBorders>
            <w:vAlign w:val="center"/>
          </w:tcPr>
          <w:p w14:paraId="71BF32F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是否允许采购进口产品</w:t>
            </w:r>
          </w:p>
        </w:tc>
        <w:tc>
          <w:tcPr>
            <w:tcW w:w="6662" w:type="dxa"/>
            <w:tcBorders>
              <w:top w:val="single" w:color="000000" w:sz="8" w:space="0"/>
              <w:left w:val="single" w:color="000000" w:sz="2" w:space="0"/>
              <w:bottom w:val="single" w:color="000000" w:sz="8" w:space="0"/>
              <w:right w:val="single" w:color="000000" w:sz="8" w:space="0"/>
            </w:tcBorders>
            <w:vAlign w:val="center"/>
          </w:tcPr>
          <w:p w14:paraId="757729B5">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本项目不允许采购进口产品。</w:t>
            </w:r>
          </w:p>
        </w:tc>
      </w:tr>
      <w:tr w14:paraId="5E8124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14:paraId="4B575F8B">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8</w:t>
            </w:r>
          </w:p>
        </w:tc>
        <w:tc>
          <w:tcPr>
            <w:tcW w:w="1843" w:type="dxa"/>
            <w:tcBorders>
              <w:top w:val="single" w:color="000000" w:sz="8" w:space="0"/>
              <w:left w:val="single" w:color="000000" w:sz="2" w:space="0"/>
              <w:bottom w:val="single" w:color="000000" w:sz="8" w:space="0"/>
              <w:right w:val="single" w:color="000000" w:sz="8" w:space="0"/>
            </w:tcBorders>
            <w:vAlign w:val="center"/>
          </w:tcPr>
          <w:p w14:paraId="529A26B0">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采购标的对应的中小企业划分标准所属行业</w:t>
            </w:r>
          </w:p>
        </w:tc>
        <w:tc>
          <w:tcPr>
            <w:tcW w:w="6662" w:type="dxa"/>
            <w:tcBorders>
              <w:top w:val="single" w:color="000000" w:sz="8" w:space="0"/>
              <w:left w:val="single" w:color="000000" w:sz="2" w:space="0"/>
              <w:bottom w:val="single" w:color="000000" w:sz="8" w:space="0"/>
              <w:right w:val="single" w:color="000000" w:sz="8" w:space="0"/>
            </w:tcBorders>
            <w:vAlign w:val="center"/>
          </w:tcPr>
          <w:p w14:paraId="776BC7E6">
            <w:pPr>
              <w:keepNext w:val="0"/>
              <w:keepLines w:val="0"/>
              <w:pageBreakBefore w:val="0"/>
              <w:widowControl w:val="0"/>
              <w:kinsoku/>
              <w:wordWrap/>
              <w:overflowPunct/>
              <w:topLinePunct w:val="0"/>
              <w:autoSpaceDE/>
              <w:autoSpaceDN/>
              <w:bidi w:val="0"/>
              <w:adjustRightInd/>
              <w:snapToGrid w:val="0"/>
              <w:spacing w:line="400" w:lineRule="exac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w:t>
            </w:r>
            <w:r>
              <w:rPr>
                <w:rFonts w:hint="eastAsia" w:ascii="宋体" w:hAnsi="宋体" w:cs="宋体"/>
                <w:bCs/>
                <w:snapToGrid w:val="0"/>
                <w:color w:val="auto"/>
                <w:kern w:val="2"/>
                <w:sz w:val="21"/>
                <w:szCs w:val="21"/>
                <w:highlight w:val="none"/>
                <w:lang w:val="en-US" w:eastAsia="zh-CN" w:bidi="ar-SA"/>
              </w:rPr>
              <w:t xml:space="preserve">奉化区溪口三隐潭沿线电缆改造工程 </w:t>
            </w:r>
            <w:r>
              <w:rPr>
                <w:rFonts w:hint="eastAsia" w:ascii="宋体" w:hAnsi="宋体" w:eastAsia="宋体" w:cs="宋体"/>
                <w:color w:val="auto"/>
                <w:kern w:val="0"/>
                <w:sz w:val="21"/>
                <w:szCs w:val="21"/>
                <w:highlight w:val="none"/>
              </w:rPr>
              <w:t>，属于</w:t>
            </w:r>
            <w:r>
              <w:rPr>
                <w:rFonts w:hint="eastAsia" w:ascii="宋体" w:hAnsi="宋体" w:cs="宋体"/>
                <w:color w:val="auto"/>
                <w:kern w:val="0"/>
                <w:sz w:val="21"/>
                <w:szCs w:val="21"/>
                <w:highlight w:val="none"/>
                <w:u w:val="single"/>
                <w:lang w:val="en-US" w:eastAsia="zh-CN"/>
              </w:rPr>
              <w:t>建筑</w:t>
            </w:r>
            <w:r>
              <w:rPr>
                <w:rFonts w:hint="eastAsia" w:ascii="宋体" w:hAnsi="宋体" w:eastAsia="宋体" w:cs="宋体"/>
                <w:color w:val="auto"/>
                <w:kern w:val="0"/>
                <w:sz w:val="21"/>
                <w:szCs w:val="21"/>
                <w:highlight w:val="none"/>
              </w:rPr>
              <w:t>行业；</w:t>
            </w:r>
          </w:p>
        </w:tc>
      </w:tr>
      <w:tr w14:paraId="49D4CD6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202" w:hRule="atLeast"/>
          <w:tblHeader/>
        </w:trPr>
        <w:tc>
          <w:tcPr>
            <w:tcW w:w="629" w:type="dxa"/>
            <w:tcBorders>
              <w:top w:val="single" w:color="auto" w:sz="4" w:space="0"/>
              <w:left w:val="single" w:color="000000" w:sz="8" w:space="0"/>
              <w:right w:val="single" w:color="000000" w:sz="2" w:space="0"/>
            </w:tcBorders>
            <w:vAlign w:val="center"/>
          </w:tcPr>
          <w:p w14:paraId="761431C8">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w:t>
            </w:r>
            <w:r>
              <w:rPr>
                <w:rFonts w:hint="eastAsia" w:ascii="宋体" w:hAnsi="宋体" w:cs="宋体"/>
                <w:color w:val="auto"/>
                <w:sz w:val="21"/>
                <w:szCs w:val="21"/>
                <w:highlight w:val="none"/>
                <w:lang w:val="en-US" w:eastAsia="zh-CN"/>
              </w:rPr>
              <w:t>0</w:t>
            </w:r>
          </w:p>
        </w:tc>
        <w:tc>
          <w:tcPr>
            <w:tcW w:w="1843" w:type="dxa"/>
            <w:tcBorders>
              <w:top w:val="single" w:color="000000" w:sz="8" w:space="0"/>
              <w:left w:val="single" w:color="000000" w:sz="2" w:space="0"/>
              <w:right w:val="single" w:color="000000" w:sz="8" w:space="0"/>
            </w:tcBorders>
            <w:vAlign w:val="center"/>
          </w:tcPr>
          <w:p w14:paraId="6D387D32">
            <w:pPr>
              <w:keepNext w:val="0"/>
              <w:keepLines w:val="0"/>
              <w:pageBreakBefore w:val="0"/>
              <w:widowControl w:val="0"/>
              <w:kinsoku/>
              <w:wordWrap/>
              <w:overflowPunct/>
              <w:topLinePunct w:val="0"/>
              <w:autoSpaceDE/>
              <w:autoSpaceDN/>
              <w:bidi w:val="0"/>
              <w:adjustRightInd/>
              <w:snapToGrid w:val="0"/>
              <w:spacing w:line="400" w:lineRule="exact"/>
              <w:jc w:val="center"/>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lang w:eastAsia="zh-CN"/>
              </w:rPr>
              <w:t>代理服务费</w:t>
            </w:r>
          </w:p>
        </w:tc>
        <w:tc>
          <w:tcPr>
            <w:tcW w:w="6662" w:type="dxa"/>
            <w:tcBorders>
              <w:top w:val="single" w:color="000000" w:sz="8" w:space="0"/>
              <w:left w:val="single" w:color="000000" w:sz="2" w:space="0"/>
              <w:bottom w:val="single" w:color="000000" w:sz="8" w:space="0"/>
              <w:right w:val="single" w:color="000000" w:sz="8" w:space="0"/>
            </w:tcBorders>
            <w:vAlign w:val="center"/>
          </w:tcPr>
          <w:p w14:paraId="768DC0E1">
            <w:pPr>
              <w:keepNext w:val="0"/>
              <w:keepLines w:val="0"/>
              <w:pageBreakBefore w:val="0"/>
              <w:widowControl w:val="0"/>
              <w:kinsoku/>
              <w:wordWrap/>
              <w:overflowPunct/>
              <w:topLinePunct w:val="0"/>
              <w:autoSpaceDE/>
              <w:autoSpaceDN/>
              <w:bidi w:val="0"/>
              <w:adjustRightInd/>
              <w:spacing w:line="400" w:lineRule="exact"/>
              <w:textAlignment w:val="auto"/>
              <w:rPr>
                <w:rFonts w:hint="eastAsia" w:ascii="宋体" w:hAnsi="宋体" w:eastAsia="宋体" w:cs="宋体"/>
                <w:snapToGrid w:val="0"/>
                <w:color w:val="auto"/>
                <w:kern w:val="28"/>
                <w:sz w:val="21"/>
                <w:szCs w:val="21"/>
                <w:highlight w:val="none"/>
              </w:rPr>
            </w:pPr>
            <w:r>
              <w:rPr>
                <w:rFonts w:hint="eastAsia" w:ascii="宋体" w:hAnsi="宋体" w:eastAsia="宋体" w:cs="宋体"/>
                <w:color w:val="auto"/>
                <w:sz w:val="21"/>
                <w:szCs w:val="21"/>
                <w:highlight w:val="none"/>
              </w:rPr>
              <w:t>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根据国家发改委发改办价格[2003]857号通知和原国家计委计价格[2002]1980号文件规定的</w:t>
            </w:r>
            <w:r>
              <w:rPr>
                <w:rFonts w:hint="eastAsia" w:ascii="宋体" w:hAnsi="宋体" w:cs="宋体"/>
                <w:color w:val="auto"/>
                <w:sz w:val="21"/>
                <w:szCs w:val="21"/>
                <w:highlight w:val="none"/>
                <w:lang w:val="en-US" w:eastAsia="zh-CN"/>
              </w:rPr>
              <w:t>工程</w:t>
            </w:r>
            <w:r>
              <w:rPr>
                <w:rFonts w:hint="eastAsia" w:ascii="宋体" w:hAnsi="宋体" w:eastAsia="宋体" w:cs="宋体"/>
                <w:color w:val="auto"/>
                <w:sz w:val="21"/>
                <w:szCs w:val="21"/>
                <w:highlight w:val="none"/>
              </w:rPr>
              <w:t>招标费率标准*0.8收取</w:t>
            </w:r>
            <w:r>
              <w:rPr>
                <w:rFonts w:hint="eastAsia" w:ascii="宋体" w:hAnsi="宋体" w:eastAsia="宋体" w:cs="宋体"/>
                <w:color w:val="auto"/>
                <w:sz w:val="21"/>
                <w:szCs w:val="21"/>
                <w:highlight w:val="none"/>
                <w:lang w:eastAsia="zh-CN"/>
              </w:rPr>
              <w:t>代理服务费</w:t>
            </w:r>
            <w:r>
              <w:rPr>
                <w:rFonts w:hint="eastAsia" w:ascii="宋体" w:hAnsi="宋体" w:eastAsia="宋体" w:cs="宋体"/>
                <w:color w:val="auto"/>
                <w:sz w:val="21"/>
                <w:szCs w:val="21"/>
                <w:highlight w:val="none"/>
              </w:rPr>
              <w:t>，按照成交通知书确定的成交总金额，向成交人收取代理服务费。成交人应在本公司发出成交通知书5个工作日内向本采购</w:t>
            </w:r>
            <w:r>
              <w:rPr>
                <w:rFonts w:hint="eastAsia" w:ascii="宋体" w:hAnsi="宋体" w:eastAsia="宋体" w:cs="宋体"/>
                <w:color w:val="auto"/>
                <w:sz w:val="21"/>
                <w:szCs w:val="21"/>
                <w:highlight w:val="none"/>
                <w:lang w:eastAsia="zh-CN"/>
              </w:rPr>
              <w:t>代理机构</w:t>
            </w:r>
            <w:r>
              <w:rPr>
                <w:rFonts w:hint="eastAsia" w:ascii="宋体" w:hAnsi="宋体" w:eastAsia="宋体" w:cs="宋体"/>
                <w:color w:val="auto"/>
                <w:sz w:val="21"/>
                <w:szCs w:val="21"/>
                <w:highlight w:val="none"/>
              </w:rPr>
              <w:t>支付代理服务费。代理服务费只收现金、银行票汇款、电汇款。</w:t>
            </w:r>
          </w:p>
        </w:tc>
      </w:tr>
      <w:bookmarkEnd w:id="10"/>
    </w:tbl>
    <w:p w14:paraId="567218B0">
      <w:pPr>
        <w:adjustRightInd/>
        <w:spacing w:line="360" w:lineRule="auto"/>
        <w:outlineLvl w:val="0"/>
        <w:rPr>
          <w:rFonts w:hint="eastAsia" w:asciiTheme="minorEastAsia" w:hAnsiTheme="minorEastAsia" w:eastAsiaTheme="minorEastAsia" w:cstheme="minorEastAsia"/>
          <w:b/>
          <w:color w:val="auto"/>
          <w:sz w:val="32"/>
          <w:szCs w:val="20"/>
          <w:highlight w:val="none"/>
        </w:rPr>
      </w:pPr>
      <w:bookmarkStart w:id="11" w:name="第三部分"/>
      <w:bookmarkStart w:id="12" w:name="_Toc164416483"/>
      <w:bookmarkStart w:id="13" w:name="第四部分"/>
    </w:p>
    <w:bookmarkEnd w:id="11"/>
    <w:bookmarkEnd w:id="12"/>
    <w:p w14:paraId="7F7FF60B">
      <w:pPr>
        <w:adjustRightInd/>
        <w:spacing w:line="360" w:lineRule="auto"/>
        <w:ind w:firstLine="3845" w:firstLineChars="1197"/>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一、总则</w:t>
      </w:r>
    </w:p>
    <w:p w14:paraId="3A9F4479">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适用范围</w:t>
      </w:r>
    </w:p>
    <w:p w14:paraId="37B30CB6">
      <w:pPr>
        <w:snapToGrid w:val="0"/>
        <w:spacing w:line="360" w:lineRule="auto"/>
        <w:ind w:firstLine="420" w:firstLineChars="200"/>
        <w:jc w:val="left"/>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文件适用于该项目的</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响应文件开启</w:t>
      </w:r>
      <w:r>
        <w:rPr>
          <w:rFonts w:hint="eastAsia" w:asciiTheme="minorEastAsia" w:hAnsiTheme="minorEastAsia" w:eastAsiaTheme="minorEastAsia" w:cstheme="minorEastAsia"/>
          <w:color w:val="auto"/>
          <w:sz w:val="21"/>
          <w:szCs w:val="21"/>
          <w:highlight w:val="none"/>
        </w:rPr>
        <w:t>、资格审查及信用信息查询、评</w:t>
      </w:r>
      <w:r>
        <w:rPr>
          <w:rFonts w:hint="eastAsia" w:asciiTheme="minorEastAsia" w:hAnsiTheme="minorEastAsia" w:eastAsiaTheme="minorEastAsia" w:cstheme="minorEastAsia"/>
          <w:color w:val="auto"/>
          <w:sz w:val="21"/>
          <w:szCs w:val="21"/>
          <w:highlight w:val="none"/>
          <w:lang w:eastAsia="zh-CN"/>
        </w:rPr>
        <w:t>审</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eastAsia="zh-CN"/>
        </w:rPr>
        <w:t>成交供应商确定</w:t>
      </w:r>
      <w:r>
        <w:rPr>
          <w:rFonts w:hint="eastAsia" w:asciiTheme="minorEastAsia" w:hAnsiTheme="minorEastAsia" w:eastAsiaTheme="minorEastAsia" w:cstheme="minorEastAsia"/>
          <w:color w:val="auto"/>
          <w:sz w:val="21"/>
          <w:szCs w:val="21"/>
          <w:highlight w:val="none"/>
        </w:rPr>
        <w:t>、合同、验收等行为（法律、法规另有规定的，从其规定）。</w:t>
      </w:r>
    </w:p>
    <w:p w14:paraId="67EE527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定义</w:t>
      </w:r>
    </w:p>
    <w:p w14:paraId="5EA6885A">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2.1 “采购人”系指竞争性磋商公告中载明的本项目的采购人。</w:t>
      </w:r>
    </w:p>
    <w:p w14:paraId="7DCF4EC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2.2 “采购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机构”系指竞争性磋商公告中载明的本项目的采购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p>
    <w:p w14:paraId="54A4679C">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2.3 “</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”系指是指响应</w:t>
      </w:r>
      <w:r>
        <w:rPr>
          <w:rFonts w:hint="eastAsia" w:asciiTheme="minorEastAsia" w:hAnsiTheme="minorEastAsia" w:eastAsiaTheme="minorEastAsia" w:cstheme="minorEastAsia"/>
          <w:color w:val="auto"/>
          <w:sz w:val="21"/>
          <w:szCs w:val="21"/>
          <w:highlight w:val="none"/>
          <w:lang w:eastAsia="zh-CN"/>
        </w:rPr>
        <w:t>采购</w:t>
      </w:r>
      <w:r>
        <w:rPr>
          <w:rFonts w:hint="eastAsia" w:asciiTheme="minorEastAsia" w:hAnsiTheme="minorEastAsia" w:eastAsiaTheme="minorEastAsia" w:cstheme="minorEastAsia"/>
          <w:color w:val="auto"/>
          <w:sz w:val="21"/>
          <w:szCs w:val="21"/>
          <w:highlight w:val="none"/>
        </w:rPr>
        <w:t>、参加</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竞争的法人、其他组织或者自然人。</w:t>
      </w:r>
    </w:p>
    <w:p w14:paraId="149ABD41">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2.4 “负责人”系指法人企业的法定负责人，或其他组织为法律、行政法规规定代表单位行使职权的主要负责人，或自然人本人。</w:t>
      </w:r>
    </w:p>
    <w:p w14:paraId="1F9D1F90">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2.5“电子签名”系指数据电文中以电子形式所含、所附用于识别签名人身份并表明签名人认可其中内容的数据；“公章”系指单位法定名称章。</w:t>
      </w:r>
    </w:p>
    <w:p w14:paraId="1AFDA30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2.6“电子交易平台”是指本项目政府采购活动所依托的</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（https://</w:t>
      </w:r>
      <w:r>
        <w:rPr>
          <w:rFonts w:hint="eastAsia" w:asciiTheme="minorEastAsia" w:hAnsiTheme="minorEastAsia" w:eastAsiaTheme="minorEastAsia" w:cstheme="minorEastAsia"/>
          <w:color w:val="auto"/>
          <w:sz w:val="21"/>
          <w:szCs w:val="21"/>
          <w:highlight w:val="none"/>
          <w:lang w:eastAsia="zh-CN"/>
        </w:rPr>
        <w:t>www.lecaiyun.com</w:t>
      </w:r>
      <w:r>
        <w:rPr>
          <w:rFonts w:hint="eastAsia" w:asciiTheme="minorEastAsia" w:hAnsiTheme="minorEastAsia" w:eastAsiaTheme="minorEastAsia" w:cstheme="minorEastAsia"/>
          <w:color w:val="auto"/>
          <w:sz w:val="21"/>
          <w:szCs w:val="21"/>
          <w:highlight w:val="none"/>
        </w:rPr>
        <w:t>/）。</w:t>
      </w:r>
    </w:p>
    <w:p w14:paraId="1A65E12B">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2.7 “▲” 系指实质性要求条款，“</w:t>
      </w:r>
      <w:r>
        <w:rPr>
          <w:rFonts w:hint="eastAsia" w:ascii="宋体" w:hAnsi="宋体" w:eastAsia="宋体" w:cs="宋体"/>
          <w:color w:val="auto"/>
          <w:kern w:val="0"/>
          <w:sz w:val="21"/>
          <w:szCs w:val="21"/>
          <w:highlight w:val="none"/>
        </w:rPr>
        <w:sym w:font="Wingdings" w:char="F0FE"/>
      </w:r>
      <w:r>
        <w:rPr>
          <w:rFonts w:hint="eastAsia" w:asciiTheme="minorEastAsia" w:hAnsiTheme="minorEastAsia" w:eastAsiaTheme="minorEastAsia" w:cstheme="minorEastAsia"/>
          <w:color w:val="auto"/>
          <w:sz w:val="21"/>
          <w:szCs w:val="21"/>
          <w:highlight w:val="none"/>
        </w:rPr>
        <w:t>” 系指适用本项目的要求，“</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rPr>
        <w:t>” 系指不适用本项目的要求。</w:t>
      </w:r>
    </w:p>
    <w:p w14:paraId="69BBA19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采购项目需要落实的政府采购政策</w:t>
      </w:r>
    </w:p>
    <w:p w14:paraId="2ED576D8">
      <w:pPr>
        <w:numPr>
          <w:ilvl w:val="1"/>
          <w:numId w:val="2"/>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本项目不允许采购进口产品。</w:t>
      </w:r>
    </w:p>
    <w:p w14:paraId="2ABD6D96">
      <w:pPr>
        <w:numPr>
          <w:ilvl w:val="0"/>
          <w:numId w:val="0"/>
        </w:num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3.2 支持绿色发展</w:t>
      </w:r>
    </w:p>
    <w:p w14:paraId="6A1AFAE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3.3支持中小企业发展</w:t>
      </w:r>
    </w:p>
    <w:p w14:paraId="3BD9EE95">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6A575D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符合中小企业划分标准的个体工商户，在政府采购活动中视同中小企业。</w:t>
      </w:r>
    </w:p>
    <w:p w14:paraId="08B3BFC6">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Cs/>
          <w:color w:val="auto"/>
          <w:sz w:val="21"/>
          <w:szCs w:val="21"/>
          <w:highlight w:val="none"/>
        </w:rPr>
        <w:t>3.3.2</w:t>
      </w:r>
      <w:r>
        <w:rPr>
          <w:rFonts w:hint="eastAsia" w:asciiTheme="minorEastAsia" w:hAnsiTheme="minorEastAsia" w:eastAsiaTheme="minorEastAsia" w:cstheme="minorEastAsia"/>
          <w:color w:val="auto"/>
          <w:kern w:val="0"/>
          <w:sz w:val="21"/>
          <w:szCs w:val="21"/>
          <w:highlight w:val="none"/>
        </w:rPr>
        <w:t>在政府采购活动中，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提供的货物、工程或者服务符合下列情形的，享受中小企业扶持政策：</w:t>
      </w:r>
    </w:p>
    <w:p w14:paraId="5032052D">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3.3.2.1在货物采购项目中，货物由中小企业制造，即货物由中小企业生产且使用该中小企业商号或者注册商标；</w:t>
      </w:r>
    </w:p>
    <w:p w14:paraId="4822A862">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3.3.2.2在工程采购项目中，工程由中小企业承建，即工程施工单位为中小企业；</w:t>
      </w:r>
    </w:p>
    <w:p w14:paraId="30412D80">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3.3.2.3在服务采购项目中，服务由中小企业承接，即提供服务的人员为中小企业依照《中华人民共和国劳动合同法》订立劳动合同的从业人员。</w:t>
      </w:r>
    </w:p>
    <w:p w14:paraId="3F61C78C">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在货物采购项目中，</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提供的货物既有中小企业制造货物，也有大型企业制造货物的，不享受中小企业扶持政策。</w:t>
      </w:r>
    </w:p>
    <w:p w14:paraId="0C22127E">
      <w:pPr>
        <w:widowControl/>
        <w:spacing w:line="360" w:lineRule="auto"/>
        <w:ind w:firstLine="420" w:firstLineChars="200"/>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以联合体形式参加政府采购活动，联合体各方均为中小企业的，联合体视同中小企业。其中，联合体各方均为小微企业的，联合体视同小微企业。</w:t>
      </w:r>
    </w:p>
    <w:p w14:paraId="3390F4C4">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3.3.3对于未预留份额专门面向中小企业的政府采购货物或服务或工程项目，以及预留份额政府采购货物或服务项目中的非预留部分标项，对小型和微型企业的</w:t>
      </w:r>
      <w:r>
        <w:rPr>
          <w:rFonts w:hint="eastAsia" w:asciiTheme="minorEastAsia" w:hAnsiTheme="minorEastAsia" w:eastAsiaTheme="minorEastAsia" w:cstheme="minorEastAsia"/>
          <w:color w:val="auto"/>
          <w:sz w:val="21"/>
          <w:szCs w:val="21"/>
          <w:highlight w:val="none"/>
          <w:lang w:eastAsia="zh-CN"/>
        </w:rPr>
        <w:t>谈判</w:t>
      </w:r>
      <w:r>
        <w:rPr>
          <w:rFonts w:hint="eastAsia" w:asciiTheme="minorEastAsia" w:hAnsiTheme="minorEastAsia" w:eastAsiaTheme="minorEastAsia" w:cstheme="minorEastAsia"/>
          <w:color w:val="auto"/>
          <w:sz w:val="21"/>
          <w:szCs w:val="21"/>
          <w:highlight w:val="none"/>
        </w:rPr>
        <w:t>报价给予10%（工程项目为5%）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%（工程项目为 2%）的扣除，用扣除后的价格参加评审。组成联合体或者接受分包的小微企业与联合体内其他企业、分包企业之间存在直接控股、管理关系的，不享受价格扣除优惠政策。</w:t>
      </w:r>
    </w:p>
    <w:p w14:paraId="4C3BC56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3.3.4符合《关于促进残疾人就业政府采购政策的通知》（财库〔2017〕141号）规定的条件并提供《残疾人福利性单位声明函》的残疾人福利性单位视同小型、微型企业；</w:t>
      </w:r>
    </w:p>
    <w:p w14:paraId="4D99F39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06A81C62">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3.3.6可享受中小企业扶持政策的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文件格式要求提供《中小企业声明函》，</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提供的《中小企业声明函》与实际情况不符的，不享受中小企业扶持政策。声明内容不实的，属于提供虚假材料谋取中标、成交的，依法承担法律责任。</w:t>
      </w:r>
    </w:p>
    <w:p w14:paraId="36D3040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3.3.7中小企业享受扶持政策获得政府采购合同的，小微企业不得将合同分包给大中型企业，中型企业不得将合同分包给大型企业。</w:t>
      </w:r>
    </w:p>
    <w:p w14:paraId="33A8248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特别说明</w:t>
      </w:r>
    </w:p>
    <w:p w14:paraId="3872C857">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4.1</w:t>
      </w:r>
      <w:r>
        <w:rPr>
          <w:rFonts w:hint="eastAsia" w:asciiTheme="minorEastAsia" w:hAnsiTheme="minorEastAsia" w:eastAsiaTheme="minorEastAsia" w:cstheme="minorEastAsia"/>
          <w:color w:val="auto"/>
          <w:sz w:val="21"/>
          <w:szCs w:val="21"/>
          <w:highlight w:val="none"/>
        </w:rPr>
        <w:t>关于分公司</w:t>
      </w:r>
      <w:r>
        <w:rPr>
          <w:rFonts w:hint="eastAsia" w:asciiTheme="minorEastAsia" w:hAnsiTheme="minorEastAsia" w:eastAsiaTheme="minorEastAsia" w:cstheme="minorEastAsia"/>
          <w:color w:val="auto"/>
          <w:sz w:val="21"/>
          <w:szCs w:val="21"/>
          <w:highlight w:val="none"/>
          <w:lang w:eastAsia="zh-CN"/>
        </w:rPr>
        <w:t>磋商响应</w:t>
      </w:r>
    </w:p>
    <w:p w14:paraId="4391254D">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除银行、保险、石油石化、电力、电信等特殊行业外。法人的分支机构由于不能独立承担民事责任，不能以分支机构的身份参加政府采购，只能</w:t>
      </w:r>
      <w:r>
        <w:rPr>
          <w:rFonts w:hint="eastAsia" w:asciiTheme="minorEastAsia" w:hAnsiTheme="minorEastAsia" w:eastAsiaTheme="minorEastAsia" w:cstheme="minorEastAsia"/>
          <w:color w:val="auto"/>
          <w:sz w:val="21"/>
          <w:szCs w:val="21"/>
          <w:highlight w:val="none"/>
          <w:lang w:eastAsia="zh-CN"/>
        </w:rPr>
        <w:t>以</w:t>
      </w:r>
      <w:r>
        <w:rPr>
          <w:rFonts w:hint="eastAsia" w:asciiTheme="minorEastAsia" w:hAnsiTheme="minorEastAsia" w:eastAsiaTheme="minorEastAsia" w:cstheme="minorEastAsia"/>
          <w:color w:val="auto"/>
          <w:sz w:val="21"/>
          <w:szCs w:val="21"/>
          <w:highlight w:val="none"/>
        </w:rPr>
        <w:t xml:space="preserve">法人身份参加。 </w:t>
      </w:r>
    </w:p>
    <w:p w14:paraId="7D3EFED8">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4.2关于知识产权</w:t>
      </w:r>
    </w:p>
    <w:p w14:paraId="3EFC138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必须保证，采购人在中华人民共和国境内使用</w:t>
      </w:r>
      <w:r>
        <w:rPr>
          <w:rFonts w:hint="eastAsia" w:asciiTheme="minorEastAsia" w:hAnsiTheme="minorEastAsia" w:eastAsiaTheme="minorEastAsia" w:cstheme="minorEastAsia"/>
          <w:color w:val="auto"/>
          <w:sz w:val="21"/>
          <w:szCs w:val="21"/>
          <w:highlight w:val="none"/>
          <w:lang w:eastAsia="zh-CN"/>
        </w:rPr>
        <w:t>磋商响应</w:t>
      </w:r>
      <w:r>
        <w:rPr>
          <w:rFonts w:hint="eastAsia" w:asciiTheme="minorEastAsia" w:hAnsiTheme="minorEastAsia" w:eastAsiaTheme="minorEastAsia" w:cstheme="minorEastAsia"/>
          <w:color w:val="auto"/>
          <w:sz w:val="21"/>
          <w:szCs w:val="21"/>
          <w:highlight w:val="none"/>
        </w:rPr>
        <w:t>货物、资料、技术、服务或其任何一部分时，享有不受限制的无偿使用权，如有第三方向采购人提出侵犯其专利权、商标权或其它知识产权的主张，该责任应由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w:t>
      </w:r>
    </w:p>
    <w:p w14:paraId="2E753F13">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lang w:eastAsia="zh-CN"/>
        </w:rPr>
        <w:t>磋商</w:t>
      </w:r>
      <w:r>
        <w:rPr>
          <w:rFonts w:hint="eastAsia" w:asciiTheme="minorEastAsia" w:hAnsiTheme="minorEastAsia" w:eastAsiaTheme="minorEastAsia" w:cstheme="minorEastAsia"/>
          <w:color w:val="auto"/>
          <w:sz w:val="21"/>
          <w:szCs w:val="21"/>
          <w:highlight w:val="none"/>
        </w:rPr>
        <w:t>报价应包含所有应向所有权人支付的专利权、商标权或其它知识产权的一切相关费用。</w:t>
      </w:r>
    </w:p>
    <w:p w14:paraId="0DA9F98F">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4.2.</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系统软件、通用软件必须是具有在中国境内的合法使用权或版权的正版软件，涉及到第三方提出侵权或知识产权的起诉及支付版税等费用由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承担所有责任及费用。</w:t>
      </w:r>
    </w:p>
    <w:p w14:paraId="64A2753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的风险</w:t>
      </w:r>
    </w:p>
    <w:p w14:paraId="1C1FD279">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应详细阅读</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中的全部内容和要求，按照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的要求提交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文件，没有按照</w:t>
      </w:r>
      <w:r>
        <w:rPr>
          <w:rFonts w:hint="eastAsia" w:asciiTheme="minorEastAsia" w:hAnsiTheme="minorEastAsia" w:eastAsiaTheme="minorEastAsia" w:cstheme="minorEastAsia"/>
          <w:color w:val="auto"/>
          <w:sz w:val="21"/>
          <w:szCs w:val="21"/>
          <w:highlight w:val="none"/>
          <w:lang w:eastAsia="zh-CN"/>
        </w:rPr>
        <w:t>竞争性磋商文件</w:t>
      </w:r>
      <w:r>
        <w:rPr>
          <w:rFonts w:hint="eastAsia" w:asciiTheme="minorEastAsia" w:hAnsiTheme="minorEastAsia" w:eastAsiaTheme="minorEastAsia" w:cstheme="minorEastAsia"/>
          <w:color w:val="auto"/>
          <w:sz w:val="21"/>
          <w:szCs w:val="21"/>
          <w:highlight w:val="none"/>
        </w:rPr>
        <w:t>要求提供</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文件和资料导致的风险由</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承担,并对所提供的全部资料的真实性承担法律责任。</w:t>
      </w:r>
    </w:p>
    <w:p w14:paraId="57557F66">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4.3.</w:t>
      </w: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无论因何种原因导致本次采购活动终止致</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损失的，相关责任人均不承担任何责任。</w:t>
      </w:r>
    </w:p>
    <w:p w14:paraId="4470EA5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询问、质疑、投诉</w:t>
      </w:r>
    </w:p>
    <w:p w14:paraId="64664AF7">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.1供应商询问</w:t>
      </w:r>
    </w:p>
    <w:p w14:paraId="7C1A8C5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zh-CN" w:eastAsia="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12993B3D">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.2供应商质疑</w:t>
      </w:r>
    </w:p>
    <w:p w14:paraId="108CCDE6">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.1提出质疑的供应商应当是参与所质疑项目采购活动的供应商。潜在供应商已依法获取其可质疑的</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文件的，可以对该文件提出质疑。</w:t>
      </w:r>
    </w:p>
    <w:p w14:paraId="7CC7AF7A">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.2供应商认为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文件、采购过程和成交结果使自己的权益受到损害的，可以在知道或者应知其权益受到损害之日起七个工作日内，以书面形式向采购人或者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提出质疑，否则，采购人或者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不予受理：</w:t>
      </w:r>
    </w:p>
    <w:p w14:paraId="0D934BEB">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5.2.2.1对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文件提出质疑的，质疑期限为供应商获得</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文件之日或者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文件公告期限届满之日起计算。</w:t>
      </w:r>
    </w:p>
    <w:p w14:paraId="7B4C9087">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5.2.2.2对采购过程提出质疑的，质疑期限为各采购程序环节结束之日起计算。</w:t>
      </w:r>
    </w:p>
    <w:p w14:paraId="2340B61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5.2.2.3对采购结果提出质疑的，质疑期限自采购结果公告期限届满之日起计算。</w:t>
      </w:r>
    </w:p>
    <w:p w14:paraId="026C553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5.2.2.4对同一采购程序环节的质疑，供应商须一次性提出。</w:t>
      </w:r>
    </w:p>
    <w:p w14:paraId="0986C025">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w:t>
      </w:r>
      <w:r>
        <w:rPr>
          <w:rFonts w:hint="eastAsia" w:asciiTheme="minorEastAsia" w:hAnsiTheme="minorEastAsia" w:eastAsiaTheme="minorEastAsia" w:cstheme="minorEastAsia"/>
          <w:color w:val="auto"/>
          <w:sz w:val="21"/>
          <w:szCs w:val="21"/>
          <w:highlight w:val="none"/>
          <w:lang w:val="en-US" w:eastAsia="zh-CN"/>
        </w:rPr>
        <w:t>供应商提出质疑应当提交质疑函和必要的证明材料。质疑函应当包括下列内容：</w:t>
      </w:r>
    </w:p>
    <w:p w14:paraId="4DB4E229">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.2.3.1供应商的姓名或者名称、地址、邮编、联系人及联系电话；</w:t>
      </w:r>
    </w:p>
    <w:p w14:paraId="39ECACE4">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.2.3.2质疑项目的名称、编号；</w:t>
      </w:r>
    </w:p>
    <w:p w14:paraId="5149A7DE">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.2.3.3具体、明确的质疑事项和与质疑事项相关的请求；</w:t>
      </w:r>
    </w:p>
    <w:p w14:paraId="341DDAD6">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.2.3.4事实依据；</w:t>
      </w:r>
    </w:p>
    <w:p w14:paraId="69E06028">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.2.3.5必要的法律依据；</w:t>
      </w:r>
    </w:p>
    <w:p w14:paraId="7CED1801">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.2.3.6提出质疑的日期。</w:t>
      </w:r>
    </w:p>
    <w:p w14:paraId="7952DCA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5.2.3.7对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文件提出质疑的需要提供在乐采云平台获取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文件的截图。</w:t>
      </w:r>
    </w:p>
    <w:p w14:paraId="365AFC6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供应商提交的质疑函需一式三份。供应商为自然人的，应当由本人签字；供应商为法人或者其他组织的，应当由法定代表人、主要负责人，或者其授权代表签字或者盖章，并加盖公章。</w:t>
      </w:r>
    </w:p>
    <w:p w14:paraId="3A012250">
      <w:pPr>
        <w:spacing w:line="360" w:lineRule="auto"/>
        <w:ind w:firstLine="420" w:firstLineChars="20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质疑函范本请到浙江企业采购信息服务网下载专区下载。</w:t>
      </w:r>
    </w:p>
    <w:p w14:paraId="765E32EC">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.4采购人或者</w:t>
      </w:r>
      <w:r>
        <w:rPr>
          <w:rFonts w:hint="eastAsia" w:asciiTheme="minorEastAsia" w:hAnsiTheme="minorEastAsia" w:eastAsiaTheme="minorEastAsia" w:cstheme="minorEastAsia"/>
          <w:color w:val="auto"/>
          <w:sz w:val="21"/>
          <w:szCs w:val="21"/>
          <w:highlight w:val="none"/>
        </w:rPr>
        <w:t>采购</w:t>
      </w:r>
      <w:r>
        <w:rPr>
          <w:rFonts w:hint="eastAsia" w:asciiTheme="minorEastAsia" w:hAnsiTheme="minorEastAsia" w:eastAsiaTheme="minorEastAsia" w:cstheme="minorEastAsia"/>
          <w:color w:val="auto"/>
          <w:sz w:val="21"/>
          <w:szCs w:val="21"/>
          <w:highlight w:val="none"/>
          <w:lang w:eastAsia="zh-CN"/>
        </w:rPr>
        <w:t>代理</w:t>
      </w:r>
      <w:r>
        <w:rPr>
          <w:rFonts w:hint="eastAsia" w:asciiTheme="minorEastAsia" w:hAnsiTheme="minorEastAsia" w:eastAsiaTheme="minorEastAsia" w:cstheme="minorEastAsia"/>
          <w:color w:val="auto"/>
          <w:sz w:val="21"/>
          <w:szCs w:val="21"/>
          <w:highlight w:val="none"/>
        </w:rPr>
        <w:t>机构</w:t>
      </w:r>
      <w:r>
        <w:rPr>
          <w:rFonts w:hint="eastAsia" w:asciiTheme="minorEastAsia" w:hAnsiTheme="minorEastAsia" w:eastAsiaTheme="minorEastAsia" w:cstheme="minorEastAsia"/>
          <w:color w:val="auto"/>
          <w:sz w:val="21"/>
          <w:szCs w:val="21"/>
          <w:highlight w:val="none"/>
          <w:lang w:val="en-US" w:eastAsia="zh-CN"/>
        </w:rPr>
        <w:t>应当在收到供应商的书面质疑后七个工作日内作出答复，并以书面形式通知质疑供应商和其他与质疑处理结果有利害关系的政府采购当事人，但答复的内容不得涉及商业秘密。</w:t>
      </w:r>
    </w:p>
    <w:p w14:paraId="55BEC360">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.5询问或者质疑事项可能影响采购结果的，采购人应当暂停签订合同，已经签订合同的，应当中止履行合同。</w:t>
      </w:r>
    </w:p>
    <w:p w14:paraId="2E7F22F8">
      <w:pPr>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lang w:val="zh-CN" w:eastAsia="zh-CN"/>
        </w:rPr>
        <w:t>.3供应商投诉</w:t>
      </w:r>
    </w:p>
    <w:p w14:paraId="7FC72A6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5.3.1质疑供应商对采购人、采购代理机构的答复不满意或者采购人、采购代理机构未在规定的时间内作出答复的，可以在答复期满后十五个工作日内向集团纪检部门提出投诉，集团纪检部门应当在收到投诉后三十个工作日内，对投诉事项作出处理决定，并以书面形式通知投诉人和与投诉事项有关的当事人。</w:t>
      </w:r>
    </w:p>
    <w:p w14:paraId="5FC7B315">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w:t>
      </w:r>
      <w:r>
        <w:rPr>
          <w:rFonts w:hint="eastAsia" w:asciiTheme="minorEastAsia" w:hAnsiTheme="minorEastAsia" w:eastAsiaTheme="minorEastAsia" w:cstheme="minorEastAsia"/>
          <w:color w:val="auto"/>
          <w:sz w:val="21"/>
          <w:szCs w:val="21"/>
          <w:highlight w:val="none"/>
          <w:lang w:val="zh-CN" w:eastAsia="zh-CN"/>
        </w:rPr>
        <w:t>2</w:t>
      </w:r>
      <w:r>
        <w:rPr>
          <w:rFonts w:hint="eastAsia" w:asciiTheme="minorEastAsia" w:hAnsiTheme="minorEastAsia" w:eastAsiaTheme="minorEastAsia" w:cstheme="minorEastAsia"/>
          <w:color w:val="auto"/>
          <w:sz w:val="21"/>
          <w:szCs w:val="21"/>
          <w:highlight w:val="none"/>
          <w:lang w:val="en-US" w:eastAsia="zh-CN"/>
        </w:rPr>
        <w:t>供应商投诉的事项不得超出已质疑事项的范围，基于质疑答复内容提出的投诉事项除外。</w:t>
      </w:r>
    </w:p>
    <w:p w14:paraId="01BC05E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5.3.3供应商投诉应当有明确的请求和必要的证明材料。</w:t>
      </w:r>
    </w:p>
    <w:p w14:paraId="5CBA080D">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5.3.4 以联合体形式参加政府采购活动的，其投诉应当由组成联合体的所有供应商共同提出。</w:t>
      </w:r>
    </w:p>
    <w:p w14:paraId="668EE2D2">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5.3.5投诉人对集团纪检部门的投诉处理决定不服或集团纪检部门逾期未作处理的，可以向区国资管理中心反映。供应商或相关利害关系人在采购过程中发现涉及违法违纪行为或造成国有资产损失的，可以向纪检监察部门和区国资管理中心反映。举报违法行为，应提供有效线索和证明材料。 </w:t>
      </w:r>
    </w:p>
    <w:p w14:paraId="1E17BCA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投诉书范本请到浙江企业采购信息服务网下载专区下载。</w:t>
      </w:r>
    </w:p>
    <w:p w14:paraId="7739A1BF">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 xml:space="preserve">      </w:t>
      </w:r>
    </w:p>
    <w:p w14:paraId="6A6EAEE2">
      <w:pPr>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br w:type="page"/>
      </w:r>
    </w:p>
    <w:p w14:paraId="66606497">
      <w:pPr>
        <w:adjustRightInd/>
        <w:spacing w:line="360" w:lineRule="auto"/>
        <w:jc w:val="center"/>
        <w:outlineLvl w:val="0"/>
        <w:rPr>
          <w:rFonts w:hint="eastAsia" w:asciiTheme="minorEastAsia" w:hAnsiTheme="minorEastAsia" w:eastAsiaTheme="minorEastAsia" w:cstheme="minorEastAsia"/>
          <w:b/>
          <w:color w:val="auto"/>
          <w:sz w:val="32"/>
          <w:szCs w:val="20"/>
          <w:highlight w:val="none"/>
        </w:rPr>
      </w:pPr>
      <w:r>
        <w:rPr>
          <w:rFonts w:hint="eastAsia" w:asciiTheme="minorEastAsia" w:hAnsiTheme="minorEastAsia" w:eastAsiaTheme="minorEastAsia" w:cstheme="minorEastAsia"/>
          <w:b/>
          <w:color w:val="auto"/>
          <w:sz w:val="32"/>
          <w:szCs w:val="20"/>
          <w:highlight w:val="none"/>
        </w:rPr>
        <w:t>二、</w:t>
      </w:r>
      <w:r>
        <w:rPr>
          <w:rFonts w:hint="eastAsia" w:asciiTheme="minorEastAsia" w:hAnsiTheme="minorEastAsia" w:eastAsiaTheme="minorEastAsia" w:cstheme="minorEastAsia"/>
          <w:b/>
          <w:color w:val="auto"/>
          <w:sz w:val="32"/>
          <w:szCs w:val="20"/>
          <w:highlight w:val="none"/>
          <w:lang w:eastAsia="zh-CN"/>
        </w:rPr>
        <w:t>竞争性磋商</w:t>
      </w:r>
      <w:r>
        <w:rPr>
          <w:rFonts w:hint="eastAsia" w:asciiTheme="minorEastAsia" w:hAnsiTheme="minorEastAsia" w:eastAsiaTheme="minorEastAsia" w:cstheme="minorEastAsia"/>
          <w:b/>
          <w:color w:val="auto"/>
          <w:sz w:val="32"/>
          <w:szCs w:val="20"/>
          <w:highlight w:val="none"/>
        </w:rPr>
        <w:t>文件的构成、澄清、修改</w:t>
      </w:r>
    </w:p>
    <w:p w14:paraId="002C2DE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文件的构成</w:t>
      </w:r>
    </w:p>
    <w:p w14:paraId="3810BE81">
      <w:pPr>
        <w:pStyle w:val="13"/>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 xml:space="preserve">.1 </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文件包括下列文件及附件：</w:t>
      </w:r>
    </w:p>
    <w:p w14:paraId="1AFA2180">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6.1.1 竞争性磋商公告；</w:t>
      </w:r>
    </w:p>
    <w:p w14:paraId="533B26CD">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 xml:space="preserve">6.1.2 </w:t>
      </w:r>
      <w:r>
        <w:rPr>
          <w:rFonts w:hint="eastAsia" w:asciiTheme="minorEastAsia" w:hAnsiTheme="minorEastAsia" w:eastAsiaTheme="minorEastAsia" w:cstheme="minorEastAsia"/>
          <w:color w:val="auto"/>
          <w:sz w:val="21"/>
          <w:szCs w:val="21"/>
          <w:highlight w:val="none"/>
          <w:lang w:val="zh-CN" w:eastAsia="zh-CN"/>
        </w:rPr>
        <w:t>响应</w:t>
      </w:r>
      <w:r>
        <w:rPr>
          <w:rFonts w:hint="eastAsia" w:asciiTheme="minorEastAsia" w:hAnsiTheme="minorEastAsia" w:eastAsiaTheme="minorEastAsia" w:cstheme="minorEastAsia"/>
          <w:color w:val="auto"/>
          <w:sz w:val="21"/>
          <w:szCs w:val="21"/>
          <w:highlight w:val="none"/>
          <w:lang w:val="en-US" w:eastAsia="zh-CN"/>
        </w:rPr>
        <w:t>须知；</w:t>
      </w:r>
    </w:p>
    <w:p w14:paraId="77D7BA22">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6.1.3 采购需求；</w:t>
      </w:r>
    </w:p>
    <w:p w14:paraId="5EF8D27B">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6.1.4 评审办法；</w:t>
      </w:r>
    </w:p>
    <w:p w14:paraId="33270D72">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6.1.5 拟签订的合同文本；</w:t>
      </w:r>
    </w:p>
    <w:p w14:paraId="6E64BC91">
      <w:pPr>
        <w:pStyle w:val="13"/>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6.1.6 应提交的有关格式范例。</w:t>
      </w:r>
    </w:p>
    <w:p w14:paraId="310649D8">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6</w:t>
      </w:r>
      <w:r>
        <w:rPr>
          <w:rFonts w:hint="eastAsia" w:asciiTheme="minorEastAsia" w:hAnsiTheme="minorEastAsia" w:eastAsiaTheme="minorEastAsia" w:cstheme="minorEastAsia"/>
          <w:color w:val="auto"/>
          <w:sz w:val="21"/>
          <w:szCs w:val="21"/>
          <w:highlight w:val="none"/>
        </w:rPr>
        <w:t>.2与本项目有关的</w:t>
      </w:r>
      <w:r>
        <w:rPr>
          <w:rFonts w:hint="eastAsia" w:asciiTheme="minorEastAsia" w:hAnsiTheme="minorEastAsia" w:eastAsiaTheme="minorEastAsia" w:cstheme="minorEastAsia"/>
          <w:bCs/>
          <w:color w:val="auto"/>
          <w:sz w:val="21"/>
          <w:szCs w:val="21"/>
          <w:highlight w:val="none"/>
        </w:rPr>
        <w:t>澄清或者修改的内容为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bCs/>
          <w:color w:val="auto"/>
          <w:sz w:val="21"/>
          <w:szCs w:val="21"/>
          <w:highlight w:val="none"/>
        </w:rPr>
        <w:t>文件的组成部分</w:t>
      </w:r>
      <w:r>
        <w:rPr>
          <w:rFonts w:hint="eastAsia" w:asciiTheme="minorEastAsia" w:hAnsiTheme="minorEastAsia" w:eastAsiaTheme="minorEastAsia" w:cstheme="minorEastAsia"/>
          <w:color w:val="auto"/>
          <w:sz w:val="21"/>
          <w:szCs w:val="21"/>
          <w:highlight w:val="none"/>
        </w:rPr>
        <w:t>。</w:t>
      </w:r>
    </w:p>
    <w:p w14:paraId="1D74D8B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文件的澄清、修改</w:t>
      </w:r>
    </w:p>
    <w:p w14:paraId="3F80DCA3">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7.1 采购人对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文件进行必要的澄清或者修改的，在采购信息发布网站上发布更正公告。澄清或者修改的内容可能影响响应文件编制的，更正公告在响应截止时间至少5日前发出；不足5日的，顺延提交响应文件截止时间。</w:t>
      </w:r>
    </w:p>
    <w:p w14:paraId="6ABA1BBE">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7.2 更正公告为</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文件的组成部分，一经在网站发布，视同已通知所有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文件的收受人，不再采用其它方式传达相关信息, 若因未能及时了解到上述网站上发布的相关信息而导致的一切后果自行承担。</w:t>
      </w:r>
    </w:p>
    <w:p w14:paraId="6ACCF54F">
      <w:pPr>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7.3 如更正公告有重新发布电子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应下载最新发布的电子</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文件制作响应文件。</w:t>
      </w:r>
    </w:p>
    <w:p w14:paraId="63E91A0E">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7.4 已获取</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文件的潜在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，若有问题需要澄清，应于响应截止时间前，以书面形式向采购代理机构提出。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在规定的时间内未对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文件提出疑问、质疑或要求澄清的，将视其为无异议。对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lang w:val="en-US" w:eastAsia="zh-CN"/>
        </w:rPr>
        <w:t>文件中描述有歧义或前后不一致的地方，磋商小组有权进行评判，但对同一条款的评判应适用于每个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lang w:val="en-US" w:eastAsia="zh-CN"/>
        </w:rPr>
        <w:t>。</w:t>
      </w:r>
    </w:p>
    <w:p w14:paraId="6AF9A413">
      <w:pPr>
        <w:adjustRightInd/>
        <w:spacing w:line="360" w:lineRule="auto"/>
        <w:jc w:val="center"/>
        <w:outlineLvl w:val="0"/>
        <w:rPr>
          <w:rFonts w:hint="eastAsia" w:asciiTheme="minorEastAsia" w:hAnsiTheme="minorEastAsia" w:eastAsiaTheme="minorEastAsia" w:cstheme="minorEastAsia"/>
          <w:b/>
          <w:color w:val="auto"/>
          <w:sz w:val="30"/>
          <w:szCs w:val="20"/>
          <w:highlight w:val="none"/>
          <w:lang w:eastAsia="zh-CN"/>
        </w:rPr>
      </w:pPr>
      <w:r>
        <w:rPr>
          <w:rFonts w:hint="eastAsia" w:asciiTheme="minorEastAsia" w:hAnsiTheme="minorEastAsia" w:eastAsiaTheme="minorEastAsia" w:cstheme="minorEastAsia"/>
          <w:b/>
          <w:color w:val="auto"/>
          <w:sz w:val="30"/>
          <w:szCs w:val="20"/>
          <w:highlight w:val="none"/>
        </w:rPr>
        <w:br w:type="page"/>
      </w:r>
      <w:r>
        <w:rPr>
          <w:rFonts w:hint="eastAsia" w:asciiTheme="minorEastAsia" w:hAnsiTheme="minorEastAsia" w:eastAsiaTheme="minorEastAsia" w:cstheme="minorEastAsia"/>
          <w:b/>
          <w:color w:val="auto"/>
          <w:sz w:val="30"/>
          <w:szCs w:val="20"/>
          <w:highlight w:val="none"/>
        </w:rPr>
        <w:t>三、</w:t>
      </w:r>
      <w:r>
        <w:rPr>
          <w:rFonts w:hint="eastAsia" w:asciiTheme="minorEastAsia" w:hAnsiTheme="minorEastAsia" w:eastAsiaTheme="minorEastAsia" w:cstheme="minorEastAsia"/>
          <w:b/>
          <w:color w:val="auto"/>
          <w:sz w:val="30"/>
          <w:szCs w:val="20"/>
          <w:highlight w:val="none"/>
          <w:lang w:eastAsia="zh-CN"/>
        </w:rPr>
        <w:t>响应</w:t>
      </w:r>
    </w:p>
    <w:p w14:paraId="04A7A912">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文件的语言</w:t>
      </w:r>
    </w:p>
    <w:p w14:paraId="1E42BB30">
      <w:pPr>
        <w:autoSpaceDE w:val="0"/>
        <w:autoSpaceDN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文件及</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与采购有关的来往通知、函件和文件均应使用中文。</w:t>
      </w:r>
    </w:p>
    <w:p w14:paraId="44CC6E44">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文件的组成</w:t>
      </w:r>
    </w:p>
    <w:p w14:paraId="7CD95C9B">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rPr>
        <w:t>.1</w:t>
      </w:r>
      <w:r>
        <w:rPr>
          <w:rFonts w:hint="eastAsia" w:asciiTheme="minorEastAsia" w:hAnsiTheme="minorEastAsia" w:eastAsiaTheme="minorEastAsia" w:cstheme="minorEastAsia"/>
          <w:b/>
          <w:bCs/>
          <w:color w:val="auto"/>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资格文件：</w:t>
      </w:r>
    </w:p>
    <w:p w14:paraId="3C2F25BF">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9.1.1有效的企业法人营业执照（或事业法人登记证）、其他组织（个体工商户）的营业执照或者民办非企业单位登记证书；</w:t>
      </w:r>
    </w:p>
    <w:p w14:paraId="69014C1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9.1.2符合参加政府采购活动应当具备的一般条件的承诺函(格式见第六部分)；</w:t>
      </w:r>
    </w:p>
    <w:p w14:paraId="1E15750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9.1.3落实政府采购政策需满足的资格要求（如适用）；</w:t>
      </w:r>
    </w:p>
    <w:p w14:paraId="3B2126A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9.1.4本项目的特定资格要求。</w:t>
      </w:r>
    </w:p>
    <w:p w14:paraId="1A7686ED">
      <w:pPr>
        <w:snapToGrid w:val="0"/>
        <w:spacing w:line="360" w:lineRule="auto"/>
        <w:ind w:firstLine="420" w:firstLineChars="200"/>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9.1.5其他资料（如有）</w:t>
      </w:r>
    </w:p>
    <w:p w14:paraId="4CCB9AB6">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lang w:val="zh-CN" w:eastAsia="zh-CN"/>
        </w:rPr>
      </w:pPr>
      <w:r>
        <w:rPr>
          <w:rFonts w:hint="eastAsia" w:asciiTheme="minorEastAsia" w:hAnsiTheme="minorEastAsia" w:eastAsiaTheme="minorEastAsia" w:cstheme="minorEastAsia"/>
          <w:b/>
          <w:bCs/>
          <w:color w:val="auto"/>
          <w:sz w:val="21"/>
          <w:szCs w:val="21"/>
          <w:highlight w:val="none"/>
          <w:lang w:val="en-US" w:eastAsia="zh-CN"/>
        </w:rPr>
        <w:t>9</w:t>
      </w:r>
      <w:r>
        <w:rPr>
          <w:rFonts w:hint="eastAsia" w:asciiTheme="minorEastAsia" w:hAnsiTheme="minorEastAsia" w:eastAsiaTheme="minorEastAsia" w:cstheme="minorEastAsia"/>
          <w:b/>
          <w:bCs/>
          <w:color w:val="auto"/>
          <w:sz w:val="21"/>
          <w:szCs w:val="21"/>
          <w:highlight w:val="none"/>
          <w:lang w:val="zh-CN" w:eastAsia="zh-CN"/>
        </w:rPr>
        <w:t>.</w:t>
      </w: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lang w:val="zh-CN" w:eastAsia="zh-CN"/>
        </w:rPr>
        <w:t xml:space="preserve"> </w:t>
      </w:r>
      <w:r>
        <w:rPr>
          <w:rFonts w:hint="eastAsia" w:asciiTheme="minorEastAsia" w:hAnsiTheme="minorEastAsia" w:eastAsiaTheme="minorEastAsia" w:cstheme="minorEastAsia"/>
          <w:b/>
          <w:bCs/>
          <w:color w:val="auto"/>
          <w:sz w:val="21"/>
          <w:szCs w:val="21"/>
          <w:highlight w:val="none"/>
          <w:lang w:val="en-US" w:eastAsia="zh-CN"/>
        </w:rPr>
        <w:t>商务技术</w:t>
      </w:r>
      <w:r>
        <w:rPr>
          <w:rFonts w:hint="eastAsia" w:asciiTheme="minorEastAsia" w:hAnsiTheme="minorEastAsia" w:eastAsiaTheme="minorEastAsia" w:cstheme="minorEastAsia"/>
          <w:b/>
          <w:bCs/>
          <w:color w:val="auto"/>
          <w:sz w:val="21"/>
          <w:szCs w:val="21"/>
          <w:highlight w:val="none"/>
          <w:lang w:val="zh-CN" w:eastAsia="zh-CN"/>
        </w:rPr>
        <w:t>文件：</w:t>
      </w:r>
    </w:p>
    <w:p w14:paraId="70D7A03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 评分索引表；</w:t>
      </w:r>
    </w:p>
    <w:p w14:paraId="7FFD6F5E">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9.2.2符合性自查表；</w:t>
      </w:r>
    </w:p>
    <w:p w14:paraId="2CFA93C0">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9.2.3 磋商函；</w:t>
      </w:r>
      <w:r>
        <w:rPr>
          <w:rFonts w:hint="eastAsia" w:asciiTheme="minorEastAsia" w:hAnsiTheme="minorEastAsia" w:eastAsiaTheme="minorEastAsia" w:cstheme="minorEastAsia"/>
          <w:color w:val="auto"/>
          <w:sz w:val="21"/>
          <w:szCs w:val="21"/>
          <w:highlight w:val="none"/>
          <w:lang w:val="zh-CN" w:eastAsia="zh-CN"/>
        </w:rPr>
        <w:t xml:space="preserve"> </w:t>
      </w:r>
    </w:p>
    <w:p w14:paraId="6F4BFA5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9.2.4 授权委托书或法定代表人（单位负责人、自然人本人）身份证明；</w:t>
      </w:r>
    </w:p>
    <w:p w14:paraId="45F53B5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9.2.5 供应商情况表；</w:t>
      </w:r>
    </w:p>
    <w:p w14:paraId="383E44E6">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9.2.6 距采购人最近或者能为本项目提供最优服务的网点情况表；</w:t>
      </w:r>
    </w:p>
    <w:p w14:paraId="06F5AB77">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lang w:val="zh-CN" w:eastAsia="zh-CN"/>
        </w:rPr>
        <w:t>.</w:t>
      </w:r>
      <w:r>
        <w:rPr>
          <w:rFonts w:hint="eastAsia" w:asciiTheme="minorEastAsia" w:hAnsiTheme="minorEastAsia" w:eastAsiaTheme="minorEastAsia" w:cstheme="minorEastAsia"/>
          <w:color w:val="auto"/>
          <w:sz w:val="21"/>
          <w:szCs w:val="21"/>
          <w:highlight w:val="none"/>
          <w:lang w:val="en-US" w:eastAsia="zh-CN"/>
        </w:rPr>
        <w:t>7 评标标准相应的商务技术资料；</w:t>
      </w:r>
    </w:p>
    <w:p w14:paraId="27AB3AF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9.2.8 商务响应表；</w:t>
      </w:r>
    </w:p>
    <w:p w14:paraId="21837B5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9.2.9 技术响应表；</w:t>
      </w:r>
    </w:p>
    <w:p w14:paraId="2E267FC2">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9.2.10 同类业绩情况一览表；</w:t>
      </w:r>
    </w:p>
    <w:p w14:paraId="7C9EB48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zh-CN" w:eastAsia="zh-CN"/>
        </w:rPr>
      </w:pPr>
      <w:r>
        <w:rPr>
          <w:rFonts w:hint="eastAsia" w:asciiTheme="minorEastAsia" w:hAnsiTheme="minorEastAsia" w:eastAsiaTheme="minorEastAsia" w:cstheme="minorEastAsia"/>
          <w:color w:val="auto"/>
          <w:sz w:val="21"/>
          <w:szCs w:val="21"/>
          <w:highlight w:val="none"/>
          <w:lang w:val="en-US" w:eastAsia="zh-CN"/>
        </w:rPr>
        <w:t>9.2.11</w:t>
      </w:r>
      <w:r>
        <w:rPr>
          <w:rFonts w:hint="eastAsia" w:asciiTheme="minorEastAsia" w:hAnsiTheme="minorEastAsia" w:eastAsiaTheme="minorEastAsia" w:cstheme="minorEastAsia"/>
          <w:color w:val="auto"/>
          <w:sz w:val="21"/>
          <w:szCs w:val="21"/>
          <w:highlight w:val="none"/>
          <w:lang w:val="zh-CN" w:eastAsia="zh-CN"/>
        </w:rPr>
        <w:t>政府采购供应商廉洁自律承诺书；</w:t>
      </w:r>
    </w:p>
    <w:p w14:paraId="22031725">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9.2.12其他资料（如有）。</w:t>
      </w:r>
    </w:p>
    <w:p w14:paraId="0CBD7C73">
      <w:pPr>
        <w:snapToGrid w:val="0"/>
        <w:spacing w:line="360" w:lineRule="auto"/>
        <w:ind w:firstLine="422" w:firstLineChars="200"/>
        <w:rPr>
          <w:rFonts w:hint="eastAsia" w:asciiTheme="minorEastAsia" w:hAnsiTheme="minorEastAsia" w:eastAsiaTheme="minorEastAsia" w:cstheme="minorEastAsia"/>
          <w:b/>
          <w:bCs/>
          <w:color w:val="auto"/>
          <w:sz w:val="21"/>
          <w:szCs w:val="21"/>
          <w:highlight w:val="none"/>
          <w:u w:val="single"/>
          <w:lang w:val="zh-CN"/>
        </w:rPr>
      </w:pPr>
      <w:r>
        <w:rPr>
          <w:rFonts w:hint="eastAsia" w:asciiTheme="minorEastAsia" w:hAnsiTheme="minorEastAsia" w:eastAsiaTheme="minorEastAsia" w:cstheme="minorEastAsia"/>
          <w:b/>
          <w:bCs/>
          <w:color w:val="auto"/>
          <w:kern w:val="0"/>
          <w:sz w:val="21"/>
          <w:szCs w:val="21"/>
          <w:highlight w:val="none"/>
          <w:lang w:val="en-US" w:eastAsia="zh-CN"/>
        </w:rPr>
        <w:t>9</w:t>
      </w:r>
      <w:r>
        <w:rPr>
          <w:rFonts w:hint="eastAsia" w:asciiTheme="minorEastAsia" w:hAnsiTheme="minorEastAsia" w:eastAsiaTheme="minorEastAsia" w:cstheme="minorEastAsia"/>
          <w:b/>
          <w:bCs/>
          <w:color w:val="auto"/>
          <w:kern w:val="0"/>
          <w:sz w:val="21"/>
          <w:szCs w:val="21"/>
          <w:highlight w:val="none"/>
          <w:lang w:val="zh-CN"/>
        </w:rPr>
        <w:t>.</w:t>
      </w:r>
      <w:r>
        <w:rPr>
          <w:rFonts w:hint="eastAsia" w:asciiTheme="minorEastAsia" w:hAnsiTheme="minorEastAsia" w:eastAsiaTheme="minorEastAsia" w:cstheme="minorEastAsia"/>
          <w:b/>
          <w:bCs/>
          <w:color w:val="auto"/>
          <w:kern w:val="0"/>
          <w:sz w:val="21"/>
          <w:szCs w:val="21"/>
          <w:highlight w:val="none"/>
        </w:rPr>
        <w:t>3</w:t>
      </w:r>
      <w:r>
        <w:rPr>
          <w:rFonts w:hint="eastAsia" w:asciiTheme="minorEastAsia" w:hAnsiTheme="minorEastAsia" w:eastAsiaTheme="minorEastAsia" w:cstheme="minorEastAsia"/>
          <w:b/>
          <w:bCs/>
          <w:color w:val="auto"/>
          <w:kern w:val="0"/>
          <w:sz w:val="21"/>
          <w:szCs w:val="21"/>
          <w:highlight w:val="none"/>
          <w:lang w:val="en-US" w:eastAsia="zh-CN"/>
        </w:rPr>
        <w:t xml:space="preserve"> </w:t>
      </w:r>
      <w:r>
        <w:rPr>
          <w:rFonts w:hint="eastAsia" w:asciiTheme="minorEastAsia" w:hAnsiTheme="minorEastAsia" w:eastAsiaTheme="minorEastAsia" w:cstheme="minorEastAsia"/>
          <w:b/>
          <w:bCs/>
          <w:color w:val="auto"/>
          <w:sz w:val="21"/>
          <w:szCs w:val="21"/>
          <w:highlight w:val="none"/>
        </w:rPr>
        <w:t xml:space="preserve">报价文件： </w:t>
      </w:r>
    </w:p>
    <w:p w14:paraId="2F0D8488">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9.3.1 报价一览表；</w:t>
      </w:r>
    </w:p>
    <w:p w14:paraId="5BF60AD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9.3.2 中小企业声明函（如有）；</w:t>
      </w:r>
    </w:p>
    <w:p w14:paraId="129CA18C">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9.3.3残疾人福利性单位声明函（如有）；</w:t>
      </w:r>
    </w:p>
    <w:p w14:paraId="3AF2AC74">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9.3.4监狱企业的证明文件（如有）；</w:t>
      </w:r>
    </w:p>
    <w:p w14:paraId="69D9EABB">
      <w:pPr>
        <w:snapToGrid w:val="0"/>
        <w:spacing w:line="360" w:lineRule="auto"/>
        <w:ind w:firstLine="420" w:firstLineChars="20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9.3.5 政府采购统计基础信息表；</w:t>
      </w:r>
    </w:p>
    <w:p w14:paraId="71FA8BAA">
      <w:pPr>
        <w:pStyle w:val="35"/>
        <w:rPr>
          <w:rFonts w:hint="default"/>
          <w:color w:val="auto"/>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9.3.6其他资料（如有）</w:t>
      </w:r>
    </w:p>
    <w:p w14:paraId="05F8443C">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响应文件的编制</w:t>
      </w:r>
    </w:p>
    <w:p w14:paraId="0445A7D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.1响应文件分为资格文件、商务技术文件、报价文件三部分。各供应商在编制响应文件时请按照竞争性磋商文件第六部分规定的格式进行。</w:t>
      </w:r>
      <w:r>
        <w:rPr>
          <w:rFonts w:hint="eastAsia" w:asciiTheme="minorEastAsia" w:hAnsiTheme="minorEastAsia" w:eastAsiaTheme="minorEastAsia" w:cstheme="minorEastAsia"/>
          <w:color w:val="auto"/>
          <w:kern w:val="0"/>
          <w:sz w:val="21"/>
          <w:szCs w:val="21"/>
          <w:highlight w:val="none"/>
          <w:lang w:val="en-US" w:eastAsia="zh-CN"/>
        </w:rPr>
        <w:t>未有规定格式的资料，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rPr>
        <w:t>应自行编制，但至少须包含9.响应文件组成中的内容。</w:t>
      </w:r>
      <w:r>
        <w:rPr>
          <w:rFonts w:hint="eastAsia" w:asciiTheme="minorEastAsia" w:hAnsiTheme="minorEastAsia" w:eastAsiaTheme="minorEastAsia" w:cstheme="minorEastAsia"/>
          <w:color w:val="auto"/>
          <w:kern w:val="0"/>
          <w:sz w:val="21"/>
          <w:szCs w:val="21"/>
          <w:highlight w:val="none"/>
          <w:lang w:val="zh-CN"/>
        </w:rPr>
        <w:t>混乱的编排导致响应文件被误读或磋商小组查找不到有效文件是供应商的风险。</w:t>
      </w:r>
    </w:p>
    <w:p w14:paraId="05A83A8A">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.2供应商进行电子投标应安装客户端软件—“乐采云电子交易客户端”（</w:t>
      </w:r>
      <w:r>
        <w:rPr>
          <w:rFonts w:hint="eastAsia" w:asciiTheme="minorEastAsia" w:hAnsiTheme="minorEastAsia" w:eastAsiaTheme="minorEastAsia" w:cstheme="minorEastAsia"/>
          <w:color w:val="auto"/>
          <w:kern w:val="0"/>
          <w:sz w:val="21"/>
          <w:szCs w:val="21"/>
          <w:highlight w:val="none"/>
          <w:lang w:val="en-US" w:eastAsia="zh-CN"/>
        </w:rPr>
        <w:t>下载地址：https://b.zhengcaiyun.cn/luban/category?parentId=550045&amp;childrenCode=qicaiCategory17&amp;utm=luban.luban-PC-39026.959-pc-websitegroup-navBar-front.8.ebdec73052c711ef9ade896d008b9248</w:t>
      </w:r>
      <w:r>
        <w:rPr>
          <w:rFonts w:hint="eastAsia" w:asciiTheme="minorEastAsia" w:hAnsiTheme="minorEastAsia" w:eastAsiaTheme="minorEastAsia" w:cstheme="minorEastAsia"/>
          <w:color w:val="auto"/>
          <w:kern w:val="0"/>
          <w:sz w:val="21"/>
          <w:szCs w:val="21"/>
          <w:highlight w:val="none"/>
          <w:lang w:val="zh-CN"/>
        </w:rPr>
        <w:t>），并按照竞争性磋商文件和电子交易平台的要求编制并加密响应文件。供应商未按规定加密的响应文件，电子交易平台将拒收并提示。</w:t>
      </w:r>
    </w:p>
    <w:p w14:paraId="011AA533">
      <w:pPr>
        <w:spacing w:line="360" w:lineRule="auto"/>
        <w:ind w:firstLine="420" w:firstLineChars="200"/>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1</w:t>
      </w:r>
      <w:r>
        <w:rPr>
          <w:rFonts w:hint="eastAsia" w:asciiTheme="minorEastAsia" w:hAnsiTheme="minorEastAsia" w:eastAsiaTheme="minorEastAsia" w:cstheme="minorEastAsia"/>
          <w:color w:val="auto"/>
          <w:kern w:val="0"/>
          <w:sz w:val="21"/>
          <w:szCs w:val="21"/>
          <w:highlight w:val="none"/>
          <w:lang w:val="en-US" w:eastAsia="zh-CN"/>
        </w:rPr>
        <w:t>0</w:t>
      </w:r>
      <w:r>
        <w:rPr>
          <w:rFonts w:hint="eastAsia" w:asciiTheme="minorEastAsia" w:hAnsiTheme="minorEastAsia" w:eastAsiaTheme="minorEastAsia" w:cstheme="minorEastAsia"/>
          <w:color w:val="auto"/>
          <w:kern w:val="0"/>
          <w:sz w:val="21"/>
          <w:szCs w:val="21"/>
          <w:highlight w:val="none"/>
          <w:lang w:val="zh-CN"/>
        </w:rPr>
        <w:t>.3使用“乐采云电子交易客户端”需要提前申领CA数字证书，申领流程请自行前往“浙江企业采购信息服务网-下载专区-电子交易客户端-CA驱动和申领流程”进行查阅。</w:t>
      </w:r>
    </w:p>
    <w:p w14:paraId="3E42E54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投</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文件的签署、盖章</w:t>
      </w:r>
    </w:p>
    <w:p w14:paraId="663BF798">
      <w:pPr>
        <w:pStyle w:val="51"/>
        <w:snapToGrid w:val="0"/>
        <w:spacing w:before="0" w:line="360" w:lineRule="auto"/>
        <w:ind w:firstLine="48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文件第六部分格式要求进行签署、盖章。</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文件未按照</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文件要求签署、盖章的，其</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r>
        <w:rPr>
          <w:rFonts w:hint="eastAsia" w:asciiTheme="minorEastAsia" w:hAnsiTheme="minorEastAsia" w:eastAsiaTheme="minorEastAsia" w:cstheme="minorEastAsia"/>
          <w:color w:val="auto"/>
          <w:sz w:val="21"/>
          <w:szCs w:val="21"/>
          <w:highlight w:val="none"/>
        </w:rPr>
        <w:t>。</w:t>
      </w:r>
    </w:p>
    <w:p w14:paraId="480ED3A0">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.2为确保网上操作合法、有效和安全，</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截止时间前完成在“</w:t>
      </w:r>
      <w:r>
        <w:rPr>
          <w:rFonts w:hint="eastAsia" w:asciiTheme="minorEastAsia" w:hAnsiTheme="minorEastAsia" w:eastAsiaTheme="minorEastAsia" w:cstheme="minorEastAsia"/>
          <w:color w:val="auto"/>
          <w:sz w:val="21"/>
          <w:szCs w:val="21"/>
          <w:highlight w:val="none"/>
          <w:lang w:eastAsia="zh-CN"/>
        </w:rPr>
        <w:t>乐采云</w:t>
      </w:r>
      <w:r>
        <w:rPr>
          <w:rFonts w:hint="eastAsia" w:asciiTheme="minorEastAsia" w:hAnsiTheme="minorEastAsia" w:eastAsiaTheme="minorEastAsia" w:cstheme="minorEastAsia"/>
          <w:color w:val="auto"/>
          <w:sz w:val="21"/>
          <w:szCs w:val="21"/>
          <w:highlight w:val="none"/>
        </w:rPr>
        <w:t>”的身份认证，确保在电子投标过程中能够对相关数据电文进行加密和使用电子签名。</w:t>
      </w:r>
    </w:p>
    <w:p w14:paraId="54D8F920">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.3</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文件签署、盖章的要求适用于电子签名。</w:t>
      </w:r>
    </w:p>
    <w:p w14:paraId="7345E2E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响应文件的提交、补充、修改、撤回</w:t>
      </w:r>
    </w:p>
    <w:p w14:paraId="3A21441F">
      <w:pPr>
        <w:pStyle w:val="51"/>
        <w:spacing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.1 供应商应当在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截止时间前完成</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文件的传输递交，并可以补充、修改或者撤回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文件。补充或者修改</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文件的，应当先行撤回原文件，补充、修改后重新传输递交。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截止时间前未完成传输的，视为撤回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截止时间后递交的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文件，电子交易平台将拒收。</w:t>
      </w:r>
    </w:p>
    <w:p w14:paraId="05CE7344">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.2电子交易平台收到</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文件，将妥善保存并即时向供应商发出确认回执通知。在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截止时间前，除供应商补充、修改或者撤回</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文件外，任何单位和个人不得解密或提取</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p>
    <w:p w14:paraId="774CA29A">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.3采购人、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可以视情况延长</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文件提交的截止时间。在上述情况下，</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以前在</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截止期方面的全部权利、责任和义务，将适用于延长至新的</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截止期。</w:t>
      </w:r>
    </w:p>
    <w:p w14:paraId="26DBF1D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响应有效期</w:t>
      </w:r>
    </w:p>
    <w:p w14:paraId="5FBAA365">
      <w:pPr>
        <w:spacing w:line="360" w:lineRule="auto"/>
        <w:ind w:firstLine="420" w:firstLineChars="200"/>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有效期为从提交</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文件的截止之日起90天。▲</w:t>
      </w:r>
      <w:r>
        <w:rPr>
          <w:rFonts w:hint="eastAsia" w:asciiTheme="minorEastAsia" w:hAnsiTheme="minorEastAsia" w:eastAsiaTheme="minorEastAsia" w:cstheme="minorEastAsia"/>
          <w:b/>
          <w:color w:val="auto"/>
          <w:sz w:val="21"/>
          <w:szCs w:val="21"/>
          <w:highlight w:val="none"/>
          <w:lang w:eastAsia="zh-CN"/>
        </w:rPr>
        <w:t>供应商</w:t>
      </w:r>
      <w:r>
        <w:rPr>
          <w:rFonts w:hint="eastAsia" w:asciiTheme="minorEastAsia" w:hAnsiTheme="minorEastAsia" w:eastAsiaTheme="minorEastAsia" w:cstheme="minorEastAsia"/>
          <w:b/>
          <w:color w:val="auto"/>
          <w:sz w:val="21"/>
          <w:szCs w:val="21"/>
          <w:highlight w:val="none"/>
        </w:rPr>
        <w:t>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文件中承诺的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有效期少于</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文件中载明的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有效期的，</w:t>
      </w:r>
      <w:r>
        <w:rPr>
          <w:rFonts w:hint="eastAsia" w:asciiTheme="minorEastAsia" w:hAnsiTheme="minorEastAsia" w:eastAsiaTheme="minorEastAsia" w:cstheme="minorEastAsia"/>
          <w:b/>
          <w:color w:val="auto"/>
          <w:sz w:val="21"/>
          <w:szCs w:val="21"/>
          <w:highlight w:val="none"/>
          <w:lang w:eastAsia="zh-CN"/>
        </w:rPr>
        <w:t>响应</w:t>
      </w:r>
      <w:r>
        <w:rPr>
          <w:rFonts w:hint="eastAsia" w:asciiTheme="minorEastAsia" w:hAnsiTheme="minorEastAsia" w:eastAsiaTheme="minorEastAsia" w:cstheme="minorEastAsia"/>
          <w:b/>
          <w:color w:val="auto"/>
          <w:sz w:val="21"/>
          <w:szCs w:val="21"/>
          <w:highlight w:val="none"/>
        </w:rPr>
        <w:t>无效。</w:t>
      </w:r>
    </w:p>
    <w:p w14:paraId="6E6C930B">
      <w:pPr>
        <w:pStyle w:val="51"/>
        <w:spacing w:before="0" w:line="360" w:lineRule="auto"/>
        <w:ind w:firstLine="643"/>
        <w:rPr>
          <w:rFonts w:hint="eastAsia" w:asciiTheme="minorEastAsia" w:hAnsiTheme="minorEastAsia" w:eastAsiaTheme="minorEastAsia" w:cstheme="minorEastAsia"/>
          <w:b/>
          <w:color w:val="auto"/>
          <w:sz w:val="32"/>
          <w:highlight w:val="none"/>
        </w:rPr>
      </w:pPr>
    </w:p>
    <w:p w14:paraId="5C3C0EE5">
      <w:pPr>
        <w:pStyle w:val="51"/>
        <w:spacing w:before="0" w:line="360" w:lineRule="auto"/>
        <w:ind w:left="0" w:leftChars="0" w:firstLine="0" w:firstLineChars="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w:t>
      </w:r>
      <w:r>
        <w:rPr>
          <w:rFonts w:hint="eastAsia" w:asciiTheme="minorEastAsia" w:hAnsiTheme="minorEastAsia" w:eastAsiaTheme="minorEastAsia" w:cstheme="minorEastAsia"/>
          <w:b/>
          <w:color w:val="auto"/>
          <w:sz w:val="32"/>
          <w:highlight w:val="none"/>
          <w:lang w:eastAsia="zh-CN"/>
        </w:rPr>
        <w:t>响应文件开启</w:t>
      </w:r>
      <w:r>
        <w:rPr>
          <w:rFonts w:hint="eastAsia" w:asciiTheme="minorEastAsia" w:hAnsiTheme="minorEastAsia" w:eastAsiaTheme="minorEastAsia" w:cstheme="minorEastAsia"/>
          <w:b/>
          <w:color w:val="auto"/>
          <w:sz w:val="32"/>
          <w:highlight w:val="none"/>
        </w:rPr>
        <w:t>、资格审查与信用信息查询</w:t>
      </w:r>
    </w:p>
    <w:p w14:paraId="24292D81">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 xml:space="preserve">响应文件开启 </w:t>
      </w:r>
    </w:p>
    <w:p w14:paraId="48C25627">
      <w:pPr>
        <w:pStyle w:val="46"/>
        <w:spacing w:before="0" w:line="360" w:lineRule="auto"/>
        <w:ind w:left="0" w:firstLine="420" w:firstLineChars="2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文件规定的时间通过电子交易平台组织</w:t>
      </w:r>
      <w:r>
        <w:rPr>
          <w:rFonts w:hint="eastAsia" w:asciiTheme="minorEastAsia" w:hAnsiTheme="minorEastAsia" w:eastAsiaTheme="minorEastAsia" w:cstheme="minorEastAsia"/>
          <w:color w:val="auto"/>
          <w:sz w:val="21"/>
          <w:szCs w:val="21"/>
          <w:highlight w:val="none"/>
          <w:lang w:val="en-US" w:eastAsia="zh-CN"/>
        </w:rPr>
        <w:t>响应文件开启</w:t>
      </w:r>
      <w:r>
        <w:rPr>
          <w:rFonts w:hint="eastAsia" w:asciiTheme="minorEastAsia" w:hAnsiTheme="minorEastAsia" w:eastAsiaTheme="minorEastAsia" w:cstheme="minorEastAsia"/>
          <w:color w:val="auto"/>
          <w:sz w:val="21"/>
          <w:szCs w:val="21"/>
          <w:highlight w:val="none"/>
        </w:rPr>
        <w:t>，所有</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均应当准时在线参加。</w:t>
      </w:r>
      <w:r>
        <w:rPr>
          <w:rFonts w:hint="eastAsia" w:asciiTheme="minorEastAsia" w:hAnsiTheme="minorEastAsia" w:eastAsiaTheme="minorEastAsia" w:cstheme="minorEastAsia"/>
          <w:color w:val="auto"/>
          <w:sz w:val="21"/>
          <w:szCs w:val="21"/>
          <w:highlight w:val="none"/>
          <w:lang w:val="zh-CN"/>
        </w:rPr>
        <w:t>供应商</w:t>
      </w:r>
      <w:r>
        <w:rPr>
          <w:rFonts w:hint="eastAsia" w:asciiTheme="minorEastAsia" w:hAnsiTheme="minorEastAsia" w:eastAsiaTheme="minorEastAsia" w:cstheme="minorEastAsia"/>
          <w:color w:val="auto"/>
          <w:sz w:val="21"/>
          <w:szCs w:val="21"/>
          <w:highlight w:val="none"/>
        </w:rPr>
        <w:t>不足3家的，不得开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w:t>
      </w:r>
    </w:p>
    <w:p w14:paraId="4A3E4E2C">
      <w:pPr>
        <w:pStyle w:val="46"/>
        <w:spacing w:before="0" w:line="360" w:lineRule="auto"/>
        <w:ind w:left="0" w:firstLine="210" w:firstLineChars="100"/>
        <w:contextualSpacing/>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1</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.2开</w:t>
      </w:r>
      <w:r>
        <w:rPr>
          <w:rFonts w:hint="eastAsia" w:asciiTheme="minorEastAsia" w:hAnsiTheme="minorEastAsia" w:eastAsiaTheme="minorEastAsia" w:cstheme="minorEastAsia"/>
          <w:color w:val="auto"/>
          <w:sz w:val="21"/>
          <w:szCs w:val="21"/>
          <w:highlight w:val="none"/>
          <w:lang w:eastAsia="zh-CN"/>
        </w:rPr>
        <w:t>启响应文件</w:t>
      </w:r>
      <w:r>
        <w:rPr>
          <w:rFonts w:hint="eastAsia" w:asciiTheme="minorEastAsia" w:hAnsiTheme="minorEastAsia" w:eastAsiaTheme="minorEastAsia" w:cstheme="minorEastAsia"/>
          <w:color w:val="auto"/>
          <w:sz w:val="21"/>
          <w:szCs w:val="21"/>
          <w:highlight w:val="none"/>
        </w:rPr>
        <w:t>时，电子交易平台按</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sz w:val="21"/>
          <w:szCs w:val="21"/>
          <w:highlight w:val="none"/>
        </w:rPr>
        <w:t>时间自动提取所有</w:t>
      </w:r>
      <w:r>
        <w:rPr>
          <w:rFonts w:hint="eastAsia" w:asciiTheme="minorEastAsia" w:hAnsiTheme="minorEastAsia" w:eastAsiaTheme="minorEastAsia" w:cstheme="minorEastAsia"/>
          <w:color w:val="auto"/>
          <w:sz w:val="21"/>
          <w:szCs w:val="21"/>
          <w:highlight w:val="none"/>
          <w:lang w:eastAsia="zh-CN"/>
        </w:rPr>
        <w:t>响应</w:t>
      </w:r>
      <w:r>
        <w:rPr>
          <w:rFonts w:hint="eastAsia" w:asciiTheme="minorEastAsia" w:hAnsiTheme="minorEastAsia" w:eastAsiaTheme="minorEastAsia" w:cstheme="minorEastAsia"/>
          <w:color w:val="auto"/>
          <w:sz w:val="21"/>
          <w:szCs w:val="21"/>
          <w:highlight w:val="none"/>
        </w:rPr>
        <w:t>文件。</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依托电子交易平台发起开始解密指令，</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sz w:val="21"/>
          <w:szCs w:val="21"/>
          <w:highlight w:val="none"/>
        </w:rPr>
        <w:t>按照平台提示和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文件的规定在半小时内完成在线解密。</w:t>
      </w:r>
    </w:p>
    <w:p w14:paraId="5751878E">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资格审查</w:t>
      </w:r>
    </w:p>
    <w:p w14:paraId="7E81757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sz w:val="21"/>
          <w:szCs w:val="21"/>
          <w:highlight w:val="none"/>
          <w:lang w:eastAsia="zh-CN"/>
        </w:rPr>
        <w:t>响应文件</w:t>
      </w:r>
      <w:r>
        <w:rPr>
          <w:rFonts w:hint="eastAsia" w:asciiTheme="minorEastAsia" w:hAnsiTheme="minorEastAsia" w:eastAsiaTheme="minorEastAsia" w:cstheme="minorEastAsia"/>
          <w:color w:val="auto"/>
          <w:sz w:val="21"/>
          <w:szCs w:val="21"/>
          <w:highlight w:val="none"/>
        </w:rPr>
        <w:t>开</w:t>
      </w:r>
      <w:r>
        <w:rPr>
          <w:rFonts w:hint="eastAsia" w:asciiTheme="minorEastAsia" w:hAnsiTheme="minorEastAsia" w:eastAsiaTheme="minorEastAsia" w:cstheme="minorEastAsia"/>
          <w:color w:val="auto"/>
          <w:sz w:val="21"/>
          <w:szCs w:val="21"/>
          <w:highlight w:val="none"/>
          <w:lang w:eastAsia="zh-CN"/>
        </w:rPr>
        <w:t>启</w:t>
      </w:r>
      <w:r>
        <w:rPr>
          <w:rFonts w:hint="eastAsia" w:asciiTheme="minorEastAsia" w:hAnsiTheme="minorEastAsia" w:eastAsiaTheme="minorEastAsia" w:cstheme="minorEastAsia"/>
          <w:color w:val="auto"/>
          <w:kern w:val="0"/>
          <w:sz w:val="21"/>
          <w:szCs w:val="21"/>
          <w:highlight w:val="none"/>
        </w:rPr>
        <w:t>后，</w:t>
      </w:r>
      <w:r>
        <w:rPr>
          <w:rFonts w:hint="eastAsia" w:asciiTheme="minorEastAsia" w:hAnsiTheme="minorEastAsia" w:eastAsiaTheme="minorEastAsia" w:cstheme="minorEastAsia"/>
          <w:color w:val="auto"/>
          <w:kern w:val="0"/>
          <w:sz w:val="21"/>
          <w:szCs w:val="21"/>
          <w:highlight w:val="none"/>
          <w:lang w:val="en-US" w:eastAsia="zh-CN"/>
        </w:rPr>
        <w:t>采购代理机构</w:t>
      </w:r>
      <w:r>
        <w:rPr>
          <w:rFonts w:hint="eastAsia" w:asciiTheme="minorEastAsia" w:hAnsiTheme="minorEastAsia" w:eastAsiaTheme="minorEastAsia" w:cstheme="minorEastAsia"/>
          <w:color w:val="auto"/>
          <w:kern w:val="0"/>
          <w:sz w:val="21"/>
          <w:szCs w:val="21"/>
          <w:highlight w:val="none"/>
        </w:rPr>
        <w:t>依据法律法规和</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文件的规定，对</w:t>
      </w:r>
      <w:r>
        <w:rPr>
          <w:rFonts w:hint="eastAsia" w:asciiTheme="minorEastAsia" w:hAnsiTheme="minorEastAsia" w:eastAsiaTheme="minorEastAsia" w:cstheme="minorEastAsia"/>
          <w:color w:val="auto"/>
          <w:kern w:val="0"/>
          <w:sz w:val="21"/>
          <w:szCs w:val="21"/>
          <w:highlight w:val="none"/>
          <w:lang w:eastAsia="zh-CN"/>
        </w:rPr>
        <w:t>供应商</w:t>
      </w:r>
      <w:r>
        <w:rPr>
          <w:rFonts w:hint="eastAsia" w:asciiTheme="minorEastAsia" w:hAnsiTheme="minorEastAsia" w:eastAsiaTheme="minorEastAsia" w:cstheme="minorEastAsia"/>
          <w:color w:val="auto"/>
          <w:kern w:val="0"/>
          <w:sz w:val="21"/>
          <w:szCs w:val="21"/>
          <w:highlight w:val="none"/>
        </w:rPr>
        <w:t>的资格条件进行审查。</w:t>
      </w:r>
    </w:p>
    <w:p w14:paraId="69EBBF4C">
      <w:pPr>
        <w:pStyle w:val="51"/>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对未通过资格审查的</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，采购人或</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告知其未通过的原因。</w:t>
      </w:r>
    </w:p>
    <w:p w14:paraId="2C7B2748">
      <w:pPr>
        <w:pStyle w:val="51"/>
        <w:spacing w:before="0" w:line="360" w:lineRule="auto"/>
        <w:ind w:firstLine="48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val="en-US" w:eastAsia="zh-CN"/>
        </w:rPr>
        <w:t>5</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合格</w:t>
      </w:r>
      <w:r>
        <w:rPr>
          <w:rFonts w:hint="eastAsia" w:asciiTheme="minorEastAsia" w:hAnsiTheme="minorEastAsia" w:eastAsia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不足3家的，不再</w:t>
      </w:r>
      <w:r>
        <w:rPr>
          <w:rFonts w:hint="eastAsia" w:asciiTheme="minorEastAsia" w:hAnsiTheme="minorEastAsia" w:eastAsiaTheme="minorEastAsia" w:cstheme="minorEastAsia"/>
          <w:color w:val="auto"/>
          <w:sz w:val="21"/>
          <w:szCs w:val="21"/>
          <w:highlight w:val="none"/>
          <w:lang w:eastAsia="zh-CN"/>
        </w:rPr>
        <w:t>评审，但符合《政府采购竞争性磋商采购方式管理暂行办法》第二十一条第三款和《财政部关于政府采购竞争性磋商采购方式管理暂行办法有关问题的补充通知》规定的情形，采购活动可以继续进行。</w:t>
      </w:r>
    </w:p>
    <w:p w14:paraId="524F1F4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信用信息查询</w:t>
      </w:r>
    </w:p>
    <w:p w14:paraId="6EF0E319">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.1信用信息查询渠道及截止时间：</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将通过“信用中国”网站(www.creditchina.gov.cn)、中国政府采购网(www.ccgp.gov.cn)渠道查询</w:t>
      </w:r>
      <w:r>
        <w:rPr>
          <w:rFonts w:hint="eastAsia" w:asciiTheme="minorEastAsia" w:hAnsiTheme="minorEastAsia" w:eastAsiaTheme="minorEastAsia" w:cstheme="minorEastAsia"/>
          <w:color w:val="auto"/>
          <w:kern w:val="0"/>
          <w:sz w:val="21"/>
          <w:szCs w:val="21"/>
          <w:highlight w:val="none"/>
          <w:lang w:eastAsia="zh-CN"/>
        </w:rPr>
        <w:t>供应商响应</w:t>
      </w:r>
      <w:r>
        <w:rPr>
          <w:rFonts w:hint="eastAsia" w:asciiTheme="minorEastAsia" w:hAnsiTheme="minorEastAsia" w:eastAsiaTheme="minorEastAsia" w:cstheme="minorEastAsia"/>
          <w:color w:val="auto"/>
          <w:kern w:val="0"/>
          <w:sz w:val="21"/>
          <w:szCs w:val="21"/>
          <w:highlight w:val="none"/>
        </w:rPr>
        <w:t>截止时间当天的信用记录。</w:t>
      </w:r>
    </w:p>
    <w:p w14:paraId="6353B29E">
      <w:pPr>
        <w:pStyle w:val="51"/>
        <w:spacing w:before="0" w:line="360" w:lineRule="auto"/>
        <w:ind w:firstLine="495" w:firstLineChars="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16</w:t>
      </w:r>
      <w:r>
        <w:rPr>
          <w:rFonts w:hint="eastAsia" w:asciiTheme="minorEastAsia" w:hAnsiTheme="minorEastAsia" w:eastAsiaTheme="minorEastAsia" w:cstheme="minorEastAsia"/>
          <w:color w:val="auto"/>
          <w:kern w:val="0"/>
          <w:sz w:val="21"/>
          <w:szCs w:val="21"/>
          <w:highlight w:val="none"/>
        </w:rPr>
        <w:t>.2信用信息的使用规则：经查询列入失信被执行人名单、重大税收违法案件当事人名单、政府采购严重违法失信行为记录名单的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将被拒绝参与政府采购活动。</w:t>
      </w:r>
    </w:p>
    <w:p w14:paraId="2E7623E3">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rPr>
        <w:t>五、评</w:t>
      </w:r>
      <w:r>
        <w:rPr>
          <w:rFonts w:hint="eastAsia" w:asciiTheme="minorEastAsia" w:hAnsiTheme="minorEastAsia" w:eastAsiaTheme="minorEastAsia" w:cstheme="minorEastAsia"/>
          <w:b/>
          <w:color w:val="auto"/>
          <w:sz w:val="36"/>
          <w:szCs w:val="36"/>
          <w:highlight w:val="none"/>
          <w:lang w:eastAsia="zh-CN"/>
        </w:rPr>
        <w:t>审</w:t>
      </w:r>
    </w:p>
    <w:p w14:paraId="4C1DB7F6">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bookmarkStart w:id="14" w:name="_Toc91899903"/>
      <w:r>
        <w:rPr>
          <w:rFonts w:hint="eastAsia" w:asciiTheme="minorEastAsia" w:hAnsiTheme="minorEastAsia" w:eastAsiaTheme="minorEastAsia" w:cstheme="minorEastAsia"/>
          <w:b/>
          <w:color w:val="auto"/>
          <w:sz w:val="21"/>
          <w:szCs w:val="21"/>
          <w:highlight w:val="none"/>
          <w:lang w:val="en-US" w:eastAsia="zh-CN"/>
        </w:rPr>
        <w:t>磋商小组</w:t>
      </w:r>
    </w:p>
    <w:p w14:paraId="6C0D866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17.1 本次采购依法组建磋商小组。磋商小组由采购人代表和评审专家组成，评审专家从专家库随机抽取。</w:t>
      </w:r>
    </w:p>
    <w:p w14:paraId="75B27C9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17.2 评标原则。磋商小组必须遵循公平、公正、客观、科学的原则和规定的程序进行评审；评审依据为竞争性磋商文件和响应文件；评审人员应独立评审，不得带有任何倾向性和启发性影响他人评审；任何单位和个人不得干扰、影响评标的正常进行；磋商小组及有关工作人员不得私下与供应商接触，不得向外界透露任何与评审有关的内容。</w:t>
      </w:r>
    </w:p>
    <w:p w14:paraId="0591398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 评审专家有下列情形之一的，受到邀请应主动提出回避，采购当事人也可以要求该评审专家回避：</w:t>
      </w:r>
    </w:p>
    <w:p w14:paraId="31839C6F">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17.3.1 参加采购活动前三年内，与供应商存在劳动关系，或者担任过供应商的董事、监事，或者是供应商的控股股东或实际控制人；</w:t>
      </w:r>
    </w:p>
    <w:p w14:paraId="275C56D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17.3.2 与供应商的法定代表人或者负责人有夫妻、直系血亲、三代以内旁系血亲或者近姻亲关系；</w:t>
      </w:r>
    </w:p>
    <w:p w14:paraId="571AC23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17.3.3 任职单位与参加该采购项目供应商存在行政隶属关系；</w:t>
      </w:r>
    </w:p>
    <w:p w14:paraId="278E400D">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17.3.4 曾经参加过该采购项目的进口产品或招标文件、采购需求、采购方式的论证和咨询服务工作；</w:t>
      </w:r>
    </w:p>
    <w:p w14:paraId="427BC9A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17.3.5 是参加该采购项目供应商的上级主管部门、控股或参股单位的工作人员，或与该供应商存在其他经济利益关系；</w:t>
      </w:r>
    </w:p>
    <w:p w14:paraId="19AD47BA">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17.3.6 评标委员会成员之间具有配偶、近亲属关系等；</w:t>
      </w:r>
    </w:p>
    <w:p w14:paraId="2DF3620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17.3.7 法律、法规、规章规定应当回避以及其他可能影响政府采购活动公平、公正进行的关系。</w:t>
      </w:r>
    </w:p>
    <w:p w14:paraId="54D8ADCE">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17.4 评标委员会判断投标文件的有效性、合格性和响应情况，仅依据投标人所递交一切文件的真实表述，不受与本项目无直接关联的外部信息、传言而影响自身的专业判断。</w:t>
      </w:r>
    </w:p>
    <w:p w14:paraId="144259E4">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17.5 评委依法独立评审，并对评审意见承担个人责任。评委对需要共同认定的事项存在争议的，按照少数服从多数的原则做出结论。持不同意见的评委应当在评审报告上签署不同意见并说明理由，否则视为同意。</w:t>
      </w:r>
    </w:p>
    <w:p w14:paraId="39673DD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评标</w:t>
      </w:r>
    </w:p>
    <w:p w14:paraId="7667B11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磋商小组将根据竞争性磋商文件和有关规定，履行评标工作职责，并按照评标方法及评分标准，全面衡量各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对竞争性磋商文件的响应情况。对实质上响应竞争性磋商文件的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，按照评审因素的量化指标推荐综合得分排名第一的为中标候选人。</w:t>
      </w:r>
    </w:p>
    <w:p w14:paraId="2785E7FC">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得分相同的，按投标报价由低到高顺序排列。得分且投标报价相同的，投标文件满足招标文件全部实质性要求，且按照评审因素的量化指标评审得分最高的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eastAsia="zh-CN"/>
        </w:rPr>
        <w:t>供应商</w:t>
      </w:r>
      <w:r>
        <w:rPr>
          <w:rFonts w:hint="eastAsia" w:asciiTheme="minorEastAsia" w:hAnsiTheme="minorEastAsia" w:eastAsiaTheme="minorEastAsia" w:cstheme="minorEastAsia"/>
          <w:color w:val="auto"/>
          <w:kern w:val="0"/>
          <w:sz w:val="21"/>
          <w:szCs w:val="21"/>
          <w:highlight w:val="none"/>
          <w:lang w:val="en-US" w:eastAsia="zh-CN"/>
        </w:rPr>
        <w:t>为排名第一的中标候选人。</w:t>
      </w:r>
    </w:p>
    <w:p w14:paraId="6C793398">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详见招标文件第四部分评标办法。</w:t>
      </w:r>
    </w:p>
    <w:p w14:paraId="2DAE6161">
      <w:pPr>
        <w:spacing w:line="360" w:lineRule="auto"/>
        <w:rPr>
          <w:rFonts w:hint="eastAsia" w:asciiTheme="minorEastAsia" w:hAnsiTheme="minorEastAsia" w:eastAsiaTheme="minorEastAsia" w:cstheme="minorEastAsia"/>
          <w:b/>
          <w:color w:val="auto"/>
          <w:sz w:val="24"/>
          <w:highlight w:val="none"/>
        </w:rPr>
      </w:pPr>
    </w:p>
    <w:p w14:paraId="387864C8">
      <w:pPr>
        <w:snapToGrid w:val="0"/>
        <w:spacing w:line="360" w:lineRule="auto"/>
        <w:jc w:val="center"/>
        <w:outlineLvl w:val="0"/>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六、定 标</w:t>
      </w:r>
    </w:p>
    <w:p w14:paraId="194B2A70">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确定成交供应商</w:t>
      </w:r>
    </w:p>
    <w:p w14:paraId="7C5646F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color w:val="auto"/>
          <w:kern w:val="0"/>
          <w:sz w:val="21"/>
          <w:szCs w:val="21"/>
          <w:highlight w:val="none"/>
          <w:lang w:val="en-US" w:eastAsia="zh-CN"/>
        </w:rPr>
        <w:t>本项目由磋商小组直接</w:t>
      </w:r>
      <w:r>
        <w:rPr>
          <w:color w:val="auto"/>
          <w:kern w:val="0"/>
          <w:sz w:val="21"/>
          <w:szCs w:val="21"/>
          <w:highlight w:val="none"/>
        </w:rPr>
        <w:t>确定评审报告排序第一的供应商为成交供应商。</w:t>
      </w:r>
    </w:p>
    <w:p w14:paraId="110ED20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成交通知与成交结果公告</w:t>
      </w:r>
    </w:p>
    <w:p w14:paraId="1F9439C6">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20.1自成交供应商确定之日起2个工作日内，采购代理机构通过电子交易平台向成交供应商发出成交通知书，同时编制发布采购结果公告。采购代理机构也可以以纸质形式进行成交通知。</w:t>
      </w:r>
    </w:p>
    <w:p w14:paraId="4CBC60B7">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20.2成交结果公告内容包括采购人及其委托的采购代理机构的名称、地址、联系方式，项目名称和项目编号，成交人名称、地址和成交金额，主要成交标的的名称、规格型号、数量、单价、服务要求，开标记录、成交公告期限以及评审专家名单。</w:t>
      </w:r>
    </w:p>
    <w:p w14:paraId="248FE7A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20.3公告期限为1个工作日。</w:t>
      </w:r>
    </w:p>
    <w:p w14:paraId="28AD752A">
      <w:pPr>
        <w:snapToGrid w:val="0"/>
        <w:spacing w:line="360" w:lineRule="auto"/>
        <w:jc w:val="both"/>
        <w:rPr>
          <w:rFonts w:hint="eastAsia" w:asciiTheme="minorEastAsia" w:hAnsiTheme="minorEastAsia" w:eastAsiaTheme="minorEastAsia" w:cstheme="minorEastAsia"/>
          <w:b/>
          <w:color w:val="auto"/>
          <w:sz w:val="32"/>
          <w:highlight w:val="none"/>
        </w:rPr>
      </w:pPr>
    </w:p>
    <w:p w14:paraId="03B1A269">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七、合同授予</w:t>
      </w:r>
    </w:p>
    <w:p w14:paraId="148AA9A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合同授予</w:t>
      </w:r>
    </w:p>
    <w:p w14:paraId="71512B1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合同主要条款详见第五部分拟签订的合同文本。</w:t>
      </w:r>
    </w:p>
    <w:p w14:paraId="1DD35CBD">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合同的签订</w:t>
      </w:r>
    </w:p>
    <w:p w14:paraId="079441A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22.1 采购人与成交供应商应当通过电子交易平台在成交通知书发出之日起三十日内，按照竞争性磋商文件及成交供应商的响应文件确定的事项签订政府采购合同，并在合同签订之日起2个工作日内依法发布合同公告。</w:t>
      </w:r>
    </w:p>
    <w:p w14:paraId="5472E960">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eastAsia="zh-CN"/>
        </w:rPr>
        <w:t>2</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lang w:val="zh-CN" w:eastAsia="zh-CN"/>
        </w:rPr>
        <w:t>.2成交供应商按规定的日期、时间、地点，由法定代表人或其授权代表与采购人代表签订合同。如成交人为联合体的，由联合体成员各方法定代表人或其授权代表与采购人代表签订合同。</w:t>
      </w:r>
    </w:p>
    <w:p w14:paraId="1F4EBBF2">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22.3如签订合同并生效后，供应商无故拒绝或延期，除按照合同条款处理外，列入不良行为记录名单，并给予通报。</w:t>
      </w:r>
    </w:p>
    <w:p w14:paraId="27DFF633">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22.4</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供应商拒绝与采购人签订合同的，列入不良行为记录名单，采购人、采购代理机构重新开展政府采购活动。</w:t>
      </w:r>
    </w:p>
    <w:p w14:paraId="1F8E4275">
      <w:pPr>
        <w:pStyle w:val="51"/>
        <w:spacing w:before="0" w:line="360" w:lineRule="auto"/>
        <w:ind w:firstLine="480"/>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22.5采购合同由采购人与</w:t>
      </w:r>
      <w:r>
        <w:rPr>
          <w:rFonts w:hint="eastAsia" w:asciiTheme="minorEastAsia" w:hAnsiTheme="minorEastAsia" w:eastAsiaTheme="minorEastAsia" w:cstheme="minorEastAsia"/>
          <w:color w:val="auto"/>
          <w:kern w:val="0"/>
          <w:sz w:val="21"/>
          <w:szCs w:val="21"/>
          <w:highlight w:val="none"/>
          <w:lang w:val="zh-CN" w:eastAsia="zh-CN"/>
        </w:rPr>
        <w:t>成交</w:t>
      </w:r>
      <w:r>
        <w:rPr>
          <w:rFonts w:hint="eastAsia" w:asciiTheme="minorEastAsia" w:hAnsiTheme="minorEastAsia" w:eastAsiaTheme="minorEastAsia" w:cstheme="minorEastAsia"/>
          <w:color w:val="auto"/>
          <w:kern w:val="0"/>
          <w:sz w:val="21"/>
          <w:szCs w:val="21"/>
          <w:highlight w:val="none"/>
          <w:lang w:val="en-US" w:eastAsia="zh-CN"/>
        </w:rPr>
        <w:t>供应商根据竞争性磋商文件、响应文件等内容通过政府采购电子交易平台在线签订，自动备案。</w:t>
      </w:r>
    </w:p>
    <w:p w14:paraId="1A851164">
      <w:pPr>
        <w:snapToGrid w:val="0"/>
        <w:spacing w:line="360" w:lineRule="auto"/>
        <w:ind w:firstLine="3357" w:firstLineChars="1045"/>
        <w:rPr>
          <w:rFonts w:hint="eastAsia"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32"/>
          <w:highlight w:val="none"/>
        </w:rPr>
        <w:t>八、电子交易活动的中止</w:t>
      </w:r>
    </w:p>
    <w:p w14:paraId="11C9D49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电子交易活动的中止</w:t>
      </w:r>
    </w:p>
    <w:p w14:paraId="254371BE">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采购过程中出现以下情形，导致电子交易平台无法正常运行，或者无法保证电子交易的公平、公正和安全时，</w:t>
      </w:r>
      <w:r>
        <w:rPr>
          <w:rFonts w:hint="eastAsia" w:asciiTheme="minorEastAsia" w:hAnsiTheme="minorEastAsia" w:eastAsiaTheme="minorEastAsia" w:cstheme="minorEastAsia"/>
          <w:color w:val="auto"/>
          <w:kern w:val="0"/>
          <w:sz w:val="21"/>
          <w:szCs w:val="21"/>
          <w:highlight w:val="none"/>
          <w:lang w:eastAsia="zh-CN"/>
        </w:rPr>
        <w:t>采购代理机构</w:t>
      </w:r>
      <w:r>
        <w:rPr>
          <w:rFonts w:hint="eastAsia" w:asciiTheme="minorEastAsia" w:hAnsiTheme="minorEastAsia" w:eastAsiaTheme="minorEastAsia" w:cstheme="minorEastAsia"/>
          <w:color w:val="auto"/>
          <w:kern w:val="0"/>
          <w:sz w:val="21"/>
          <w:szCs w:val="21"/>
          <w:highlight w:val="none"/>
        </w:rPr>
        <w:t>可中止电子交易活动：</w:t>
      </w:r>
    </w:p>
    <w:p w14:paraId="622CCB56">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.1电子交易平台发生故障而无法登录访问的； </w:t>
      </w:r>
    </w:p>
    <w:p w14:paraId="65C368D6">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.2电子交易平台应用或数据库出现错误，不能进行正常操作的；</w:t>
      </w:r>
    </w:p>
    <w:p w14:paraId="1880A140">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.3电子交易平台发现严重安全漏洞，有潜在泄密危险的；</w:t>
      </w:r>
    </w:p>
    <w:p w14:paraId="7FF2AE15">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 xml:space="preserve">.4病毒发作导致不能进行正常操作的； </w:t>
      </w:r>
    </w:p>
    <w:p w14:paraId="7195BC0B">
      <w:pPr>
        <w:pStyle w:val="51"/>
        <w:snapToGrid w:val="0"/>
        <w:spacing w:before="0" w:line="360" w:lineRule="auto"/>
        <w:ind w:firstLine="48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.5其他无法保证电子交易的公平、公正和安全的情况。</w:t>
      </w:r>
    </w:p>
    <w:p w14:paraId="35AAC6A8">
      <w:pPr>
        <w:snapToGrid w:val="0"/>
        <w:spacing w:line="360" w:lineRule="auto"/>
        <w:jc w:val="both"/>
        <w:rPr>
          <w:rFonts w:hint="eastAsia" w:asciiTheme="minorEastAsia" w:hAnsiTheme="minorEastAsia" w:eastAsiaTheme="minorEastAsia" w:cstheme="minorEastAsia"/>
          <w:b/>
          <w:color w:val="auto"/>
          <w:sz w:val="32"/>
          <w:highlight w:val="none"/>
        </w:rPr>
      </w:pPr>
    </w:p>
    <w:p w14:paraId="2C20B651">
      <w:pPr>
        <w:snapToGrid w:val="0"/>
        <w:spacing w:line="360" w:lineRule="auto"/>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九、验收</w:t>
      </w:r>
    </w:p>
    <w:p w14:paraId="0894123F">
      <w:pPr>
        <w:keepNext w:val="0"/>
        <w:keepLines w:val="0"/>
        <w:pageBreakBefore w:val="0"/>
        <w:widowControl w:val="0"/>
        <w:numPr>
          <w:ilvl w:val="0"/>
          <w:numId w:val="1"/>
        </w:numPr>
        <w:kinsoku/>
        <w:wordWrap/>
        <w:overflowPunct/>
        <w:topLinePunct w:val="0"/>
        <w:autoSpaceDE/>
        <w:autoSpaceDN/>
        <w:bidi w:val="0"/>
        <w:adjustRightInd w:val="0"/>
        <w:snapToGrid w:val="0"/>
        <w:spacing w:before="157" w:beforeLines="50" w:line="360" w:lineRule="auto"/>
        <w:ind w:left="0" w:leftChars="0" w:firstLine="422" w:firstLineChars="200"/>
        <w:jc w:val="left"/>
        <w:textAlignment w:val="auto"/>
        <w:outlineLvl w:val="1"/>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验收</w:t>
      </w:r>
    </w:p>
    <w:p w14:paraId="2F6E5A53">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68EB2C98">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2</w:t>
      </w:r>
      <w:r>
        <w:rPr>
          <w:rFonts w:hint="eastAsia" w:asciiTheme="minorEastAsia" w:hAnsiTheme="minorEastAsia" w:eastAsiaTheme="minorEastAsia" w:cstheme="minorEastAsia"/>
          <w:color w:val="auto"/>
          <w:kern w:val="0"/>
          <w:sz w:val="21"/>
          <w:szCs w:val="21"/>
          <w:highlight w:val="none"/>
        </w:rPr>
        <w:t>严格按照采购合同开展履约验收。采购人成立验收小组</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lang w:val="en-US" w:eastAsia="zh-CN"/>
        </w:rPr>
        <w:t>为社会公众提供的公共服务项目验收时，验收小组成员必须包含部分服务对象</w:t>
      </w:r>
      <w:r>
        <w:rPr>
          <w:rFonts w:hint="eastAsia" w:asciiTheme="minorEastAsia" w:hAnsiTheme="minorEastAsia" w:eastAsiaTheme="minorEastAsia" w:cstheme="minorEastAsia"/>
          <w:color w:val="auto"/>
          <w:kern w:val="0"/>
          <w:sz w:val="21"/>
          <w:szCs w:val="21"/>
          <w:highlight w:val="none"/>
          <w:lang w:eastAsia="zh-CN"/>
        </w:rPr>
        <w:t>）</w:t>
      </w:r>
      <w:r>
        <w:rPr>
          <w:rFonts w:hint="eastAsia" w:asciiTheme="minorEastAsia" w:hAnsiTheme="minorEastAsia" w:eastAsiaTheme="minorEastAsia" w:cstheme="minorEastAsia"/>
          <w:color w:val="auto"/>
          <w:kern w:val="0"/>
          <w:sz w:val="21"/>
          <w:szCs w:val="21"/>
          <w:highlight w:val="none"/>
        </w:rPr>
        <w:t>，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返还条件挂钩。履约验收的各项资料应当存档备查。</w:t>
      </w:r>
    </w:p>
    <w:p w14:paraId="403F3DF9">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val="en-US" w:eastAsia="zh-CN"/>
        </w:rPr>
        <w:t>4</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w:t>
      </w:r>
      <w:r>
        <w:rPr>
          <w:rFonts w:hint="eastAsia" w:asciiTheme="minorEastAsia" w:hAnsiTheme="minorEastAsia" w:eastAsiaTheme="minorEastAsia" w:cstheme="minorEastAsia"/>
          <w:color w:val="auto"/>
          <w:kern w:val="0"/>
          <w:sz w:val="21"/>
          <w:szCs w:val="21"/>
          <w:highlight w:val="none"/>
          <w:lang w:val="en-US" w:eastAsia="zh-CN"/>
        </w:rPr>
        <w:t>监督管理部门</w:t>
      </w:r>
      <w:r>
        <w:rPr>
          <w:rFonts w:hint="eastAsia" w:asciiTheme="minorEastAsia" w:hAnsiTheme="minorEastAsia" w:eastAsiaTheme="minorEastAsia" w:cstheme="minorEastAsia"/>
          <w:color w:val="auto"/>
          <w:kern w:val="0"/>
          <w:sz w:val="21"/>
          <w:szCs w:val="21"/>
          <w:highlight w:val="none"/>
        </w:rPr>
        <w:t>。</w:t>
      </w:r>
      <w:bookmarkEnd w:id="14"/>
      <w:bookmarkStart w:id="15" w:name="_Hlt74714665"/>
      <w:bookmarkEnd w:id="15"/>
      <w:bookmarkStart w:id="16" w:name="_Hlt68072990"/>
      <w:bookmarkEnd w:id="16"/>
      <w:bookmarkStart w:id="17" w:name="_Hlt75236290"/>
      <w:bookmarkEnd w:id="17"/>
      <w:bookmarkStart w:id="18" w:name="_Hlt74730295"/>
      <w:bookmarkEnd w:id="18"/>
      <w:bookmarkStart w:id="19" w:name="_Hlt75236101"/>
      <w:bookmarkEnd w:id="19"/>
      <w:bookmarkStart w:id="20" w:name="_Hlt74729768"/>
      <w:bookmarkEnd w:id="20"/>
      <w:bookmarkStart w:id="21" w:name="_Hlt68057669"/>
      <w:bookmarkEnd w:id="21"/>
      <w:bookmarkStart w:id="22" w:name="_Hlt68403820"/>
      <w:bookmarkEnd w:id="22"/>
      <w:bookmarkStart w:id="23" w:name="_Hlt68073093"/>
      <w:bookmarkEnd w:id="23"/>
      <w:bookmarkStart w:id="24" w:name="_Hlt75236011"/>
      <w:bookmarkEnd w:id="24"/>
      <w:bookmarkStart w:id="25" w:name="_Hlt74707468"/>
      <w:bookmarkEnd w:id="25"/>
      <w:bookmarkStart w:id="26" w:name="_Hlt68072998"/>
      <w:bookmarkEnd w:id="26"/>
    </w:p>
    <w:p w14:paraId="7E79311D">
      <w:pPr>
        <w:tabs>
          <w:tab w:val="left" w:pos="0"/>
        </w:tabs>
        <w:spacing w:line="360" w:lineRule="auto"/>
        <w:ind w:firstLine="480"/>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br w:type="page"/>
      </w:r>
    </w:p>
    <w:p w14:paraId="20A48707">
      <w:pPr>
        <w:tabs>
          <w:tab w:val="left" w:pos="0"/>
        </w:tabs>
        <w:spacing w:line="360" w:lineRule="auto"/>
        <w:jc w:val="center"/>
        <w:rPr>
          <w:rFonts w:hint="eastAsia"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第三部分   采购需求</w:t>
      </w:r>
    </w:p>
    <w:p w14:paraId="68E99A1A">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rPr>
      </w:pPr>
      <w:bookmarkStart w:id="27" w:name="_Hlk128151554"/>
      <w:r>
        <w:rPr>
          <w:rFonts w:hint="eastAsia" w:asciiTheme="minorEastAsia" w:hAnsiTheme="minorEastAsia" w:eastAsiaTheme="minorEastAsia" w:cstheme="minorEastAsia"/>
          <w:b/>
          <w:color w:val="auto"/>
          <w:szCs w:val="21"/>
          <w:highlight w:val="none"/>
        </w:rPr>
        <w:t>（一）采购范围</w:t>
      </w:r>
    </w:p>
    <w:p w14:paraId="103480E9">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施工图范围内的低压电力排管、低压分接箱及配套基础、绿化迁移、电缆敷设等；</w:t>
      </w:r>
    </w:p>
    <w:p w14:paraId="41DF3388">
      <w:pPr>
        <w:shd w:val="clear"/>
        <w:spacing w:beforeLines="50" w:line="360" w:lineRule="auto"/>
        <w:ind w:firstLine="422" w:firstLineChars="200"/>
        <w:rPr>
          <w:rFonts w:hint="eastAsia" w:asciiTheme="minorEastAsia" w:hAnsiTheme="minorEastAsia" w:eastAsiaTheme="minorEastAsia" w:cstheme="minorEastAsia"/>
          <w:b/>
          <w:color w:val="auto"/>
          <w:szCs w:val="21"/>
          <w:highlight w:val="none"/>
          <w:lang w:val="en-US" w:eastAsia="zh-CN"/>
        </w:rPr>
      </w:pPr>
      <w:r>
        <w:rPr>
          <w:rFonts w:hint="eastAsia" w:asciiTheme="minorEastAsia" w:hAnsiTheme="minorEastAsia" w:eastAsiaTheme="minorEastAsia" w:cstheme="minorEastAsia"/>
          <w:b/>
          <w:color w:val="auto"/>
          <w:szCs w:val="21"/>
          <w:highlight w:val="none"/>
          <w:lang w:val="en-US" w:eastAsia="zh-CN"/>
        </w:rPr>
        <w:t>（二）施工图设计内容：</w:t>
      </w:r>
    </w:p>
    <w:p w14:paraId="26657CC0">
      <w:pPr>
        <w:shd w:val="clear"/>
        <w:spacing w:beforeLines="50" w:line="360" w:lineRule="auto"/>
        <w:ind w:firstLine="420" w:firstLineChars="200"/>
        <w:rPr>
          <w:rFonts w:hint="eastAsia" w:asciiTheme="minorEastAsia" w:hAnsiTheme="minorEastAsia" w:eastAsiaTheme="minorEastAsia" w:cstheme="minorEastAsia"/>
          <w:bCs/>
          <w:color w:val="auto"/>
          <w:szCs w:val="21"/>
          <w:highlight w:val="none"/>
          <w:lang w:val="en-US" w:eastAsia="zh-CN"/>
        </w:rPr>
      </w:pPr>
      <w:r>
        <w:rPr>
          <w:rFonts w:hint="eastAsia" w:asciiTheme="minorEastAsia" w:hAnsiTheme="minorEastAsia" w:eastAsiaTheme="minorEastAsia" w:cstheme="minorEastAsia"/>
          <w:bCs/>
          <w:color w:val="auto"/>
          <w:szCs w:val="21"/>
          <w:highlight w:val="none"/>
          <w:lang w:val="en-US" w:eastAsia="zh-CN"/>
        </w:rPr>
        <w:t>详见图纸。</w:t>
      </w:r>
    </w:p>
    <w:p w14:paraId="31E1047C">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1954B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2918528">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序号</w:t>
            </w:r>
          </w:p>
        </w:tc>
        <w:tc>
          <w:tcPr>
            <w:tcW w:w="3669" w:type="dxa"/>
            <w:vAlign w:val="center"/>
          </w:tcPr>
          <w:p w14:paraId="7364D2E9">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项目内容</w:t>
            </w:r>
          </w:p>
        </w:tc>
        <w:tc>
          <w:tcPr>
            <w:tcW w:w="3103" w:type="dxa"/>
            <w:vAlign w:val="center"/>
          </w:tcPr>
          <w:p w14:paraId="593914E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说明与要求</w:t>
            </w:r>
          </w:p>
        </w:tc>
        <w:tc>
          <w:tcPr>
            <w:tcW w:w="1541" w:type="dxa"/>
            <w:vAlign w:val="center"/>
          </w:tcPr>
          <w:p w14:paraId="6B30F67B">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供应商响应</w:t>
            </w:r>
          </w:p>
        </w:tc>
      </w:tr>
      <w:tr w14:paraId="6F318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973" w:type="dxa"/>
            <w:vAlign w:val="center"/>
          </w:tcPr>
          <w:p w14:paraId="267C2CB7">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1</w:t>
            </w:r>
          </w:p>
        </w:tc>
        <w:tc>
          <w:tcPr>
            <w:tcW w:w="3669" w:type="dxa"/>
            <w:vAlign w:val="center"/>
          </w:tcPr>
          <w:p w14:paraId="4DF40351">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施工准备时间</w:t>
            </w:r>
          </w:p>
        </w:tc>
        <w:tc>
          <w:tcPr>
            <w:tcW w:w="3103" w:type="dxa"/>
            <w:vAlign w:val="center"/>
          </w:tcPr>
          <w:p w14:paraId="5D68053A">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签订合同后 7 天</w:t>
            </w:r>
          </w:p>
        </w:tc>
        <w:tc>
          <w:tcPr>
            <w:tcW w:w="1541" w:type="dxa"/>
            <w:vAlign w:val="center"/>
          </w:tcPr>
          <w:p w14:paraId="495E684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3A7D0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73" w:type="dxa"/>
            <w:vAlign w:val="center"/>
          </w:tcPr>
          <w:p w14:paraId="053F2370">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2</w:t>
            </w:r>
          </w:p>
        </w:tc>
        <w:tc>
          <w:tcPr>
            <w:tcW w:w="3669" w:type="dxa"/>
            <w:vAlign w:val="center"/>
          </w:tcPr>
          <w:p w14:paraId="1C01DBF7">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延误合同工期赔偿标准</w:t>
            </w:r>
          </w:p>
        </w:tc>
        <w:tc>
          <w:tcPr>
            <w:tcW w:w="3103" w:type="dxa"/>
            <w:vAlign w:val="center"/>
          </w:tcPr>
          <w:p w14:paraId="6497C28A">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val="en-US" w:eastAsia="zh-CN"/>
              </w:rPr>
              <w:t>1</w:t>
            </w:r>
            <w:r>
              <w:rPr>
                <w:rFonts w:hint="eastAsia" w:asciiTheme="minorEastAsia" w:hAnsiTheme="minorEastAsia" w:eastAsiaTheme="minorEastAsia" w:cstheme="minorEastAsia"/>
                <w:b w:val="0"/>
                <w:bCs w:val="0"/>
                <w:color w:val="auto"/>
                <w:szCs w:val="21"/>
                <w:highlight w:val="none"/>
                <w:lang w:eastAsia="zh-CN"/>
              </w:rPr>
              <w:t>000 元/天</w:t>
            </w:r>
          </w:p>
        </w:tc>
        <w:tc>
          <w:tcPr>
            <w:tcW w:w="1541" w:type="dxa"/>
            <w:vAlign w:val="center"/>
          </w:tcPr>
          <w:p w14:paraId="1D0E47C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250F2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973" w:type="dxa"/>
            <w:vAlign w:val="center"/>
          </w:tcPr>
          <w:p w14:paraId="18A8B154">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rPr>
              <w:t>3</w:t>
            </w:r>
          </w:p>
        </w:tc>
        <w:tc>
          <w:tcPr>
            <w:tcW w:w="3669" w:type="dxa"/>
            <w:vAlign w:val="center"/>
          </w:tcPr>
          <w:p w14:paraId="769AB83D">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未达到工程工期违约金限额</w:t>
            </w:r>
          </w:p>
        </w:tc>
        <w:tc>
          <w:tcPr>
            <w:tcW w:w="3103" w:type="dxa"/>
            <w:vAlign w:val="center"/>
          </w:tcPr>
          <w:p w14:paraId="1C8E5178">
            <w:pPr>
              <w:pageBreakBefore w:val="0"/>
              <w:kinsoku/>
              <w:wordWrap/>
              <w:overflowPunct/>
              <w:topLinePunct w:val="0"/>
              <w:bidi w:val="0"/>
              <w:snapToGrid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2</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4730641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1B29B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973" w:type="dxa"/>
            <w:vAlign w:val="center"/>
          </w:tcPr>
          <w:p w14:paraId="3368A0AE">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4</w:t>
            </w:r>
          </w:p>
        </w:tc>
        <w:tc>
          <w:tcPr>
            <w:tcW w:w="3669" w:type="dxa"/>
            <w:vAlign w:val="center"/>
          </w:tcPr>
          <w:p w14:paraId="7A2BD462">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未达到工程质量验收标准违约金限额</w:t>
            </w:r>
          </w:p>
        </w:tc>
        <w:tc>
          <w:tcPr>
            <w:tcW w:w="3103" w:type="dxa"/>
            <w:vAlign w:val="center"/>
          </w:tcPr>
          <w:p w14:paraId="69B76F00">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4ACEF137">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355B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973" w:type="dxa"/>
            <w:vAlign w:val="center"/>
          </w:tcPr>
          <w:p w14:paraId="456AD786">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Cs w:val="21"/>
                <w:highlight w:val="none"/>
                <w:lang w:val="en-US" w:eastAsia="zh-CN"/>
              </w:rPr>
            </w:pPr>
            <w:r>
              <w:rPr>
                <w:rFonts w:hint="eastAsia" w:asciiTheme="minorEastAsia" w:hAnsiTheme="minorEastAsia" w:eastAsiaTheme="minorEastAsia" w:cstheme="minorEastAsia"/>
                <w:b w:val="0"/>
                <w:bCs w:val="0"/>
                <w:color w:val="auto"/>
                <w:szCs w:val="21"/>
                <w:highlight w:val="none"/>
                <w:lang w:val="en-US" w:eastAsia="zh-CN"/>
              </w:rPr>
              <w:t>5</w:t>
            </w:r>
          </w:p>
        </w:tc>
        <w:tc>
          <w:tcPr>
            <w:tcW w:w="3669" w:type="dxa"/>
            <w:vAlign w:val="center"/>
          </w:tcPr>
          <w:p w14:paraId="4900CE09">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未履行安全文明施工承诺违约金限额</w:t>
            </w:r>
          </w:p>
        </w:tc>
        <w:tc>
          <w:tcPr>
            <w:tcW w:w="3103" w:type="dxa"/>
            <w:vAlign w:val="center"/>
          </w:tcPr>
          <w:p w14:paraId="4675C45C">
            <w:pPr>
              <w:spacing w:line="350" w:lineRule="exact"/>
              <w:jc w:val="center"/>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color w:val="auto"/>
                <w:szCs w:val="21"/>
                <w:highlight w:val="none"/>
              </w:rPr>
              <w:t>合同价款的</w:t>
            </w:r>
            <w:r>
              <w:rPr>
                <w:rFonts w:hint="eastAsia" w:asciiTheme="minorEastAsia" w:hAnsiTheme="minorEastAsia" w:eastAsiaTheme="minorEastAsia" w:cstheme="minorEastAsia"/>
                <w:color w:val="auto"/>
                <w:szCs w:val="21"/>
                <w:highlight w:val="none"/>
                <w:u w:val="single"/>
              </w:rPr>
              <w:t xml:space="preserve"> 1 </w:t>
            </w:r>
            <w:r>
              <w:rPr>
                <w:rFonts w:hint="eastAsia" w:asciiTheme="minorEastAsia" w:hAnsiTheme="minorEastAsia" w:eastAsiaTheme="minorEastAsia" w:cstheme="minorEastAsia"/>
                <w:color w:val="auto"/>
                <w:szCs w:val="21"/>
                <w:highlight w:val="none"/>
              </w:rPr>
              <w:t>%</w:t>
            </w:r>
          </w:p>
        </w:tc>
        <w:tc>
          <w:tcPr>
            <w:tcW w:w="1541" w:type="dxa"/>
            <w:vAlign w:val="center"/>
          </w:tcPr>
          <w:p w14:paraId="41C42FD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2557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136401F">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6</w:t>
            </w:r>
          </w:p>
        </w:tc>
        <w:tc>
          <w:tcPr>
            <w:tcW w:w="3669" w:type="dxa"/>
            <w:vAlign w:val="center"/>
          </w:tcPr>
          <w:p w14:paraId="69DA80B4">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044D325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Cs w:val="21"/>
                <w:highlight w:val="none"/>
                <w:lang w:eastAsia="zh-CN"/>
              </w:rPr>
              <w:t>合同价款的</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u w:val="single"/>
                <w:lang w:val="en-US" w:eastAsia="zh-CN"/>
              </w:rPr>
              <w:t>1</w:t>
            </w:r>
            <w:r>
              <w:rPr>
                <w:rFonts w:hint="eastAsia" w:asciiTheme="minorEastAsia" w:hAnsiTheme="minorEastAsia" w:eastAsiaTheme="minorEastAsia" w:cstheme="minorEastAsia"/>
                <w:b w:val="0"/>
                <w:bCs w:val="0"/>
                <w:color w:val="auto"/>
                <w:szCs w:val="21"/>
                <w:highlight w:val="none"/>
                <w:u w:val="single"/>
                <w:lang w:eastAsia="zh-CN"/>
              </w:rPr>
              <w:t xml:space="preserve"> </w:t>
            </w:r>
            <w:r>
              <w:rPr>
                <w:rFonts w:hint="eastAsia" w:asciiTheme="minorEastAsia" w:hAnsiTheme="minorEastAsia" w:eastAsiaTheme="minorEastAsia" w:cstheme="minorEastAsia"/>
                <w:b w:val="0"/>
                <w:bCs w:val="0"/>
                <w:color w:val="auto"/>
                <w:szCs w:val="21"/>
                <w:highlight w:val="none"/>
                <w:lang w:eastAsia="zh-CN"/>
              </w:rPr>
              <w:t>%</w:t>
            </w:r>
          </w:p>
        </w:tc>
        <w:tc>
          <w:tcPr>
            <w:tcW w:w="1541" w:type="dxa"/>
            <w:vAlign w:val="center"/>
          </w:tcPr>
          <w:p w14:paraId="7ED5B0F9">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5235B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BB6A30C">
            <w:pPr>
              <w:pageBreakBefore w:val="0"/>
              <w:kinsoku/>
              <w:wordWrap/>
              <w:overflowPunct/>
              <w:topLinePunct w:val="0"/>
              <w:bidi w:val="0"/>
              <w:spacing w:line="360" w:lineRule="auto"/>
              <w:jc w:val="center"/>
              <w:rPr>
                <w:rFonts w:hint="default"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7</w:t>
            </w:r>
          </w:p>
        </w:tc>
        <w:tc>
          <w:tcPr>
            <w:tcW w:w="3669" w:type="dxa"/>
            <w:vAlign w:val="center"/>
          </w:tcPr>
          <w:p w14:paraId="49BBB86C">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宋体"/>
                <w:szCs w:val="21"/>
              </w:rPr>
              <w:t>安全文明费、提前竣工增加费、其它施工组织措施费</w:t>
            </w:r>
          </w:p>
        </w:tc>
        <w:tc>
          <w:tcPr>
            <w:tcW w:w="3103" w:type="dxa"/>
            <w:vAlign w:val="center"/>
          </w:tcPr>
          <w:p w14:paraId="63DDD59D">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Theme="minorEastAsia" w:hAnsiTheme="minorEastAsia" w:eastAsiaTheme="minorEastAsia" w:cstheme="minorEastAsia"/>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施工组织措施项目费计取安全文明施工基本费（非市区工程）、冬雨季施工增加费两项，费率按中值计取，其他施工组织项目费均不计取</w:t>
            </w:r>
          </w:p>
        </w:tc>
        <w:tc>
          <w:tcPr>
            <w:tcW w:w="1541" w:type="dxa"/>
            <w:vAlign w:val="center"/>
          </w:tcPr>
          <w:p w14:paraId="65CBF493">
            <w:pPr>
              <w:pageBreakBefore w:val="0"/>
              <w:kinsoku/>
              <w:wordWrap/>
              <w:overflowPunct/>
              <w:topLinePunct w:val="0"/>
              <w:bidi w:val="0"/>
              <w:spacing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61B348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73" w:type="dxa"/>
          </w:tcPr>
          <w:p w14:paraId="738D5086">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8</w:t>
            </w:r>
          </w:p>
        </w:tc>
        <w:tc>
          <w:tcPr>
            <w:tcW w:w="3669" w:type="dxa"/>
          </w:tcPr>
          <w:p w14:paraId="374022AC">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是否同意采购文件其它内容</w:t>
            </w:r>
          </w:p>
        </w:tc>
        <w:tc>
          <w:tcPr>
            <w:tcW w:w="3103" w:type="dxa"/>
          </w:tcPr>
          <w:p w14:paraId="0EAB8C4B">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tcPr>
          <w:p w14:paraId="71865BB6">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p>
        </w:tc>
      </w:tr>
      <w:tr w14:paraId="6461B8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973" w:type="dxa"/>
          </w:tcPr>
          <w:p w14:paraId="312FF15E">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sz w:val="21"/>
                <w:szCs w:val="21"/>
                <w:highlight w:val="none"/>
                <w:vertAlign w:val="baseline"/>
                <w:lang w:val="en-US" w:eastAsia="zh-CN"/>
              </w:rPr>
              <w:t>9</w:t>
            </w:r>
          </w:p>
        </w:tc>
        <w:tc>
          <w:tcPr>
            <w:tcW w:w="3669" w:type="dxa"/>
          </w:tcPr>
          <w:p w14:paraId="50A4ACC9">
            <w:pPr>
              <w:spacing w:before="156" w:beforeLines="50" w:line="360" w:lineRule="auto"/>
              <w:jc w:val="center"/>
              <w:rPr>
                <w:rFonts w:hint="eastAsia" w:asciiTheme="minorEastAsia" w:hAnsiTheme="minorEastAsia" w:eastAsiaTheme="minorEastAsia" w:cstheme="minorEastAsia"/>
                <w:b w:val="0"/>
                <w:bCs w:val="0"/>
                <w:color w:val="auto"/>
                <w:sz w:val="21"/>
                <w:szCs w:val="21"/>
                <w:highlight w:val="none"/>
                <w:vertAlign w:val="baseline"/>
                <w:lang w:val="en-US" w:eastAsia="zh-CN"/>
              </w:rPr>
            </w:pPr>
            <w:r>
              <w:rPr>
                <w:rFonts w:hint="eastAsia" w:asciiTheme="minorEastAsia" w:hAnsiTheme="minorEastAsia" w:eastAsiaTheme="minorEastAsia" w:cstheme="minorEastAsia"/>
                <w:b w:val="0"/>
                <w:bCs w:val="0"/>
                <w:color w:val="auto"/>
                <w:kern w:val="2"/>
                <w:sz w:val="21"/>
                <w:szCs w:val="21"/>
                <w:highlight w:val="none"/>
              </w:rPr>
              <w:t>是否同意合同条款及合同附件格式</w:t>
            </w:r>
          </w:p>
        </w:tc>
        <w:tc>
          <w:tcPr>
            <w:tcW w:w="3103" w:type="dxa"/>
            <w:vAlign w:val="top"/>
          </w:tcPr>
          <w:p w14:paraId="6906204B">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r>
              <w:rPr>
                <w:rFonts w:hint="eastAsia" w:asciiTheme="minorEastAsia" w:hAnsiTheme="minorEastAsia" w:eastAsiaTheme="minorEastAsia" w:cstheme="minorEastAsia"/>
                <w:b w:val="0"/>
                <w:bCs w:val="0"/>
                <w:color w:val="auto"/>
                <w:kern w:val="2"/>
                <w:sz w:val="21"/>
                <w:szCs w:val="21"/>
                <w:highlight w:val="none"/>
              </w:rPr>
              <w:t>要求供应商承诺“同意”</w:t>
            </w:r>
          </w:p>
        </w:tc>
        <w:tc>
          <w:tcPr>
            <w:tcW w:w="1541" w:type="dxa"/>
            <w:vAlign w:val="top"/>
          </w:tcPr>
          <w:p w14:paraId="7EC41A9B">
            <w:pPr>
              <w:spacing w:before="156" w:beforeLines="50" w:line="360" w:lineRule="auto"/>
              <w:jc w:val="center"/>
              <w:rPr>
                <w:rFonts w:hint="eastAsia" w:asciiTheme="minorEastAsia" w:hAnsiTheme="minorEastAsia" w:eastAsiaTheme="minorEastAsia" w:cstheme="minorEastAsia"/>
                <w:b w:val="0"/>
                <w:bCs w:val="0"/>
                <w:color w:val="auto"/>
                <w:kern w:val="2"/>
                <w:sz w:val="21"/>
                <w:szCs w:val="21"/>
                <w:highlight w:val="none"/>
                <w:vertAlign w:val="baseline"/>
                <w:lang w:val="en-US" w:eastAsia="zh-CN" w:bidi="ar-SA"/>
              </w:rPr>
            </w:pPr>
          </w:p>
        </w:tc>
      </w:tr>
    </w:tbl>
    <w:p w14:paraId="6F8313F0">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▲注：“供应商响应”一栏中必须填写“同意”，否则其响应文件将被否决。</w:t>
      </w:r>
    </w:p>
    <w:p w14:paraId="46CD5FD9">
      <w:pPr>
        <w:keepNext w:val="0"/>
        <w:keepLines w:val="0"/>
        <w:pageBreakBefore w:val="0"/>
        <w:widowControl w:val="0"/>
        <w:kinsoku/>
        <w:wordWrap/>
        <w:overflowPunct/>
        <w:topLinePunct w:val="0"/>
        <w:autoSpaceDE/>
        <w:autoSpaceDN/>
        <w:bidi w:val="0"/>
        <w:adjustRightInd/>
        <w:snapToGrid/>
        <w:spacing w:before="156" w:beforeLines="50" w:line="440" w:lineRule="exact"/>
        <w:ind w:firstLine="422" w:firstLineChars="200"/>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(四）工程量清单、图纸</w:t>
      </w:r>
    </w:p>
    <w:p w14:paraId="073FD757">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详见采购文件附件：工程造价咨询报告书、图纸</w:t>
      </w:r>
    </w:p>
    <w:p w14:paraId="1A72E001">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1、工程量清单说明</w:t>
      </w:r>
    </w:p>
    <w:p w14:paraId="68BEC835">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1.1本工程量清单应与采购文件中的竞争性磋商须知、合同条款、技术标准和要求及图纸（如有）等一起阅读和理解。</w:t>
      </w:r>
    </w:p>
    <w:p w14:paraId="20D6D980">
      <w:pPr>
        <w:keepNext w:val="0"/>
        <w:keepLines w:val="0"/>
        <w:pageBreakBefore w:val="0"/>
        <w:widowControl w:val="0"/>
        <w:kinsoku/>
        <w:wordWrap/>
        <w:overflowPunct/>
        <w:topLinePunct w:val="0"/>
        <w:autoSpaceDE/>
        <w:autoSpaceDN/>
        <w:bidi w:val="0"/>
        <w:adjustRightInd/>
        <w:snapToGrid/>
        <w:spacing w:before="156" w:beforeLines="50" w:line="440" w:lineRule="exact"/>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3C4036C0">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4F247076">
      <w:pPr>
        <w:keepNext w:val="0"/>
        <w:keepLines w:val="0"/>
        <w:pageBreakBefore w:val="0"/>
        <w:widowControl w:val="0"/>
        <w:tabs>
          <w:tab w:val="left" w:pos="491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（五）主要人员要求</w:t>
      </w:r>
    </w:p>
    <w:p w14:paraId="54A08688">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 w:val="0"/>
          <w:bCs/>
          <w:color w:val="auto"/>
          <w:sz w:val="21"/>
          <w:szCs w:val="21"/>
          <w:highlight w:val="none"/>
          <w:lang w:val="en-US" w:eastAsia="zh-CN"/>
        </w:rPr>
        <w:t>1、▲项目经理：</w:t>
      </w:r>
      <w:r>
        <w:rPr>
          <w:rFonts w:hint="eastAsia" w:asciiTheme="minorEastAsia" w:hAnsiTheme="minorEastAsia" w:eastAsiaTheme="minorEastAsia" w:cstheme="minorEastAsia"/>
          <w:color w:val="auto"/>
          <w:szCs w:val="21"/>
          <w:highlight w:val="none"/>
        </w:rPr>
        <w:t>项目负责人：具有市政公用工程专业注册建造师贰级及以上证书，并具有有效的《安全生产考核合格证书》（B证）；（</w:t>
      </w:r>
      <w:r>
        <w:rPr>
          <w:rFonts w:hint="eastAsia" w:asciiTheme="minorEastAsia" w:hAnsiTheme="minorEastAsia" w:eastAsiaTheme="minorEastAsia" w:cstheme="minorEastAsia"/>
          <w:color w:val="auto"/>
          <w:szCs w:val="21"/>
          <w:highlight w:val="none"/>
          <w:lang w:val="en-US" w:eastAsia="zh-CN"/>
        </w:rPr>
        <w:t>投标</w:t>
      </w:r>
      <w:r>
        <w:rPr>
          <w:rFonts w:hint="eastAsia" w:asciiTheme="minorEastAsia" w:hAnsiTheme="minorEastAsia" w:eastAsiaTheme="minorEastAsia" w:cstheme="minorEastAsia"/>
          <w:color w:val="auto"/>
          <w:szCs w:val="21"/>
          <w:highlight w:val="none"/>
        </w:rPr>
        <w:t>文件中提供相关证书证明材料）</w:t>
      </w:r>
    </w:p>
    <w:p w14:paraId="4729D6BD">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2、▲项目专职安全员1名，具备有效的《安全生产考核合格证书》（C类）；（投标文件中提供相关证书证明资料）</w:t>
      </w:r>
    </w:p>
    <w:p w14:paraId="351BF3FB">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3、其它人员：提供针对本项目拟配备的其它人员（如施工员、质量员、安全员等）。（投标文件中提供相关证书证明材料）</w:t>
      </w:r>
    </w:p>
    <w:p w14:paraId="1F9B1F0C">
      <w:pPr>
        <w:keepNext w:val="0"/>
        <w:keepLines w:val="0"/>
        <w:pageBreakBefore w:val="0"/>
        <w:widowControl w:val="0"/>
        <w:kinsoku/>
        <w:wordWrap/>
        <w:overflowPunct/>
        <w:topLinePunct w:val="0"/>
        <w:autoSpaceDE/>
        <w:autoSpaceDN/>
        <w:bidi w:val="0"/>
        <w:adjustRightInd/>
        <w:snapToGrid/>
        <w:spacing w:before="156" w:beforeLines="50"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（六）系统设计说明：详见图纸</w:t>
      </w:r>
    </w:p>
    <w:p w14:paraId="14850D9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br w:type="page"/>
      </w:r>
    </w:p>
    <w:p w14:paraId="7D2F752D">
      <w:pPr>
        <w:spacing w:before="156" w:beforeLines="50" w:line="360" w:lineRule="auto"/>
        <w:ind w:firstLine="422" w:firstLineChars="200"/>
        <w:rPr>
          <w:rFonts w:hint="eastAsia" w:asciiTheme="minorEastAsia" w:hAnsiTheme="minorEastAsia" w:eastAsiaTheme="minorEastAsia" w:cstheme="minorEastAsia"/>
          <w:b/>
          <w:bCs w:val="0"/>
          <w:color w:val="auto"/>
          <w:sz w:val="21"/>
          <w:szCs w:val="21"/>
          <w:highlight w:val="none"/>
          <w:lang w:val="en-US" w:eastAsia="zh-CN"/>
        </w:rPr>
      </w:pPr>
      <w:r>
        <w:rPr>
          <w:rFonts w:hint="eastAsia" w:asciiTheme="minorEastAsia" w:hAnsiTheme="minorEastAsia" w:eastAsiaTheme="minorEastAsia" w:cstheme="minorEastAsia"/>
          <w:b/>
          <w:bCs w:val="0"/>
          <w:color w:val="auto"/>
          <w:sz w:val="21"/>
          <w:szCs w:val="21"/>
          <w:highlight w:val="none"/>
          <w:lang w:val="en-US" w:eastAsia="zh-CN"/>
        </w:rPr>
        <w:t>（七）商务要求</w:t>
      </w:r>
    </w:p>
    <w:bookmarkEnd w:id="27"/>
    <w:tbl>
      <w:tblPr>
        <w:tblStyle w:val="24"/>
        <w:tblW w:w="9055" w:type="dxa"/>
        <w:tblInd w:w="3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8017"/>
      </w:tblGrid>
      <w:tr w14:paraId="11998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1038" w:type="dxa"/>
            <w:noWrap w:val="0"/>
            <w:vAlign w:val="center"/>
          </w:tcPr>
          <w:p w14:paraId="5AF42ED9">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序号</w:t>
            </w:r>
          </w:p>
        </w:tc>
        <w:tc>
          <w:tcPr>
            <w:tcW w:w="8017" w:type="dxa"/>
            <w:noWrap w:val="0"/>
            <w:vAlign w:val="center"/>
          </w:tcPr>
          <w:p w14:paraId="36906BA3">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商务条款要求</w:t>
            </w:r>
          </w:p>
        </w:tc>
      </w:tr>
      <w:tr w14:paraId="13E54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1038" w:type="dxa"/>
            <w:noWrap w:val="0"/>
            <w:vAlign w:val="center"/>
          </w:tcPr>
          <w:p w14:paraId="1D48C816">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1</w:t>
            </w:r>
          </w:p>
        </w:tc>
        <w:tc>
          <w:tcPr>
            <w:tcW w:w="8017" w:type="dxa"/>
            <w:noWrap w:val="0"/>
            <w:vAlign w:val="center"/>
          </w:tcPr>
          <w:p w14:paraId="7D603A26">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履约保证金：签约合同金额的2%，电汇、银行支票、银行保函、保险公司担保等形式。于签订合同的同时缴纳给采购人，项目竣工验收后退回。</w:t>
            </w:r>
          </w:p>
        </w:tc>
      </w:tr>
      <w:tr w14:paraId="1A895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atLeast"/>
        </w:trPr>
        <w:tc>
          <w:tcPr>
            <w:tcW w:w="1038" w:type="dxa"/>
            <w:noWrap w:val="0"/>
            <w:vAlign w:val="center"/>
          </w:tcPr>
          <w:p w14:paraId="52BDD659">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2</w:t>
            </w:r>
          </w:p>
        </w:tc>
        <w:tc>
          <w:tcPr>
            <w:tcW w:w="8017" w:type="dxa"/>
            <w:noWrap w:val="0"/>
            <w:vAlign w:val="center"/>
          </w:tcPr>
          <w:p w14:paraId="6AD76692">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质量等级要求：达到国家和行业施工验收规范一次性验收合格</w:t>
            </w:r>
          </w:p>
          <w:p w14:paraId="1CF39E46">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安全等级要求：合格</w:t>
            </w:r>
          </w:p>
        </w:tc>
      </w:tr>
      <w:tr w14:paraId="5A94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1038" w:type="dxa"/>
            <w:noWrap w:val="0"/>
            <w:vAlign w:val="center"/>
          </w:tcPr>
          <w:p w14:paraId="34C56335">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3</w:t>
            </w:r>
          </w:p>
        </w:tc>
        <w:tc>
          <w:tcPr>
            <w:tcW w:w="8017" w:type="dxa"/>
            <w:noWrap w:val="0"/>
            <w:vAlign w:val="center"/>
          </w:tcPr>
          <w:p w14:paraId="45F824A4">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1年。</w:t>
            </w:r>
          </w:p>
        </w:tc>
      </w:tr>
      <w:tr w14:paraId="29FF0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1" w:hRule="atLeast"/>
        </w:trPr>
        <w:tc>
          <w:tcPr>
            <w:tcW w:w="1038" w:type="dxa"/>
            <w:noWrap w:val="0"/>
            <w:vAlign w:val="center"/>
          </w:tcPr>
          <w:p w14:paraId="26884B8F">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4</w:t>
            </w:r>
          </w:p>
        </w:tc>
        <w:tc>
          <w:tcPr>
            <w:tcW w:w="8017" w:type="dxa"/>
            <w:noWrap w:val="0"/>
            <w:vAlign w:val="center"/>
          </w:tcPr>
          <w:p w14:paraId="72B041BA">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12B782B2">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宋体" w:hAnsi="宋体" w:cs="宋体"/>
                <w:b/>
                <w:bCs/>
                <w:kern w:val="0"/>
                <w:sz w:val="21"/>
                <w:szCs w:val="21"/>
                <w:highlight w:val="none"/>
                <w:lang w:val="en-US" w:eastAsia="zh-CN"/>
              </w:rPr>
              <w:t>甲方支付对应款项前，乙方需向甲方开具合法足额的增值税专用发票</w:t>
            </w:r>
            <w:r>
              <w:rPr>
                <w:rFonts w:hint="eastAsia" w:ascii="宋体" w:hAnsi="宋体" w:cs="宋体"/>
                <w:b/>
                <w:bCs/>
                <w:kern w:val="0"/>
                <w:sz w:val="21"/>
                <w:szCs w:val="21"/>
                <w:highlight w:val="none"/>
                <w:lang w:eastAsia="zh-CN"/>
              </w:rPr>
              <w:t>。</w:t>
            </w:r>
          </w:p>
        </w:tc>
      </w:tr>
      <w:tr w14:paraId="5B7DC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trPr>
        <w:tc>
          <w:tcPr>
            <w:tcW w:w="1038" w:type="dxa"/>
            <w:noWrap w:val="0"/>
            <w:vAlign w:val="center"/>
          </w:tcPr>
          <w:p w14:paraId="049D5A21">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8017" w:type="dxa"/>
            <w:noWrap w:val="0"/>
            <w:vAlign w:val="center"/>
          </w:tcPr>
          <w:p w14:paraId="402B817E">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施工工期：合同签订后180日历天内完工</w:t>
            </w:r>
          </w:p>
          <w:p w14:paraId="251DE2D7">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施工地点：业主指定地点。</w:t>
            </w:r>
          </w:p>
        </w:tc>
      </w:tr>
      <w:tr w14:paraId="361AB1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trPr>
        <w:tc>
          <w:tcPr>
            <w:tcW w:w="1038" w:type="dxa"/>
            <w:noWrap w:val="0"/>
            <w:vAlign w:val="center"/>
          </w:tcPr>
          <w:p w14:paraId="38C56B90">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6</w:t>
            </w:r>
          </w:p>
        </w:tc>
        <w:tc>
          <w:tcPr>
            <w:tcW w:w="8017" w:type="dxa"/>
            <w:noWrap w:val="0"/>
            <w:vAlign w:val="center"/>
          </w:tcPr>
          <w:p w14:paraId="638F4A69">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报价方式：按采购文件附件“工程量清单”的价格报统一综合折扣，折扣不得高于94%。</w:t>
            </w:r>
          </w:p>
          <w:p w14:paraId="09F8CD0A">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本项目为单价合同，工程量按实结算。</w:t>
            </w:r>
          </w:p>
        </w:tc>
      </w:tr>
      <w:tr w14:paraId="27E80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038" w:type="dxa"/>
            <w:noWrap w:val="0"/>
            <w:vAlign w:val="center"/>
          </w:tcPr>
          <w:p w14:paraId="5334549E">
            <w:pPr>
              <w:spacing w:before="156" w:beforeLines="50" w:line="240" w:lineRule="auto"/>
              <w:jc w:val="center"/>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7</w:t>
            </w:r>
          </w:p>
        </w:tc>
        <w:tc>
          <w:tcPr>
            <w:tcW w:w="8017" w:type="dxa"/>
            <w:noWrap w:val="0"/>
            <w:vAlign w:val="center"/>
          </w:tcPr>
          <w:p w14:paraId="15F65839">
            <w:pPr>
              <w:spacing w:before="156" w:beforeLines="50" w:line="240" w:lineRule="auto"/>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Cs/>
                <w:color w:val="auto"/>
                <w:szCs w:val="21"/>
                <w:highlight w:val="none"/>
              </w:rPr>
              <w:t>本项目签约合同价计算公式：</w:t>
            </w:r>
            <w:r>
              <w:rPr>
                <w:rFonts w:hint="eastAsia" w:asciiTheme="minorEastAsia" w:hAnsiTheme="minorEastAsia" w:eastAsiaTheme="minorEastAsia" w:cstheme="minorEastAsia"/>
                <w:bCs/>
                <w:color w:val="auto"/>
                <w:szCs w:val="21"/>
                <w:highlight w:val="none"/>
                <w:lang w:eastAsia="zh-CN"/>
              </w:rPr>
              <w:t>（</w:t>
            </w:r>
            <w:r>
              <w:rPr>
                <w:rFonts w:hint="eastAsia" w:asciiTheme="minorEastAsia" w:hAnsiTheme="minorEastAsia" w:eastAsiaTheme="minorEastAsia" w:cstheme="minorEastAsia"/>
                <w:b w:val="0"/>
                <w:bCs/>
                <w:color w:val="auto"/>
                <w:sz w:val="21"/>
                <w:szCs w:val="21"/>
                <w:highlight w:val="none"/>
                <w:lang w:val="en-US" w:eastAsia="zh-CN"/>
              </w:rPr>
              <w:t>预算金额-暂估价549229元）*中标综合折扣+暂估价549229元。</w:t>
            </w:r>
          </w:p>
        </w:tc>
      </w:tr>
    </w:tbl>
    <w:p w14:paraId="0E550195">
      <w:pPr>
        <w:rPr>
          <w:rFonts w:hint="eastAsia" w:asciiTheme="minorEastAsia" w:hAnsiTheme="minorEastAsia" w:eastAsiaTheme="minorEastAsia" w:cstheme="minorEastAsia"/>
          <w:b/>
          <w:color w:val="auto"/>
          <w:sz w:val="36"/>
          <w:szCs w:val="36"/>
          <w:highlight w:val="none"/>
        </w:rPr>
      </w:pPr>
    </w:p>
    <w:p w14:paraId="57109809">
      <w:pPr>
        <w:rPr>
          <w:rFonts w:hint="eastAsia" w:asciiTheme="minorEastAsia" w:hAnsiTheme="minorEastAsia" w:eastAsiaTheme="minorEastAsia" w:cstheme="minorEastAsia"/>
          <w:b/>
          <w:color w:val="auto"/>
          <w:sz w:val="36"/>
          <w:szCs w:val="36"/>
          <w:highlight w:val="none"/>
        </w:rPr>
      </w:pPr>
    </w:p>
    <w:p w14:paraId="28C55E25">
      <w:pPr>
        <w:rPr>
          <w:rFonts w:hint="eastAsia" w:asciiTheme="minorEastAsia" w:hAnsiTheme="minorEastAsia" w:eastAsiaTheme="minorEastAsia" w:cstheme="minorEastAsia"/>
          <w:b/>
          <w:color w:val="auto"/>
          <w:sz w:val="36"/>
          <w:szCs w:val="36"/>
          <w:highlight w:val="none"/>
        </w:rPr>
      </w:pPr>
    </w:p>
    <w:p w14:paraId="52BFEF5C">
      <w:pPr>
        <w:rPr>
          <w:rFonts w:hint="eastAsia" w:asciiTheme="minorEastAsia" w:hAnsiTheme="minorEastAsia" w:eastAsiaTheme="minorEastAsia" w:cstheme="minorEastAsia"/>
          <w:b/>
          <w:color w:val="auto"/>
          <w:sz w:val="36"/>
          <w:szCs w:val="36"/>
          <w:highlight w:val="none"/>
        </w:rPr>
      </w:pPr>
    </w:p>
    <w:p w14:paraId="1740F0B9">
      <w:pPr>
        <w:rPr>
          <w:rFonts w:hint="eastAsia" w:asciiTheme="minorEastAsia" w:hAnsiTheme="minorEastAsia" w:eastAsiaTheme="minorEastAsia" w:cstheme="minorEastAsia"/>
          <w:b/>
          <w:color w:val="auto"/>
          <w:sz w:val="36"/>
          <w:szCs w:val="36"/>
          <w:highlight w:val="none"/>
        </w:rPr>
      </w:pPr>
    </w:p>
    <w:p w14:paraId="606F0BF1">
      <w:pPr>
        <w:rPr>
          <w:rFonts w:hint="eastAsia" w:asciiTheme="minorEastAsia" w:hAnsiTheme="minorEastAsia" w:eastAsiaTheme="minorEastAsia" w:cstheme="minorEastAsia"/>
          <w:b/>
          <w:color w:val="auto"/>
          <w:sz w:val="36"/>
          <w:szCs w:val="36"/>
          <w:highlight w:val="none"/>
        </w:rPr>
      </w:pPr>
    </w:p>
    <w:p w14:paraId="552D53B9">
      <w:pPr>
        <w:rPr>
          <w:rFonts w:hint="eastAsia" w:asciiTheme="minorEastAsia" w:hAnsiTheme="minorEastAsia" w:eastAsiaTheme="minorEastAsia" w:cstheme="minorEastAsia"/>
          <w:b/>
          <w:color w:val="auto"/>
          <w:sz w:val="36"/>
          <w:szCs w:val="36"/>
          <w:highlight w:val="none"/>
        </w:rPr>
      </w:pPr>
    </w:p>
    <w:p w14:paraId="1AA121B6">
      <w:pPr>
        <w:ind w:firstLine="2530" w:firstLineChars="700"/>
        <w:rPr>
          <w:rFonts w:hint="eastAsia" w:asciiTheme="minorEastAsia" w:hAnsiTheme="minorEastAsia" w:eastAsiaTheme="minorEastAsia" w:cstheme="minorEastAsia"/>
          <w:b/>
          <w:color w:val="auto"/>
          <w:sz w:val="36"/>
          <w:szCs w:val="36"/>
          <w:highlight w:val="none"/>
        </w:rPr>
      </w:pPr>
    </w:p>
    <w:p w14:paraId="0CF8F5C3">
      <w:pPr>
        <w:ind w:firstLine="2530" w:firstLineChars="700"/>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t xml:space="preserve">第四部分   </w:t>
      </w:r>
      <w:bookmarkStart w:id="28" w:name="_Toc184308073"/>
      <w:bookmarkEnd w:id="28"/>
      <w:bookmarkStart w:id="29" w:name="_Toc184314424"/>
      <w:bookmarkEnd w:id="29"/>
      <w:bookmarkStart w:id="30" w:name="_Toc184312118"/>
      <w:bookmarkEnd w:id="30"/>
      <w:bookmarkStart w:id="31" w:name="_Toc184310273"/>
      <w:bookmarkEnd w:id="31"/>
      <w:bookmarkStart w:id="32" w:name="_Toc184308070"/>
      <w:bookmarkEnd w:id="32"/>
      <w:bookmarkStart w:id="33" w:name="_Toc184308081"/>
      <w:bookmarkEnd w:id="33"/>
      <w:bookmarkStart w:id="34" w:name="_Toc184312070"/>
      <w:bookmarkEnd w:id="34"/>
      <w:bookmarkStart w:id="35" w:name="_Toc184308105"/>
      <w:bookmarkEnd w:id="35"/>
      <w:bookmarkStart w:id="36" w:name="_Toc184312100"/>
      <w:bookmarkEnd w:id="36"/>
      <w:bookmarkStart w:id="37" w:name="_Toc184312075"/>
      <w:bookmarkEnd w:id="37"/>
      <w:bookmarkStart w:id="38" w:name="_Toc184312117"/>
      <w:bookmarkEnd w:id="38"/>
      <w:bookmarkStart w:id="39" w:name="_Toc184310314"/>
      <w:bookmarkEnd w:id="39"/>
      <w:bookmarkStart w:id="40" w:name="_Toc184310331"/>
      <w:bookmarkEnd w:id="40"/>
      <w:bookmarkStart w:id="41" w:name="_Toc184314449"/>
      <w:bookmarkEnd w:id="41"/>
      <w:bookmarkStart w:id="42" w:name="_Toc184312085"/>
      <w:bookmarkEnd w:id="42"/>
      <w:bookmarkStart w:id="43" w:name="_Toc184308049"/>
      <w:bookmarkEnd w:id="43"/>
      <w:bookmarkStart w:id="44" w:name="_Toc184308047"/>
      <w:bookmarkEnd w:id="44"/>
      <w:bookmarkStart w:id="45" w:name="_Toc184310291"/>
      <w:bookmarkEnd w:id="45"/>
      <w:bookmarkStart w:id="46" w:name="_Toc184314435"/>
      <w:bookmarkEnd w:id="46"/>
      <w:bookmarkStart w:id="47" w:name="_Toc184312128"/>
      <w:bookmarkEnd w:id="47"/>
      <w:bookmarkStart w:id="48" w:name="_Toc184308069"/>
      <w:bookmarkEnd w:id="48"/>
      <w:bookmarkStart w:id="49" w:name="_Toc184310286"/>
      <w:bookmarkEnd w:id="49"/>
      <w:bookmarkStart w:id="50" w:name="_Toc184312093"/>
      <w:bookmarkEnd w:id="50"/>
      <w:bookmarkStart w:id="51" w:name="_Toc184313285"/>
      <w:bookmarkEnd w:id="51"/>
      <w:bookmarkStart w:id="52" w:name="_Toc184312133"/>
      <w:bookmarkEnd w:id="52"/>
      <w:bookmarkStart w:id="53" w:name="_Toc184313307"/>
      <w:bookmarkEnd w:id="53"/>
      <w:bookmarkStart w:id="54" w:name="_Toc184310274"/>
      <w:bookmarkEnd w:id="54"/>
      <w:bookmarkStart w:id="55" w:name="_Toc184310337"/>
      <w:bookmarkEnd w:id="55"/>
      <w:bookmarkStart w:id="56" w:name="_Toc184308048"/>
      <w:bookmarkEnd w:id="56"/>
      <w:bookmarkStart w:id="57" w:name="_Toc184312101"/>
      <w:bookmarkEnd w:id="57"/>
      <w:bookmarkStart w:id="58" w:name="_Toc184308046"/>
      <w:bookmarkEnd w:id="58"/>
      <w:bookmarkStart w:id="59" w:name="_Toc184310322"/>
      <w:bookmarkEnd w:id="59"/>
      <w:bookmarkStart w:id="60" w:name="_Toc184312122"/>
      <w:bookmarkEnd w:id="60"/>
      <w:bookmarkStart w:id="61" w:name="_Toc184308097"/>
      <w:bookmarkEnd w:id="61"/>
      <w:bookmarkStart w:id="62" w:name="_Toc184308086"/>
      <w:bookmarkEnd w:id="62"/>
      <w:bookmarkStart w:id="63" w:name="_Toc184308098"/>
      <w:bookmarkEnd w:id="63"/>
      <w:bookmarkStart w:id="64" w:name="_Toc184308072"/>
      <w:bookmarkEnd w:id="64"/>
      <w:bookmarkStart w:id="65" w:name="_Toc184308079"/>
      <w:bookmarkEnd w:id="65"/>
      <w:bookmarkStart w:id="66" w:name="_Toc184308100"/>
      <w:bookmarkEnd w:id="66"/>
      <w:bookmarkStart w:id="67" w:name="_Toc184313241"/>
      <w:bookmarkEnd w:id="67"/>
      <w:bookmarkStart w:id="68" w:name="_Toc184310281"/>
      <w:bookmarkEnd w:id="68"/>
      <w:bookmarkStart w:id="69" w:name="_Toc184314439"/>
      <w:bookmarkEnd w:id="69"/>
      <w:bookmarkStart w:id="70" w:name="_Toc184313255"/>
      <w:bookmarkEnd w:id="70"/>
      <w:bookmarkStart w:id="71" w:name="_Toc184312135"/>
      <w:bookmarkEnd w:id="71"/>
      <w:bookmarkStart w:id="72" w:name="_Toc184314425"/>
      <w:bookmarkEnd w:id="72"/>
      <w:bookmarkStart w:id="73" w:name="_Toc184310316"/>
      <w:bookmarkEnd w:id="73"/>
      <w:bookmarkStart w:id="74" w:name="_Toc184312105"/>
      <w:bookmarkEnd w:id="74"/>
      <w:bookmarkStart w:id="75" w:name="_Toc184310296"/>
      <w:bookmarkEnd w:id="75"/>
      <w:bookmarkStart w:id="76" w:name="_Toc184308057"/>
      <w:bookmarkEnd w:id="76"/>
      <w:bookmarkStart w:id="77" w:name="_Toc184313284"/>
      <w:bookmarkEnd w:id="77"/>
      <w:bookmarkStart w:id="78" w:name="_Toc184308055"/>
      <w:bookmarkEnd w:id="78"/>
      <w:bookmarkStart w:id="79" w:name="_Toc184313245"/>
      <w:bookmarkEnd w:id="79"/>
      <w:bookmarkStart w:id="80" w:name="_Toc184312136"/>
      <w:bookmarkEnd w:id="80"/>
      <w:bookmarkStart w:id="81" w:name="_Toc184314455"/>
      <w:bookmarkEnd w:id="81"/>
      <w:bookmarkStart w:id="82" w:name="_Toc184312130"/>
      <w:bookmarkEnd w:id="82"/>
      <w:bookmarkStart w:id="83" w:name="_Toc184312090"/>
      <w:bookmarkEnd w:id="83"/>
      <w:bookmarkStart w:id="84" w:name="_Toc184312097"/>
      <w:bookmarkEnd w:id="84"/>
      <w:bookmarkStart w:id="85" w:name="_Toc184313267"/>
      <w:bookmarkEnd w:id="85"/>
      <w:bookmarkStart w:id="86" w:name="_Toc184310302"/>
      <w:bookmarkEnd w:id="86"/>
      <w:bookmarkStart w:id="87" w:name="_Toc184310277"/>
      <w:bookmarkEnd w:id="87"/>
      <w:bookmarkStart w:id="88" w:name="_Toc184308063"/>
      <w:bookmarkEnd w:id="88"/>
      <w:bookmarkStart w:id="89" w:name="_Toc184312120"/>
      <w:bookmarkEnd w:id="89"/>
      <w:bookmarkStart w:id="90" w:name="_Toc184308067"/>
      <w:bookmarkEnd w:id="90"/>
      <w:bookmarkStart w:id="91" w:name="_Toc184312074"/>
      <w:bookmarkEnd w:id="91"/>
      <w:bookmarkStart w:id="92" w:name="_Toc184314438"/>
      <w:bookmarkEnd w:id="92"/>
      <w:bookmarkStart w:id="93" w:name="_Toc184308036"/>
      <w:bookmarkEnd w:id="93"/>
      <w:bookmarkStart w:id="94" w:name="_Toc184313290"/>
      <w:bookmarkEnd w:id="94"/>
      <w:bookmarkStart w:id="95" w:name="_Toc184313282"/>
      <w:bookmarkEnd w:id="95"/>
      <w:bookmarkStart w:id="96" w:name="_Toc184310309"/>
      <w:bookmarkEnd w:id="96"/>
      <w:bookmarkStart w:id="97" w:name="_Toc184313279"/>
      <w:bookmarkEnd w:id="97"/>
      <w:bookmarkStart w:id="98" w:name="_Toc184310305"/>
      <w:bookmarkEnd w:id="98"/>
      <w:bookmarkStart w:id="99" w:name="_Toc184314465"/>
      <w:bookmarkEnd w:id="99"/>
      <w:bookmarkStart w:id="100" w:name="_Toc184312082"/>
      <w:bookmarkEnd w:id="100"/>
      <w:bookmarkStart w:id="101" w:name="_Toc184314475"/>
      <w:bookmarkEnd w:id="101"/>
      <w:bookmarkStart w:id="102" w:name="_Toc184312116"/>
      <w:bookmarkEnd w:id="102"/>
      <w:bookmarkStart w:id="103" w:name="_Toc184313254"/>
      <w:bookmarkEnd w:id="103"/>
      <w:bookmarkStart w:id="104" w:name="_Toc184312094"/>
      <w:bookmarkEnd w:id="104"/>
      <w:bookmarkStart w:id="105" w:name="_Toc184312119"/>
      <w:bookmarkEnd w:id="105"/>
      <w:bookmarkStart w:id="106" w:name="_Toc184313274"/>
      <w:bookmarkEnd w:id="106"/>
      <w:bookmarkStart w:id="107" w:name="_Toc184308096"/>
      <w:bookmarkEnd w:id="107"/>
      <w:bookmarkStart w:id="108" w:name="_Toc184308084"/>
      <w:bookmarkEnd w:id="108"/>
      <w:bookmarkStart w:id="109" w:name="_Toc184308089"/>
      <w:bookmarkEnd w:id="109"/>
      <w:bookmarkStart w:id="110" w:name="_Toc184312077"/>
      <w:bookmarkEnd w:id="110"/>
      <w:bookmarkStart w:id="111" w:name="_Toc184312138"/>
      <w:bookmarkEnd w:id="111"/>
      <w:bookmarkStart w:id="112" w:name="_Toc184314464"/>
      <w:bookmarkEnd w:id="112"/>
      <w:bookmarkStart w:id="113" w:name="_Toc184312071"/>
      <w:bookmarkEnd w:id="113"/>
      <w:bookmarkStart w:id="114" w:name="_Toc184308066"/>
      <w:bookmarkEnd w:id="114"/>
      <w:bookmarkStart w:id="115" w:name="_Toc184310339"/>
      <w:bookmarkEnd w:id="115"/>
      <w:bookmarkStart w:id="116" w:name="_Toc184314468"/>
      <w:bookmarkEnd w:id="116"/>
      <w:bookmarkStart w:id="117" w:name="_Toc184310327"/>
      <w:bookmarkEnd w:id="117"/>
      <w:bookmarkStart w:id="118" w:name="_Toc184313243"/>
      <w:bookmarkEnd w:id="118"/>
      <w:bookmarkStart w:id="119" w:name="_Toc184310290"/>
      <w:bookmarkEnd w:id="119"/>
      <w:bookmarkStart w:id="120" w:name="_Toc184314482"/>
      <w:bookmarkEnd w:id="120"/>
      <w:bookmarkStart w:id="121" w:name="_Toc184312110"/>
      <w:bookmarkEnd w:id="121"/>
      <w:bookmarkStart w:id="122" w:name="_Toc184314418"/>
      <w:bookmarkEnd w:id="122"/>
      <w:bookmarkStart w:id="123" w:name="_Toc184314463"/>
      <w:bookmarkEnd w:id="123"/>
      <w:bookmarkStart w:id="124" w:name="_Toc184310279"/>
      <w:bookmarkEnd w:id="124"/>
      <w:bookmarkStart w:id="125" w:name="_Toc184308090"/>
      <w:bookmarkEnd w:id="125"/>
      <w:bookmarkStart w:id="126" w:name="_Toc184313269"/>
      <w:bookmarkEnd w:id="126"/>
      <w:bookmarkStart w:id="127" w:name="_Toc184310326"/>
      <w:bookmarkEnd w:id="127"/>
      <w:bookmarkStart w:id="128" w:name="_Toc184313247"/>
      <w:bookmarkEnd w:id="128"/>
      <w:bookmarkStart w:id="129" w:name="_Toc184314460"/>
      <w:bookmarkEnd w:id="129"/>
      <w:bookmarkStart w:id="130" w:name="_Toc184312137"/>
      <w:bookmarkEnd w:id="130"/>
      <w:bookmarkStart w:id="131" w:name="_Toc184313248"/>
      <w:bookmarkEnd w:id="131"/>
      <w:bookmarkStart w:id="132" w:name="_Toc184313283"/>
      <w:bookmarkEnd w:id="132"/>
      <w:bookmarkStart w:id="133" w:name="_Toc184313253"/>
      <w:bookmarkEnd w:id="133"/>
      <w:bookmarkStart w:id="134" w:name="_Toc184314428"/>
      <w:bookmarkEnd w:id="134"/>
      <w:bookmarkStart w:id="135" w:name="_Toc184314481"/>
      <w:bookmarkEnd w:id="135"/>
      <w:bookmarkStart w:id="136" w:name="_Toc184313258"/>
      <w:bookmarkEnd w:id="136"/>
      <w:bookmarkStart w:id="137" w:name="_Toc184308060"/>
      <w:bookmarkEnd w:id="137"/>
      <w:bookmarkStart w:id="138" w:name="_Toc184308077"/>
      <w:bookmarkEnd w:id="138"/>
      <w:bookmarkStart w:id="139" w:name="_Toc184313289"/>
      <w:bookmarkEnd w:id="139"/>
      <w:bookmarkStart w:id="140" w:name="_Toc184313275"/>
      <w:bookmarkEnd w:id="140"/>
      <w:bookmarkStart w:id="141" w:name="_Toc184310323"/>
      <w:bookmarkEnd w:id="141"/>
      <w:bookmarkStart w:id="142" w:name="_Toc184310310"/>
      <w:bookmarkEnd w:id="142"/>
      <w:bookmarkStart w:id="143" w:name="_Toc184310344"/>
      <w:bookmarkEnd w:id="143"/>
      <w:bookmarkStart w:id="144" w:name="_Toc184314410"/>
      <w:bookmarkEnd w:id="144"/>
      <w:bookmarkStart w:id="145" w:name="_Toc184313259"/>
      <w:bookmarkEnd w:id="145"/>
      <w:bookmarkStart w:id="146" w:name="_Toc184314421"/>
      <w:bookmarkEnd w:id="146"/>
      <w:bookmarkStart w:id="147" w:name="_Toc184314451"/>
      <w:bookmarkEnd w:id="147"/>
      <w:bookmarkStart w:id="148" w:name="_Toc184312083"/>
      <w:bookmarkEnd w:id="148"/>
      <w:bookmarkStart w:id="149" w:name="_Toc184313250"/>
      <w:bookmarkEnd w:id="149"/>
      <w:bookmarkStart w:id="150" w:name="_Toc184308071"/>
      <w:bookmarkEnd w:id="150"/>
      <w:bookmarkStart w:id="151" w:name="_Toc184313308"/>
      <w:bookmarkEnd w:id="151"/>
      <w:bookmarkStart w:id="152" w:name="_Toc184314419"/>
      <w:bookmarkEnd w:id="152"/>
      <w:bookmarkStart w:id="153" w:name="_Toc184313271"/>
      <w:bookmarkEnd w:id="153"/>
      <w:bookmarkStart w:id="154" w:name="_Toc184310328"/>
      <w:bookmarkEnd w:id="154"/>
      <w:bookmarkStart w:id="155" w:name="_Toc184313298"/>
      <w:bookmarkEnd w:id="155"/>
      <w:bookmarkStart w:id="156" w:name="_Toc184308107"/>
      <w:bookmarkEnd w:id="156"/>
      <w:bookmarkStart w:id="157" w:name="_Toc184314420"/>
      <w:bookmarkEnd w:id="157"/>
      <w:bookmarkStart w:id="158" w:name="_Toc184308102"/>
      <w:bookmarkEnd w:id="158"/>
      <w:bookmarkStart w:id="159" w:name="_Toc184308052"/>
      <w:bookmarkEnd w:id="159"/>
      <w:bookmarkStart w:id="160" w:name="_Toc184313265"/>
      <w:bookmarkEnd w:id="160"/>
      <w:bookmarkStart w:id="161" w:name="_Toc184308040"/>
      <w:bookmarkEnd w:id="161"/>
      <w:bookmarkStart w:id="162" w:name="_Toc184312080"/>
      <w:bookmarkEnd w:id="162"/>
      <w:bookmarkStart w:id="163" w:name="_Toc184314447"/>
      <w:bookmarkEnd w:id="163"/>
      <w:bookmarkStart w:id="164" w:name="_Toc184310318"/>
      <w:bookmarkEnd w:id="164"/>
      <w:bookmarkStart w:id="165" w:name="_Toc184310292"/>
      <w:bookmarkEnd w:id="165"/>
      <w:bookmarkStart w:id="166" w:name="_Toc184312084"/>
      <w:bookmarkEnd w:id="166"/>
      <w:bookmarkStart w:id="167" w:name="_Toc184310284"/>
      <w:bookmarkEnd w:id="167"/>
      <w:bookmarkStart w:id="168" w:name="_Toc184310334"/>
      <w:bookmarkEnd w:id="168"/>
      <w:bookmarkStart w:id="169" w:name="_Toc184312139"/>
      <w:bookmarkEnd w:id="169"/>
      <w:bookmarkStart w:id="170" w:name="_Toc184308103"/>
      <w:bookmarkEnd w:id="170"/>
      <w:bookmarkStart w:id="171" w:name="_Toc184314426"/>
      <w:bookmarkEnd w:id="171"/>
      <w:bookmarkStart w:id="172" w:name="_Toc184312114"/>
      <w:bookmarkEnd w:id="172"/>
      <w:bookmarkStart w:id="173" w:name="_Toc184313286"/>
      <w:bookmarkEnd w:id="173"/>
      <w:bookmarkStart w:id="174" w:name="_Toc184314453"/>
      <w:bookmarkEnd w:id="174"/>
      <w:bookmarkStart w:id="175" w:name="_Toc184313238"/>
      <w:bookmarkEnd w:id="175"/>
      <w:bookmarkStart w:id="176" w:name="_Toc184314467"/>
      <w:bookmarkEnd w:id="176"/>
      <w:bookmarkStart w:id="177" w:name="_Toc184312068"/>
      <w:bookmarkEnd w:id="177"/>
      <w:bookmarkStart w:id="178" w:name="_Toc184314470"/>
      <w:bookmarkEnd w:id="178"/>
      <w:bookmarkStart w:id="179" w:name="_Toc184308038"/>
      <w:bookmarkEnd w:id="179"/>
      <w:bookmarkStart w:id="180" w:name="_Toc184312087"/>
      <w:bookmarkEnd w:id="180"/>
      <w:bookmarkStart w:id="181" w:name="_Toc184308045"/>
      <w:bookmarkEnd w:id="181"/>
      <w:bookmarkStart w:id="182" w:name="_Toc184313296"/>
      <w:bookmarkEnd w:id="182"/>
      <w:bookmarkStart w:id="183" w:name="_Toc184308054"/>
      <w:bookmarkEnd w:id="183"/>
      <w:bookmarkStart w:id="184" w:name="_Toc184313270"/>
      <w:bookmarkEnd w:id="184"/>
      <w:bookmarkStart w:id="185" w:name="_Toc184308078"/>
      <w:bookmarkEnd w:id="185"/>
      <w:bookmarkStart w:id="186" w:name="_Toc184312088"/>
      <w:bookmarkEnd w:id="186"/>
      <w:bookmarkStart w:id="187" w:name="_Toc184312112"/>
      <w:bookmarkEnd w:id="187"/>
      <w:bookmarkStart w:id="188" w:name="_Toc184312072"/>
      <w:bookmarkEnd w:id="188"/>
      <w:bookmarkStart w:id="189" w:name="_Toc184313244"/>
      <w:bookmarkEnd w:id="189"/>
      <w:bookmarkStart w:id="190" w:name="_Toc184312113"/>
      <w:bookmarkEnd w:id="190"/>
      <w:bookmarkStart w:id="191" w:name="_Toc184312091"/>
      <w:bookmarkEnd w:id="191"/>
      <w:bookmarkStart w:id="192" w:name="_Toc184310343"/>
      <w:bookmarkEnd w:id="192"/>
      <w:bookmarkStart w:id="193" w:name="_Toc184310303"/>
      <w:bookmarkEnd w:id="193"/>
      <w:bookmarkStart w:id="194" w:name="_Toc184312125"/>
      <w:bookmarkEnd w:id="194"/>
      <w:bookmarkStart w:id="195" w:name="_Toc184312103"/>
      <w:bookmarkEnd w:id="195"/>
      <w:bookmarkStart w:id="196" w:name="_Toc184314431"/>
      <w:bookmarkEnd w:id="196"/>
      <w:bookmarkStart w:id="197" w:name="_Toc184314444"/>
      <w:bookmarkEnd w:id="197"/>
      <w:bookmarkStart w:id="198" w:name="_Toc184313287"/>
      <w:bookmarkEnd w:id="198"/>
      <w:bookmarkStart w:id="199" w:name="_Toc184312092"/>
      <w:bookmarkEnd w:id="199"/>
      <w:bookmarkStart w:id="200" w:name="_Toc184314476"/>
      <w:bookmarkEnd w:id="200"/>
      <w:bookmarkStart w:id="201" w:name="_Toc184314457"/>
      <w:bookmarkEnd w:id="201"/>
      <w:bookmarkStart w:id="202" w:name="_Toc184314448"/>
      <w:bookmarkEnd w:id="202"/>
      <w:bookmarkStart w:id="203" w:name="_Toc184314452"/>
      <w:bookmarkEnd w:id="203"/>
      <w:bookmarkStart w:id="204" w:name="_Toc184310282"/>
      <w:bookmarkEnd w:id="204"/>
      <w:bookmarkStart w:id="205" w:name="_Toc184312098"/>
      <w:bookmarkEnd w:id="205"/>
      <w:bookmarkStart w:id="206" w:name="_Toc184310306"/>
      <w:bookmarkEnd w:id="206"/>
      <w:bookmarkStart w:id="207" w:name="_Toc184310338"/>
      <w:bookmarkEnd w:id="207"/>
      <w:bookmarkStart w:id="208" w:name="_Toc184313280"/>
      <w:bookmarkEnd w:id="208"/>
      <w:bookmarkStart w:id="209" w:name="_Toc184312079"/>
      <w:bookmarkEnd w:id="209"/>
      <w:bookmarkStart w:id="210" w:name="_Toc184313277"/>
      <w:bookmarkEnd w:id="210"/>
      <w:bookmarkStart w:id="211" w:name="_Toc184310329"/>
      <w:bookmarkEnd w:id="211"/>
      <w:bookmarkStart w:id="212" w:name="_Toc184313251"/>
      <w:bookmarkEnd w:id="212"/>
      <w:bookmarkStart w:id="213" w:name="_Toc184310341"/>
      <w:bookmarkEnd w:id="213"/>
      <w:bookmarkStart w:id="214" w:name="_Toc184312089"/>
      <w:bookmarkEnd w:id="214"/>
      <w:bookmarkStart w:id="215" w:name="_Toc184312107"/>
      <w:bookmarkEnd w:id="215"/>
      <w:bookmarkStart w:id="216" w:name="_Toc184314430"/>
      <w:bookmarkEnd w:id="216"/>
      <w:bookmarkStart w:id="217" w:name="_Toc184313272"/>
      <w:bookmarkEnd w:id="217"/>
      <w:bookmarkStart w:id="218" w:name="_Toc184313306"/>
      <w:bookmarkEnd w:id="218"/>
      <w:bookmarkStart w:id="219" w:name="_Toc184310332"/>
      <w:bookmarkEnd w:id="219"/>
      <w:bookmarkStart w:id="220" w:name="_Toc184312123"/>
      <w:bookmarkEnd w:id="220"/>
      <w:bookmarkStart w:id="221" w:name="_Toc184308043"/>
      <w:bookmarkEnd w:id="221"/>
      <w:bookmarkStart w:id="222" w:name="_Toc184308076"/>
      <w:bookmarkEnd w:id="222"/>
      <w:bookmarkStart w:id="223" w:name="_Toc184308051"/>
      <w:bookmarkEnd w:id="223"/>
      <w:bookmarkStart w:id="224" w:name="_Toc184310319"/>
      <w:bookmarkEnd w:id="224"/>
      <w:bookmarkStart w:id="225" w:name="_Toc184310294"/>
      <w:bookmarkEnd w:id="225"/>
      <w:bookmarkStart w:id="226" w:name="_Toc184310280"/>
      <w:bookmarkEnd w:id="226"/>
      <w:bookmarkStart w:id="227" w:name="_Toc184314477"/>
      <w:bookmarkEnd w:id="227"/>
      <w:bookmarkStart w:id="228" w:name="_Toc184313295"/>
      <w:bookmarkEnd w:id="228"/>
      <w:bookmarkStart w:id="229" w:name="_Toc184312078"/>
      <w:bookmarkEnd w:id="229"/>
      <w:bookmarkStart w:id="230" w:name="_Toc184310313"/>
      <w:bookmarkEnd w:id="230"/>
      <w:bookmarkStart w:id="231" w:name="_Toc184313293"/>
      <w:bookmarkEnd w:id="231"/>
      <w:bookmarkStart w:id="232" w:name="_Toc184313301"/>
      <w:bookmarkEnd w:id="232"/>
      <w:bookmarkStart w:id="233" w:name="_Toc184310297"/>
      <w:bookmarkEnd w:id="233"/>
      <w:bookmarkStart w:id="234" w:name="_Toc184313239"/>
      <w:bookmarkEnd w:id="234"/>
      <w:bookmarkStart w:id="235" w:name="_Toc184308044"/>
      <w:bookmarkEnd w:id="235"/>
      <w:bookmarkStart w:id="236" w:name="_Toc184313240"/>
      <w:bookmarkEnd w:id="236"/>
      <w:bookmarkStart w:id="237" w:name="_Toc184308104"/>
      <w:bookmarkEnd w:id="237"/>
      <w:bookmarkStart w:id="238" w:name="_Toc184314417"/>
      <w:bookmarkEnd w:id="238"/>
      <w:bookmarkStart w:id="239" w:name="_Toc184310335"/>
      <w:bookmarkEnd w:id="239"/>
      <w:bookmarkStart w:id="240" w:name="_Toc184308064"/>
      <w:bookmarkEnd w:id="240"/>
      <w:bookmarkStart w:id="241" w:name="_Toc184310293"/>
      <w:bookmarkEnd w:id="241"/>
      <w:bookmarkStart w:id="242" w:name="_Toc184314411"/>
      <w:bookmarkEnd w:id="242"/>
      <w:bookmarkStart w:id="243" w:name="_Toc184308088"/>
      <w:bookmarkEnd w:id="243"/>
      <w:bookmarkStart w:id="244" w:name="_Toc184314436"/>
      <w:bookmarkEnd w:id="244"/>
      <w:bookmarkStart w:id="245" w:name="_Toc184310325"/>
      <w:bookmarkEnd w:id="245"/>
      <w:bookmarkStart w:id="246" w:name="_Toc184314473"/>
      <w:bookmarkEnd w:id="246"/>
      <w:bookmarkStart w:id="247" w:name="_Toc184314474"/>
      <w:bookmarkEnd w:id="247"/>
      <w:bookmarkStart w:id="248" w:name="_Toc184312073"/>
      <w:bookmarkEnd w:id="248"/>
      <w:bookmarkStart w:id="249" w:name="_Toc184313268"/>
      <w:bookmarkEnd w:id="249"/>
      <w:bookmarkStart w:id="250" w:name="_Toc184314461"/>
      <w:bookmarkEnd w:id="250"/>
      <w:bookmarkStart w:id="251" w:name="_Toc184314422"/>
      <w:bookmarkEnd w:id="251"/>
      <w:bookmarkStart w:id="252" w:name="_Toc184310330"/>
      <w:bookmarkEnd w:id="252"/>
      <w:bookmarkStart w:id="253" w:name="_Toc184313309"/>
      <w:bookmarkEnd w:id="253"/>
      <w:bookmarkStart w:id="254" w:name="_Toc184314480"/>
      <w:bookmarkEnd w:id="254"/>
      <w:bookmarkStart w:id="255" w:name="_Toc184313278"/>
      <w:bookmarkEnd w:id="255"/>
      <w:bookmarkStart w:id="256" w:name="_Toc184308039"/>
      <w:bookmarkEnd w:id="256"/>
      <w:bookmarkStart w:id="257" w:name="_Toc184310298"/>
      <w:bookmarkEnd w:id="257"/>
      <w:bookmarkStart w:id="258" w:name="_Toc184314456"/>
      <w:bookmarkEnd w:id="258"/>
      <w:bookmarkStart w:id="259" w:name="_Toc184308068"/>
      <w:bookmarkEnd w:id="259"/>
      <w:bookmarkStart w:id="260" w:name="_Toc184310315"/>
      <w:bookmarkEnd w:id="260"/>
      <w:bookmarkStart w:id="261" w:name="_Toc184313291"/>
      <w:bookmarkEnd w:id="261"/>
      <w:bookmarkStart w:id="262" w:name="_Toc184314441"/>
      <w:bookmarkEnd w:id="262"/>
      <w:bookmarkStart w:id="263" w:name="_Toc184308094"/>
      <w:bookmarkEnd w:id="263"/>
      <w:bookmarkStart w:id="264" w:name="_Toc184313302"/>
      <w:bookmarkEnd w:id="264"/>
      <w:bookmarkStart w:id="265" w:name="_Toc184312086"/>
      <w:bookmarkEnd w:id="265"/>
      <w:bookmarkStart w:id="266" w:name="_Toc184314427"/>
      <w:bookmarkEnd w:id="266"/>
      <w:bookmarkStart w:id="267" w:name="_Toc184313297"/>
      <w:bookmarkEnd w:id="267"/>
      <w:bookmarkStart w:id="268" w:name="_Toc184310308"/>
      <w:bookmarkEnd w:id="268"/>
      <w:bookmarkStart w:id="269" w:name="_Toc184308059"/>
      <w:bookmarkEnd w:id="269"/>
      <w:bookmarkStart w:id="270" w:name="_Toc184313256"/>
      <w:bookmarkEnd w:id="270"/>
      <w:bookmarkStart w:id="271" w:name="_Toc184308061"/>
      <w:bookmarkEnd w:id="271"/>
      <w:bookmarkStart w:id="272" w:name="_Toc184312104"/>
      <w:bookmarkEnd w:id="272"/>
      <w:bookmarkStart w:id="273" w:name="_Toc184312099"/>
      <w:bookmarkEnd w:id="273"/>
      <w:bookmarkStart w:id="274" w:name="_Toc184308041"/>
      <w:bookmarkEnd w:id="274"/>
      <w:bookmarkStart w:id="275" w:name="_Toc184310324"/>
      <w:bookmarkEnd w:id="275"/>
      <w:bookmarkStart w:id="276" w:name="_Toc184312131"/>
      <w:bookmarkEnd w:id="276"/>
      <w:bookmarkStart w:id="277" w:name="_Toc184308074"/>
      <w:bookmarkEnd w:id="277"/>
      <w:bookmarkStart w:id="278" w:name="_Toc184314432"/>
      <w:bookmarkEnd w:id="278"/>
      <w:bookmarkStart w:id="279" w:name="_Toc184312115"/>
      <w:bookmarkEnd w:id="279"/>
      <w:bookmarkStart w:id="280" w:name="_Toc184312124"/>
      <w:bookmarkEnd w:id="280"/>
      <w:bookmarkStart w:id="281" w:name="_Toc184314445"/>
      <w:bookmarkEnd w:id="281"/>
      <w:bookmarkStart w:id="282" w:name="_Toc184310333"/>
      <w:bookmarkEnd w:id="282"/>
      <w:bookmarkStart w:id="283" w:name="_Toc184308085"/>
      <w:bookmarkEnd w:id="283"/>
      <w:bookmarkStart w:id="284" w:name="_Toc184312134"/>
      <w:bookmarkEnd w:id="284"/>
      <w:bookmarkStart w:id="285" w:name="_Toc184313260"/>
      <w:bookmarkEnd w:id="285"/>
      <w:bookmarkStart w:id="286" w:name="_Toc184312095"/>
      <w:bookmarkEnd w:id="286"/>
      <w:bookmarkStart w:id="287" w:name="_Toc184314440"/>
      <w:bookmarkEnd w:id="287"/>
      <w:bookmarkStart w:id="288" w:name="_Toc184313288"/>
      <w:bookmarkEnd w:id="288"/>
      <w:bookmarkStart w:id="289" w:name="_Toc184313273"/>
      <w:bookmarkEnd w:id="289"/>
      <w:bookmarkStart w:id="290" w:name="_Toc184310312"/>
      <w:bookmarkEnd w:id="290"/>
      <w:bookmarkStart w:id="291" w:name="_Toc184310283"/>
      <w:bookmarkEnd w:id="291"/>
      <w:bookmarkStart w:id="292" w:name="_Toc184310301"/>
      <w:bookmarkEnd w:id="292"/>
      <w:bookmarkStart w:id="293" w:name="_Toc184312108"/>
      <w:bookmarkEnd w:id="293"/>
      <w:bookmarkStart w:id="294" w:name="_Toc184314443"/>
      <w:bookmarkEnd w:id="294"/>
      <w:bookmarkStart w:id="295" w:name="_Toc184312111"/>
      <w:bookmarkEnd w:id="295"/>
      <w:bookmarkStart w:id="296" w:name="_Toc184310336"/>
      <w:bookmarkEnd w:id="296"/>
      <w:bookmarkStart w:id="297" w:name="_Toc184313249"/>
      <w:bookmarkEnd w:id="297"/>
      <w:bookmarkStart w:id="298" w:name="_Toc184308082"/>
      <w:bookmarkEnd w:id="298"/>
      <w:bookmarkStart w:id="299" w:name="_Toc184314466"/>
      <w:bookmarkEnd w:id="299"/>
      <w:bookmarkStart w:id="300" w:name="_Toc184312129"/>
      <w:bookmarkEnd w:id="300"/>
      <w:bookmarkStart w:id="301" w:name="_Toc184308108"/>
      <w:bookmarkEnd w:id="301"/>
      <w:bookmarkStart w:id="302" w:name="_Toc184308080"/>
      <w:bookmarkEnd w:id="302"/>
      <w:bookmarkStart w:id="303" w:name="_Toc184313292"/>
      <w:bookmarkEnd w:id="303"/>
      <w:bookmarkStart w:id="304" w:name="_Toc184313304"/>
      <w:bookmarkEnd w:id="304"/>
      <w:bookmarkStart w:id="305" w:name="_Toc184308106"/>
      <w:bookmarkEnd w:id="305"/>
      <w:bookmarkStart w:id="306" w:name="_Toc184313276"/>
      <w:bookmarkEnd w:id="306"/>
      <w:bookmarkStart w:id="307" w:name="_Toc184310278"/>
      <w:bookmarkEnd w:id="307"/>
      <w:bookmarkStart w:id="308" w:name="_Toc184314429"/>
      <w:bookmarkEnd w:id="308"/>
      <w:bookmarkStart w:id="309" w:name="_Toc184313264"/>
      <w:bookmarkEnd w:id="309"/>
      <w:bookmarkStart w:id="310" w:name="_Toc184308050"/>
      <w:bookmarkEnd w:id="310"/>
      <w:bookmarkStart w:id="311" w:name="_Toc184312081"/>
      <w:bookmarkEnd w:id="311"/>
      <w:bookmarkStart w:id="312" w:name="_Toc184314479"/>
      <w:bookmarkEnd w:id="312"/>
      <w:bookmarkStart w:id="313" w:name="_Toc184314459"/>
      <w:bookmarkEnd w:id="313"/>
      <w:bookmarkStart w:id="314" w:name="_Toc184308053"/>
      <w:bookmarkEnd w:id="314"/>
      <w:bookmarkStart w:id="315" w:name="_Toc184313263"/>
      <w:bookmarkEnd w:id="315"/>
      <w:bookmarkStart w:id="316" w:name="_Toc184313310"/>
      <w:bookmarkEnd w:id="316"/>
      <w:bookmarkStart w:id="317" w:name="_Toc184312096"/>
      <w:bookmarkEnd w:id="317"/>
      <w:bookmarkStart w:id="318" w:name="_Toc184314446"/>
      <w:bookmarkEnd w:id="318"/>
      <w:bookmarkStart w:id="319" w:name="_Toc184310285"/>
      <w:bookmarkEnd w:id="319"/>
      <w:bookmarkStart w:id="320" w:name="_Toc184308075"/>
      <w:bookmarkEnd w:id="320"/>
      <w:bookmarkStart w:id="321" w:name="_Toc184313252"/>
      <w:bookmarkEnd w:id="321"/>
      <w:bookmarkStart w:id="322" w:name="_Toc184312102"/>
      <w:bookmarkEnd w:id="322"/>
      <w:bookmarkStart w:id="323" w:name="_Toc184312067"/>
      <w:bookmarkEnd w:id="323"/>
      <w:bookmarkStart w:id="324" w:name="_Toc184314478"/>
      <w:bookmarkEnd w:id="324"/>
      <w:bookmarkStart w:id="325" w:name="_Toc184313266"/>
      <w:bookmarkEnd w:id="325"/>
      <w:bookmarkStart w:id="326" w:name="_Toc184314415"/>
      <w:bookmarkEnd w:id="326"/>
      <w:bookmarkStart w:id="327" w:name="_Toc184314416"/>
      <w:bookmarkEnd w:id="327"/>
      <w:bookmarkStart w:id="328" w:name="_Toc184313299"/>
      <w:bookmarkEnd w:id="328"/>
      <w:bookmarkStart w:id="329" w:name="_Toc184314414"/>
      <w:bookmarkEnd w:id="329"/>
      <w:bookmarkStart w:id="330" w:name="_Toc184314437"/>
      <w:bookmarkEnd w:id="330"/>
      <w:bookmarkStart w:id="331" w:name="_Toc184313242"/>
      <w:bookmarkEnd w:id="331"/>
      <w:bookmarkStart w:id="332" w:name="_Toc184310287"/>
      <w:bookmarkEnd w:id="332"/>
      <w:bookmarkStart w:id="333" w:name="_Toc184310275"/>
      <w:bookmarkEnd w:id="333"/>
      <w:bookmarkStart w:id="334" w:name="_Toc184312106"/>
      <w:bookmarkEnd w:id="334"/>
      <w:bookmarkStart w:id="335" w:name="_Toc184313261"/>
      <w:bookmarkEnd w:id="335"/>
      <w:bookmarkStart w:id="336" w:name="_Toc184310340"/>
      <w:bookmarkEnd w:id="336"/>
      <w:bookmarkStart w:id="337" w:name="_Toc184313305"/>
      <w:bookmarkEnd w:id="337"/>
      <w:bookmarkStart w:id="338" w:name="_Toc184312126"/>
      <w:bookmarkEnd w:id="338"/>
      <w:bookmarkStart w:id="339" w:name="_Toc184312127"/>
      <w:bookmarkEnd w:id="339"/>
      <w:bookmarkStart w:id="340" w:name="_Toc184310320"/>
      <w:bookmarkEnd w:id="340"/>
      <w:bookmarkStart w:id="341" w:name="_Toc184313281"/>
      <w:bookmarkEnd w:id="341"/>
      <w:bookmarkStart w:id="342" w:name="_Toc184308065"/>
      <w:bookmarkEnd w:id="342"/>
      <w:bookmarkStart w:id="343" w:name="_Toc184310288"/>
      <w:bookmarkEnd w:id="343"/>
      <w:bookmarkStart w:id="344" w:name="_Toc184313294"/>
      <w:bookmarkEnd w:id="344"/>
      <w:bookmarkStart w:id="345" w:name="_Toc184310342"/>
      <w:bookmarkEnd w:id="345"/>
      <w:bookmarkStart w:id="346" w:name="_Toc184313246"/>
      <w:bookmarkEnd w:id="346"/>
      <w:bookmarkStart w:id="347" w:name="_Toc184308092"/>
      <w:bookmarkEnd w:id="347"/>
      <w:bookmarkStart w:id="348" w:name="_Toc184308037"/>
      <w:bookmarkEnd w:id="348"/>
      <w:bookmarkStart w:id="349" w:name="_Toc184310272"/>
      <w:bookmarkEnd w:id="349"/>
      <w:bookmarkStart w:id="350" w:name="_Toc184310295"/>
      <w:bookmarkEnd w:id="350"/>
      <w:bookmarkStart w:id="351" w:name="_Toc184308058"/>
      <w:bookmarkEnd w:id="351"/>
      <w:bookmarkStart w:id="352" w:name="_Toc184308101"/>
      <w:bookmarkEnd w:id="352"/>
      <w:bookmarkStart w:id="353" w:name="_Toc184314454"/>
      <w:bookmarkEnd w:id="353"/>
      <w:bookmarkStart w:id="354" w:name="_Toc184310307"/>
      <w:bookmarkEnd w:id="354"/>
      <w:bookmarkStart w:id="355" w:name="_Toc184312121"/>
      <w:bookmarkEnd w:id="355"/>
      <w:bookmarkStart w:id="356" w:name="_Toc184310321"/>
      <w:bookmarkEnd w:id="356"/>
      <w:bookmarkStart w:id="357" w:name="_Toc184314434"/>
      <w:bookmarkEnd w:id="357"/>
      <w:bookmarkStart w:id="358" w:name="_Toc184310299"/>
      <w:bookmarkEnd w:id="358"/>
      <w:bookmarkStart w:id="359" w:name="_Toc184312076"/>
      <w:bookmarkEnd w:id="359"/>
      <w:bookmarkStart w:id="360" w:name="_Toc184313300"/>
      <w:bookmarkEnd w:id="360"/>
      <w:bookmarkStart w:id="361" w:name="_Toc184313257"/>
      <w:bookmarkEnd w:id="361"/>
      <w:bookmarkStart w:id="362" w:name="_Toc184314412"/>
      <w:bookmarkEnd w:id="362"/>
      <w:bookmarkStart w:id="363" w:name="_Toc184312132"/>
      <w:bookmarkEnd w:id="363"/>
      <w:bookmarkStart w:id="364" w:name="_Toc184314450"/>
      <w:bookmarkEnd w:id="364"/>
      <w:bookmarkStart w:id="365" w:name="_Toc184314469"/>
      <w:bookmarkEnd w:id="365"/>
      <w:bookmarkStart w:id="366" w:name="_Toc184314472"/>
      <w:bookmarkEnd w:id="366"/>
      <w:bookmarkStart w:id="367" w:name="_Toc184308091"/>
      <w:bookmarkEnd w:id="367"/>
      <w:bookmarkStart w:id="368" w:name="_Toc184310300"/>
      <w:bookmarkEnd w:id="368"/>
      <w:bookmarkStart w:id="369" w:name="_Toc184314462"/>
      <w:bookmarkEnd w:id="369"/>
      <w:bookmarkStart w:id="370" w:name="_Toc184312069"/>
      <w:bookmarkEnd w:id="370"/>
      <w:bookmarkStart w:id="371" w:name="_Toc184308087"/>
      <w:bookmarkEnd w:id="371"/>
      <w:bookmarkStart w:id="372" w:name="_Toc184313303"/>
      <w:bookmarkEnd w:id="372"/>
      <w:bookmarkStart w:id="373" w:name="_Toc184308093"/>
      <w:bookmarkEnd w:id="373"/>
      <w:bookmarkStart w:id="374" w:name="_Toc184314471"/>
      <w:bookmarkEnd w:id="374"/>
      <w:bookmarkStart w:id="375" w:name="_Toc184310317"/>
      <w:bookmarkEnd w:id="375"/>
      <w:bookmarkStart w:id="376" w:name="_Toc184314442"/>
      <w:bookmarkEnd w:id="376"/>
      <w:bookmarkStart w:id="377" w:name="_Toc184308095"/>
      <w:bookmarkEnd w:id="377"/>
      <w:bookmarkStart w:id="378" w:name="_Toc184312109"/>
      <w:bookmarkEnd w:id="378"/>
      <w:bookmarkStart w:id="379" w:name="_Toc184314423"/>
      <w:bookmarkEnd w:id="379"/>
      <w:bookmarkStart w:id="380" w:name="_Toc184308099"/>
      <w:bookmarkEnd w:id="380"/>
      <w:bookmarkStart w:id="381" w:name="_Toc184308042"/>
      <w:bookmarkEnd w:id="381"/>
      <w:bookmarkStart w:id="382" w:name="_Toc184308056"/>
      <w:bookmarkEnd w:id="382"/>
      <w:bookmarkStart w:id="383" w:name="_Toc184310289"/>
      <w:bookmarkEnd w:id="383"/>
      <w:bookmarkStart w:id="384" w:name="_Toc184308062"/>
      <w:bookmarkEnd w:id="384"/>
      <w:bookmarkStart w:id="385" w:name="_Toc184314413"/>
      <w:bookmarkEnd w:id="385"/>
      <w:bookmarkStart w:id="386" w:name="_Toc184313262"/>
      <w:bookmarkEnd w:id="386"/>
      <w:bookmarkStart w:id="387" w:name="_Toc184308083"/>
      <w:bookmarkEnd w:id="387"/>
      <w:bookmarkStart w:id="388" w:name="_Toc184310276"/>
      <w:bookmarkEnd w:id="388"/>
      <w:bookmarkStart w:id="389" w:name="_Toc184314458"/>
      <w:bookmarkEnd w:id="389"/>
      <w:bookmarkStart w:id="390" w:name="_Toc184310304"/>
      <w:bookmarkEnd w:id="390"/>
      <w:bookmarkStart w:id="391" w:name="_Toc184310311"/>
      <w:bookmarkEnd w:id="391"/>
      <w:bookmarkStart w:id="392" w:name="_Toc184314433"/>
      <w:bookmarkEnd w:id="392"/>
      <w:r>
        <w:rPr>
          <w:rFonts w:hint="eastAsia" w:asciiTheme="minorEastAsia" w:hAnsiTheme="minorEastAsia" w:eastAsiaTheme="minorEastAsia" w:cstheme="minorEastAsia"/>
          <w:b/>
          <w:color w:val="auto"/>
          <w:sz w:val="36"/>
          <w:szCs w:val="36"/>
          <w:highlight w:val="none"/>
        </w:rPr>
        <w:t>评审办法</w:t>
      </w:r>
    </w:p>
    <w:p w14:paraId="3543B499">
      <w:pPr>
        <w:snapToGrid w:val="0"/>
        <w:spacing w:line="360" w:lineRule="auto"/>
        <w:jc w:val="center"/>
        <w:rPr>
          <w:rFonts w:asciiTheme="minorEastAsia" w:hAnsiTheme="minorEastAsia" w:eastAsiaTheme="minorEastAsia" w:cstheme="minorEastAsia"/>
          <w:color w:val="auto"/>
          <w:sz w:val="28"/>
          <w:highlight w:val="none"/>
        </w:rPr>
      </w:pPr>
      <w:r>
        <w:rPr>
          <w:rFonts w:hint="eastAsia" w:asciiTheme="minorEastAsia" w:hAnsiTheme="minorEastAsia" w:eastAsiaTheme="minorEastAsia" w:cstheme="minorEastAsia"/>
          <w:b/>
          <w:color w:val="auto"/>
          <w:sz w:val="32"/>
          <w:szCs w:val="20"/>
          <w:highlight w:val="none"/>
        </w:rPr>
        <w:t>评审办法前附表</w:t>
      </w:r>
    </w:p>
    <w:tbl>
      <w:tblPr>
        <w:tblStyle w:val="24"/>
        <w:tblW w:w="9385"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748"/>
        <w:gridCol w:w="1195"/>
        <w:gridCol w:w="7442"/>
      </w:tblGrid>
      <w:tr w14:paraId="0EA90A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6" w:hRule="atLeast"/>
        </w:trPr>
        <w:tc>
          <w:tcPr>
            <w:tcW w:w="748" w:type="dxa"/>
            <w:noWrap w:val="0"/>
            <w:vAlign w:val="center"/>
          </w:tcPr>
          <w:p w14:paraId="2ECD3901">
            <w:pPr>
              <w:pageBreakBefore w:val="0"/>
              <w:kinsoku/>
              <w:wordWrap/>
              <w:overflowPunct/>
              <w:topLinePunct w:val="0"/>
              <w:bidi w:val="0"/>
              <w:spacing w:line="360" w:lineRule="auto"/>
              <w:rPr>
                <w:color w:val="auto"/>
                <w:szCs w:val="21"/>
                <w:highlight w:val="none"/>
              </w:rPr>
            </w:pPr>
          </w:p>
        </w:tc>
        <w:tc>
          <w:tcPr>
            <w:tcW w:w="1195" w:type="dxa"/>
            <w:noWrap w:val="0"/>
            <w:vAlign w:val="center"/>
          </w:tcPr>
          <w:p w14:paraId="4E304347">
            <w:pPr>
              <w:pageBreakBefore w:val="0"/>
              <w:kinsoku/>
              <w:wordWrap/>
              <w:overflowPunct/>
              <w:topLinePunct w:val="0"/>
              <w:bidi w:val="0"/>
              <w:spacing w:line="360" w:lineRule="auto"/>
              <w:jc w:val="center"/>
              <w:rPr>
                <w:color w:val="auto"/>
                <w:szCs w:val="21"/>
                <w:highlight w:val="none"/>
              </w:rPr>
            </w:pPr>
            <w:r>
              <w:rPr>
                <w:rFonts w:hint="eastAsia"/>
                <w:color w:val="auto"/>
                <w:highlight w:val="none"/>
              </w:rPr>
              <w:t>项目</w:t>
            </w:r>
          </w:p>
        </w:tc>
        <w:tc>
          <w:tcPr>
            <w:tcW w:w="7442" w:type="dxa"/>
            <w:noWrap w:val="0"/>
            <w:vAlign w:val="center"/>
          </w:tcPr>
          <w:p w14:paraId="3646682D">
            <w:pPr>
              <w:pageBreakBefore w:val="0"/>
              <w:tabs>
                <w:tab w:val="left" w:pos="4915"/>
              </w:tabs>
              <w:kinsoku/>
              <w:wordWrap/>
              <w:overflowPunct/>
              <w:topLinePunct w:val="0"/>
              <w:bidi w:val="0"/>
              <w:spacing w:line="360" w:lineRule="auto"/>
              <w:jc w:val="center"/>
              <w:rPr>
                <w:color w:val="auto"/>
                <w:szCs w:val="21"/>
                <w:highlight w:val="none"/>
              </w:rPr>
            </w:pPr>
            <w:r>
              <w:rPr>
                <w:rFonts w:hint="eastAsia"/>
                <w:color w:val="auto"/>
                <w:highlight w:val="none"/>
              </w:rPr>
              <w:t>评分细则</w:t>
            </w:r>
          </w:p>
        </w:tc>
      </w:tr>
      <w:tr w14:paraId="6213A0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748" w:type="dxa"/>
            <w:vMerge w:val="restart"/>
            <w:noWrap w:val="0"/>
            <w:vAlign w:val="center"/>
          </w:tcPr>
          <w:p w14:paraId="0D7AC954">
            <w:pPr>
              <w:pageBreakBefore w:val="0"/>
              <w:kinsoku/>
              <w:wordWrap/>
              <w:overflowPunct/>
              <w:topLinePunct w:val="0"/>
              <w:bidi w:val="0"/>
              <w:spacing w:line="360" w:lineRule="auto"/>
              <w:rPr>
                <w:color w:val="auto"/>
                <w:szCs w:val="21"/>
                <w:highlight w:val="none"/>
              </w:rPr>
            </w:pPr>
            <w:r>
              <w:rPr>
                <w:color w:val="auto"/>
                <w:szCs w:val="21"/>
                <w:highlight w:val="none"/>
              </w:rPr>
              <w:t>技术资信</w:t>
            </w:r>
            <w:r>
              <w:rPr>
                <w:rFonts w:hint="eastAsia"/>
                <w:color w:val="auto"/>
                <w:szCs w:val="21"/>
                <w:highlight w:val="none"/>
              </w:rPr>
              <w:t>部分</w:t>
            </w:r>
            <w:r>
              <w:rPr>
                <w:rFonts w:hint="eastAsia"/>
                <w:color w:val="auto"/>
                <w:szCs w:val="21"/>
                <w:highlight w:val="none"/>
                <w:lang w:val="en-US" w:eastAsia="zh-CN"/>
              </w:rPr>
              <w:t>65</w:t>
            </w:r>
            <w:r>
              <w:rPr>
                <w:color w:val="auto"/>
                <w:szCs w:val="21"/>
                <w:highlight w:val="none"/>
              </w:rPr>
              <w:t>分</w:t>
            </w:r>
          </w:p>
        </w:tc>
        <w:tc>
          <w:tcPr>
            <w:tcW w:w="1195" w:type="dxa"/>
            <w:noWrap w:val="0"/>
            <w:vAlign w:val="center"/>
          </w:tcPr>
          <w:p w14:paraId="64D11D6E">
            <w:pPr>
              <w:pageBreakBefore w:val="0"/>
              <w:kinsoku/>
              <w:wordWrap/>
              <w:overflowPunct/>
              <w:topLinePunct w:val="0"/>
              <w:bidi w:val="0"/>
              <w:spacing w:line="360" w:lineRule="auto"/>
              <w:jc w:val="center"/>
              <w:rPr>
                <w:rFonts w:hint="eastAsia" w:eastAsia="宋体"/>
                <w:color w:val="auto"/>
                <w:szCs w:val="21"/>
                <w:highlight w:val="none"/>
                <w:lang w:eastAsia="zh-CN"/>
              </w:rPr>
            </w:pPr>
            <w:r>
              <w:rPr>
                <w:rFonts w:hint="eastAsia"/>
                <w:color w:val="auto"/>
                <w:szCs w:val="21"/>
                <w:highlight w:val="none"/>
                <w:lang w:val="en-US" w:eastAsia="zh-CN"/>
              </w:rPr>
              <w:t>项目主要</w:t>
            </w:r>
            <w:r>
              <w:rPr>
                <w:color w:val="auto"/>
                <w:szCs w:val="21"/>
                <w:highlight w:val="none"/>
              </w:rPr>
              <w:t>技术</w:t>
            </w:r>
            <w:r>
              <w:rPr>
                <w:rFonts w:hint="eastAsia"/>
                <w:color w:val="auto"/>
                <w:szCs w:val="21"/>
                <w:highlight w:val="none"/>
                <w:lang w:val="en-US" w:eastAsia="zh-CN"/>
              </w:rPr>
              <w:t>要求</w:t>
            </w:r>
          </w:p>
          <w:p w14:paraId="577FA198">
            <w:pPr>
              <w:pageBreakBefore w:val="0"/>
              <w:kinsoku/>
              <w:wordWrap/>
              <w:overflowPunct/>
              <w:topLinePunct w:val="0"/>
              <w:bidi w:val="0"/>
              <w:spacing w:line="360" w:lineRule="auto"/>
              <w:jc w:val="center"/>
              <w:rPr>
                <w:color w:val="auto"/>
                <w:szCs w:val="21"/>
                <w:highlight w:val="none"/>
              </w:rPr>
            </w:pPr>
            <w:r>
              <w:rPr>
                <w:color w:val="auto"/>
                <w:szCs w:val="21"/>
                <w:highlight w:val="none"/>
              </w:rPr>
              <w:t>响应情况</w:t>
            </w:r>
          </w:p>
          <w:p w14:paraId="03D478AF">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lang w:val="en-US" w:eastAsia="zh-CN"/>
              </w:rPr>
              <w:t>15</w:t>
            </w:r>
            <w:r>
              <w:rPr>
                <w:color w:val="auto"/>
                <w:szCs w:val="21"/>
                <w:highlight w:val="none"/>
              </w:rPr>
              <w:t>分）</w:t>
            </w:r>
          </w:p>
        </w:tc>
        <w:tc>
          <w:tcPr>
            <w:tcW w:w="7442" w:type="dxa"/>
            <w:noWrap w:val="0"/>
            <w:vAlign w:val="center"/>
          </w:tcPr>
          <w:p w14:paraId="164B6B30">
            <w:pPr>
              <w:tabs>
                <w:tab w:val="left" w:pos="4915"/>
              </w:tabs>
              <w:spacing w:line="360" w:lineRule="auto"/>
              <w:rPr>
                <w:rFonts w:hint="eastAsia" w:cs="宋体"/>
                <w:color w:val="auto"/>
                <w:szCs w:val="21"/>
                <w:highlight w:val="none"/>
              </w:rPr>
            </w:pPr>
            <w:r>
              <w:rPr>
                <w:rFonts w:hint="eastAsia" w:cs="宋体"/>
                <w:color w:val="auto"/>
                <w:szCs w:val="21"/>
                <w:highlight w:val="none"/>
              </w:rPr>
              <w:t>1、项目技术要求响应情况（15分）</w:t>
            </w:r>
          </w:p>
          <w:p w14:paraId="4F18F8F2">
            <w:pPr>
              <w:pageBreakBefore w:val="0"/>
              <w:numPr>
                <w:ilvl w:val="0"/>
                <w:numId w:val="0"/>
              </w:numPr>
              <w:tabs>
                <w:tab w:val="left" w:pos="4915"/>
              </w:tabs>
              <w:kinsoku/>
              <w:wordWrap/>
              <w:overflowPunct/>
              <w:topLinePunct w:val="0"/>
              <w:bidi w:val="0"/>
              <w:spacing w:line="360" w:lineRule="auto"/>
              <w:rPr>
                <w:rFonts w:hint="default" w:cs="宋体"/>
                <w:color w:val="auto"/>
                <w:szCs w:val="21"/>
                <w:highlight w:val="none"/>
                <w:lang w:val="en-US" w:eastAsia="zh-CN"/>
              </w:rPr>
            </w:pPr>
            <w:r>
              <w:rPr>
                <w:rFonts w:hint="eastAsia" w:cs="宋体"/>
                <w:color w:val="auto"/>
                <w:szCs w:val="21"/>
                <w:highlight w:val="none"/>
              </w:rPr>
              <w:t>响应文件对采购文件“第三部分采购需求”的响应情况：全部满足采购文件要求的得15分，非实质性要求的每负偏离一项扣</w:t>
            </w:r>
            <w:r>
              <w:rPr>
                <w:rFonts w:hint="eastAsia" w:cs="宋体"/>
                <w:color w:val="auto"/>
                <w:szCs w:val="21"/>
                <w:highlight w:val="none"/>
                <w:lang w:val="en-US" w:eastAsia="zh-CN"/>
              </w:rPr>
              <w:t>3</w:t>
            </w:r>
            <w:r>
              <w:rPr>
                <w:rFonts w:hint="eastAsia" w:cs="宋体"/>
                <w:color w:val="auto"/>
                <w:szCs w:val="21"/>
                <w:highlight w:val="none"/>
              </w:rPr>
              <w:t>分，负偏离</w:t>
            </w:r>
            <w:r>
              <w:rPr>
                <w:rFonts w:hint="eastAsia" w:cs="宋体"/>
                <w:color w:val="auto"/>
                <w:szCs w:val="21"/>
                <w:highlight w:val="none"/>
                <w:lang w:val="en-US" w:eastAsia="zh-CN"/>
              </w:rPr>
              <w:t>5</w:t>
            </w:r>
            <w:r>
              <w:rPr>
                <w:rFonts w:hint="eastAsia" w:cs="宋体"/>
                <w:color w:val="auto"/>
                <w:szCs w:val="21"/>
                <w:highlight w:val="none"/>
              </w:rPr>
              <w:t>项及以上的作无效投标处理。标▲条款的有任一负偏离的作无效响应文件处理。</w:t>
            </w:r>
          </w:p>
        </w:tc>
      </w:tr>
      <w:tr w14:paraId="63026A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25" w:hRule="atLeast"/>
        </w:trPr>
        <w:tc>
          <w:tcPr>
            <w:tcW w:w="748" w:type="dxa"/>
            <w:vMerge w:val="continue"/>
            <w:noWrap w:val="0"/>
            <w:vAlign w:val="center"/>
          </w:tcPr>
          <w:p w14:paraId="703394B4">
            <w:pPr>
              <w:pageBreakBefore w:val="0"/>
              <w:widowControl/>
              <w:kinsoku/>
              <w:wordWrap/>
              <w:overflowPunct/>
              <w:topLinePunct w:val="0"/>
              <w:bidi w:val="0"/>
              <w:spacing w:line="360" w:lineRule="auto"/>
              <w:jc w:val="left"/>
              <w:rPr>
                <w:color w:val="auto"/>
                <w:szCs w:val="21"/>
                <w:highlight w:val="none"/>
              </w:rPr>
            </w:pPr>
          </w:p>
        </w:tc>
        <w:tc>
          <w:tcPr>
            <w:tcW w:w="1195" w:type="dxa"/>
            <w:vMerge w:val="restart"/>
            <w:noWrap w:val="0"/>
            <w:vAlign w:val="center"/>
          </w:tcPr>
          <w:p w14:paraId="2308C3F2">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施工组织方案</w:t>
            </w:r>
          </w:p>
          <w:p w14:paraId="175F43A8">
            <w:pPr>
              <w:pageBreakBefore w:val="0"/>
              <w:kinsoku/>
              <w:wordWrap/>
              <w:overflowPunct/>
              <w:topLinePunct w:val="0"/>
              <w:bidi w:val="0"/>
              <w:spacing w:line="360" w:lineRule="auto"/>
              <w:jc w:val="center"/>
              <w:rPr>
                <w:color w:val="auto"/>
                <w:szCs w:val="21"/>
                <w:highlight w:val="none"/>
              </w:rPr>
            </w:pPr>
            <w:r>
              <w:rPr>
                <w:color w:val="auto"/>
                <w:szCs w:val="21"/>
                <w:highlight w:val="none"/>
              </w:rPr>
              <w:t>（</w:t>
            </w:r>
            <w:r>
              <w:rPr>
                <w:rFonts w:hint="eastAsia"/>
                <w:color w:val="auto"/>
                <w:szCs w:val="21"/>
                <w:highlight w:val="none"/>
              </w:rPr>
              <w:t>3</w:t>
            </w:r>
            <w:r>
              <w:rPr>
                <w:rFonts w:hint="eastAsia"/>
                <w:color w:val="auto"/>
                <w:szCs w:val="21"/>
                <w:highlight w:val="none"/>
                <w:lang w:val="en-US" w:eastAsia="zh-CN"/>
              </w:rPr>
              <w:t>0</w:t>
            </w:r>
            <w:r>
              <w:rPr>
                <w:color w:val="auto"/>
                <w:szCs w:val="21"/>
                <w:highlight w:val="none"/>
              </w:rPr>
              <w:t>分）</w:t>
            </w:r>
          </w:p>
        </w:tc>
        <w:tc>
          <w:tcPr>
            <w:tcW w:w="7442" w:type="dxa"/>
            <w:noWrap w:val="0"/>
            <w:vAlign w:val="center"/>
          </w:tcPr>
          <w:p w14:paraId="7771448D">
            <w:pPr>
              <w:pageBreakBefore w:val="0"/>
              <w:numPr>
                <w:ilvl w:val="0"/>
                <w:numId w:val="3"/>
              </w:numPr>
              <w:tabs>
                <w:tab w:val="left" w:pos="4915"/>
              </w:tabs>
              <w:kinsoku/>
              <w:wordWrap/>
              <w:overflowPunct/>
              <w:topLinePunct w:val="0"/>
              <w:bidi w:val="0"/>
              <w:spacing w:line="360" w:lineRule="auto"/>
              <w:rPr>
                <w:rFonts w:hint="eastAsia" w:cs="宋体"/>
                <w:color w:val="auto"/>
                <w:szCs w:val="21"/>
                <w:highlight w:val="none"/>
                <w:lang w:val="en-US" w:eastAsia="zh-CN"/>
              </w:rPr>
            </w:pPr>
            <w:r>
              <w:rPr>
                <w:rFonts w:hint="eastAsia" w:cs="宋体"/>
                <w:color w:val="auto"/>
                <w:szCs w:val="21"/>
                <w:highlight w:val="none"/>
                <w:lang w:val="en-US" w:eastAsia="zh-CN"/>
              </w:rPr>
              <w:t>项目背景调查（5分）</w:t>
            </w:r>
          </w:p>
          <w:p w14:paraId="3EC9FD9D">
            <w:pPr>
              <w:pageBreakBefore w:val="0"/>
              <w:numPr>
                <w:ilvl w:val="0"/>
                <w:numId w:val="0"/>
              </w:numPr>
              <w:tabs>
                <w:tab w:val="left" w:pos="4915"/>
              </w:tabs>
              <w:kinsoku/>
              <w:wordWrap/>
              <w:overflowPunct/>
              <w:topLinePunct w:val="0"/>
              <w:bidi w:val="0"/>
              <w:spacing w:line="360" w:lineRule="auto"/>
              <w:rPr>
                <w:rFonts w:hint="default" w:eastAsia="宋体" w:cs="宋体"/>
                <w:color w:val="auto"/>
                <w:szCs w:val="21"/>
                <w:highlight w:val="none"/>
                <w:lang w:val="en-US" w:eastAsia="zh-CN"/>
              </w:rPr>
            </w:pPr>
            <w:r>
              <w:rPr>
                <w:rFonts w:hint="eastAsia" w:cs="宋体"/>
                <w:color w:val="auto"/>
                <w:szCs w:val="21"/>
                <w:highlight w:val="none"/>
              </w:rPr>
              <w:t>评委对</w:t>
            </w:r>
            <w:r>
              <w:rPr>
                <w:rFonts w:hint="eastAsia" w:cs="宋体"/>
                <w:color w:val="auto"/>
                <w:szCs w:val="21"/>
                <w:highlight w:val="none"/>
                <w:lang w:val="en-US" w:eastAsia="zh-CN"/>
              </w:rPr>
              <w:t>供应商根据目前项目情况所进行的调查和分析</w:t>
            </w:r>
            <w:r>
              <w:rPr>
                <w:rFonts w:hint="eastAsia" w:cs="宋体"/>
                <w:color w:val="auto"/>
                <w:szCs w:val="21"/>
                <w:highlight w:val="none"/>
              </w:rPr>
              <w:t>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调查充分、分析全面</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调查不够充分、分析不够全面</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698FB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00" w:hRule="atLeast"/>
        </w:trPr>
        <w:tc>
          <w:tcPr>
            <w:tcW w:w="748" w:type="dxa"/>
            <w:vMerge w:val="continue"/>
            <w:noWrap w:val="0"/>
            <w:vAlign w:val="center"/>
          </w:tcPr>
          <w:p w14:paraId="007B581F">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DECD9FD">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51EDFDF3">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3、</w:t>
            </w:r>
            <w:r>
              <w:rPr>
                <w:rFonts w:hint="eastAsia" w:cs="宋体"/>
                <w:color w:val="auto"/>
                <w:szCs w:val="21"/>
                <w:highlight w:val="none"/>
              </w:rPr>
              <w:t>施工组织方案</w:t>
            </w:r>
            <w:r>
              <w:rPr>
                <w:rFonts w:hint="eastAsia" w:cs="宋体"/>
                <w:color w:val="auto"/>
                <w:szCs w:val="21"/>
                <w:highlight w:val="none"/>
                <w:lang w:val="en-US" w:eastAsia="zh-CN"/>
              </w:rPr>
              <w:t>实施</w:t>
            </w:r>
            <w:r>
              <w:rPr>
                <w:rFonts w:hint="eastAsia" w:cs="宋体"/>
                <w:color w:val="auto"/>
                <w:szCs w:val="21"/>
                <w:highlight w:val="none"/>
              </w:rPr>
              <w:t>（5分）</w:t>
            </w:r>
          </w:p>
          <w:p w14:paraId="713EE9B5">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评委对整体施工组织方案进行综合评议并打分：方案完全符合本项目需求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工程关键节点分析准确、把控得当</w:t>
            </w:r>
            <w:r>
              <w:rPr>
                <w:rFonts w:hint="eastAsia" w:cs="宋体"/>
                <w:color w:val="auto"/>
                <w:szCs w:val="21"/>
                <w:highlight w:val="none"/>
              </w:rPr>
              <w:t>的得5分</w:t>
            </w:r>
            <w:r>
              <w:rPr>
                <w:rFonts w:hint="eastAsia" w:cs="宋体"/>
                <w:color w:val="auto"/>
                <w:szCs w:val="21"/>
                <w:highlight w:val="none"/>
                <w:lang w:eastAsia="zh-CN"/>
              </w:rPr>
              <w:t>；</w:t>
            </w:r>
            <w:r>
              <w:rPr>
                <w:rFonts w:hint="eastAsia" w:cs="宋体"/>
                <w:color w:val="auto"/>
                <w:szCs w:val="21"/>
                <w:highlight w:val="none"/>
              </w:rPr>
              <w:t>方案能满足项目的</w:t>
            </w:r>
            <w:r>
              <w:rPr>
                <w:rFonts w:hint="eastAsia" w:cs="宋体"/>
                <w:color w:val="auto"/>
                <w:szCs w:val="21"/>
                <w:highlight w:val="none"/>
                <w:lang w:val="en-US" w:eastAsia="zh-CN"/>
              </w:rPr>
              <w:t>主体</w:t>
            </w:r>
            <w:r>
              <w:rPr>
                <w:rFonts w:hint="eastAsia" w:cs="宋体"/>
                <w:color w:val="auto"/>
                <w:szCs w:val="21"/>
                <w:highlight w:val="none"/>
              </w:rPr>
              <w:t>需求，</w:t>
            </w:r>
            <w:r>
              <w:rPr>
                <w:rFonts w:hint="eastAsia" w:cs="宋体"/>
                <w:color w:val="auto"/>
                <w:szCs w:val="21"/>
                <w:highlight w:val="none"/>
                <w:lang w:val="en-US" w:eastAsia="zh-CN"/>
              </w:rPr>
              <w:t>工程关键节点把控不够明确</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方案有明显缺漏项</w:t>
            </w:r>
            <w:r>
              <w:rPr>
                <w:rFonts w:hint="eastAsia" w:cs="宋体"/>
                <w:color w:val="auto"/>
                <w:szCs w:val="21"/>
                <w:highlight w:val="none"/>
                <w:lang w:val="en-US" w:eastAsia="zh-CN"/>
              </w:rPr>
              <w:t>或没有针对性</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6D8736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98" w:hRule="atLeast"/>
        </w:trPr>
        <w:tc>
          <w:tcPr>
            <w:tcW w:w="748" w:type="dxa"/>
            <w:vMerge w:val="continue"/>
            <w:noWrap w:val="0"/>
            <w:vAlign w:val="center"/>
          </w:tcPr>
          <w:p w14:paraId="5A7E1B86">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7E06B07B">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566E310A">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4、</w:t>
            </w:r>
            <w:r>
              <w:rPr>
                <w:rFonts w:hint="eastAsia" w:cs="宋体"/>
                <w:color w:val="auto"/>
                <w:szCs w:val="21"/>
                <w:highlight w:val="none"/>
              </w:rPr>
              <w:t>工程质量保证措施（5分）</w:t>
            </w:r>
          </w:p>
          <w:p w14:paraId="4EADECE0">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评委对工程质量保证措施进行综合评议并打分：</w:t>
            </w:r>
            <w:r>
              <w:rPr>
                <w:rFonts w:hint="eastAsia" w:cs="宋体"/>
                <w:color w:val="auto"/>
                <w:szCs w:val="21"/>
                <w:highlight w:val="none"/>
                <w:lang w:val="en-US" w:eastAsia="zh-CN"/>
              </w:rPr>
              <w:t>各项保证</w:t>
            </w:r>
            <w:r>
              <w:rPr>
                <w:rFonts w:hint="eastAsia" w:cs="宋体"/>
                <w:color w:val="auto"/>
                <w:szCs w:val="21"/>
                <w:highlight w:val="none"/>
              </w:rPr>
              <w:t>措施有力</w:t>
            </w:r>
            <w:r>
              <w:rPr>
                <w:rFonts w:hint="eastAsia" w:cs="宋体"/>
                <w:color w:val="auto"/>
                <w:szCs w:val="21"/>
                <w:highlight w:val="none"/>
                <w:lang w:eastAsia="zh-CN"/>
              </w:rPr>
              <w:t>、</w:t>
            </w:r>
            <w:r>
              <w:rPr>
                <w:rFonts w:hint="eastAsia" w:cs="宋体"/>
                <w:color w:val="auto"/>
                <w:szCs w:val="21"/>
                <w:highlight w:val="none"/>
                <w:lang w:val="en-US" w:eastAsia="zh-CN"/>
              </w:rPr>
              <w:t>符合行业规范</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上有主体内容的缺项</w:t>
            </w:r>
            <w:r>
              <w:rPr>
                <w:rFonts w:hint="eastAsia" w:cs="宋体"/>
                <w:color w:val="auto"/>
                <w:szCs w:val="21"/>
                <w:highlight w:val="none"/>
              </w:rPr>
              <w:t>或缺少具体</w:t>
            </w:r>
            <w:r>
              <w:rPr>
                <w:rFonts w:hint="eastAsia" w:cs="宋体"/>
                <w:color w:val="auto"/>
                <w:szCs w:val="21"/>
                <w:highlight w:val="none"/>
                <w:lang w:val="en-US" w:eastAsia="zh-CN"/>
              </w:rPr>
              <w:t>有效的保证措施</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保证满足项目需求的得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D92E4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61" w:hRule="atLeast"/>
        </w:trPr>
        <w:tc>
          <w:tcPr>
            <w:tcW w:w="748" w:type="dxa"/>
            <w:vMerge w:val="continue"/>
            <w:noWrap w:val="0"/>
            <w:vAlign w:val="center"/>
          </w:tcPr>
          <w:p w14:paraId="224C60FC">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39AD099E">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2D3F2EA4">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5、</w:t>
            </w:r>
            <w:r>
              <w:rPr>
                <w:rFonts w:hint="eastAsia" w:cs="宋体"/>
                <w:color w:val="auto"/>
                <w:szCs w:val="21"/>
                <w:highlight w:val="none"/>
              </w:rPr>
              <w:t>施工进度管理与控制（5分）</w:t>
            </w:r>
          </w:p>
          <w:p w14:paraId="11967959">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评委对施工进度管理与控制进行综合评议并打分：</w:t>
            </w:r>
            <w:r>
              <w:rPr>
                <w:rFonts w:hint="eastAsia" w:cs="宋体"/>
                <w:color w:val="auto"/>
                <w:szCs w:val="21"/>
                <w:highlight w:val="none"/>
                <w:lang w:val="en-US" w:eastAsia="zh-CN"/>
              </w:rPr>
              <w:t>进度计划安排得当、各时间节点明确、项目工期有有效保障的得5分；进度安排尚能满足项目需求、部分时间节点不够明确或存在前松后紧的得3分；进度安排存在明显不合理之处、或时间节点混乱、难以保障项目工期的得1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p>
        </w:tc>
      </w:tr>
      <w:tr w14:paraId="47C58C9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748" w:type="dxa"/>
            <w:vMerge w:val="continue"/>
            <w:noWrap w:val="0"/>
            <w:vAlign w:val="center"/>
          </w:tcPr>
          <w:p w14:paraId="61C1501D">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5B0AACE0">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5DC3EAA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6、</w:t>
            </w:r>
            <w:r>
              <w:rPr>
                <w:rFonts w:hint="eastAsia" w:cs="宋体"/>
                <w:color w:val="auto"/>
                <w:szCs w:val="21"/>
                <w:highlight w:val="none"/>
              </w:rPr>
              <w:t>安全生产、文明施工措施（5分）</w:t>
            </w:r>
          </w:p>
          <w:p w14:paraId="34703105">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评委对安全生产、文明施工措施进行综合评议并打分：</w:t>
            </w:r>
            <w:r>
              <w:rPr>
                <w:rFonts w:hint="eastAsia" w:cs="宋体"/>
                <w:color w:val="auto"/>
                <w:szCs w:val="21"/>
                <w:highlight w:val="none"/>
                <w:lang w:val="en-US" w:eastAsia="zh-CN"/>
              </w:rPr>
              <w:t>对施工噪音、施工震动、施工扬尘等防治</w:t>
            </w:r>
            <w:r>
              <w:rPr>
                <w:rFonts w:hint="eastAsia" w:cs="宋体"/>
                <w:color w:val="auto"/>
                <w:szCs w:val="21"/>
                <w:highlight w:val="none"/>
              </w:rPr>
              <w:t>措施</w:t>
            </w:r>
            <w:r>
              <w:rPr>
                <w:rFonts w:hint="eastAsia" w:cs="宋体"/>
                <w:color w:val="auto"/>
                <w:szCs w:val="21"/>
                <w:highlight w:val="none"/>
                <w:lang w:val="en-US" w:eastAsia="zh-CN"/>
              </w:rPr>
              <w:t>具体有效</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措施上</w:t>
            </w:r>
            <w:r>
              <w:rPr>
                <w:rFonts w:hint="eastAsia" w:cs="宋体"/>
                <w:color w:val="auto"/>
                <w:szCs w:val="21"/>
                <w:highlight w:val="none"/>
                <w:lang w:val="en-US" w:eastAsia="zh-CN"/>
              </w:rPr>
              <w:t>存在细节</w:t>
            </w:r>
            <w:r>
              <w:rPr>
                <w:rFonts w:hint="eastAsia" w:cs="宋体"/>
                <w:color w:val="auto"/>
                <w:szCs w:val="21"/>
                <w:highlight w:val="none"/>
              </w:rPr>
              <w:t>部分欠缺，</w:t>
            </w:r>
            <w:r>
              <w:rPr>
                <w:rFonts w:hint="eastAsia" w:cs="宋体"/>
                <w:color w:val="auto"/>
                <w:szCs w:val="21"/>
                <w:highlight w:val="none"/>
                <w:lang w:val="en-US" w:eastAsia="zh-CN"/>
              </w:rPr>
              <w:t>尚不影响履约</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措施</w:t>
            </w:r>
            <w:r>
              <w:rPr>
                <w:rFonts w:hint="eastAsia" w:cs="宋体"/>
                <w:color w:val="auto"/>
                <w:szCs w:val="21"/>
                <w:highlight w:val="none"/>
                <w:lang w:val="en-US" w:eastAsia="zh-CN"/>
              </w:rPr>
              <w:t>有缺项</w:t>
            </w:r>
            <w:r>
              <w:rPr>
                <w:rFonts w:hint="eastAsia" w:cs="宋体"/>
                <w:color w:val="auto"/>
                <w:szCs w:val="21"/>
                <w:highlight w:val="none"/>
              </w:rPr>
              <w:t>或缺少</w:t>
            </w:r>
            <w:r>
              <w:rPr>
                <w:rFonts w:hint="eastAsia" w:cs="宋体"/>
                <w:color w:val="auto"/>
                <w:szCs w:val="21"/>
                <w:highlight w:val="none"/>
                <w:lang w:val="en-US" w:eastAsia="zh-CN"/>
              </w:rPr>
              <w:t>有效防治手段</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73F71B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748" w:type="dxa"/>
            <w:vMerge w:val="continue"/>
            <w:noWrap w:val="0"/>
            <w:vAlign w:val="center"/>
          </w:tcPr>
          <w:p w14:paraId="58C30950">
            <w:pPr>
              <w:pageBreakBefore w:val="0"/>
              <w:widowControl/>
              <w:kinsoku/>
              <w:wordWrap/>
              <w:overflowPunct/>
              <w:topLinePunct w:val="0"/>
              <w:bidi w:val="0"/>
              <w:spacing w:line="360" w:lineRule="auto"/>
              <w:jc w:val="left"/>
              <w:rPr>
                <w:color w:val="auto"/>
                <w:szCs w:val="21"/>
                <w:highlight w:val="none"/>
              </w:rPr>
            </w:pPr>
          </w:p>
        </w:tc>
        <w:tc>
          <w:tcPr>
            <w:tcW w:w="1195" w:type="dxa"/>
            <w:vMerge w:val="continue"/>
            <w:noWrap w:val="0"/>
            <w:vAlign w:val="center"/>
          </w:tcPr>
          <w:p w14:paraId="686FCB52">
            <w:pPr>
              <w:pageBreakBefore w:val="0"/>
              <w:widowControl/>
              <w:kinsoku/>
              <w:wordWrap/>
              <w:overflowPunct/>
              <w:topLinePunct w:val="0"/>
              <w:bidi w:val="0"/>
              <w:spacing w:line="360" w:lineRule="auto"/>
              <w:jc w:val="left"/>
              <w:rPr>
                <w:color w:val="auto"/>
                <w:szCs w:val="21"/>
                <w:highlight w:val="none"/>
              </w:rPr>
            </w:pPr>
          </w:p>
        </w:tc>
        <w:tc>
          <w:tcPr>
            <w:tcW w:w="7442" w:type="dxa"/>
            <w:noWrap w:val="0"/>
            <w:vAlign w:val="center"/>
          </w:tcPr>
          <w:p w14:paraId="66D2B900">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7、</w:t>
            </w:r>
            <w:r>
              <w:rPr>
                <w:rFonts w:hint="eastAsia" w:cs="宋体"/>
                <w:color w:val="auto"/>
                <w:szCs w:val="21"/>
                <w:highlight w:val="none"/>
              </w:rPr>
              <w:t>环保管理体系和措施（5分）</w:t>
            </w:r>
          </w:p>
          <w:p w14:paraId="5269125B">
            <w:pPr>
              <w:pageBreakBefore w:val="0"/>
              <w:tabs>
                <w:tab w:val="left" w:pos="4915"/>
              </w:tabs>
              <w:kinsoku/>
              <w:wordWrap/>
              <w:overflowPunct/>
              <w:topLinePunct w:val="0"/>
              <w:bidi w:val="0"/>
              <w:spacing w:line="360" w:lineRule="auto"/>
              <w:rPr>
                <w:rFonts w:hint="eastAsia" w:ascii="Times New Roman" w:hAnsi="Times New Roman" w:eastAsia="宋体" w:cs="宋体"/>
                <w:color w:val="auto"/>
                <w:kern w:val="2"/>
                <w:sz w:val="21"/>
                <w:szCs w:val="21"/>
                <w:highlight w:val="none"/>
                <w:lang w:val="en-US" w:eastAsia="zh-CN" w:bidi="ar-SA"/>
              </w:rPr>
            </w:pPr>
            <w:r>
              <w:rPr>
                <w:rFonts w:hint="eastAsia" w:cs="宋体"/>
                <w:color w:val="auto"/>
                <w:szCs w:val="21"/>
                <w:highlight w:val="none"/>
              </w:rPr>
              <w:t>评委对环保管理体系和措施进行综合评议并打分：</w:t>
            </w:r>
            <w:r>
              <w:rPr>
                <w:rFonts w:hint="eastAsia" w:cs="宋体"/>
                <w:color w:val="auto"/>
                <w:szCs w:val="21"/>
                <w:highlight w:val="none"/>
                <w:lang w:val="en-US" w:eastAsia="zh-CN"/>
              </w:rPr>
              <w:t>环保管理体系健全有效</w:t>
            </w:r>
            <w:r>
              <w:rPr>
                <w:rFonts w:hint="eastAsia" w:cs="宋体"/>
                <w:color w:val="auto"/>
                <w:szCs w:val="21"/>
                <w:highlight w:val="none"/>
              </w:rPr>
              <w:t>、措施</w:t>
            </w:r>
            <w:r>
              <w:rPr>
                <w:rFonts w:hint="eastAsia" w:cs="宋体"/>
                <w:color w:val="auto"/>
                <w:szCs w:val="21"/>
                <w:highlight w:val="none"/>
                <w:lang w:val="en-US" w:eastAsia="zh-CN"/>
              </w:rPr>
              <w:t>具体细致</w:t>
            </w:r>
            <w:r>
              <w:rPr>
                <w:rFonts w:hint="eastAsia" w:cs="宋体"/>
                <w:color w:val="auto"/>
                <w:szCs w:val="21"/>
                <w:highlight w:val="none"/>
              </w:rPr>
              <w:t>、符合本项目需求的得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措施上有部分欠缺，</w:t>
            </w:r>
            <w:r>
              <w:rPr>
                <w:rFonts w:hint="eastAsia" w:cs="宋体"/>
                <w:color w:val="auto"/>
                <w:szCs w:val="21"/>
                <w:highlight w:val="none"/>
                <w:lang w:val="en-US" w:eastAsia="zh-CN"/>
              </w:rPr>
              <w:t>但尚不影响实施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体系及</w:t>
            </w:r>
            <w:r>
              <w:rPr>
                <w:rFonts w:hint="eastAsia" w:cs="宋体"/>
                <w:color w:val="auto"/>
                <w:szCs w:val="21"/>
                <w:highlight w:val="none"/>
              </w:rPr>
              <w:t>措施</w:t>
            </w:r>
            <w:r>
              <w:rPr>
                <w:rFonts w:hint="eastAsia" w:cs="宋体"/>
                <w:color w:val="auto"/>
                <w:szCs w:val="21"/>
                <w:highlight w:val="none"/>
                <w:lang w:val="en-US" w:eastAsia="zh-CN"/>
              </w:rPr>
              <w:t>有明显缺漏项</w:t>
            </w:r>
            <w:r>
              <w:rPr>
                <w:rFonts w:hint="eastAsia" w:cs="宋体"/>
                <w:color w:val="auto"/>
                <w:szCs w:val="21"/>
                <w:highlight w:val="none"/>
              </w:rPr>
              <w:t>，</w:t>
            </w:r>
            <w:r>
              <w:rPr>
                <w:rFonts w:hint="eastAsia" w:cs="宋体"/>
                <w:color w:val="auto"/>
                <w:szCs w:val="21"/>
                <w:highlight w:val="none"/>
                <w:lang w:val="en-US" w:eastAsia="zh-CN"/>
              </w:rPr>
              <w:t>或过于笼统</w:t>
            </w:r>
            <w:r>
              <w:rPr>
                <w:rFonts w:hint="eastAsia" w:cs="宋体"/>
                <w:color w:val="auto"/>
                <w:szCs w:val="21"/>
                <w:highlight w:val="none"/>
              </w:rPr>
              <w:t>无法保证项目</w:t>
            </w:r>
            <w:r>
              <w:rPr>
                <w:rFonts w:hint="eastAsia" w:cs="宋体"/>
                <w:color w:val="auto"/>
                <w:szCs w:val="21"/>
                <w:highlight w:val="none"/>
                <w:lang w:val="en-US" w:eastAsia="zh-CN"/>
              </w:rPr>
              <w:t>实施</w:t>
            </w:r>
            <w:r>
              <w:rPr>
                <w:rFonts w:hint="eastAsia" w:cs="宋体"/>
                <w:color w:val="auto"/>
                <w:szCs w:val="21"/>
                <w:highlight w:val="none"/>
              </w:rPr>
              <w:t>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EA1C4B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28" w:hRule="atLeast"/>
        </w:trPr>
        <w:tc>
          <w:tcPr>
            <w:tcW w:w="748" w:type="dxa"/>
            <w:vMerge w:val="continue"/>
            <w:noWrap w:val="0"/>
            <w:vAlign w:val="center"/>
          </w:tcPr>
          <w:p w14:paraId="51AEAFE1">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FE98846">
            <w:pPr>
              <w:pageBreakBefore w:val="0"/>
              <w:kinsoku/>
              <w:wordWrap/>
              <w:overflowPunct/>
              <w:topLinePunct w:val="0"/>
              <w:bidi w:val="0"/>
              <w:spacing w:line="360" w:lineRule="auto"/>
              <w:jc w:val="center"/>
              <w:rPr>
                <w:rFonts w:hint="eastAsia"/>
                <w:color w:val="auto"/>
                <w:szCs w:val="21"/>
                <w:highlight w:val="none"/>
              </w:rPr>
            </w:pPr>
            <w:r>
              <w:rPr>
                <w:rFonts w:hint="eastAsia"/>
                <w:color w:val="auto"/>
                <w:szCs w:val="21"/>
                <w:highlight w:val="none"/>
              </w:rPr>
              <w:t>项目团队（</w:t>
            </w:r>
            <w:r>
              <w:rPr>
                <w:rFonts w:hint="eastAsia"/>
                <w:color w:val="auto"/>
                <w:szCs w:val="21"/>
                <w:highlight w:val="none"/>
                <w:lang w:val="en-US" w:eastAsia="zh-CN"/>
              </w:rPr>
              <w:t>5</w:t>
            </w:r>
            <w:r>
              <w:rPr>
                <w:rFonts w:hint="eastAsia"/>
                <w:color w:val="auto"/>
                <w:szCs w:val="21"/>
                <w:highlight w:val="none"/>
              </w:rPr>
              <w:t>分）</w:t>
            </w:r>
          </w:p>
        </w:tc>
        <w:tc>
          <w:tcPr>
            <w:tcW w:w="7442" w:type="dxa"/>
            <w:noWrap w:val="0"/>
            <w:vAlign w:val="center"/>
          </w:tcPr>
          <w:p w14:paraId="412B0CF4">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8、</w:t>
            </w:r>
            <w:r>
              <w:rPr>
                <w:rFonts w:hint="eastAsia" w:cs="宋体"/>
                <w:color w:val="auto"/>
                <w:szCs w:val="21"/>
                <w:highlight w:val="none"/>
              </w:rPr>
              <w:t>其他施工人员配备（</w:t>
            </w:r>
            <w:r>
              <w:rPr>
                <w:rFonts w:hint="eastAsia" w:cs="宋体"/>
                <w:color w:val="auto"/>
                <w:szCs w:val="21"/>
                <w:highlight w:val="none"/>
                <w:lang w:val="en-US" w:eastAsia="zh-CN"/>
              </w:rPr>
              <w:t>5</w:t>
            </w:r>
            <w:r>
              <w:rPr>
                <w:rFonts w:hint="eastAsia" w:cs="宋体"/>
                <w:color w:val="auto"/>
                <w:szCs w:val="21"/>
                <w:highlight w:val="none"/>
              </w:rPr>
              <w:t>分）</w:t>
            </w:r>
          </w:p>
          <w:p w14:paraId="158B736E">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rPr>
              <w:t>评委对其他施工人员配备进行综合评议并打分：人员配置</w:t>
            </w:r>
            <w:r>
              <w:rPr>
                <w:rFonts w:hint="eastAsia" w:cs="宋体"/>
                <w:color w:val="auto"/>
                <w:szCs w:val="21"/>
                <w:highlight w:val="none"/>
                <w:lang w:val="en-US" w:eastAsia="zh-CN"/>
              </w:rPr>
              <w:t>满足</w:t>
            </w:r>
            <w:r>
              <w:rPr>
                <w:rFonts w:hint="eastAsia" w:cs="宋体"/>
                <w:color w:val="auto"/>
                <w:szCs w:val="21"/>
                <w:highlight w:val="none"/>
              </w:rPr>
              <w:t>项目需求、人员经过</w:t>
            </w:r>
            <w:r>
              <w:rPr>
                <w:rFonts w:hint="eastAsia" w:cs="宋体"/>
                <w:color w:val="auto"/>
                <w:szCs w:val="21"/>
                <w:highlight w:val="none"/>
                <w:lang w:val="en-US" w:eastAsia="zh-CN"/>
              </w:rPr>
              <w:t>规范</w:t>
            </w:r>
            <w:r>
              <w:rPr>
                <w:rFonts w:hint="eastAsia" w:cs="宋体"/>
                <w:color w:val="auto"/>
                <w:szCs w:val="21"/>
                <w:highlight w:val="none"/>
              </w:rPr>
              <w:t>的上岗前培训</w:t>
            </w:r>
            <w:r>
              <w:rPr>
                <w:rFonts w:hint="eastAsia" w:cs="宋体"/>
                <w:color w:val="auto"/>
                <w:szCs w:val="21"/>
                <w:highlight w:val="none"/>
                <w:lang w:val="en-US" w:eastAsia="zh-CN"/>
              </w:rPr>
              <w:t>并考试合格</w:t>
            </w:r>
            <w:r>
              <w:rPr>
                <w:rFonts w:hint="eastAsia" w:cs="宋体"/>
                <w:color w:val="auto"/>
                <w:szCs w:val="21"/>
                <w:highlight w:val="none"/>
              </w:rPr>
              <w:t>的得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人员配置满足项目需求的、上岗培训不足的得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rPr>
              <w:t>人员配置</w:t>
            </w:r>
            <w:r>
              <w:rPr>
                <w:rFonts w:hint="eastAsia" w:cs="宋体"/>
                <w:color w:val="auto"/>
                <w:szCs w:val="21"/>
                <w:highlight w:val="none"/>
                <w:lang w:val="en-US" w:eastAsia="zh-CN"/>
              </w:rPr>
              <w:t>难以</w:t>
            </w:r>
            <w:r>
              <w:rPr>
                <w:rFonts w:hint="eastAsia" w:cs="宋体"/>
                <w:color w:val="auto"/>
                <w:szCs w:val="21"/>
                <w:highlight w:val="none"/>
              </w:rPr>
              <w:t>满足项目需求、或未经上岗前培训的得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1981499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84" w:hRule="atLeast"/>
        </w:trPr>
        <w:tc>
          <w:tcPr>
            <w:tcW w:w="748" w:type="dxa"/>
            <w:vMerge w:val="continue"/>
            <w:noWrap w:val="0"/>
            <w:vAlign w:val="center"/>
          </w:tcPr>
          <w:p w14:paraId="5D36559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A80306B">
            <w:pPr>
              <w:pageBreakBefore w:val="0"/>
              <w:kinsoku/>
              <w:wordWrap/>
              <w:overflowPunct/>
              <w:topLinePunct w:val="0"/>
              <w:bidi w:val="0"/>
              <w:spacing w:line="360" w:lineRule="auto"/>
              <w:rPr>
                <w:rFonts w:ascii="Calibri" w:hAnsi="Calibri" w:cs="Calibri"/>
                <w:color w:val="auto"/>
                <w:szCs w:val="21"/>
                <w:highlight w:val="none"/>
              </w:rPr>
            </w:pPr>
            <w:r>
              <w:rPr>
                <w:rFonts w:hint="eastAsia" w:ascii="Calibri" w:hAnsi="Calibri" w:cs="Calibri"/>
                <w:color w:val="auto"/>
                <w:szCs w:val="21"/>
                <w:highlight w:val="none"/>
              </w:rPr>
              <w:t>售后服务方案（</w:t>
            </w:r>
            <w:r>
              <w:rPr>
                <w:rFonts w:hint="eastAsia" w:ascii="Calibri" w:hAnsi="Calibri" w:cs="Calibri"/>
                <w:color w:val="auto"/>
                <w:szCs w:val="21"/>
                <w:highlight w:val="none"/>
                <w:lang w:val="en-US" w:eastAsia="zh-CN"/>
              </w:rPr>
              <w:t>5</w:t>
            </w:r>
            <w:r>
              <w:rPr>
                <w:rFonts w:hint="eastAsia" w:ascii="Calibri" w:hAnsi="Calibri" w:cs="Calibri"/>
                <w:color w:val="auto"/>
                <w:szCs w:val="21"/>
                <w:highlight w:val="none"/>
              </w:rPr>
              <w:t>分）</w:t>
            </w:r>
          </w:p>
        </w:tc>
        <w:tc>
          <w:tcPr>
            <w:tcW w:w="7442" w:type="dxa"/>
            <w:noWrap w:val="0"/>
            <w:vAlign w:val="center"/>
          </w:tcPr>
          <w:p w14:paraId="136FC741">
            <w:pPr>
              <w:pageBreakBefore w:val="0"/>
              <w:tabs>
                <w:tab w:val="left" w:pos="4915"/>
              </w:tabs>
              <w:kinsoku/>
              <w:wordWrap/>
              <w:overflowPunct/>
              <w:topLinePunct w:val="0"/>
              <w:bidi w:val="0"/>
              <w:spacing w:line="360" w:lineRule="auto"/>
              <w:rPr>
                <w:rFonts w:hint="eastAsia" w:cs="宋体"/>
                <w:color w:val="auto"/>
                <w:szCs w:val="21"/>
                <w:highlight w:val="none"/>
              </w:rPr>
            </w:pPr>
            <w:r>
              <w:rPr>
                <w:rFonts w:hint="eastAsia" w:cs="Calibri"/>
                <w:color w:val="auto"/>
                <w:szCs w:val="21"/>
                <w:highlight w:val="none"/>
                <w:lang w:val="en-US" w:eastAsia="zh-CN"/>
              </w:rPr>
              <w:t>9</w:t>
            </w:r>
            <w:r>
              <w:rPr>
                <w:rFonts w:hint="eastAsia" w:ascii="Calibri" w:hAnsi="Calibri" w:cs="Calibri"/>
                <w:color w:val="auto"/>
                <w:szCs w:val="21"/>
                <w:highlight w:val="none"/>
                <w:lang w:val="en-US" w:eastAsia="zh-CN"/>
              </w:rPr>
              <w:t>、</w:t>
            </w:r>
            <w:r>
              <w:rPr>
                <w:rFonts w:hint="eastAsia" w:ascii="Calibri" w:hAnsi="Calibri" w:cs="Calibri"/>
                <w:color w:val="auto"/>
                <w:szCs w:val="21"/>
                <w:highlight w:val="none"/>
              </w:rPr>
              <w:t>售后服务方案</w:t>
            </w:r>
            <w:r>
              <w:rPr>
                <w:rFonts w:hint="eastAsia" w:cs="宋体"/>
                <w:color w:val="auto"/>
                <w:szCs w:val="21"/>
                <w:highlight w:val="none"/>
              </w:rPr>
              <w:t>（</w:t>
            </w:r>
            <w:r>
              <w:rPr>
                <w:rFonts w:hint="eastAsia" w:cs="宋体"/>
                <w:color w:val="auto"/>
                <w:szCs w:val="21"/>
                <w:highlight w:val="none"/>
                <w:lang w:val="en-US" w:eastAsia="zh-CN"/>
              </w:rPr>
              <w:t>5</w:t>
            </w:r>
            <w:r>
              <w:rPr>
                <w:rFonts w:hint="eastAsia" w:cs="宋体"/>
                <w:color w:val="auto"/>
                <w:szCs w:val="21"/>
                <w:highlight w:val="none"/>
              </w:rPr>
              <w:t>分）</w:t>
            </w:r>
          </w:p>
          <w:p w14:paraId="34F9D831">
            <w:pPr>
              <w:pageBreakBefore w:val="0"/>
              <w:kinsoku/>
              <w:wordWrap/>
              <w:overflowPunct/>
              <w:topLinePunct w:val="0"/>
              <w:bidi w:val="0"/>
              <w:spacing w:line="360" w:lineRule="auto"/>
              <w:rPr>
                <w:rFonts w:hint="eastAsia" w:cs="宋体"/>
                <w:color w:val="auto"/>
                <w:szCs w:val="21"/>
                <w:highlight w:val="none"/>
              </w:rPr>
            </w:pPr>
            <w:r>
              <w:rPr>
                <w:rFonts w:hint="eastAsia" w:cs="宋体"/>
                <w:color w:val="auto"/>
                <w:szCs w:val="21"/>
                <w:highlight w:val="none"/>
                <w:lang w:val="en-US" w:eastAsia="zh-CN"/>
              </w:rPr>
              <w:t>评委对</w:t>
            </w:r>
            <w:r>
              <w:rPr>
                <w:rFonts w:hint="eastAsia" w:cs="宋体"/>
                <w:color w:val="auto"/>
                <w:szCs w:val="21"/>
                <w:highlight w:val="none"/>
              </w:rPr>
              <w:t>售后服务</w:t>
            </w:r>
            <w:r>
              <w:rPr>
                <w:rFonts w:hint="eastAsia" w:cs="宋体"/>
                <w:color w:val="auto"/>
                <w:szCs w:val="21"/>
                <w:highlight w:val="none"/>
                <w:lang w:val="en-US" w:eastAsia="zh-CN"/>
              </w:rPr>
              <w:t>方案进行综合评议并打分</w:t>
            </w:r>
            <w:r>
              <w:rPr>
                <w:rFonts w:hint="eastAsia" w:cs="宋体"/>
                <w:color w:val="auto"/>
                <w:szCs w:val="21"/>
                <w:highlight w:val="none"/>
              </w:rPr>
              <w:t>：</w:t>
            </w:r>
            <w:r>
              <w:rPr>
                <w:rFonts w:hint="eastAsia" w:cs="宋体"/>
                <w:color w:val="auto"/>
                <w:szCs w:val="21"/>
                <w:highlight w:val="none"/>
                <w:lang w:val="en-US" w:eastAsia="zh-CN"/>
              </w:rPr>
              <w:t>服务</w:t>
            </w:r>
            <w:r>
              <w:rPr>
                <w:rFonts w:hint="eastAsia" w:cs="宋体"/>
                <w:color w:val="auto"/>
                <w:szCs w:val="21"/>
                <w:highlight w:val="none"/>
              </w:rPr>
              <w:t>保障</w:t>
            </w:r>
            <w:r>
              <w:rPr>
                <w:rFonts w:hint="eastAsia" w:cs="宋体"/>
                <w:color w:val="auto"/>
                <w:szCs w:val="21"/>
                <w:highlight w:val="none"/>
                <w:lang w:val="en-US" w:eastAsia="zh-CN"/>
              </w:rPr>
              <w:t>体系完备、方</w:t>
            </w:r>
            <w:r>
              <w:rPr>
                <w:rFonts w:hint="eastAsia" w:cs="宋体"/>
                <w:color w:val="auto"/>
                <w:szCs w:val="21"/>
                <w:highlight w:val="none"/>
              </w:rPr>
              <w:t>案内容完全符合本项目需求得</w:t>
            </w:r>
            <w:r>
              <w:rPr>
                <w:rFonts w:hint="eastAsia" w:cs="宋体"/>
                <w:color w:val="auto"/>
                <w:szCs w:val="21"/>
                <w:highlight w:val="none"/>
                <w:lang w:val="en-US" w:eastAsia="zh-CN"/>
              </w:rPr>
              <w:t>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有服务保障体系但部分</w:t>
            </w:r>
            <w:r>
              <w:rPr>
                <w:rFonts w:hint="eastAsia" w:cs="宋体"/>
                <w:color w:val="auto"/>
                <w:szCs w:val="21"/>
                <w:highlight w:val="none"/>
              </w:rPr>
              <w:t>内容有欠缺、但尚不影响履约得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val="en-US" w:eastAsia="zh-CN"/>
              </w:rPr>
              <w:t>没有服务保障体系或方案</w:t>
            </w:r>
            <w:r>
              <w:rPr>
                <w:rFonts w:hint="eastAsia" w:cs="宋体"/>
                <w:color w:val="auto"/>
                <w:szCs w:val="21"/>
                <w:highlight w:val="none"/>
              </w:rPr>
              <w:t>内容</w:t>
            </w:r>
            <w:r>
              <w:rPr>
                <w:rFonts w:hint="eastAsia" w:cs="宋体"/>
                <w:color w:val="auto"/>
                <w:szCs w:val="21"/>
                <w:highlight w:val="none"/>
                <w:lang w:val="en-US" w:eastAsia="zh-CN"/>
              </w:rPr>
              <w:t>存在明显缺漏项</w:t>
            </w:r>
            <w:r>
              <w:rPr>
                <w:rFonts w:hint="eastAsia" w:cs="宋体"/>
                <w:color w:val="auto"/>
                <w:szCs w:val="21"/>
                <w:highlight w:val="none"/>
              </w:rPr>
              <w:t>、不</w:t>
            </w:r>
            <w:r>
              <w:rPr>
                <w:rFonts w:hint="eastAsia" w:cs="宋体"/>
                <w:color w:val="auto"/>
                <w:szCs w:val="21"/>
                <w:highlight w:val="none"/>
                <w:lang w:val="en-US" w:eastAsia="zh-CN"/>
              </w:rPr>
              <w:t>符合规范的</w:t>
            </w:r>
            <w:r>
              <w:rPr>
                <w:rFonts w:hint="eastAsia" w:cs="宋体"/>
                <w:color w:val="auto"/>
                <w:szCs w:val="21"/>
                <w:highlight w:val="none"/>
              </w:rPr>
              <w:t>得</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370B29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3" w:hRule="atLeast"/>
        </w:trPr>
        <w:tc>
          <w:tcPr>
            <w:tcW w:w="748" w:type="dxa"/>
            <w:vMerge w:val="continue"/>
            <w:noWrap w:val="0"/>
            <w:vAlign w:val="center"/>
          </w:tcPr>
          <w:p w14:paraId="42E98646">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1AEE457C">
            <w:pPr>
              <w:pageBreakBefore w:val="0"/>
              <w:tabs>
                <w:tab w:val="left" w:pos="4915"/>
              </w:tabs>
              <w:kinsoku/>
              <w:wordWrap/>
              <w:overflowPunct/>
              <w:topLinePunct w:val="0"/>
              <w:bidi w:val="0"/>
              <w:spacing w:line="360" w:lineRule="auto"/>
              <w:rPr>
                <w:rFonts w:hint="eastAsia" w:ascii="Calibri" w:hAnsi="Calibri" w:cs="Calibri"/>
                <w:color w:val="auto"/>
                <w:szCs w:val="21"/>
                <w:highlight w:val="none"/>
              </w:rPr>
            </w:pPr>
            <w:r>
              <w:rPr>
                <w:rFonts w:hint="eastAsia" w:ascii="Calibri" w:hAnsi="Calibri" w:cs="Calibri"/>
                <w:color w:val="auto"/>
                <w:szCs w:val="21"/>
                <w:highlight w:val="none"/>
              </w:rPr>
              <w:t>突发性事件应急预案</w:t>
            </w:r>
            <w:r>
              <w:rPr>
                <w:rFonts w:hint="eastAsia" w:ascii="Calibri" w:hAnsi="Calibri" w:cs="Calibri"/>
                <w:color w:val="auto"/>
                <w:szCs w:val="21"/>
                <w:highlight w:val="none"/>
                <w:lang w:eastAsia="zh-CN"/>
              </w:rPr>
              <w:t>（</w:t>
            </w:r>
            <w:r>
              <w:rPr>
                <w:rFonts w:hint="eastAsia" w:ascii="Calibri" w:hAnsi="Calibri" w:cs="Calibri"/>
                <w:color w:val="auto"/>
                <w:szCs w:val="21"/>
                <w:highlight w:val="none"/>
                <w:lang w:val="en-US" w:eastAsia="zh-CN"/>
              </w:rPr>
              <w:t>5分</w:t>
            </w:r>
            <w:r>
              <w:rPr>
                <w:rFonts w:hint="eastAsia" w:ascii="Calibri" w:hAnsi="Calibri" w:cs="Calibri"/>
                <w:color w:val="auto"/>
                <w:szCs w:val="21"/>
                <w:highlight w:val="none"/>
                <w:lang w:eastAsia="zh-CN"/>
              </w:rPr>
              <w:t>）</w:t>
            </w:r>
          </w:p>
        </w:tc>
        <w:tc>
          <w:tcPr>
            <w:tcW w:w="7442" w:type="dxa"/>
            <w:noWrap w:val="0"/>
            <w:vAlign w:val="center"/>
          </w:tcPr>
          <w:p w14:paraId="039CE32A">
            <w:pPr>
              <w:pageBreakBefore w:val="0"/>
              <w:kinsoku/>
              <w:wordWrap/>
              <w:overflowPunct/>
              <w:topLinePunct w:val="0"/>
              <w:bidi w:val="0"/>
              <w:spacing w:line="360" w:lineRule="auto"/>
              <w:rPr>
                <w:color w:val="auto"/>
                <w:szCs w:val="21"/>
                <w:highlight w:val="none"/>
              </w:rPr>
            </w:pPr>
            <w:r>
              <w:rPr>
                <w:rFonts w:hint="eastAsia" w:cs="宋体"/>
                <w:color w:val="auto"/>
                <w:szCs w:val="21"/>
                <w:highlight w:val="none"/>
                <w:lang w:val="en-US" w:eastAsia="zh-CN"/>
              </w:rPr>
              <w:t>10、</w:t>
            </w:r>
            <w:r>
              <w:rPr>
                <w:rFonts w:hint="eastAsia" w:cs="宋体"/>
                <w:color w:val="auto"/>
                <w:szCs w:val="21"/>
                <w:highlight w:val="none"/>
              </w:rPr>
              <w:t>评委对突发性事件应急预案进行综合评议并打分</w:t>
            </w:r>
            <w:r>
              <w:rPr>
                <w:rFonts w:hint="eastAsia" w:cs="宋体"/>
                <w:color w:val="auto"/>
                <w:szCs w:val="21"/>
                <w:highlight w:val="none"/>
                <w:lang w:eastAsia="zh-CN"/>
              </w:rPr>
              <w:t>：</w:t>
            </w:r>
            <w:r>
              <w:rPr>
                <w:rFonts w:hint="eastAsia" w:cs="宋体"/>
                <w:color w:val="auto"/>
                <w:szCs w:val="21"/>
                <w:highlight w:val="none"/>
              </w:rPr>
              <w:t>应急预案内容完全符合本项目需求</w:t>
            </w:r>
            <w:r>
              <w:rPr>
                <w:rFonts w:hint="eastAsia" w:cs="宋体"/>
                <w:color w:val="auto"/>
                <w:szCs w:val="21"/>
                <w:highlight w:val="none"/>
                <w:lang w:eastAsia="zh-CN"/>
              </w:rPr>
              <w:t>、</w:t>
            </w:r>
            <w:r>
              <w:rPr>
                <w:rFonts w:hint="eastAsia" w:cs="宋体"/>
                <w:color w:val="auto"/>
                <w:szCs w:val="21"/>
                <w:highlight w:val="none"/>
                <w:lang w:val="en-US" w:eastAsia="zh-CN"/>
              </w:rPr>
              <w:t>应急</w:t>
            </w:r>
            <w:r>
              <w:rPr>
                <w:rFonts w:hint="eastAsia" w:cs="宋体"/>
                <w:color w:val="auto"/>
                <w:szCs w:val="21"/>
                <w:highlight w:val="none"/>
              </w:rPr>
              <w:t>保障</w:t>
            </w:r>
            <w:r>
              <w:rPr>
                <w:rFonts w:hint="eastAsia" w:cs="宋体"/>
                <w:color w:val="auto"/>
                <w:szCs w:val="21"/>
                <w:highlight w:val="none"/>
                <w:lang w:val="en-US" w:eastAsia="zh-CN"/>
              </w:rPr>
              <w:t>体系完备得5</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w:t>
            </w:r>
            <w:r>
              <w:rPr>
                <w:rFonts w:hint="eastAsia" w:cs="宋体"/>
                <w:color w:val="auto"/>
                <w:szCs w:val="21"/>
                <w:highlight w:val="none"/>
              </w:rPr>
              <w:t>有</w:t>
            </w:r>
            <w:r>
              <w:rPr>
                <w:rFonts w:hint="eastAsia" w:cs="宋体"/>
                <w:color w:val="auto"/>
                <w:szCs w:val="21"/>
                <w:highlight w:val="none"/>
                <w:lang w:val="en-US" w:eastAsia="zh-CN"/>
              </w:rPr>
              <w:t>部分非主体内容的欠缺</w:t>
            </w:r>
            <w:r>
              <w:rPr>
                <w:rFonts w:hint="eastAsia" w:cs="宋体"/>
                <w:color w:val="auto"/>
                <w:szCs w:val="21"/>
                <w:highlight w:val="none"/>
              </w:rPr>
              <w:t>，</w:t>
            </w:r>
            <w:r>
              <w:rPr>
                <w:rFonts w:hint="eastAsia" w:cs="宋体"/>
                <w:color w:val="auto"/>
                <w:szCs w:val="21"/>
                <w:highlight w:val="none"/>
                <w:lang w:val="en-US" w:eastAsia="zh-CN"/>
              </w:rPr>
              <w:t>尚不影响实施</w:t>
            </w:r>
            <w:r>
              <w:rPr>
                <w:rFonts w:hint="eastAsia" w:cs="宋体"/>
                <w:color w:val="auto"/>
                <w:szCs w:val="21"/>
                <w:highlight w:val="none"/>
              </w:rPr>
              <w:t>的得</w:t>
            </w:r>
            <w:r>
              <w:rPr>
                <w:rFonts w:hint="eastAsia" w:cs="宋体"/>
                <w:color w:val="auto"/>
                <w:szCs w:val="21"/>
                <w:highlight w:val="none"/>
                <w:lang w:val="en-US" w:eastAsia="zh-CN"/>
              </w:rPr>
              <w:t>3</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预案不全</w:t>
            </w:r>
            <w:r>
              <w:rPr>
                <w:rFonts w:hint="eastAsia" w:cs="宋体"/>
                <w:color w:val="auto"/>
                <w:szCs w:val="21"/>
                <w:highlight w:val="none"/>
              </w:rPr>
              <w:t>或</w:t>
            </w:r>
            <w:r>
              <w:rPr>
                <w:rFonts w:hint="eastAsia" w:cs="宋体"/>
                <w:color w:val="auto"/>
                <w:szCs w:val="21"/>
                <w:highlight w:val="none"/>
                <w:lang w:val="en-US" w:eastAsia="zh-CN"/>
              </w:rPr>
              <w:t>过于笼统</w:t>
            </w:r>
            <w:r>
              <w:rPr>
                <w:rFonts w:hint="eastAsia" w:cs="宋体"/>
                <w:color w:val="auto"/>
                <w:szCs w:val="21"/>
                <w:highlight w:val="none"/>
              </w:rPr>
              <w:t>，</w:t>
            </w:r>
            <w:r>
              <w:rPr>
                <w:rFonts w:hint="eastAsia" w:cs="宋体"/>
                <w:color w:val="auto"/>
                <w:szCs w:val="21"/>
                <w:highlight w:val="none"/>
                <w:lang w:val="en-US" w:eastAsia="zh-CN"/>
              </w:rPr>
              <w:t>难以</w:t>
            </w:r>
            <w:r>
              <w:rPr>
                <w:rFonts w:hint="eastAsia" w:cs="宋体"/>
                <w:color w:val="auto"/>
                <w:szCs w:val="21"/>
                <w:highlight w:val="none"/>
              </w:rPr>
              <w:t>保证项目</w:t>
            </w:r>
            <w:r>
              <w:rPr>
                <w:rFonts w:hint="eastAsia" w:cs="宋体"/>
                <w:color w:val="auto"/>
                <w:szCs w:val="21"/>
                <w:highlight w:val="none"/>
                <w:lang w:val="en-US" w:eastAsia="zh-CN"/>
              </w:rPr>
              <w:t>实施</w:t>
            </w:r>
            <w:r>
              <w:rPr>
                <w:rFonts w:hint="eastAsia" w:cs="宋体"/>
                <w:color w:val="auto"/>
                <w:szCs w:val="21"/>
                <w:highlight w:val="none"/>
              </w:rPr>
              <w:t>的</w:t>
            </w:r>
            <w:r>
              <w:rPr>
                <w:rFonts w:hint="eastAsia" w:cs="宋体"/>
                <w:color w:val="auto"/>
                <w:szCs w:val="21"/>
                <w:highlight w:val="none"/>
                <w:lang w:val="en-US" w:eastAsia="zh-CN"/>
              </w:rPr>
              <w:t>1</w:t>
            </w:r>
            <w:r>
              <w:rPr>
                <w:rFonts w:hint="eastAsia" w:cs="宋体"/>
                <w:color w:val="auto"/>
                <w:szCs w:val="21"/>
                <w:highlight w:val="none"/>
              </w:rPr>
              <w:t>分</w:t>
            </w:r>
            <w:r>
              <w:rPr>
                <w:rFonts w:hint="eastAsia" w:cs="宋体"/>
                <w:color w:val="auto"/>
                <w:szCs w:val="21"/>
                <w:highlight w:val="none"/>
                <w:lang w:eastAsia="zh-CN"/>
              </w:rPr>
              <w:t>；</w:t>
            </w:r>
            <w:r>
              <w:rPr>
                <w:rFonts w:hint="eastAsia" w:cs="宋体"/>
                <w:color w:val="auto"/>
                <w:szCs w:val="21"/>
                <w:highlight w:val="none"/>
                <w:lang w:val="en-US" w:eastAsia="zh-CN"/>
              </w:rPr>
              <w:t>未提供的得0分</w:t>
            </w:r>
            <w:r>
              <w:rPr>
                <w:rFonts w:hint="eastAsia" w:cs="宋体"/>
                <w:color w:val="auto"/>
                <w:szCs w:val="21"/>
                <w:highlight w:val="none"/>
              </w:rPr>
              <w:t>。</w:t>
            </w:r>
          </w:p>
        </w:tc>
      </w:tr>
      <w:tr w14:paraId="033F2C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48" w:type="dxa"/>
            <w:vMerge w:val="continue"/>
            <w:noWrap w:val="0"/>
            <w:vAlign w:val="center"/>
          </w:tcPr>
          <w:p w14:paraId="5171CF5B">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22338118">
            <w:pPr>
              <w:pageBreakBefore w:val="0"/>
              <w:kinsoku/>
              <w:wordWrap/>
              <w:overflowPunct/>
              <w:topLinePunct w:val="0"/>
              <w:bidi w:val="0"/>
              <w:spacing w:line="360" w:lineRule="auto"/>
              <w:jc w:val="center"/>
              <w:rPr>
                <w:rFonts w:hint="eastAsia" w:cs="宋体"/>
                <w:color w:val="auto"/>
                <w:szCs w:val="21"/>
                <w:highlight w:val="none"/>
              </w:rPr>
            </w:pPr>
            <w:r>
              <w:rPr>
                <w:color w:val="auto"/>
                <w:szCs w:val="21"/>
                <w:highlight w:val="none"/>
              </w:rPr>
              <w:t>合理化建议（</w:t>
            </w:r>
            <w:r>
              <w:rPr>
                <w:rFonts w:hint="eastAsia"/>
                <w:color w:val="auto"/>
                <w:szCs w:val="21"/>
                <w:highlight w:val="none"/>
                <w:lang w:val="en-US" w:eastAsia="zh-CN"/>
              </w:rPr>
              <w:t>1</w:t>
            </w:r>
            <w:r>
              <w:rPr>
                <w:color w:val="auto"/>
                <w:szCs w:val="21"/>
                <w:highlight w:val="none"/>
              </w:rPr>
              <w:t>分）</w:t>
            </w:r>
          </w:p>
        </w:tc>
        <w:tc>
          <w:tcPr>
            <w:tcW w:w="7442" w:type="dxa"/>
            <w:noWrap w:val="0"/>
            <w:vAlign w:val="center"/>
          </w:tcPr>
          <w:p w14:paraId="10C6F58D">
            <w:pPr>
              <w:pageBreakBefore w:val="0"/>
              <w:kinsoku/>
              <w:wordWrap/>
              <w:overflowPunct/>
              <w:topLinePunct w:val="0"/>
              <w:bidi w:val="0"/>
              <w:spacing w:line="360" w:lineRule="auto"/>
              <w:rPr>
                <w:color w:val="auto"/>
                <w:szCs w:val="21"/>
                <w:highlight w:val="none"/>
              </w:rPr>
            </w:pPr>
            <w:r>
              <w:rPr>
                <w:rFonts w:hint="eastAsia"/>
                <w:color w:val="auto"/>
                <w:szCs w:val="21"/>
                <w:highlight w:val="none"/>
                <w:lang w:val="en-US" w:eastAsia="zh-CN"/>
              </w:rPr>
              <w:t>11、</w:t>
            </w:r>
            <w:r>
              <w:rPr>
                <w:color w:val="auto"/>
                <w:szCs w:val="21"/>
                <w:highlight w:val="none"/>
              </w:rPr>
              <w:t>根据</w:t>
            </w:r>
            <w:r>
              <w:rPr>
                <w:rFonts w:hint="eastAsia"/>
                <w:color w:val="auto"/>
                <w:szCs w:val="21"/>
                <w:highlight w:val="none"/>
              </w:rPr>
              <w:t>供应商</w:t>
            </w:r>
            <w:r>
              <w:rPr>
                <w:color w:val="auto"/>
                <w:szCs w:val="21"/>
                <w:highlight w:val="none"/>
              </w:rPr>
              <w:t>提出的针对本项目的合理化建议与承诺进行评议（</w:t>
            </w:r>
            <w:r>
              <w:rPr>
                <w:rFonts w:hint="eastAsia"/>
                <w:color w:val="auto"/>
                <w:szCs w:val="21"/>
                <w:highlight w:val="none"/>
                <w:lang w:val="en-US" w:eastAsia="zh-CN"/>
              </w:rPr>
              <w:t>1</w:t>
            </w:r>
            <w:r>
              <w:rPr>
                <w:color w:val="auto"/>
                <w:szCs w:val="21"/>
                <w:highlight w:val="none"/>
              </w:rPr>
              <w:t>分）</w:t>
            </w:r>
          </w:p>
          <w:p w14:paraId="65E1F073">
            <w:pPr>
              <w:pageBreakBefore w:val="0"/>
              <w:kinsoku/>
              <w:wordWrap/>
              <w:overflowPunct/>
              <w:topLinePunct w:val="0"/>
              <w:bidi w:val="0"/>
              <w:spacing w:line="360" w:lineRule="auto"/>
              <w:rPr>
                <w:rFonts w:hint="eastAsia" w:cs="宋体"/>
                <w:color w:val="auto"/>
                <w:szCs w:val="21"/>
                <w:highlight w:val="none"/>
              </w:rPr>
            </w:pPr>
            <w:r>
              <w:rPr>
                <w:color w:val="auto"/>
                <w:szCs w:val="21"/>
                <w:highlight w:val="none"/>
              </w:rPr>
              <w:t>提出的建议与承诺具有实际意义</w:t>
            </w:r>
            <w:r>
              <w:rPr>
                <w:rFonts w:hint="eastAsia"/>
                <w:color w:val="auto"/>
                <w:szCs w:val="21"/>
                <w:highlight w:val="none"/>
              </w:rPr>
              <w:t>并得到采纳</w:t>
            </w:r>
            <w:r>
              <w:rPr>
                <w:color w:val="auto"/>
                <w:szCs w:val="21"/>
                <w:highlight w:val="none"/>
              </w:rPr>
              <w:t>，每项得</w:t>
            </w:r>
            <w:r>
              <w:rPr>
                <w:rFonts w:hint="eastAsia"/>
                <w:color w:val="auto"/>
                <w:szCs w:val="21"/>
                <w:highlight w:val="none"/>
                <w:lang w:val="en-US" w:eastAsia="zh-CN"/>
              </w:rPr>
              <w:t>0.5分</w:t>
            </w:r>
            <w:r>
              <w:rPr>
                <w:color w:val="auto"/>
                <w:szCs w:val="21"/>
                <w:highlight w:val="none"/>
              </w:rPr>
              <w:t>，最高得</w:t>
            </w:r>
            <w:r>
              <w:rPr>
                <w:rFonts w:hint="eastAsia"/>
                <w:color w:val="auto"/>
                <w:szCs w:val="21"/>
                <w:highlight w:val="none"/>
                <w:lang w:val="en-US" w:eastAsia="zh-CN"/>
              </w:rPr>
              <w:t>1</w:t>
            </w:r>
            <w:r>
              <w:rPr>
                <w:color w:val="auto"/>
                <w:szCs w:val="21"/>
                <w:highlight w:val="none"/>
              </w:rPr>
              <w:t>分。与本项目</w:t>
            </w:r>
            <w:r>
              <w:rPr>
                <w:rFonts w:hint="eastAsia"/>
                <w:color w:val="auto"/>
                <w:szCs w:val="21"/>
                <w:highlight w:val="none"/>
                <w:lang w:val="en-US" w:eastAsia="zh-CN"/>
              </w:rPr>
              <w:t>履约</w:t>
            </w:r>
            <w:r>
              <w:rPr>
                <w:color w:val="auto"/>
                <w:szCs w:val="21"/>
                <w:highlight w:val="none"/>
              </w:rPr>
              <w:t>无关的建议</w:t>
            </w:r>
            <w:r>
              <w:rPr>
                <w:rFonts w:hint="eastAsia"/>
                <w:color w:val="auto"/>
                <w:szCs w:val="21"/>
                <w:highlight w:val="none"/>
                <w:lang w:val="en-US" w:eastAsia="zh-CN"/>
              </w:rPr>
              <w:t>与承诺</w:t>
            </w:r>
            <w:r>
              <w:rPr>
                <w:color w:val="auto"/>
                <w:szCs w:val="21"/>
                <w:highlight w:val="none"/>
              </w:rPr>
              <w:t>不予认可。</w:t>
            </w:r>
          </w:p>
        </w:tc>
      </w:tr>
      <w:tr w14:paraId="17DF6C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76" w:hRule="atLeast"/>
        </w:trPr>
        <w:tc>
          <w:tcPr>
            <w:tcW w:w="748" w:type="dxa"/>
            <w:vMerge w:val="continue"/>
            <w:noWrap w:val="0"/>
            <w:vAlign w:val="center"/>
          </w:tcPr>
          <w:p w14:paraId="5DBF3A61">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72242163">
            <w:pPr>
              <w:pageBreakBefore w:val="0"/>
              <w:kinsoku/>
              <w:wordWrap/>
              <w:overflowPunct/>
              <w:topLinePunct w:val="0"/>
              <w:bidi w:val="0"/>
              <w:spacing w:line="360" w:lineRule="auto"/>
              <w:rPr>
                <w:rFonts w:hint="eastAsia" w:eastAsia="宋体" w:cs="宋体"/>
                <w:color w:val="auto"/>
                <w:szCs w:val="21"/>
                <w:highlight w:val="none"/>
                <w:lang w:val="en-US" w:eastAsia="zh-CN"/>
              </w:rPr>
            </w:pPr>
            <w:r>
              <w:rPr>
                <w:rFonts w:hint="eastAsia" w:eastAsia="宋体" w:cs="宋体"/>
                <w:color w:val="auto"/>
                <w:szCs w:val="21"/>
                <w:highlight w:val="none"/>
                <w:lang w:val="en-US" w:eastAsia="zh-CN"/>
              </w:rPr>
              <w:t>业绩（3分）</w:t>
            </w:r>
          </w:p>
        </w:tc>
        <w:tc>
          <w:tcPr>
            <w:tcW w:w="7442" w:type="dxa"/>
            <w:noWrap w:val="0"/>
            <w:vAlign w:val="center"/>
          </w:tcPr>
          <w:p w14:paraId="66044EA3">
            <w:pPr>
              <w:pageBreakBefore w:val="0"/>
              <w:kinsoku/>
              <w:wordWrap/>
              <w:overflowPunct/>
              <w:topLinePunct w:val="0"/>
              <w:bidi w:val="0"/>
              <w:spacing w:line="360" w:lineRule="auto"/>
              <w:rPr>
                <w:rFonts w:hint="default" w:eastAsia="宋体" w:cs="宋体"/>
                <w:color w:val="auto"/>
                <w:szCs w:val="21"/>
                <w:highlight w:val="none"/>
                <w:lang w:val="en-US" w:eastAsia="zh-CN"/>
              </w:rPr>
            </w:pPr>
            <w:r>
              <w:rPr>
                <w:rFonts w:hint="eastAsia"/>
                <w:color w:val="auto"/>
                <w:szCs w:val="21"/>
                <w:highlight w:val="none"/>
                <w:lang w:val="en-US" w:eastAsia="zh-CN"/>
              </w:rPr>
              <w:t>12、</w:t>
            </w:r>
            <w:r>
              <w:rPr>
                <w:rFonts w:hint="eastAsia"/>
                <w:color w:val="auto"/>
                <w:szCs w:val="21"/>
                <w:highlight w:val="none"/>
              </w:rPr>
              <w:t>供应商自2021年1月1日以后承担过电力市政工程类项目的，每提供一个项目业绩合同得1分，最高得3分。（注：需同时提供中标（成交）通知（确认）书和施工合同复印件，未提供或提供不全均不得分。）</w:t>
            </w:r>
          </w:p>
        </w:tc>
      </w:tr>
      <w:tr w14:paraId="0BD4DE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48" w:type="dxa"/>
            <w:vMerge w:val="continue"/>
            <w:noWrap w:val="0"/>
            <w:vAlign w:val="center"/>
          </w:tcPr>
          <w:p w14:paraId="2A9B1CE1">
            <w:pPr>
              <w:pageBreakBefore w:val="0"/>
              <w:widowControl/>
              <w:kinsoku/>
              <w:wordWrap/>
              <w:overflowPunct/>
              <w:topLinePunct w:val="0"/>
              <w:bidi w:val="0"/>
              <w:spacing w:line="360" w:lineRule="auto"/>
              <w:jc w:val="left"/>
              <w:rPr>
                <w:color w:val="auto"/>
                <w:szCs w:val="21"/>
                <w:highlight w:val="none"/>
              </w:rPr>
            </w:pPr>
          </w:p>
        </w:tc>
        <w:tc>
          <w:tcPr>
            <w:tcW w:w="1195" w:type="dxa"/>
            <w:noWrap w:val="0"/>
            <w:vAlign w:val="center"/>
          </w:tcPr>
          <w:p w14:paraId="48BFC920">
            <w:pPr>
              <w:pageBreakBefore w:val="0"/>
              <w:kinsoku/>
              <w:wordWrap/>
              <w:overflowPunct/>
              <w:topLinePunct w:val="0"/>
              <w:bidi w:val="0"/>
              <w:spacing w:line="360" w:lineRule="auto"/>
              <w:jc w:val="center"/>
              <w:rPr>
                <w:color w:val="auto"/>
                <w:szCs w:val="21"/>
                <w:highlight w:val="none"/>
              </w:rPr>
            </w:pPr>
            <w:r>
              <w:rPr>
                <w:rFonts w:hint="eastAsia" w:hAnsi="宋体" w:cs="Calibri"/>
                <w:color w:val="auto"/>
                <w:szCs w:val="21"/>
                <w:highlight w:val="none"/>
              </w:rPr>
              <w:t>政策性加分（1分）</w:t>
            </w:r>
          </w:p>
        </w:tc>
        <w:tc>
          <w:tcPr>
            <w:tcW w:w="7442" w:type="dxa"/>
            <w:noWrap w:val="0"/>
            <w:vAlign w:val="center"/>
          </w:tcPr>
          <w:p w14:paraId="1021EB5B">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color w:val="auto"/>
                <w:szCs w:val="21"/>
                <w:highlight w:val="none"/>
                <w:lang w:val="en-US" w:eastAsia="zh-CN"/>
              </w:rPr>
              <w:t>13、</w:t>
            </w:r>
            <w:r>
              <w:rPr>
                <w:rFonts w:hint="eastAsia" w:ascii="Times New Roman" w:hAnsi="Times New Roman" w:eastAsia="宋体" w:cs="Times New Roman"/>
                <w:color w:val="auto"/>
                <w:szCs w:val="21"/>
                <w:highlight w:val="none"/>
              </w:rPr>
              <w:t>供应商是国家认定的少数民族地区企业的加</w:t>
            </w:r>
            <w:r>
              <w:rPr>
                <w:rFonts w:hint="eastAsia" w:ascii="Times New Roman" w:hAnsi="Times New Roman" w:eastAsia="宋体" w:cs="Times New Roman"/>
                <w:color w:val="auto"/>
                <w:szCs w:val="21"/>
                <w:highlight w:val="none"/>
                <w:lang w:val="en-US" w:eastAsia="zh-CN"/>
              </w:rPr>
              <w:t>1</w:t>
            </w:r>
            <w:r>
              <w:rPr>
                <w:rFonts w:hint="eastAsia" w:ascii="Times New Roman" w:hAnsi="Times New Roman" w:eastAsia="宋体" w:cs="Times New Roman"/>
                <w:color w:val="auto"/>
                <w:szCs w:val="21"/>
                <w:highlight w:val="none"/>
              </w:rPr>
              <w:t>分。</w:t>
            </w:r>
          </w:p>
          <w:p w14:paraId="443864CD">
            <w:pPr>
              <w:pageBreakBefore w:val="0"/>
              <w:kinsoku/>
              <w:wordWrap/>
              <w:overflowPunct/>
              <w:topLinePunct w:val="0"/>
              <w:bidi w:val="0"/>
              <w:spacing w:line="360" w:lineRule="auto"/>
              <w:rPr>
                <w:rFonts w:hint="eastAsia" w:eastAsia="宋体"/>
                <w:color w:val="auto"/>
                <w:szCs w:val="21"/>
                <w:highlight w:val="none"/>
                <w:lang w:eastAsia="zh-CN"/>
              </w:rPr>
            </w:pPr>
            <w:r>
              <w:rPr>
                <w:rFonts w:hint="eastAsia" w:ascii="Times New Roman" w:hAnsi="Times New Roman" w:eastAsia="宋体" w:cs="Times New Roman"/>
                <w:color w:val="auto"/>
                <w:szCs w:val="21"/>
                <w:highlight w:val="none"/>
              </w:rPr>
              <w:t>提供证明文件复印件并加盖公章。</w:t>
            </w:r>
          </w:p>
        </w:tc>
      </w:tr>
      <w:tr w14:paraId="05FE09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21" w:hRule="atLeast"/>
        </w:trPr>
        <w:tc>
          <w:tcPr>
            <w:tcW w:w="748" w:type="dxa"/>
            <w:noWrap w:val="0"/>
            <w:vAlign w:val="center"/>
          </w:tcPr>
          <w:p w14:paraId="48C033BD">
            <w:pPr>
              <w:pageBreakBefore w:val="0"/>
              <w:widowControl/>
              <w:kinsoku/>
              <w:wordWrap/>
              <w:overflowPunct/>
              <w:topLinePunct w:val="0"/>
              <w:bidi w:val="0"/>
              <w:spacing w:line="360" w:lineRule="auto"/>
              <w:jc w:val="left"/>
              <w:rPr>
                <w:color w:val="auto"/>
                <w:szCs w:val="21"/>
                <w:highlight w:val="none"/>
              </w:rPr>
            </w:pPr>
            <w:r>
              <w:rPr>
                <w:color w:val="auto"/>
                <w:szCs w:val="21"/>
                <w:highlight w:val="none"/>
              </w:rPr>
              <w:t>价格</w:t>
            </w:r>
            <w:r>
              <w:rPr>
                <w:rFonts w:hint="eastAsia"/>
                <w:color w:val="auto"/>
                <w:szCs w:val="21"/>
                <w:highlight w:val="none"/>
              </w:rPr>
              <w:t>部分</w:t>
            </w:r>
            <w:r>
              <w:rPr>
                <w:rFonts w:hint="eastAsia"/>
                <w:color w:val="auto"/>
                <w:szCs w:val="21"/>
                <w:highlight w:val="none"/>
                <w:lang w:val="en-US" w:eastAsia="zh-CN"/>
              </w:rPr>
              <w:t>35</w:t>
            </w:r>
            <w:r>
              <w:rPr>
                <w:color w:val="auto"/>
                <w:szCs w:val="21"/>
                <w:highlight w:val="none"/>
              </w:rPr>
              <w:t>分</w:t>
            </w:r>
          </w:p>
        </w:tc>
        <w:tc>
          <w:tcPr>
            <w:tcW w:w="1195" w:type="dxa"/>
            <w:noWrap w:val="0"/>
            <w:vAlign w:val="center"/>
          </w:tcPr>
          <w:p w14:paraId="5414C039">
            <w:pPr>
              <w:pageBreakBefore w:val="0"/>
              <w:kinsoku/>
              <w:wordWrap/>
              <w:overflowPunct/>
              <w:topLinePunct w:val="0"/>
              <w:bidi w:val="0"/>
              <w:spacing w:line="360" w:lineRule="auto"/>
              <w:jc w:val="center"/>
              <w:rPr>
                <w:color w:val="auto"/>
                <w:szCs w:val="21"/>
                <w:highlight w:val="none"/>
              </w:rPr>
            </w:pPr>
            <w:r>
              <w:rPr>
                <w:color w:val="auto"/>
                <w:szCs w:val="21"/>
                <w:highlight w:val="none"/>
              </w:rPr>
              <w:t>投标报价（</w:t>
            </w:r>
            <w:r>
              <w:rPr>
                <w:rFonts w:hint="eastAsia"/>
                <w:color w:val="auto"/>
                <w:szCs w:val="21"/>
                <w:highlight w:val="none"/>
                <w:lang w:val="en-US" w:eastAsia="zh-CN"/>
              </w:rPr>
              <w:t>35</w:t>
            </w:r>
            <w:r>
              <w:rPr>
                <w:color w:val="auto"/>
                <w:szCs w:val="21"/>
                <w:highlight w:val="none"/>
              </w:rPr>
              <w:t>分）</w:t>
            </w:r>
          </w:p>
        </w:tc>
        <w:tc>
          <w:tcPr>
            <w:tcW w:w="7442" w:type="dxa"/>
            <w:noWrap w:val="0"/>
            <w:vAlign w:val="center"/>
          </w:tcPr>
          <w:p w14:paraId="00437769">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lang w:eastAsia="zh-CN"/>
              </w:rPr>
            </w:pPr>
            <w:r>
              <w:rPr>
                <w:rFonts w:hint="eastAsia" w:ascii="Times New Roman" w:hAnsi="Times New Roman" w:eastAsia="宋体" w:cs="Times New Roman"/>
                <w:color w:val="auto"/>
                <w:szCs w:val="21"/>
                <w:highlight w:val="none"/>
              </w:rPr>
              <w:t>满足磋商文件要求且最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最低的价格为磋商基准价，其价格分为满分。其他供应商的价格分统一按照下列公式计算：</w:t>
            </w:r>
          </w:p>
          <w:p w14:paraId="274D1643">
            <w:pPr>
              <w:pageBreakBefore w:val="0"/>
              <w:kinsoku/>
              <w:wordWrap/>
              <w:overflowPunct/>
              <w:topLinePunct w:val="0"/>
              <w:bidi w:val="0"/>
              <w:spacing w:line="360" w:lineRule="auto"/>
              <w:rPr>
                <w:rFonts w:hint="eastAsia" w:ascii="Times New Roman" w:hAnsi="Times New Roman" w:eastAsia="宋体" w:cs="Times New Roman"/>
                <w:color w:val="auto"/>
                <w:szCs w:val="21"/>
                <w:highlight w:val="none"/>
              </w:rPr>
            </w:pPr>
            <w:r>
              <w:rPr>
                <w:rFonts w:hint="eastAsia" w:ascii="Times New Roman" w:hAnsi="Times New Roman" w:eastAsia="宋体" w:cs="Times New Roman"/>
                <w:color w:val="auto"/>
                <w:szCs w:val="21"/>
                <w:highlight w:val="none"/>
              </w:rPr>
              <w:t>磋商报价得分=（磋商基准价/</w:t>
            </w:r>
            <w:r>
              <w:rPr>
                <w:rFonts w:hint="eastAsia" w:ascii="Times New Roman" w:hAnsi="Times New Roman" w:cs="Times New Roman"/>
                <w:color w:val="auto"/>
                <w:szCs w:val="21"/>
                <w:highlight w:val="none"/>
                <w:lang w:val="en-US" w:eastAsia="zh-CN"/>
              </w:rPr>
              <w:t>参与评审的</w:t>
            </w:r>
            <w:r>
              <w:rPr>
                <w:rFonts w:hint="eastAsia" w:ascii="Times New Roman" w:hAnsi="Times New Roman" w:eastAsia="宋体" w:cs="Times New Roman"/>
                <w:color w:val="auto"/>
                <w:szCs w:val="21"/>
                <w:highlight w:val="none"/>
              </w:rPr>
              <w:t>最</w:t>
            </w:r>
            <w:r>
              <w:rPr>
                <w:rFonts w:hint="eastAsia" w:ascii="Times New Roman" w:hAnsi="Times New Roman" w:eastAsia="宋体" w:cs="Times New Roman"/>
                <w:color w:val="auto"/>
                <w:szCs w:val="21"/>
                <w:highlight w:val="none"/>
                <w:lang w:val="en-US" w:eastAsia="zh-CN"/>
              </w:rPr>
              <w:t>终综合折扣</w:t>
            </w:r>
            <w:r>
              <w:rPr>
                <w:rFonts w:hint="eastAsia" w:ascii="Times New Roman" w:hAnsi="Times New Roman" w:eastAsia="宋体" w:cs="Times New Roman"/>
                <w:color w:val="auto"/>
                <w:szCs w:val="21"/>
                <w:highlight w:val="none"/>
              </w:rPr>
              <w:t xml:space="preserve">）×价格权值×100 </w:t>
            </w:r>
          </w:p>
          <w:p w14:paraId="0962F2ED">
            <w:pPr>
              <w:pStyle w:val="35"/>
              <w:ind w:left="0" w:leftChars="0" w:firstLine="0" w:firstLineChars="0"/>
              <w:rPr>
                <w:rFonts w:hint="eastAsia" w:eastAsia="宋体"/>
                <w:color w:val="auto"/>
                <w:highlight w:val="none"/>
                <w:lang w:val="en-US" w:eastAsia="zh-CN"/>
              </w:rPr>
            </w:pPr>
            <w:r>
              <w:rPr>
                <w:rFonts w:hint="eastAsia" w:ascii="Times New Roman" w:hAnsi="Times New Roman" w:eastAsia="宋体" w:cs="Times New Roman"/>
                <w:color w:val="auto"/>
                <w:kern w:val="2"/>
                <w:sz w:val="21"/>
                <w:szCs w:val="21"/>
                <w:highlight w:val="none"/>
                <w:lang w:val="en-US" w:eastAsia="zh-CN" w:bidi="ar-SA"/>
              </w:rPr>
              <w:t>参与评审的最终综合折扣=投标报价×（1-小微企业价格扣除优惠值）</w:t>
            </w:r>
          </w:p>
        </w:tc>
      </w:tr>
    </w:tbl>
    <w:p w14:paraId="6288EB73">
      <w:pPr>
        <w:widowControl/>
        <w:jc w:val="left"/>
        <w:rPr>
          <w:rFonts w:asciiTheme="minorEastAsia" w:hAnsiTheme="minorEastAsia" w:eastAsiaTheme="minorEastAsia" w:cstheme="minorEastAsia"/>
          <w:color w:val="auto"/>
          <w:sz w:val="28"/>
          <w:highlight w:val="none"/>
        </w:rPr>
      </w:pPr>
    </w:p>
    <w:p w14:paraId="6668C188">
      <w:pPr>
        <w:keepNext w:val="0"/>
        <w:keepLines w:val="0"/>
        <w:pageBreakBefore w:val="0"/>
        <w:widowControl w:val="0"/>
        <w:kinsoku/>
        <w:wordWrap/>
        <w:overflowPunct/>
        <w:topLinePunct w:val="0"/>
        <w:autoSpaceDE/>
        <w:autoSpaceDN/>
        <w:bidi w:val="0"/>
        <w:adjustRightInd/>
        <w:snapToGrid w:val="0"/>
        <w:spacing w:line="440" w:lineRule="exact"/>
        <w:ind w:firstLine="422" w:firstLineChars="200"/>
        <w:textAlignment w:val="auto"/>
        <w:rPr>
          <w:rFonts w:hint="eastAsia" w:asciiTheme="minorEastAsia" w:hAnsiTheme="minorEastAsia" w:eastAsiaTheme="minorEastAsia" w:cstheme="minorEastAsia"/>
          <w:b/>
          <w:color w:val="auto"/>
          <w:kern w:val="0"/>
          <w:sz w:val="21"/>
          <w:szCs w:val="21"/>
          <w:highlight w:val="none"/>
          <w:lang w:val="zh-CN"/>
        </w:rPr>
      </w:pPr>
      <w:r>
        <w:rPr>
          <w:rFonts w:hint="eastAsia" w:asciiTheme="minorEastAsia" w:hAnsiTheme="minorEastAsia" w:eastAsiaTheme="minorEastAsia" w:cstheme="minorEastAsia"/>
          <w:b/>
          <w:color w:val="auto"/>
          <w:sz w:val="21"/>
          <w:szCs w:val="21"/>
          <w:highlight w:val="none"/>
        </w:rPr>
        <w:t>备注：</w:t>
      </w:r>
      <w:r>
        <w:rPr>
          <w:rFonts w:hint="eastAsia" w:asciiTheme="minorEastAsia" w:hAnsiTheme="minorEastAsia" w:eastAsiaTheme="minorEastAsia" w:cstheme="minorEastAsia"/>
          <w:color w:val="auto"/>
          <w:kern w:val="0"/>
          <w:sz w:val="21"/>
          <w:szCs w:val="21"/>
          <w:highlight w:val="none"/>
          <w:lang w:val="zh-CN"/>
        </w:rPr>
        <w:t>供应商编制响应文件（商务技术文件部分）时，建议按此目录（序号和内容）提供评标标准相应的商务技术资料。</w:t>
      </w:r>
    </w:p>
    <w:p w14:paraId="43EEF368">
      <w:pPr>
        <w:snapToGrid w:val="0"/>
        <w:spacing w:line="360" w:lineRule="auto"/>
        <w:ind w:left="120" w:leftChars="57" w:firstLine="482" w:firstLineChars="150"/>
        <w:jc w:val="center"/>
        <w:rPr>
          <w:rFonts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一、评审方法</w:t>
      </w:r>
    </w:p>
    <w:bookmarkEnd w:id="13"/>
    <w:p w14:paraId="132BBACA">
      <w:pPr>
        <w:adjustRightInd/>
        <w:spacing w:line="360" w:lineRule="auto"/>
        <w:ind w:firstLine="413" w:firstLineChars="196"/>
        <w:rPr>
          <w:rFonts w:hint="eastAsia" w:asciiTheme="minorEastAsia" w:hAnsiTheme="minorEastAsia" w:eastAsiaTheme="minorEastAsia" w:cstheme="minorEastAsia"/>
          <w:color w:val="auto"/>
          <w:kern w:val="0"/>
          <w:sz w:val="21"/>
          <w:szCs w:val="21"/>
          <w:highlight w:val="none"/>
        </w:rPr>
      </w:pPr>
      <w:bookmarkStart w:id="393" w:name="第五部分"/>
      <w:bookmarkStart w:id="394" w:name="_Toc86217003"/>
      <w:r>
        <w:rPr>
          <w:rFonts w:hint="eastAsia" w:asciiTheme="minorEastAsia" w:hAnsiTheme="minorEastAsia" w:eastAsiaTheme="minorEastAsia" w:cstheme="minorEastAsia"/>
          <w:b/>
          <w:color w:val="auto"/>
          <w:kern w:val="0"/>
          <w:sz w:val="21"/>
          <w:szCs w:val="21"/>
          <w:highlight w:val="none"/>
        </w:rPr>
        <w:t>1.本项目采用综合评分法。</w:t>
      </w:r>
      <w:r>
        <w:rPr>
          <w:rFonts w:hint="eastAsia" w:asciiTheme="minorEastAsia" w:hAnsiTheme="minorEastAsia" w:eastAsiaTheme="minorEastAsia" w:cstheme="minorEastAsia"/>
          <w:color w:val="auto"/>
          <w:kern w:val="0"/>
          <w:sz w:val="21"/>
          <w:szCs w:val="21"/>
          <w:highlight w:val="none"/>
        </w:rPr>
        <w:t>综合评分法，是指</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文件全部实质性要求，且按照评审因素的量化指标评审得分最高的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为</w:t>
      </w:r>
      <w:r>
        <w:rPr>
          <w:rFonts w:hint="eastAsia" w:asciiTheme="minorEastAsia" w:hAnsiTheme="minorEastAsia" w:eastAsiaTheme="minorEastAsia" w:cstheme="minorEastAsia"/>
          <w:color w:val="auto"/>
          <w:kern w:val="0"/>
          <w:sz w:val="21"/>
          <w:szCs w:val="21"/>
          <w:highlight w:val="none"/>
          <w:lang w:eastAsia="zh-CN"/>
        </w:rPr>
        <w:t>成交候选供应商</w:t>
      </w:r>
      <w:r>
        <w:rPr>
          <w:rFonts w:hint="eastAsia" w:asciiTheme="minorEastAsia" w:hAnsiTheme="minorEastAsia" w:eastAsiaTheme="minorEastAsia" w:cstheme="minorEastAsia"/>
          <w:color w:val="auto"/>
          <w:kern w:val="0"/>
          <w:sz w:val="21"/>
          <w:szCs w:val="21"/>
          <w:highlight w:val="none"/>
        </w:rPr>
        <w:t>的评标方法。</w:t>
      </w:r>
    </w:p>
    <w:p w14:paraId="205EFF2D">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二、评标标准</w:t>
      </w:r>
    </w:p>
    <w:p w14:paraId="0C4DDB22">
      <w:pPr>
        <w:spacing w:line="360" w:lineRule="auto"/>
        <w:ind w:firstLine="413" w:firstLineChars="196"/>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b/>
          <w:color w:val="auto"/>
          <w:sz w:val="21"/>
          <w:szCs w:val="21"/>
          <w:highlight w:val="none"/>
        </w:rPr>
        <w:t>2.</w:t>
      </w:r>
      <w:r>
        <w:rPr>
          <w:rFonts w:hint="eastAsia" w:asciiTheme="minorEastAsia" w:hAnsiTheme="minorEastAsia" w:eastAsiaTheme="minorEastAsia" w:cstheme="minorEastAsia"/>
          <w:color w:val="auto"/>
          <w:sz w:val="21"/>
          <w:szCs w:val="21"/>
          <w:highlight w:val="none"/>
        </w:rPr>
        <w:t xml:space="preserve"> </w:t>
      </w:r>
      <w:r>
        <w:rPr>
          <w:rFonts w:hint="eastAsia" w:asciiTheme="minorEastAsia" w:hAnsiTheme="minorEastAsia" w:eastAsiaTheme="minorEastAsia" w:cstheme="minorEastAsia"/>
          <w:b/>
          <w:color w:val="auto"/>
          <w:sz w:val="21"/>
          <w:szCs w:val="21"/>
          <w:highlight w:val="none"/>
        </w:rPr>
        <w:t>评标标准：</w:t>
      </w:r>
      <w:r>
        <w:rPr>
          <w:rFonts w:hint="eastAsia" w:asciiTheme="minorEastAsia" w:hAnsiTheme="minorEastAsia" w:eastAsiaTheme="minorEastAsia" w:cstheme="minorEastAsia"/>
          <w:color w:val="auto"/>
          <w:kern w:val="0"/>
          <w:sz w:val="21"/>
          <w:szCs w:val="21"/>
          <w:highlight w:val="none"/>
        </w:rPr>
        <w:t>见评标办法前附表。</w:t>
      </w:r>
    </w:p>
    <w:p w14:paraId="0576C9C3">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三、评标程序</w:t>
      </w:r>
    </w:p>
    <w:p w14:paraId="2CD92A73">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default" w:asciiTheme="minorEastAsia" w:hAnsiTheme="minorEastAsia" w:eastAsiaTheme="minorEastAsia" w:cstheme="minorEastAsia"/>
          <w:b w:val="0"/>
          <w:bCs/>
          <w:color w:val="auto"/>
          <w:kern w:val="0"/>
          <w:sz w:val="21"/>
          <w:szCs w:val="21"/>
          <w:highlight w:val="none"/>
          <w:lang w:val="en-US" w:eastAsia="zh-CN"/>
        </w:rPr>
      </w:pPr>
      <w:r>
        <w:rPr>
          <w:rFonts w:hint="eastAsia" w:asciiTheme="minorEastAsia" w:hAnsiTheme="minorEastAsia" w:eastAsiaTheme="minorEastAsia" w:cstheme="minorEastAsia"/>
          <w:b/>
          <w:color w:val="auto"/>
          <w:kern w:val="0"/>
          <w:sz w:val="21"/>
          <w:szCs w:val="21"/>
          <w:highlight w:val="none"/>
          <w:lang w:val="en-US" w:eastAsia="zh-CN"/>
        </w:rPr>
        <w:t>3.1资格审查。</w:t>
      </w:r>
      <w:r>
        <w:rPr>
          <w:rFonts w:hint="eastAsia" w:asciiTheme="minorEastAsia" w:hAnsiTheme="minorEastAsia" w:eastAsiaTheme="minorEastAsia" w:cstheme="minorEastAsia"/>
          <w:b w:val="0"/>
          <w:bCs/>
          <w:color w:val="auto"/>
          <w:kern w:val="0"/>
          <w:sz w:val="21"/>
          <w:szCs w:val="21"/>
          <w:highlight w:val="none"/>
          <w:lang w:val="en-US" w:eastAsia="zh-CN"/>
        </w:rPr>
        <w:t>采购代理机构应当对</w:t>
      </w:r>
      <w:r>
        <w:rPr>
          <w:rFonts w:hint="eastAsia" w:asciiTheme="minorEastAsia" w:hAnsiTheme="minorEastAsia" w:eastAsiaTheme="minorEastAsia" w:cstheme="minorEastAsia"/>
          <w:b w:val="0"/>
          <w:bCs/>
          <w:color w:val="auto"/>
          <w:kern w:val="0"/>
          <w:sz w:val="21"/>
          <w:szCs w:val="21"/>
          <w:highlight w:val="none"/>
          <w:lang w:val="zh-CN" w:eastAsia="zh-CN"/>
        </w:rPr>
        <w:t>供应商</w:t>
      </w:r>
      <w:r>
        <w:rPr>
          <w:rFonts w:hint="eastAsia" w:asciiTheme="minorEastAsia" w:hAnsiTheme="minorEastAsia" w:eastAsiaTheme="minorEastAsia" w:cstheme="minorEastAsia"/>
          <w:b w:val="0"/>
          <w:bCs/>
          <w:color w:val="auto"/>
          <w:kern w:val="0"/>
          <w:sz w:val="21"/>
          <w:szCs w:val="21"/>
          <w:highlight w:val="none"/>
          <w:lang w:val="en-US" w:eastAsia="zh-CN"/>
        </w:rPr>
        <w:t>的资格响应文件进行审查，以确定其是否满足竞争性磋商文件的实质性要求。不满足竞争性磋商文件的实质性要求的，响应无效。</w:t>
      </w:r>
    </w:p>
    <w:p w14:paraId="7BCDA654">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2</w:t>
      </w:r>
      <w:r>
        <w:rPr>
          <w:rFonts w:hint="eastAsia" w:asciiTheme="minorEastAsia" w:hAnsiTheme="minorEastAsia" w:eastAsiaTheme="minorEastAsia" w:cstheme="minorEastAsia"/>
          <w:b/>
          <w:color w:val="auto"/>
          <w:kern w:val="0"/>
          <w:sz w:val="21"/>
          <w:szCs w:val="21"/>
          <w:highlight w:val="none"/>
        </w:rPr>
        <w:t>符合性审查。</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应当对符合资格的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文件进行符合性审查，以确定其是否满足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文件的实质性要求。不满足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文件的实质性要求的，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48EBE98E">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3</w:t>
      </w:r>
      <w:r>
        <w:rPr>
          <w:rFonts w:hint="eastAsia" w:asciiTheme="minorEastAsia" w:hAnsiTheme="minorEastAsia" w:eastAsiaTheme="minorEastAsia" w:cstheme="minorEastAsia"/>
          <w:b/>
          <w:color w:val="auto"/>
          <w:kern w:val="0"/>
          <w:sz w:val="21"/>
          <w:szCs w:val="21"/>
          <w:highlight w:val="none"/>
        </w:rPr>
        <w:t>磋商</w:t>
      </w:r>
    </w:p>
    <w:p w14:paraId="4F39C77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.1磋商小组所有成员应集中与单一供应商分别进行磋商，并给予所有有效供应商平等的磋商机会。在磋商过程中，如有需要，可以对采购文件的“</w:t>
      </w:r>
      <w:r>
        <w:rPr>
          <w:rFonts w:hint="eastAsia" w:asciiTheme="minorEastAsia" w:hAnsiTheme="minorEastAsia" w:eastAsiaTheme="minorEastAsia" w:cstheme="minorEastAsia"/>
          <w:b/>
          <w:bCs/>
          <w:color w:val="auto"/>
          <w:kern w:val="0"/>
          <w:sz w:val="21"/>
          <w:szCs w:val="21"/>
          <w:highlight w:val="none"/>
        </w:rPr>
        <w:t>项目需求的技术、服务条款”以及“合同条款”进行实质性变动</w:t>
      </w:r>
      <w:r>
        <w:rPr>
          <w:rFonts w:hint="eastAsia" w:asciiTheme="minorEastAsia" w:hAnsiTheme="minorEastAsia" w:eastAsiaTheme="minorEastAsia" w:cstheme="minorEastAsia"/>
          <w:color w:val="auto"/>
          <w:kern w:val="0"/>
          <w:sz w:val="21"/>
          <w:szCs w:val="21"/>
          <w:highlight w:val="none"/>
        </w:rPr>
        <w:t>，如有实质性变动需经采购人代表现场签字确认，磋商小组将采购文件变更通知在线发给各有效供应商，供应商根据变更通知的要求作响应文件的补充文件，该补充文件是响应文件的组成部分，具有相应的法律效力。</w:t>
      </w:r>
    </w:p>
    <w:p w14:paraId="5BE71B6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3.3.2</w:t>
      </w:r>
      <w:r>
        <w:rPr>
          <w:rFonts w:hint="eastAsia" w:asciiTheme="minorEastAsia" w:hAnsiTheme="minorEastAsia" w:eastAsiaTheme="minorEastAsia" w:cstheme="minorEastAsia"/>
          <w:b/>
          <w:bCs/>
          <w:color w:val="auto"/>
          <w:kern w:val="0"/>
          <w:sz w:val="21"/>
          <w:szCs w:val="21"/>
          <w:highlight w:val="none"/>
        </w:rPr>
        <w:t>各有效供应商在规定时间内在线提交第二次报价（即最终报价），磋商小组以第二次报价（即最终报价）作为价格评议的标准</w:t>
      </w:r>
      <w:r>
        <w:rPr>
          <w:rFonts w:hint="eastAsia" w:asciiTheme="minorEastAsia" w:hAnsiTheme="minorEastAsia" w:eastAsiaTheme="minorEastAsia" w:cstheme="minorEastAsia"/>
          <w:color w:val="auto"/>
          <w:kern w:val="0"/>
          <w:sz w:val="21"/>
          <w:szCs w:val="21"/>
          <w:highlight w:val="none"/>
        </w:rPr>
        <w:t>。已提交响应文件的供应商，在提交最终报价之前，可以根据磋商情况退出磋商。</w:t>
      </w:r>
    </w:p>
    <w:p w14:paraId="29F3E94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3</w:t>
      </w:r>
      <w:r>
        <w:rPr>
          <w:rFonts w:hint="eastAsia" w:asciiTheme="minorEastAsia" w:hAnsiTheme="minorEastAsia" w:eastAsiaTheme="minorEastAsia" w:cstheme="minorEastAsia"/>
          <w:color w:val="auto"/>
          <w:kern w:val="0"/>
          <w:sz w:val="21"/>
          <w:szCs w:val="21"/>
          <w:highlight w:val="none"/>
        </w:rPr>
        <w:t>.3经磋商确定最终采购需求和提交最后报价的供应商后，由磋商小组采用综合评分法对提交最后报价的供应商的响应文件和最后报价进行综合评分。</w:t>
      </w:r>
    </w:p>
    <w:p w14:paraId="7ECF3DA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4</w:t>
      </w:r>
      <w:r>
        <w:rPr>
          <w:rFonts w:hint="eastAsia" w:asciiTheme="minorEastAsia" w:hAnsiTheme="minorEastAsia" w:eastAsiaTheme="minorEastAsia" w:cstheme="minorEastAsia"/>
          <w:b/>
          <w:color w:val="auto"/>
          <w:kern w:val="0"/>
          <w:sz w:val="21"/>
          <w:szCs w:val="21"/>
          <w:highlight w:val="none"/>
        </w:rPr>
        <w:t xml:space="preserve"> </w:t>
      </w:r>
      <w:r>
        <w:rPr>
          <w:rFonts w:hint="eastAsia" w:asciiTheme="minorEastAsia" w:hAnsiTheme="minorEastAsia" w:eastAsiaTheme="minorEastAsia" w:cstheme="minorEastAsia"/>
          <w:b/>
          <w:color w:val="auto"/>
          <w:kern w:val="0"/>
          <w:sz w:val="21"/>
          <w:szCs w:val="21"/>
          <w:highlight w:val="none"/>
          <w:lang w:eastAsia="zh-CN"/>
        </w:rPr>
        <w:t>商务技术</w:t>
      </w:r>
      <w:r>
        <w:rPr>
          <w:rFonts w:hint="eastAsia" w:asciiTheme="minorEastAsia" w:hAnsiTheme="minorEastAsia" w:eastAsiaTheme="minorEastAsia" w:cstheme="minorEastAsia"/>
          <w:b/>
          <w:color w:val="auto"/>
          <w:kern w:val="0"/>
          <w:sz w:val="21"/>
          <w:szCs w:val="21"/>
          <w:highlight w:val="none"/>
        </w:rPr>
        <w:t>评</w:t>
      </w:r>
      <w:r>
        <w:rPr>
          <w:rFonts w:hint="eastAsia" w:asciiTheme="minorEastAsia" w:hAnsiTheme="minorEastAsia" w:eastAsiaTheme="minorEastAsia" w:cstheme="minorEastAsia"/>
          <w:b/>
          <w:color w:val="auto"/>
          <w:kern w:val="0"/>
          <w:sz w:val="21"/>
          <w:szCs w:val="21"/>
          <w:highlight w:val="none"/>
          <w:lang w:eastAsia="zh-CN"/>
        </w:rPr>
        <w:t>审</w:t>
      </w:r>
      <w:r>
        <w:rPr>
          <w:rFonts w:hint="eastAsia" w:asciiTheme="minorEastAsia" w:hAnsiTheme="minorEastAsia" w:eastAsiaTheme="minorEastAsia" w:cstheme="minorEastAsia"/>
          <w:b/>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应当按照</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文件中规定的评标方法和标准，对符合性审查合格的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文件进行商务和技术评估。</w:t>
      </w:r>
    </w:p>
    <w:p w14:paraId="514FE58C">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5</w:t>
      </w:r>
      <w:r>
        <w:rPr>
          <w:rFonts w:hint="eastAsia" w:asciiTheme="minorEastAsia" w:hAnsiTheme="minorEastAsia" w:eastAsiaTheme="minorEastAsia" w:cstheme="minorEastAsia"/>
          <w:b/>
          <w:color w:val="auto"/>
          <w:kern w:val="0"/>
          <w:sz w:val="21"/>
          <w:szCs w:val="21"/>
          <w:highlight w:val="none"/>
        </w:rPr>
        <w:t>汇总商务技术得分。</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各成员应当独立对每个</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的商务和技术文件进行评价，并汇总商务技术得分情况。</w:t>
      </w:r>
    </w:p>
    <w:p w14:paraId="7A0C5BF5">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6</w:t>
      </w:r>
      <w:r>
        <w:rPr>
          <w:rFonts w:hint="eastAsia" w:asciiTheme="minorEastAsia" w:hAnsiTheme="minorEastAsia" w:eastAsiaTheme="minorEastAsia" w:cstheme="minorEastAsia"/>
          <w:b/>
          <w:color w:val="auto"/>
          <w:kern w:val="0"/>
          <w:sz w:val="21"/>
          <w:szCs w:val="21"/>
          <w:highlight w:val="none"/>
        </w:rPr>
        <w:t>报价评审。</w:t>
      </w:r>
    </w:p>
    <w:p w14:paraId="2CB2620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磋商小组对供应商提交的报价进行评审。</w:t>
      </w:r>
    </w:p>
    <w:p w14:paraId="4B03ACA3">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文件报价出现前后不一致的，按照下列规定修正：</w:t>
      </w:r>
    </w:p>
    <w:p w14:paraId="65F515B4">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.1.1</w:t>
      </w:r>
      <w:r>
        <w:rPr>
          <w:rFonts w:hint="eastAsia" w:asciiTheme="minorEastAsia" w:hAnsiTheme="minorEastAsia" w:eastAsiaTheme="minorEastAsia" w:cstheme="minorEastAsia"/>
          <w:color w:val="auto"/>
          <w:kern w:val="0"/>
          <w:sz w:val="21"/>
          <w:szCs w:val="21"/>
          <w:highlight w:val="none"/>
          <w:lang w:val="en-US" w:eastAsia="zh-CN"/>
        </w:rPr>
        <w:t>电子交易平台生成的开标记录表</w:t>
      </w:r>
      <w:r>
        <w:rPr>
          <w:rFonts w:hint="eastAsia" w:asciiTheme="minorEastAsia" w:hAnsiTheme="minorEastAsia" w:eastAsiaTheme="minorEastAsia" w:cstheme="minorEastAsia"/>
          <w:color w:val="auto"/>
          <w:kern w:val="0"/>
          <w:sz w:val="21"/>
          <w:szCs w:val="21"/>
          <w:highlight w:val="none"/>
        </w:rPr>
        <w:t>(报价表)内容</w:t>
      </w:r>
      <w:r>
        <w:rPr>
          <w:rFonts w:hint="eastAsia" w:asciiTheme="minorEastAsia" w:hAnsiTheme="minorEastAsia" w:eastAsiaTheme="minorEastAsia" w:cstheme="minorEastAsia"/>
          <w:color w:val="auto"/>
          <w:kern w:val="0"/>
          <w:sz w:val="21"/>
          <w:szCs w:val="21"/>
          <w:highlight w:val="none"/>
          <w:lang w:val="en-US" w:eastAsia="zh-CN"/>
        </w:rPr>
        <w:t>与响应文件中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不一致的，以响应文件中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w:t>
      </w:r>
      <w:r>
        <w:rPr>
          <w:rFonts w:hint="eastAsia" w:asciiTheme="minorEastAsia" w:hAnsiTheme="minorEastAsia" w:eastAsiaTheme="minorEastAsia" w:cstheme="minorEastAsia"/>
          <w:color w:val="auto"/>
          <w:kern w:val="0"/>
          <w:sz w:val="21"/>
          <w:szCs w:val="21"/>
          <w:highlight w:val="none"/>
          <w:lang w:val="en-US" w:eastAsia="zh-CN"/>
        </w:rPr>
        <w:t>为准</w:t>
      </w:r>
      <w:r>
        <w:rPr>
          <w:rFonts w:hint="eastAsia" w:asciiTheme="minorEastAsia" w:hAnsiTheme="minorEastAsia" w:eastAsiaTheme="minorEastAsia" w:cstheme="minorEastAsia"/>
          <w:color w:val="auto"/>
          <w:kern w:val="0"/>
          <w:sz w:val="21"/>
          <w:szCs w:val="21"/>
          <w:highlight w:val="none"/>
          <w:lang w:eastAsia="zh-CN"/>
        </w:rPr>
        <w:t>；</w:t>
      </w:r>
    </w:p>
    <w:p w14:paraId="14E169A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(报价表)内容与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文件中相应内容不一致的，以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(报价表)为准</w:t>
      </w:r>
      <w:r>
        <w:rPr>
          <w:rFonts w:hint="eastAsia" w:asciiTheme="minorEastAsia" w:hAnsiTheme="minorEastAsia" w:eastAsiaTheme="minorEastAsia" w:cstheme="minorEastAsia"/>
          <w:color w:val="auto"/>
          <w:kern w:val="0"/>
          <w:sz w:val="21"/>
          <w:szCs w:val="21"/>
          <w:highlight w:val="none"/>
          <w:lang w:eastAsia="zh-CN"/>
        </w:rPr>
        <w:t>；</w:t>
      </w:r>
    </w:p>
    <w:p w14:paraId="2867404A">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.1.3</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大写金额和小写金额不一致的，以大写金额为准;</w:t>
      </w:r>
    </w:p>
    <w:p w14:paraId="2EF77CC3">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.1.4</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rPr>
        <w:t>单价金额小数点或者百分比有明显错位的，以</w:t>
      </w:r>
      <w:r>
        <w:rPr>
          <w:rFonts w:hint="eastAsia" w:asciiTheme="minorEastAsia" w:hAnsiTheme="minorEastAsia" w:eastAsiaTheme="minorEastAsia" w:cstheme="minorEastAsia"/>
          <w:color w:val="auto"/>
          <w:kern w:val="0"/>
          <w:sz w:val="21"/>
          <w:szCs w:val="21"/>
          <w:highlight w:val="none"/>
          <w:lang w:eastAsia="zh-CN"/>
        </w:rPr>
        <w:t>报价一览表</w:t>
      </w:r>
      <w:r>
        <w:rPr>
          <w:rFonts w:hint="eastAsia" w:asciiTheme="minorEastAsia" w:hAnsiTheme="minorEastAsia" w:eastAsiaTheme="minorEastAsia" w:cstheme="minorEastAsia"/>
          <w:color w:val="auto"/>
          <w:kern w:val="0"/>
          <w:sz w:val="21"/>
          <w:szCs w:val="21"/>
          <w:highlight w:val="none"/>
        </w:rPr>
        <w:t>的总价为准，并修改单价;</w:t>
      </w:r>
    </w:p>
    <w:p w14:paraId="224EE578">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3.6.1.5</w:t>
      </w:r>
      <w:r>
        <w:rPr>
          <w:rFonts w:hint="eastAsia" w:asciiTheme="minorEastAsia" w:hAnsiTheme="minorEastAsia" w:eastAsiaTheme="minorEastAsia" w:cstheme="minorEastAsia"/>
          <w:color w:val="auto"/>
          <w:kern w:val="0"/>
          <w:sz w:val="21"/>
          <w:szCs w:val="21"/>
          <w:highlight w:val="none"/>
        </w:rPr>
        <w:t>同时出现两种以上不一致的，按照3.4.1规定的顺序修正。修正后的报价经</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确认后产生约束力。</w:t>
      </w:r>
    </w:p>
    <w:p w14:paraId="75200B59">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.2</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文件出现不是唯一的、有选择性</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28B55076">
      <w:pPr>
        <w:keepNext w:val="0"/>
        <w:keepLines w:val="0"/>
        <w:pageBreakBefore w:val="0"/>
        <w:kinsoku/>
        <w:wordWrap/>
        <w:overflowPunct/>
        <w:topLinePunct w:val="0"/>
        <w:autoSpaceDE/>
        <w:autoSpaceDN/>
        <w:bidi w:val="0"/>
        <w:snapToGrid w:val="0"/>
        <w:spacing w:line="360" w:lineRule="auto"/>
        <w:ind w:left="0" w:leftChars="0" w:firstLine="420" w:firstLineChars="200"/>
        <w:jc w:val="left"/>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eastAsia="zh-CN"/>
        </w:rPr>
        <w:t>磋商</w:t>
      </w:r>
      <w:r>
        <w:rPr>
          <w:rFonts w:hint="eastAsia" w:asciiTheme="minorEastAsia" w:hAnsiTheme="minorEastAsia" w:eastAsiaTheme="minorEastAsia" w:cstheme="minorEastAsia"/>
          <w:color w:val="auto"/>
          <w:kern w:val="0"/>
          <w:sz w:val="21"/>
          <w:szCs w:val="21"/>
          <w:highlight w:val="none"/>
        </w:rPr>
        <w:t>报价超过</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rPr>
        <w:t>文件中规定的预算金额或者最高限价的，</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无效。</w:t>
      </w:r>
    </w:p>
    <w:p w14:paraId="715A2709">
      <w:pPr>
        <w:pStyle w:val="51"/>
        <w:keepNext w:val="0"/>
        <w:keepLines w:val="0"/>
        <w:pageBreakBefore w:val="0"/>
        <w:kinsoku/>
        <w:wordWrap/>
        <w:overflowPunct/>
        <w:topLinePunct w:val="0"/>
        <w:autoSpaceDE/>
        <w:autoSpaceDN/>
        <w:bidi w:val="0"/>
        <w:spacing w:before="0"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3.</w:t>
      </w:r>
      <w:r>
        <w:rPr>
          <w:rFonts w:hint="eastAsia" w:asciiTheme="minorEastAsia" w:hAnsiTheme="minorEastAsia" w:eastAsiaTheme="minorEastAsia" w:cstheme="minorEastAsia"/>
          <w:color w:val="auto"/>
          <w:kern w:val="0"/>
          <w:sz w:val="21"/>
          <w:szCs w:val="21"/>
          <w:highlight w:val="none"/>
          <w:lang w:val="en-US" w:eastAsia="zh-CN"/>
        </w:rPr>
        <w:t>6</w:t>
      </w:r>
      <w:r>
        <w:rPr>
          <w:rFonts w:hint="eastAsia" w:asciiTheme="minorEastAsia" w:hAnsiTheme="minorEastAsia" w:eastAsiaTheme="minorEastAsia" w:cstheme="minorEastAsia"/>
          <w:color w:val="auto"/>
          <w:kern w:val="0"/>
          <w:sz w:val="21"/>
          <w:szCs w:val="21"/>
          <w:highlight w:val="none"/>
        </w:rPr>
        <w:t>.4</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认为</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的报价明显低于其他通过符合性审查</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的报价，有可能影响产品质量或者不能诚信履约的，应当要求其在</w:t>
      </w:r>
      <w:r>
        <w:rPr>
          <w:rFonts w:hint="eastAsia" w:asciiTheme="minorEastAsia" w:hAnsiTheme="minorEastAsia" w:eastAsiaTheme="minorEastAsia" w:cstheme="minorEastAsia"/>
          <w:color w:val="auto"/>
          <w:kern w:val="0"/>
          <w:sz w:val="21"/>
          <w:szCs w:val="21"/>
          <w:highlight w:val="none"/>
          <w:lang w:val="en-US" w:eastAsia="zh-CN"/>
        </w:rPr>
        <w:t>30分钟</w:t>
      </w:r>
      <w:r>
        <w:rPr>
          <w:rFonts w:hint="eastAsia" w:asciiTheme="minorEastAsia" w:hAnsiTheme="minorEastAsia" w:eastAsiaTheme="minorEastAsia" w:cstheme="minorEastAsia"/>
          <w:color w:val="auto"/>
          <w:kern w:val="0"/>
          <w:sz w:val="21"/>
          <w:szCs w:val="21"/>
          <w:highlight w:val="none"/>
        </w:rPr>
        <w:t>内提供书面说明，必要时提交相关证明材料;</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不能证明其报价合理性的，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应当将其作为无效</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处理。</w:t>
      </w:r>
    </w:p>
    <w:p w14:paraId="7981C441">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b/>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7</w:t>
      </w:r>
      <w:r>
        <w:rPr>
          <w:rFonts w:hint="eastAsia" w:asciiTheme="minorEastAsia" w:hAnsiTheme="minorEastAsia" w:eastAsiaTheme="minorEastAsia" w:cstheme="minorEastAsia"/>
          <w:b/>
          <w:bCs/>
          <w:color w:val="auto"/>
          <w:kern w:val="0"/>
          <w:sz w:val="21"/>
          <w:szCs w:val="21"/>
          <w:highlight w:val="none"/>
          <w:lang w:val="en-US" w:eastAsia="zh-CN" w:bidi="ar-SA"/>
        </w:rPr>
        <w:t>综合评议。</w:t>
      </w:r>
      <w:r>
        <w:rPr>
          <w:rFonts w:hint="eastAsia" w:asciiTheme="minorEastAsia" w:hAnsiTheme="minorEastAsia" w:eastAsiaTheme="minorEastAsia" w:cstheme="minorEastAsia"/>
          <w:color w:val="auto"/>
          <w:kern w:val="0"/>
          <w:sz w:val="21"/>
          <w:szCs w:val="21"/>
          <w:highlight w:val="none"/>
          <w:lang w:val="en-US" w:eastAsia="zh-CN" w:bidi="ar-SA"/>
        </w:rPr>
        <w:t>评分汇总（汇总各评委的评分，计算所有评委评出的总分的算术平均值作为供应商的综合得分）；按综合得分从高到低排序。</w:t>
      </w:r>
    </w:p>
    <w:p w14:paraId="03501758">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8</w:t>
      </w:r>
      <w:r>
        <w:rPr>
          <w:rFonts w:hint="eastAsia" w:asciiTheme="minorEastAsia" w:hAnsiTheme="minorEastAsia" w:eastAsiaTheme="minorEastAsia" w:cstheme="minorEastAsia"/>
          <w:b/>
          <w:bCs/>
          <w:color w:val="auto"/>
          <w:kern w:val="0"/>
          <w:sz w:val="21"/>
          <w:szCs w:val="21"/>
          <w:highlight w:val="none"/>
          <w:lang w:val="en-US" w:eastAsia="zh-CN" w:bidi="ar-SA"/>
        </w:rPr>
        <w:t>磋商小组根据综合评分情况</w:t>
      </w:r>
      <w:r>
        <w:rPr>
          <w:rFonts w:hint="eastAsia" w:asciiTheme="minorEastAsia" w:hAnsiTheme="minorEastAsia" w:eastAsiaTheme="minorEastAsia" w:cstheme="minorEastAsia"/>
          <w:color w:val="auto"/>
          <w:kern w:val="0"/>
          <w:sz w:val="21"/>
          <w:szCs w:val="21"/>
          <w:highlight w:val="none"/>
          <w:lang w:val="en-US" w:eastAsia="zh-CN" w:bidi="ar-SA"/>
        </w:rPr>
        <w:t>，按照评审得分由高到低顺序推荐1名成交候选供应商。评审得分相同的，按照最后报价由低到高的顺序推荐。评审得分且最后报价相同的，按照技术指标优劣顺序推荐。</w:t>
      </w:r>
    </w:p>
    <w:p w14:paraId="4F9568D6">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3.</w:t>
      </w:r>
      <w:r>
        <w:rPr>
          <w:rFonts w:hint="eastAsia" w:asciiTheme="minorEastAsia" w:hAnsiTheme="minorEastAsia" w:eastAsiaTheme="minorEastAsia" w:cstheme="minorEastAsia"/>
          <w:b/>
          <w:color w:val="auto"/>
          <w:kern w:val="0"/>
          <w:sz w:val="21"/>
          <w:szCs w:val="21"/>
          <w:highlight w:val="none"/>
          <w:lang w:val="en-US" w:eastAsia="zh-CN"/>
        </w:rPr>
        <w:t>9</w:t>
      </w:r>
      <w:r>
        <w:rPr>
          <w:rFonts w:hint="eastAsia" w:asciiTheme="minorEastAsia" w:hAnsiTheme="minorEastAsia" w:eastAsiaTheme="minorEastAsia" w:cstheme="minorEastAsia"/>
          <w:b/>
          <w:color w:val="auto"/>
          <w:kern w:val="0"/>
          <w:sz w:val="21"/>
          <w:szCs w:val="21"/>
          <w:highlight w:val="none"/>
        </w:rPr>
        <w:t>编写评标报告。</w:t>
      </w:r>
      <w:r>
        <w:rPr>
          <w:rFonts w:hint="eastAsia" w:asciiTheme="minorEastAsia" w:hAnsiTheme="minorEastAsia" w:eastAsiaTheme="minorEastAsia" w:cstheme="minorEastAsia"/>
          <w:color w:val="auto"/>
          <w:kern w:val="0"/>
          <w:sz w:val="21"/>
          <w:szCs w:val="21"/>
          <w:highlight w:val="none"/>
          <w:lang w:val="en-US" w:eastAsia="zh-CN" w:bidi="ar-SA"/>
        </w:rPr>
        <w:t>根据全体磋商小组成员签字的原始评审记录和评审结果编写评审报告，评审报告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4C88A443">
      <w:pPr>
        <w:snapToGrid w:val="0"/>
        <w:spacing w:line="360" w:lineRule="auto"/>
        <w:ind w:left="120" w:leftChars="57" w:firstLine="482" w:firstLineChars="150"/>
        <w:jc w:val="center"/>
        <w:rPr>
          <w:rFonts w:hint="eastAsia" w:asciiTheme="minorEastAsia" w:hAnsiTheme="minorEastAsia" w:eastAsiaTheme="minorEastAsia" w:cstheme="minorEastAsia"/>
          <w:b/>
          <w:color w:val="auto"/>
          <w:sz w:val="32"/>
          <w:highlight w:val="none"/>
        </w:rPr>
      </w:pPr>
      <w:r>
        <w:rPr>
          <w:rFonts w:hint="eastAsia" w:asciiTheme="minorEastAsia" w:hAnsiTheme="minorEastAsia" w:eastAsiaTheme="minorEastAsia" w:cstheme="minorEastAsia"/>
          <w:b/>
          <w:color w:val="auto"/>
          <w:sz w:val="32"/>
          <w:highlight w:val="none"/>
        </w:rPr>
        <w:t>四、评标中的其他事项</w:t>
      </w:r>
    </w:p>
    <w:p w14:paraId="40BDC5C6">
      <w:pPr>
        <w:pStyle w:val="51"/>
        <w:keepNext w:val="0"/>
        <w:keepLines w:val="0"/>
        <w:pageBreakBefore w:val="0"/>
        <w:kinsoku/>
        <w:wordWrap/>
        <w:overflowPunct/>
        <w:topLinePunct w:val="0"/>
        <w:autoSpaceDE/>
        <w:autoSpaceDN/>
        <w:bidi w:val="0"/>
        <w:spacing w:before="0"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0"/>
          <w:sz w:val="21"/>
          <w:szCs w:val="21"/>
          <w:highlight w:val="none"/>
        </w:rPr>
        <w:t>4.1</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澄清、说明或者补正。</w:t>
      </w:r>
      <w:r>
        <w:rPr>
          <w:rFonts w:hint="eastAsia" w:asciiTheme="minorEastAsia" w:hAnsiTheme="minorEastAsia" w:eastAsiaTheme="minorEastAsia" w:cstheme="minorEastAsia"/>
          <w:color w:val="auto"/>
          <w:kern w:val="0"/>
          <w:sz w:val="21"/>
          <w:szCs w:val="21"/>
          <w:highlight w:val="none"/>
        </w:rPr>
        <w:t>对于</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文件中含义不明确、同类问题表述不一致或者有明显文字和计算错误的内容需要</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作出必要的澄清、说明或者补正的，</w:t>
      </w:r>
      <w:r>
        <w:rPr>
          <w:rFonts w:hint="eastAsia" w:asciiTheme="minorEastAsia" w:hAnsiTheme="minorEastAsia" w:eastAsiaTheme="minorEastAsia" w:cstheme="minorEastAsia"/>
          <w:color w:val="auto"/>
          <w:kern w:val="0"/>
          <w:sz w:val="21"/>
          <w:szCs w:val="21"/>
          <w:highlight w:val="none"/>
          <w:lang w:eastAsia="zh-CN"/>
        </w:rPr>
        <w:t>磋商小组</w:t>
      </w:r>
      <w:r>
        <w:rPr>
          <w:rFonts w:hint="eastAsia" w:asciiTheme="minorEastAsia" w:hAnsiTheme="minorEastAsia" w:eastAsiaTheme="minorEastAsia" w:cstheme="minorEastAsia"/>
          <w:color w:val="auto"/>
          <w:kern w:val="0"/>
          <w:sz w:val="21"/>
          <w:szCs w:val="21"/>
          <w:highlight w:val="none"/>
        </w:rPr>
        <w:t>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通过电子交易平台交换数据电文，</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提交使用电子签名的相关数据电文或通过平台上传加盖公章的扫描件。给予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提交澄清、说明或补正的时间不得少于半小时，</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已经明确表示澄清说明或补正完毕的除外。</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rPr>
        <w:t>的澄清、说明或者补正不得超出</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文件的范围或者改变</w:t>
      </w:r>
      <w:r>
        <w:rPr>
          <w:rFonts w:hint="eastAsia" w:asciiTheme="minorEastAsia" w:hAnsiTheme="minorEastAsia" w:eastAsiaTheme="minorEastAsia" w:cstheme="minorEastAsia"/>
          <w:color w:val="auto"/>
          <w:kern w:val="0"/>
          <w:sz w:val="21"/>
          <w:szCs w:val="21"/>
          <w:highlight w:val="none"/>
          <w:lang w:eastAsia="zh-CN"/>
        </w:rPr>
        <w:t>响应</w:t>
      </w:r>
      <w:r>
        <w:rPr>
          <w:rFonts w:hint="eastAsia" w:asciiTheme="minorEastAsia" w:hAnsiTheme="minorEastAsia" w:eastAsiaTheme="minorEastAsia" w:cstheme="minorEastAsia"/>
          <w:color w:val="auto"/>
          <w:kern w:val="0"/>
          <w:sz w:val="21"/>
          <w:szCs w:val="21"/>
          <w:highlight w:val="none"/>
        </w:rPr>
        <w:t>文件的实质性内容。</w:t>
      </w:r>
    </w:p>
    <w:p w14:paraId="4714E9CA">
      <w:pPr>
        <w:pStyle w:val="11"/>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4.2</w:t>
      </w:r>
      <w:r>
        <w:rPr>
          <w:rFonts w:hint="eastAsia" w:asciiTheme="minorEastAsia" w:hAnsiTheme="minorEastAsia" w:eastAsiaTheme="minorEastAsia" w:cstheme="minorEastAsia"/>
          <w:b/>
          <w:color w:val="auto"/>
          <w:kern w:val="0"/>
          <w:sz w:val="21"/>
          <w:szCs w:val="21"/>
          <w:highlight w:val="none"/>
          <w:lang w:eastAsia="zh-CN"/>
        </w:rPr>
        <w:t>响应</w:t>
      </w:r>
      <w:r>
        <w:rPr>
          <w:rFonts w:hint="eastAsia" w:asciiTheme="minorEastAsia" w:hAnsiTheme="minorEastAsia" w:eastAsiaTheme="minorEastAsia" w:cstheme="minorEastAsia"/>
          <w:b/>
          <w:color w:val="auto"/>
          <w:kern w:val="0"/>
          <w:sz w:val="21"/>
          <w:szCs w:val="21"/>
          <w:highlight w:val="none"/>
        </w:rPr>
        <w:t>无效</w:t>
      </w:r>
      <w:r>
        <w:rPr>
          <w:rFonts w:hint="eastAsia" w:asciiTheme="minorEastAsia" w:hAnsiTheme="minorEastAsia" w:eastAsiaTheme="minorEastAsia" w:cstheme="minorEastAsia"/>
          <w:b/>
          <w:color w:val="auto"/>
          <w:kern w:val="0"/>
          <w:sz w:val="21"/>
          <w:szCs w:val="21"/>
          <w:highlight w:val="none"/>
          <w:lang w:val="en-US" w:eastAsia="zh-CN"/>
        </w:rPr>
        <w:t>的情形</w:t>
      </w:r>
      <w:r>
        <w:rPr>
          <w:rFonts w:hint="eastAsia" w:asciiTheme="minorEastAsia" w:hAnsiTheme="minorEastAsia" w:eastAsiaTheme="minorEastAsia" w:cstheme="minorEastAsia"/>
          <w:b/>
          <w:color w:val="auto"/>
          <w:kern w:val="0"/>
          <w:sz w:val="21"/>
          <w:szCs w:val="21"/>
          <w:highlight w:val="none"/>
        </w:rPr>
        <w:t>。</w:t>
      </w:r>
    </w:p>
    <w:p w14:paraId="1F6E353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4.2.1 没有响应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文件实质性要求的响应将被视为无效响应。</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不得通过修正或撤销不合要求的偏离或保留从而使其磋商响应成为实质上响应的磋商，但经磋商小组认定属于</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疏忽、笔误所造成的差错，可允许其在评标结束之前进行修改或者补正（可以是复印件、传真件等，原件必须加盖单位公章）。修改或者补正响应文件必须以书面形式进行，并应在成交结果公告之前查核原件。限期内不补正或经补正后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文件要求的，应认定其响应无效。</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修改、补正响应文件后，不影响磋商小组对其响应文件所作的评价和评分结果。</w:t>
      </w:r>
    </w:p>
    <w:p w14:paraId="0861662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 在电子开评标时，如发现下列情形之一的，将被视为无效响应文件：</w:t>
      </w:r>
    </w:p>
    <w:p w14:paraId="01B1D44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4.2.2.1电子投标文件解密失败的；</w:t>
      </w:r>
    </w:p>
    <w:p w14:paraId="44AF863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4.2.2.2响应文件未按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文件要求加密、签字、盖章的；</w:t>
      </w:r>
    </w:p>
    <w:p w14:paraId="3B725EA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 在资格审查、符合性审查和商务评审时，如发现下列情形之一的，将被视为无效响应文件：</w:t>
      </w:r>
    </w:p>
    <w:p w14:paraId="37F88F7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 资格证明文件不全的或者不符合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文件标明的资格要求的；</w:t>
      </w:r>
    </w:p>
    <w:p w14:paraId="1488024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4.2.3.2 响应文件未按</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文件要求签署、盖章的；</w:t>
      </w:r>
    </w:p>
    <w:p w14:paraId="164B6AD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4.2.3.3 响应代表人未能出具身份证明或身份证明与法定代表授权委托书不符的。</w:t>
      </w:r>
    </w:p>
    <w:p w14:paraId="6B0ABBE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4.2.3.4 响应文件格式不规范、项目不齐全或者内容虚假的；</w:t>
      </w:r>
    </w:p>
    <w:p w14:paraId="74988F0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4.2.3.5 响应文件的实质性内容未使用中文表述、意思表述不明确、前后矛盾或者使用计量单位不符合</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文件要求的（经磋商小组认定并允许其当场更正的笔误除外）；</w:t>
      </w:r>
    </w:p>
    <w:p w14:paraId="6140FA8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4.2.3.6 响应有效期、交货时间、质保期等商务条款不能满足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文件要求的；</w:t>
      </w:r>
    </w:p>
    <w:p w14:paraId="7A37DB23">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4.2.3.7 带“▲”的条款不能满足</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文件要求、未实质性响应</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kern w:val="0"/>
          <w:sz w:val="21"/>
          <w:szCs w:val="21"/>
          <w:highlight w:val="none"/>
          <w:lang w:val="en-US" w:eastAsia="zh-CN" w:bidi="ar-SA"/>
        </w:rPr>
        <w:t>文件要求或者响应文件有采购人不能接受的附加条件的；</w:t>
      </w:r>
    </w:p>
    <w:p w14:paraId="5350B39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4.2.3.8 单位负责人为同一人或者存在直接控股、管理关系的不同供应商参加同一合同项下的政府采购活动的；</w:t>
      </w:r>
    </w:p>
    <w:p w14:paraId="1A70FDB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4.2.3.9 为采购项目提供整体设计、规范编制或者项目管理、监理、检测等服务的供应商参加该采购项目的其他采购活动的；</w:t>
      </w:r>
    </w:p>
    <w:p w14:paraId="375B1EB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4.2.3.10 商务技术文件中出现本项目磋商报价或单价的。</w:t>
      </w:r>
    </w:p>
    <w:p w14:paraId="429E482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4.3.在技术评审时，如发现下列情形之一的，将被视为无效响应文件：</w:t>
      </w:r>
    </w:p>
    <w:p w14:paraId="42D15F0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4.3.1未提供或未如实提供磋商货物的技术参数，或者响应文件标明的响应或偏离与事实不符或虚假响应的；</w:t>
      </w:r>
    </w:p>
    <w:p w14:paraId="2488E662">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4.3.2 明显不符合竞争性磋商文件要求的规格型号、质量标准，或者与竞争性磋商文件中标“▲”的技术指标、主要功能项目发生实质性偏离的；</w:t>
      </w:r>
    </w:p>
    <w:p w14:paraId="2060806D">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4.3.3 允许偏离的技术、性能指标或辅助功能项目发生负偏离达5项（含）以上的；</w:t>
      </w:r>
    </w:p>
    <w:p w14:paraId="688E0DF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4.3.4 技术方案不明确，存在一个或一个以上备选（替代）技术方案的；</w:t>
      </w:r>
    </w:p>
    <w:p w14:paraId="1E95D79C">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4.3.5 与其他参加本次磋商</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的响应文件（技术文件）的文字表述内容差错相同2处以上的；</w:t>
      </w:r>
    </w:p>
    <w:p w14:paraId="272BD8F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4.3.6 采购人拟采购的产品属于政府强制采购的节能产品品目清单范围的，</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未按竞争性磋商文件要求提供国家确定的认证机构出具的、处于有效期之内的节能产品认证证书的。</w:t>
      </w:r>
    </w:p>
    <w:p w14:paraId="3A1FFD89">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 在报价评审时，如发现下列情形之一的，响应文件将被视为无效：</w:t>
      </w:r>
    </w:p>
    <w:p w14:paraId="6D13F63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4.4.1 未采用人民币报价或者未按照竞争性磋商文件标明的币种报价的；</w:t>
      </w:r>
    </w:p>
    <w:p w14:paraId="60CAEFB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4.4.2 报价超出最高综合折扣的；</w:t>
      </w:r>
    </w:p>
    <w:p w14:paraId="7672F8FA">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4.4.3 磋商报价具有选择性的；</w:t>
      </w:r>
    </w:p>
    <w:p w14:paraId="31DEE940">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4.4.4 磋商报价中出现缺项、漏项或被磋商小组认定为有可能影响产品质量或者不能诚信履约的且不能在合理的时间内证明其报价合理性的；</w:t>
      </w:r>
    </w:p>
    <w:p w14:paraId="4944397B">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4.4.5供应商对根据修正原则修正后的报价不确认的。</w:t>
      </w:r>
    </w:p>
    <w:p w14:paraId="0640ECD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4.5其他无效情形：</w:t>
      </w:r>
    </w:p>
    <w:p w14:paraId="7D5D9618">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lang w:val="en-US" w:eastAsia="zh-CN" w:bidi="ar-SA"/>
        </w:rPr>
        <w:t>4.5.1 不同</w:t>
      </w:r>
      <w:r>
        <w:rPr>
          <w:rFonts w:hint="eastAsia" w:asciiTheme="minorEastAsia" w:hAnsiTheme="minorEastAsia" w:eastAsiaTheme="minorEastAsia" w:cstheme="minorEastAsia"/>
          <w:color w:val="auto"/>
          <w:kern w:val="0"/>
          <w:sz w:val="21"/>
          <w:szCs w:val="21"/>
          <w:highlight w:val="none"/>
          <w:lang w:val="zh-CN"/>
        </w:rPr>
        <w:t>供应商</w:t>
      </w:r>
      <w:r>
        <w:rPr>
          <w:rFonts w:hint="eastAsia" w:asciiTheme="minorEastAsia" w:hAnsiTheme="minorEastAsia" w:eastAsiaTheme="minorEastAsia" w:cstheme="minorEastAsia"/>
          <w:color w:val="auto"/>
          <w:kern w:val="0"/>
          <w:sz w:val="21"/>
          <w:szCs w:val="21"/>
          <w:highlight w:val="none"/>
          <w:lang w:val="en-US" w:eastAsia="zh-CN" w:bidi="ar-SA"/>
        </w:rPr>
        <w:t>的响应文件出自同一终端设备或在相同Internet主机分配地址（相同IP地址）进行网上报名、磋商的；</w:t>
      </w:r>
    </w:p>
    <w:p w14:paraId="5E10414E">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en-US" w:eastAsia="zh-CN"/>
        </w:rPr>
        <w:t xml:space="preserve">4.5.2 </w:t>
      </w:r>
      <w:r>
        <w:rPr>
          <w:rFonts w:hint="eastAsia" w:asciiTheme="minorEastAsia" w:hAnsiTheme="minorEastAsia" w:eastAsiaTheme="minorEastAsia" w:cstheme="minorEastAsia"/>
          <w:color w:val="auto"/>
          <w:kern w:val="0"/>
          <w:sz w:val="21"/>
          <w:szCs w:val="21"/>
          <w:highlight w:val="none"/>
        </w:rPr>
        <w:t>法律、法规、规章（适用本市的）及省级以上规范性文件（适用本市的）规定的其他无效情形。</w:t>
      </w:r>
    </w:p>
    <w:p w14:paraId="128AB3CB">
      <w:pPr>
        <w:keepNext w:val="0"/>
        <w:keepLines w:val="0"/>
        <w:pageBreakBefore w:val="0"/>
        <w:kinsoku/>
        <w:wordWrap/>
        <w:overflowPunct/>
        <w:topLinePunct w:val="0"/>
        <w:autoSpaceDE/>
        <w:autoSpaceDN/>
        <w:bidi w:val="0"/>
        <w:spacing w:line="360" w:lineRule="auto"/>
        <w:ind w:left="0" w:leftChars="0" w:firstLine="422"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b/>
          <w:color w:val="auto"/>
          <w:kern w:val="2"/>
          <w:sz w:val="21"/>
          <w:szCs w:val="21"/>
          <w:highlight w:val="none"/>
          <w:lang w:val="en-US" w:eastAsia="zh-CN" w:bidi="ar-SA"/>
        </w:rPr>
        <w:t>5.采购终止的情形。</w:t>
      </w:r>
      <w:r>
        <w:rPr>
          <w:rFonts w:hint="eastAsia" w:asciiTheme="minorEastAsia" w:hAnsiTheme="minorEastAsia" w:eastAsiaTheme="minorEastAsia" w:cstheme="minorEastAsia"/>
          <w:color w:val="auto"/>
          <w:kern w:val="0"/>
          <w:sz w:val="21"/>
          <w:szCs w:val="21"/>
          <w:highlight w:val="none"/>
        </w:rPr>
        <w:t>在本项目磋商采购中，出现下列情形之一的，应当终止竞争性磋商采购活动，发布项目终止公告并说明原因，重新开展采购活动：</w:t>
      </w:r>
    </w:p>
    <w:p w14:paraId="47CAC5E5">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5.1因情况变化，不再符合规定的竞争性磋商采购方式适用情形的；</w:t>
      </w:r>
    </w:p>
    <w:p w14:paraId="329FB796">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5.2出现影响采购公正的违法、违规行为的；</w:t>
      </w:r>
    </w:p>
    <w:p w14:paraId="5AF50F04">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5.3除《政府采购竞争性磋商采购方式管理暂行办法》第二十一条第三款和《财政部关于政府采购竞争性磋商采购方式管理暂行办法有关问题的补充通知》规定的情形外，在采购过程中符合要求的供应商或者报价未超过采购预算的供应商不足3家的。</w:t>
      </w:r>
    </w:p>
    <w:p w14:paraId="52C4A647">
      <w:pPr>
        <w:keepNext w:val="0"/>
        <w:keepLines w:val="0"/>
        <w:pageBreakBefore w:val="0"/>
        <w:kinsoku/>
        <w:wordWrap/>
        <w:overflowPunct/>
        <w:topLinePunct w:val="0"/>
        <w:autoSpaceDE/>
        <w:autoSpaceDN/>
        <w:bidi w:val="0"/>
        <w:spacing w:line="360" w:lineRule="auto"/>
        <w:ind w:left="0" w:leftChars="0" w:firstLine="420" w:firstLineChars="200"/>
        <w:textAlignment w:val="auto"/>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5.4电子交易平台无法正常运行，无法保证电子交易的公平、公正和安全的情况。</w:t>
      </w:r>
    </w:p>
    <w:p w14:paraId="1D9DB8C9">
      <w:pPr>
        <w:pStyle w:val="11"/>
        <w:keepNext w:val="0"/>
        <w:keepLines w:val="0"/>
        <w:pageBreakBefore w:val="0"/>
        <w:kinsoku/>
        <w:wordWrap/>
        <w:overflowPunct/>
        <w:topLinePunct w:val="0"/>
        <w:autoSpaceDE/>
        <w:autoSpaceDN/>
        <w:bidi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sz w:val="21"/>
          <w:szCs w:val="21"/>
          <w:highlight w:val="none"/>
        </w:rPr>
        <w:t>6.修改</w:t>
      </w:r>
      <w:r>
        <w:rPr>
          <w:rFonts w:hint="eastAsia" w:asciiTheme="minorEastAsia" w:hAnsiTheme="minorEastAsia" w:eastAsiaTheme="minorEastAsia" w:cstheme="minorEastAsia"/>
          <w:b/>
          <w:color w:val="auto"/>
          <w:sz w:val="21"/>
          <w:szCs w:val="21"/>
          <w:highlight w:val="none"/>
          <w:lang w:eastAsia="zh-CN"/>
        </w:rPr>
        <w:t>竞争性磋商</w:t>
      </w:r>
      <w:r>
        <w:rPr>
          <w:rFonts w:hint="eastAsia" w:asciiTheme="minorEastAsia" w:hAnsiTheme="minorEastAsia" w:eastAsiaTheme="minorEastAsia" w:cstheme="minorEastAsia"/>
          <w:b/>
          <w:color w:val="auto"/>
          <w:sz w:val="21"/>
          <w:szCs w:val="21"/>
          <w:highlight w:val="none"/>
        </w:rPr>
        <w:t>文件，重新组织采购活动。</w:t>
      </w:r>
      <w:r>
        <w:rPr>
          <w:rFonts w:hint="eastAsia" w:asciiTheme="minorEastAsia" w:hAnsiTheme="minorEastAsia" w:eastAsiaTheme="minorEastAsia" w:cstheme="minorEastAsia"/>
          <w:color w:val="auto"/>
          <w:sz w:val="21"/>
          <w:szCs w:val="21"/>
          <w:highlight w:val="none"/>
          <w:lang w:eastAsia="zh-CN"/>
        </w:rPr>
        <w:t>磋商小组</w:t>
      </w:r>
      <w:r>
        <w:rPr>
          <w:rFonts w:hint="eastAsia" w:asciiTheme="minorEastAsia" w:hAnsiTheme="minorEastAsia" w:eastAsiaTheme="minorEastAsia" w:cstheme="minorEastAsia"/>
          <w:color w:val="auto"/>
          <w:sz w:val="21"/>
          <w:szCs w:val="21"/>
          <w:highlight w:val="none"/>
        </w:rPr>
        <w:t>发现</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文件存在歧义、重大缺陷导致评标工作无法进行，或者</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文件内容违反国家有关强制性规定的，将停止评标工作，并与采购人、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沟通并作书面记录。采购人、</w:t>
      </w:r>
      <w:r>
        <w:rPr>
          <w:rFonts w:hint="eastAsia" w:asciiTheme="minorEastAsia" w:hAnsiTheme="minorEastAsia" w:eastAsiaTheme="minorEastAsia" w:cstheme="minorEastAsia"/>
          <w:color w:val="auto"/>
          <w:sz w:val="21"/>
          <w:szCs w:val="21"/>
          <w:highlight w:val="none"/>
          <w:lang w:eastAsia="zh-CN"/>
        </w:rPr>
        <w:t>采购代理机构</w:t>
      </w:r>
      <w:r>
        <w:rPr>
          <w:rFonts w:hint="eastAsia" w:asciiTheme="minorEastAsia" w:hAnsiTheme="minorEastAsia" w:eastAsiaTheme="minorEastAsia" w:cstheme="minorEastAsia"/>
          <w:color w:val="auto"/>
          <w:sz w:val="21"/>
          <w:szCs w:val="21"/>
          <w:highlight w:val="none"/>
        </w:rPr>
        <w:t>确认后，将修改</w:t>
      </w:r>
      <w:r>
        <w:rPr>
          <w:rFonts w:hint="eastAsia" w:asciiTheme="minorEastAsia" w:hAnsiTheme="minorEastAsia" w:eastAsiaTheme="minorEastAsia" w:cstheme="minorEastAsia"/>
          <w:color w:val="auto"/>
          <w:sz w:val="21"/>
          <w:szCs w:val="21"/>
          <w:highlight w:val="none"/>
          <w:lang w:eastAsia="zh-CN"/>
        </w:rPr>
        <w:t>竞争性磋商</w:t>
      </w:r>
      <w:r>
        <w:rPr>
          <w:rFonts w:hint="eastAsia" w:asciiTheme="minorEastAsia" w:hAnsiTheme="minorEastAsia" w:eastAsiaTheme="minorEastAsia" w:cstheme="minorEastAsia"/>
          <w:color w:val="auto"/>
          <w:sz w:val="21"/>
          <w:szCs w:val="21"/>
          <w:highlight w:val="none"/>
        </w:rPr>
        <w:t>文件，重新组织采购活动。</w:t>
      </w:r>
    </w:p>
    <w:p w14:paraId="75392E8F">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2"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color w:val="auto"/>
          <w:kern w:val="0"/>
          <w:sz w:val="21"/>
          <w:szCs w:val="21"/>
          <w:highlight w:val="none"/>
        </w:rPr>
        <w:t>7.重新开展采购。</w:t>
      </w:r>
      <w:r>
        <w:rPr>
          <w:rFonts w:hint="eastAsia" w:asciiTheme="minorEastAsia" w:hAnsiTheme="minorEastAsia" w:eastAsiaTheme="minorEastAsia" w:cstheme="minorEastAsia"/>
          <w:color w:val="auto"/>
          <w:sz w:val="21"/>
          <w:szCs w:val="21"/>
          <w:highlight w:val="none"/>
        </w:rPr>
        <w:t>有政府采购法第七十一条、第七十二条规定的违法行为之一，影响或者可能影响中标、成交结果的，依照下列规定处理：</w:t>
      </w:r>
    </w:p>
    <w:p w14:paraId="3EACBB4E">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7.1未确定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人的，终止本次政府采购活动，重新开展政府采购活动。</w:t>
      </w:r>
    </w:p>
    <w:p w14:paraId="1958EF2B">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7.2已确定</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人但尚未签订政府采购合同的，</w:t>
      </w:r>
      <w:r>
        <w:rPr>
          <w:rFonts w:hint="eastAsia" w:asciiTheme="minorEastAsia" w:hAnsiTheme="minorEastAsia" w:eastAsiaTheme="minorEastAsia" w:cstheme="minorEastAsia"/>
          <w:color w:val="auto"/>
          <w:sz w:val="21"/>
          <w:szCs w:val="21"/>
          <w:highlight w:val="none"/>
          <w:lang w:eastAsia="zh-CN"/>
        </w:rPr>
        <w:t>成交</w:t>
      </w:r>
      <w:r>
        <w:rPr>
          <w:rFonts w:hint="eastAsia" w:asciiTheme="minorEastAsia" w:hAnsiTheme="minorEastAsia" w:eastAsiaTheme="minorEastAsia" w:cstheme="minorEastAsia"/>
          <w:color w:val="auto"/>
          <w:sz w:val="21"/>
          <w:szCs w:val="21"/>
          <w:highlight w:val="none"/>
        </w:rPr>
        <w:t>或者成交结果无效，重新开展政府采购活动。</w:t>
      </w:r>
    </w:p>
    <w:p w14:paraId="3B0CA44E">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7.3政府采购合同已签订但尚未履行的，撤销合同，重新开展政府采购活动。</w:t>
      </w:r>
    </w:p>
    <w:p w14:paraId="17A2198C">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7.4政府采购合同已经履行，给采购人、供应商造成损失的，由责任人承担赔偿责任。</w:t>
      </w:r>
    </w:p>
    <w:p w14:paraId="32FD7502">
      <w:pPr>
        <w:pStyle w:val="11"/>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7.5政府采购当事人有其他违反政府采购法</w:t>
      </w:r>
      <w:r>
        <w:rPr>
          <w:rFonts w:hint="eastAsia" w:asciiTheme="minorEastAsia" w:hAnsiTheme="minorEastAsia" w:eastAsiaTheme="minorEastAsia" w:cstheme="minorEastAsia"/>
          <w:color w:val="auto"/>
          <w:kern w:val="0"/>
          <w:sz w:val="21"/>
          <w:szCs w:val="21"/>
          <w:highlight w:val="none"/>
        </w:rPr>
        <w:t>或者政府采购法实施条例等法律法规规定</w:t>
      </w:r>
      <w:r>
        <w:rPr>
          <w:rFonts w:hint="eastAsia" w:asciiTheme="minorEastAsia" w:hAnsiTheme="minorEastAsia" w:eastAsiaTheme="minorEastAsia" w:cstheme="minorEastAsia"/>
          <w:color w:val="auto"/>
          <w:sz w:val="21"/>
          <w:szCs w:val="21"/>
          <w:highlight w:val="none"/>
        </w:rPr>
        <w:t>的行为，经改正后仍然影响或者可能影响中标、成交结果或者依法被认定为中标、成交无效的，依照7.1-7.4规定处理。</w:t>
      </w:r>
    </w:p>
    <w:p w14:paraId="7B179CBE">
      <w:pPr>
        <w:pStyle w:val="11"/>
        <w:numPr>
          <w:ilvl w:val="0"/>
          <w:numId w:val="0"/>
        </w:numPr>
        <w:adjustRightInd w:val="0"/>
        <w:snapToGrid w:val="0"/>
        <w:spacing w:line="360" w:lineRule="auto"/>
        <w:jc w:val="center"/>
        <w:rPr>
          <w:rFonts w:asciiTheme="minorEastAsia" w:hAnsiTheme="minorEastAsia" w:eastAsiaTheme="minorEastAsia" w:cstheme="minorEastAsia"/>
          <w:b/>
          <w:color w:val="auto"/>
          <w:sz w:val="36"/>
          <w:szCs w:val="36"/>
          <w:highlight w:val="none"/>
        </w:rPr>
      </w:pPr>
      <w:r>
        <w:rPr>
          <w:rFonts w:hint="eastAsia" w:asciiTheme="minorEastAsia" w:hAnsiTheme="minorEastAsia" w:eastAsiaTheme="minorEastAsia" w:cstheme="minorEastAsia"/>
          <w:b/>
          <w:color w:val="auto"/>
          <w:sz w:val="36"/>
          <w:szCs w:val="36"/>
          <w:highlight w:val="none"/>
        </w:rPr>
        <w:br w:type="page"/>
      </w:r>
      <w:r>
        <w:rPr>
          <w:rFonts w:asciiTheme="minorEastAsia" w:hAnsiTheme="minorEastAsia" w:eastAsiaTheme="minorEastAsia" w:cstheme="minorEastAsia"/>
          <w:b/>
          <w:color w:val="auto"/>
          <w:sz w:val="36"/>
          <w:szCs w:val="36"/>
          <w:highlight w:val="none"/>
        </w:rPr>
        <w:t xml:space="preserve"> </w:t>
      </w:r>
      <w:r>
        <w:rPr>
          <w:rFonts w:hint="eastAsia" w:asciiTheme="minorEastAsia" w:hAnsiTheme="minorEastAsia" w:eastAsiaTheme="minorEastAsia" w:cstheme="minorEastAsia"/>
          <w:b/>
          <w:color w:val="auto"/>
          <w:sz w:val="36"/>
          <w:szCs w:val="36"/>
          <w:highlight w:val="none"/>
        </w:rPr>
        <w:t>合同文本（</w:t>
      </w:r>
      <w:r>
        <w:rPr>
          <w:rFonts w:hint="eastAsia" w:asciiTheme="minorEastAsia" w:hAnsiTheme="minorEastAsia" w:eastAsiaTheme="minorEastAsia" w:cstheme="minorEastAsia"/>
          <w:b/>
          <w:color w:val="auto"/>
          <w:sz w:val="36"/>
          <w:szCs w:val="36"/>
          <w:highlight w:val="none"/>
          <w:lang w:val="en-US" w:eastAsia="zh-CN"/>
        </w:rPr>
        <w:t>工程类</w:t>
      </w:r>
      <w:r>
        <w:rPr>
          <w:rFonts w:hint="eastAsia" w:asciiTheme="minorEastAsia" w:hAnsiTheme="minorEastAsia" w:eastAsiaTheme="minorEastAsia" w:cstheme="minorEastAsia"/>
          <w:b/>
          <w:color w:val="auto"/>
          <w:sz w:val="36"/>
          <w:szCs w:val="36"/>
          <w:highlight w:val="none"/>
        </w:rPr>
        <w:t>）</w:t>
      </w:r>
    </w:p>
    <w:p w14:paraId="3A8A4493">
      <w:pPr>
        <w:pStyle w:val="52"/>
        <w:ind w:left="0" w:leftChars="0" w:firstLine="0" w:firstLineChars="0"/>
        <w:rPr>
          <w:rFonts w:asciiTheme="minorEastAsia" w:hAnsiTheme="minorEastAsia" w:eastAsiaTheme="minorEastAsia" w:cstheme="minorEastAsia"/>
          <w:color w:val="auto"/>
          <w:szCs w:val="24"/>
          <w:highlight w:val="none"/>
        </w:rPr>
      </w:pPr>
    </w:p>
    <w:p w14:paraId="7FC20182">
      <w:pPr>
        <w:pStyle w:val="52"/>
        <w:rPr>
          <w:rFonts w:asciiTheme="minorEastAsia" w:hAnsiTheme="minorEastAsia" w:eastAsiaTheme="minorEastAsia" w:cstheme="minorEastAsia"/>
          <w:color w:val="auto"/>
          <w:szCs w:val="24"/>
          <w:highlight w:val="none"/>
        </w:rPr>
      </w:pPr>
    </w:p>
    <w:p w14:paraId="498793BC">
      <w:pPr>
        <w:pStyle w:val="52"/>
        <w:ind w:left="0" w:leftChars="0" w:firstLine="0" w:firstLineChars="0"/>
        <w:rPr>
          <w:rFonts w:asciiTheme="minorEastAsia" w:hAnsiTheme="minorEastAsia" w:eastAsiaTheme="minorEastAsia" w:cstheme="minorEastAsia"/>
          <w:color w:val="auto"/>
          <w:szCs w:val="24"/>
          <w:highlight w:val="none"/>
        </w:rPr>
      </w:pPr>
    </w:p>
    <w:p w14:paraId="6A914972">
      <w:pPr>
        <w:spacing w:before="120" w:line="360" w:lineRule="auto"/>
        <w:rPr>
          <w:rFonts w:asciiTheme="minorEastAsia" w:hAnsiTheme="minorEastAsia" w:eastAsiaTheme="minorEastAsia" w:cstheme="minorEastAsia"/>
          <w:color w:val="auto"/>
          <w:sz w:val="24"/>
          <w:highlight w:val="none"/>
        </w:rPr>
      </w:pPr>
    </w:p>
    <w:p w14:paraId="5239C87F">
      <w:pPr>
        <w:spacing w:before="120" w:line="360" w:lineRule="auto"/>
        <w:ind w:left="960" w:firstLine="720" w:firstLineChars="300"/>
        <w:rPr>
          <w:rFonts w:hint="eastAsia" w:asciiTheme="minorEastAsia" w:hAnsiTheme="minorEastAsia" w:eastAsiaTheme="minorEastAsia" w:cstheme="minorEastAsia"/>
          <w:color w:val="auto"/>
          <w:sz w:val="24"/>
          <w:highlight w:val="none"/>
          <w:u w:val="single"/>
          <w:lang w:eastAsia="zh-CN"/>
        </w:rPr>
      </w:pPr>
      <w:r>
        <w:rPr>
          <w:rFonts w:hint="eastAsia" w:asciiTheme="minorEastAsia" w:hAnsiTheme="minorEastAsia" w:eastAsiaTheme="minorEastAsia" w:cstheme="minorEastAsia"/>
          <w:color w:val="auto"/>
          <w:sz w:val="24"/>
          <w:highlight w:val="none"/>
        </w:rPr>
        <w:t>项目名称：</w:t>
      </w:r>
      <w:r>
        <w:rPr>
          <w:rFonts w:hint="eastAsia" w:asciiTheme="minorEastAsia" w:hAnsiTheme="minorEastAsia" w:eastAsiaTheme="minorEastAsia" w:cstheme="minorEastAsia"/>
          <w:color w:val="auto"/>
          <w:sz w:val="24"/>
          <w:highlight w:val="none"/>
          <w:u w:val="single"/>
          <w:lang w:val="en-US" w:eastAsia="zh-CN"/>
        </w:rPr>
        <w:t xml:space="preserve">                                    </w:t>
      </w:r>
    </w:p>
    <w:p w14:paraId="12E00D0C">
      <w:pPr>
        <w:pStyle w:val="44"/>
        <w:spacing w:before="120"/>
        <w:rPr>
          <w:rFonts w:asciiTheme="minorEastAsia" w:hAnsiTheme="minorEastAsia" w:eastAsiaTheme="minorEastAsia" w:cstheme="minorEastAsia"/>
          <w:color w:val="auto"/>
          <w:szCs w:val="24"/>
          <w:highlight w:val="none"/>
        </w:rPr>
      </w:pPr>
    </w:p>
    <w:p w14:paraId="41C717AF">
      <w:pPr>
        <w:pStyle w:val="44"/>
        <w:spacing w:before="120"/>
        <w:rPr>
          <w:rFonts w:asciiTheme="minorEastAsia" w:hAnsiTheme="minorEastAsia" w:eastAsiaTheme="minorEastAsia" w:cstheme="minorEastAsia"/>
          <w:color w:val="auto"/>
          <w:szCs w:val="24"/>
          <w:highlight w:val="none"/>
        </w:rPr>
      </w:pPr>
    </w:p>
    <w:p w14:paraId="730F47D7">
      <w:pPr>
        <w:spacing w:line="360" w:lineRule="auto"/>
        <w:rPr>
          <w:rFonts w:asciiTheme="minorEastAsia" w:hAnsiTheme="minorEastAsia" w:eastAsiaTheme="minorEastAsia" w:cstheme="minorEastAsia"/>
          <w:color w:val="auto"/>
          <w:sz w:val="24"/>
          <w:highlight w:val="none"/>
        </w:rPr>
      </w:pPr>
    </w:p>
    <w:p w14:paraId="64D45C23">
      <w:pPr>
        <w:spacing w:before="120" w:line="600" w:lineRule="auto"/>
        <w:ind w:left="960" w:firstLine="720" w:firstLineChars="300"/>
        <w:rPr>
          <w:rFonts w:hint="default" w:asciiTheme="minorEastAsia" w:hAnsiTheme="minorEastAsia" w:eastAsiaTheme="minorEastAsia" w:cstheme="minorEastAsia"/>
          <w:color w:val="auto"/>
          <w:sz w:val="24"/>
          <w:highlight w:val="none"/>
          <w:u w:val="single"/>
          <w:lang w:val="en-US" w:eastAsia="zh-CN"/>
        </w:rPr>
      </w:pPr>
      <w:r>
        <w:rPr>
          <w:rFonts w:hint="eastAsia" w:asciiTheme="minorEastAsia" w:hAnsiTheme="minorEastAsia" w:eastAsiaTheme="minorEastAsia" w:cstheme="minorEastAsia"/>
          <w:color w:val="auto"/>
          <w:sz w:val="24"/>
          <w:highlight w:val="none"/>
        </w:rPr>
        <w:t>甲方：</w:t>
      </w:r>
      <w:r>
        <w:rPr>
          <w:rFonts w:hint="eastAsia" w:asciiTheme="minorEastAsia" w:hAnsiTheme="minorEastAsia" w:eastAsiaTheme="minorEastAsia" w:cstheme="minorEastAsia"/>
          <w:color w:val="auto"/>
          <w:sz w:val="24"/>
          <w:highlight w:val="none"/>
          <w:u w:val="single"/>
          <w:lang w:val="en-US" w:eastAsia="zh-CN"/>
        </w:rPr>
        <w:t xml:space="preserve">                                       </w:t>
      </w:r>
    </w:p>
    <w:p w14:paraId="163C9793">
      <w:pPr>
        <w:spacing w:before="120" w:line="600" w:lineRule="auto"/>
        <w:ind w:left="960" w:firstLine="720" w:firstLineChars="3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乙方：</w:t>
      </w:r>
      <w:r>
        <w:rPr>
          <w:rFonts w:hint="eastAsia" w:asciiTheme="minorEastAsia" w:hAnsiTheme="minorEastAsia" w:eastAsiaTheme="minorEastAsia" w:cstheme="minorEastAsia"/>
          <w:color w:val="auto"/>
          <w:sz w:val="24"/>
          <w:highlight w:val="none"/>
          <w:u w:val="single"/>
        </w:rPr>
        <w:t xml:space="preserve">                                       </w:t>
      </w:r>
    </w:p>
    <w:p w14:paraId="7833954D">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签订地：</w:t>
      </w:r>
      <w:r>
        <w:rPr>
          <w:rFonts w:hint="eastAsia" w:asciiTheme="minorEastAsia" w:hAnsiTheme="minorEastAsia" w:eastAsiaTheme="minorEastAsia" w:cstheme="minorEastAsia"/>
          <w:color w:val="auto"/>
          <w:sz w:val="24"/>
          <w:highlight w:val="none"/>
          <w:u w:val="single"/>
        </w:rPr>
        <w:t xml:space="preserve">                                     </w:t>
      </w:r>
    </w:p>
    <w:p w14:paraId="4E214C19">
      <w:pPr>
        <w:spacing w:before="120" w:line="600" w:lineRule="auto"/>
        <w:ind w:firstLine="1680" w:firstLineChars="7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签订日期：</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年</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月</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日</w:t>
      </w:r>
    </w:p>
    <w:p w14:paraId="6C139BA4">
      <w:pPr>
        <w:spacing w:line="360" w:lineRule="auto"/>
        <w:jc w:val="center"/>
        <w:outlineLvl w:val="1"/>
        <w:rPr>
          <w:rFonts w:hint="eastAsia" w:asciiTheme="minorEastAsia" w:hAnsiTheme="minorEastAsia" w:eastAsiaTheme="minorEastAsia" w:cstheme="minorEastAsia"/>
          <w:color w:val="auto"/>
          <w:sz w:val="30"/>
          <w:szCs w:val="30"/>
          <w:highlight w:val="none"/>
        </w:rPr>
      </w:pPr>
      <w:r>
        <w:rPr>
          <w:rFonts w:hint="eastAsia" w:asciiTheme="minorEastAsia" w:hAnsiTheme="minorEastAsia" w:eastAsiaTheme="minorEastAsia" w:cstheme="minorEastAsia"/>
          <w:color w:val="auto"/>
          <w:sz w:val="24"/>
          <w:highlight w:val="none"/>
          <w:u w:val="single"/>
          <w:lang w:val="zh-CN"/>
        </w:rPr>
        <w:br w:type="page"/>
      </w:r>
      <w:r>
        <w:rPr>
          <w:rFonts w:hint="eastAsia" w:asciiTheme="minorEastAsia" w:hAnsiTheme="minorEastAsia" w:eastAsiaTheme="minorEastAsia" w:cstheme="minorEastAsia"/>
          <w:color w:val="auto"/>
          <w:sz w:val="30"/>
          <w:szCs w:val="30"/>
          <w:highlight w:val="none"/>
        </w:rPr>
        <w:t>第一部分  协 议 书</w:t>
      </w:r>
    </w:p>
    <w:p w14:paraId="2FE42FEE">
      <w:pPr>
        <w:spacing w:line="360" w:lineRule="auto"/>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发包人（甲方）</w:t>
      </w:r>
      <w:r>
        <w:rPr>
          <w:rFonts w:hint="eastAsia" w:asciiTheme="minorEastAsia" w:hAnsiTheme="minorEastAsia" w:eastAsiaTheme="minorEastAsia" w:cstheme="minorEastAsia"/>
          <w:color w:val="auto"/>
          <w:sz w:val="21"/>
          <w:szCs w:val="21"/>
          <w:highlight w:val="none"/>
          <w:u w:val="none"/>
        </w:rPr>
        <w:t>：</w:t>
      </w:r>
      <w:r>
        <w:rPr>
          <w:rFonts w:hint="eastAsia" w:asciiTheme="minorEastAsia" w:hAnsiTheme="minorEastAsia" w:eastAsiaTheme="minorEastAsia" w:cstheme="minorEastAsia"/>
          <w:color w:val="auto"/>
          <w:sz w:val="21"/>
          <w:szCs w:val="21"/>
          <w:highlight w:val="none"/>
          <w:u w:val="single"/>
        </w:rPr>
        <w:t xml:space="preserve">宁波市奉化区惠海地下管线投资有限公司 </w:t>
      </w:r>
    </w:p>
    <w:p w14:paraId="386C9D5D">
      <w:pPr>
        <w:spacing w:line="360" w:lineRule="auto"/>
        <w:rPr>
          <w:rFonts w:hint="eastAsia" w:asciiTheme="minorEastAsia" w:hAnsiTheme="minorEastAsia" w:eastAsiaTheme="minorEastAsia" w:cstheme="minorEastAsia"/>
          <w:color w:val="auto"/>
          <w:sz w:val="21"/>
          <w:szCs w:val="21"/>
          <w:highlight w:val="none"/>
          <w:u w:val="single"/>
          <w:lang w:val="en-US"/>
        </w:rPr>
      </w:pPr>
      <w:r>
        <w:rPr>
          <w:rFonts w:hint="eastAsia" w:asciiTheme="minorEastAsia" w:hAnsiTheme="minorEastAsia" w:eastAsiaTheme="minorEastAsia" w:cstheme="minorEastAsia"/>
          <w:color w:val="auto"/>
          <w:sz w:val="21"/>
          <w:szCs w:val="21"/>
          <w:highlight w:val="none"/>
        </w:rPr>
        <w:t>承包人（乙方）：</w:t>
      </w:r>
      <w:r>
        <w:rPr>
          <w:rFonts w:hint="eastAsia" w:asciiTheme="minorEastAsia" w:hAnsiTheme="minorEastAsia" w:eastAsiaTheme="minorEastAsia" w:cstheme="minorEastAsia"/>
          <w:color w:val="auto"/>
          <w:sz w:val="21"/>
          <w:szCs w:val="21"/>
          <w:highlight w:val="none"/>
          <w:u w:val="single"/>
          <w:lang w:val="en-US" w:eastAsia="zh-CN"/>
        </w:rPr>
        <w:t xml:space="preserve">                                    </w:t>
      </w:r>
    </w:p>
    <w:p w14:paraId="635A08E7">
      <w:pP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依照《中华人民共和国</w:t>
      </w:r>
      <w:r>
        <w:rPr>
          <w:rFonts w:hint="eastAsia" w:asciiTheme="minorEastAsia" w:hAnsiTheme="minorEastAsia" w:eastAsiaTheme="minorEastAsia" w:cstheme="minorEastAsia"/>
          <w:color w:val="auto"/>
          <w:sz w:val="21"/>
          <w:szCs w:val="21"/>
          <w:highlight w:val="none"/>
          <w:lang w:eastAsia="zh-CN"/>
        </w:rPr>
        <w:t>民法典</w:t>
      </w:r>
      <w:r>
        <w:rPr>
          <w:rFonts w:hint="eastAsia" w:asciiTheme="minorEastAsia" w:hAnsiTheme="minorEastAsia" w:eastAsiaTheme="minorEastAsia" w:cstheme="minorEastAsia"/>
          <w:color w:val="auto"/>
          <w:sz w:val="21"/>
          <w:szCs w:val="21"/>
          <w:highlight w:val="none"/>
        </w:rPr>
        <w:t>》、《中华人民共和国建筑法》及其他有关法律、行政法规、遵循平等、自愿、公平和诚实信用的原则，发包人和承包人本着平等互利的原则，根据</w:t>
      </w:r>
      <w:r>
        <w:rPr>
          <w:rFonts w:hint="eastAsia" w:asciiTheme="minorEastAsia" w:hAnsiTheme="minorEastAsia" w:eastAsiaTheme="minorEastAsia" w:cstheme="minorEastAsia"/>
          <w:color w:val="auto"/>
          <w:sz w:val="21"/>
          <w:szCs w:val="21"/>
          <w:highlight w:val="none"/>
          <w:lang w:val="en-US" w:eastAsia="zh-CN"/>
        </w:rPr>
        <w:t>招标文件</w:t>
      </w:r>
      <w:r>
        <w:rPr>
          <w:rFonts w:hint="eastAsia" w:asciiTheme="minorEastAsia" w:hAnsiTheme="minorEastAsia" w:eastAsiaTheme="minorEastAsia" w:cstheme="minorEastAsia"/>
          <w:color w:val="auto"/>
          <w:sz w:val="21"/>
          <w:szCs w:val="21"/>
          <w:highlight w:val="none"/>
        </w:rPr>
        <w:t>和</w:t>
      </w:r>
      <w:r>
        <w:rPr>
          <w:rFonts w:hint="eastAsia" w:asciiTheme="minorEastAsia" w:hAnsiTheme="minorEastAsia" w:eastAsiaTheme="minorEastAsia" w:cstheme="minorEastAsia"/>
          <w:color w:val="auto"/>
          <w:sz w:val="21"/>
          <w:szCs w:val="21"/>
          <w:highlight w:val="none"/>
          <w:lang w:val="en-US" w:eastAsia="zh-CN"/>
        </w:rPr>
        <w:t>中标通知书</w:t>
      </w:r>
      <w:r>
        <w:rPr>
          <w:rFonts w:hint="eastAsia" w:asciiTheme="minorEastAsia" w:hAnsiTheme="minorEastAsia" w:eastAsiaTheme="minorEastAsia" w:cstheme="minorEastAsia"/>
          <w:color w:val="auto"/>
          <w:sz w:val="21"/>
          <w:szCs w:val="21"/>
          <w:highlight w:val="none"/>
        </w:rPr>
        <w:t>，按下述条款和条件签署本合同。</w:t>
      </w:r>
    </w:p>
    <w:p w14:paraId="236FE0DD">
      <w:pPr>
        <w:spacing w:line="360" w:lineRule="auto"/>
        <w:ind w:firstLine="420" w:firstLineChars="200"/>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一、工程概况</w:t>
      </w:r>
    </w:p>
    <w:p w14:paraId="1CDC0BDB">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工程名称：</w:t>
      </w:r>
      <w:r>
        <w:rPr>
          <w:rFonts w:hint="eastAsia" w:asciiTheme="minorEastAsia" w:hAnsiTheme="minorEastAsia" w:eastAsiaTheme="minorEastAsia" w:cstheme="minorEastAsia"/>
          <w:color w:val="auto"/>
          <w:sz w:val="21"/>
          <w:szCs w:val="21"/>
          <w:highlight w:val="none"/>
          <w:u w:val="single"/>
          <w:lang w:val="en-US" w:eastAsia="zh-CN"/>
        </w:rPr>
        <w:t xml:space="preserve">奉化区溪口三隐潭沿线电缆改造工程 </w:t>
      </w:r>
    </w:p>
    <w:p w14:paraId="42478899">
      <w:pPr>
        <w:spacing w:line="360" w:lineRule="auto"/>
        <w:ind w:left="1529" w:leftChars="228" w:hanging="1050" w:hangingChars="5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工程地点：</w:t>
      </w:r>
      <w:r>
        <w:rPr>
          <w:rFonts w:hint="eastAsia" w:asciiTheme="minorEastAsia" w:hAnsiTheme="minorEastAsia" w:eastAsiaTheme="minorEastAsia" w:cstheme="minorEastAsia"/>
          <w:color w:val="auto"/>
          <w:sz w:val="21"/>
          <w:szCs w:val="21"/>
          <w:highlight w:val="none"/>
          <w:u w:val="single"/>
          <w:lang w:val="en-US" w:eastAsia="zh-CN"/>
        </w:rPr>
        <w:t>溪口镇</w:t>
      </w:r>
      <w:r>
        <w:rPr>
          <w:rFonts w:hint="eastAsia" w:asciiTheme="minorEastAsia" w:hAnsiTheme="minorEastAsia" w:eastAsiaTheme="minorEastAsia" w:cstheme="minorEastAsia"/>
          <w:color w:val="auto"/>
          <w:sz w:val="21"/>
          <w:szCs w:val="21"/>
          <w:highlight w:val="none"/>
          <w:u w:val="none"/>
          <w:lang w:val="en-US" w:eastAsia="zh-CN"/>
        </w:rPr>
        <w:t>。</w:t>
      </w:r>
    </w:p>
    <w:p w14:paraId="62ED3D2B">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u w:val="none"/>
          <w:lang w:eastAsia="zh-CN"/>
        </w:rPr>
        <w:t>工程内容：</w:t>
      </w:r>
      <w:r>
        <w:rPr>
          <w:rFonts w:hint="eastAsia" w:asciiTheme="minorEastAsia" w:hAnsiTheme="minorEastAsia" w:eastAsiaTheme="minorEastAsia" w:cstheme="minorEastAsia"/>
          <w:color w:val="auto"/>
          <w:sz w:val="21"/>
          <w:szCs w:val="21"/>
          <w:highlight w:val="none"/>
          <w:u w:val="single"/>
          <w:lang w:eastAsia="zh-CN"/>
        </w:rPr>
        <w:t>详见图纸</w:t>
      </w:r>
    </w:p>
    <w:p w14:paraId="3AF7FDAE">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二、工程承包范围</w:t>
      </w:r>
    </w:p>
    <w:p w14:paraId="050AA7FD">
      <w:pPr>
        <w:spacing w:line="360" w:lineRule="auto"/>
        <w:ind w:firstLine="420" w:firstLineChars="200"/>
        <w:rPr>
          <w:rFonts w:hint="eastAsia" w:asciiTheme="minorEastAsia" w:hAnsiTheme="minorEastAsia" w:eastAsiaTheme="minorEastAsia" w:cstheme="minorEastAsia"/>
          <w:color w:val="auto"/>
          <w:sz w:val="21"/>
          <w:szCs w:val="21"/>
          <w:highlight w:val="none"/>
          <w:u w:val="single"/>
          <w:lang w:val="en-US" w:eastAsia="zh-CN"/>
        </w:rPr>
      </w:pPr>
      <w:r>
        <w:rPr>
          <w:rFonts w:hint="eastAsia" w:asciiTheme="minorEastAsia" w:hAnsiTheme="minorEastAsia" w:eastAsiaTheme="minorEastAsia" w:cstheme="minorEastAsia"/>
          <w:color w:val="auto"/>
          <w:sz w:val="21"/>
          <w:szCs w:val="21"/>
          <w:highlight w:val="none"/>
        </w:rPr>
        <w:t>承包范围</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single"/>
          <w:lang w:val="en-US" w:eastAsia="zh-CN"/>
        </w:rPr>
        <w:t>施工图范围内的低压电力排管、低压分接箱及配套基础、绿化迁移、电缆敷设等；</w:t>
      </w:r>
    </w:p>
    <w:p w14:paraId="493A879B">
      <w:pPr>
        <w:pStyle w:val="66"/>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三、合同工期</w:t>
      </w:r>
    </w:p>
    <w:p w14:paraId="330DA3E4">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计划开工日期：</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日(具体以监理开工</w:t>
      </w:r>
      <w:r>
        <w:rPr>
          <w:rFonts w:hint="eastAsia" w:asciiTheme="minorEastAsia" w:hAnsiTheme="minorEastAsia" w:eastAsiaTheme="minorEastAsia" w:cstheme="minorEastAsia"/>
          <w:color w:val="auto"/>
          <w:sz w:val="21"/>
          <w:szCs w:val="21"/>
          <w:highlight w:val="none"/>
          <w:lang w:eastAsia="zh-CN"/>
        </w:rPr>
        <w:t>令</w:t>
      </w:r>
      <w:r>
        <w:rPr>
          <w:rFonts w:hint="eastAsia" w:asciiTheme="minorEastAsia" w:hAnsiTheme="minorEastAsia" w:eastAsiaTheme="minorEastAsia" w:cstheme="minorEastAsia"/>
          <w:color w:val="auto"/>
          <w:sz w:val="21"/>
          <w:szCs w:val="21"/>
          <w:highlight w:val="none"/>
        </w:rPr>
        <w:t>为准)</w:t>
      </w:r>
    </w:p>
    <w:p w14:paraId="090FB85D">
      <w:pPr>
        <w:spacing w:line="360" w:lineRule="auto"/>
        <w:ind w:firstLine="403" w:firstLineChars="192"/>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合同工期总日历天数：</w:t>
      </w:r>
      <w:r>
        <w:rPr>
          <w:rFonts w:hint="eastAsia" w:asciiTheme="minorEastAsia" w:hAnsiTheme="minorEastAsia" w:eastAsiaTheme="minorEastAsia" w:cstheme="minorEastAsia"/>
          <w:color w:val="auto"/>
          <w:sz w:val="21"/>
          <w:szCs w:val="21"/>
          <w:highlight w:val="none"/>
          <w:u w:val="single"/>
          <w:lang w:val="en-US" w:eastAsia="zh-CN"/>
        </w:rPr>
        <w:t>180</w:t>
      </w:r>
      <w:r>
        <w:rPr>
          <w:rFonts w:hint="eastAsia" w:asciiTheme="minorEastAsia" w:hAnsiTheme="minorEastAsia" w:eastAsiaTheme="minorEastAsia" w:cstheme="minorEastAsia"/>
          <w:color w:val="auto"/>
          <w:sz w:val="21"/>
          <w:szCs w:val="21"/>
          <w:highlight w:val="none"/>
          <w:u w:val="none"/>
          <w:lang w:eastAsia="zh-CN"/>
        </w:rPr>
        <w:t>日历</w:t>
      </w:r>
      <w:r>
        <w:rPr>
          <w:rFonts w:hint="eastAsia" w:asciiTheme="minorEastAsia" w:hAnsiTheme="minorEastAsia" w:eastAsiaTheme="minorEastAsia" w:cstheme="minorEastAsia"/>
          <w:color w:val="auto"/>
          <w:sz w:val="21"/>
          <w:szCs w:val="21"/>
          <w:highlight w:val="none"/>
        </w:rPr>
        <w:t>天。</w:t>
      </w:r>
    </w:p>
    <w:p w14:paraId="71BD953C">
      <w:pPr>
        <w:spacing w:line="360" w:lineRule="auto"/>
        <w:ind w:firstLine="403" w:firstLineChars="192"/>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若实际开工日期由于甲方原因或不可抗力因素造成滞后,则以甲方正式批准的实际开工之日为准。</w:t>
      </w:r>
    </w:p>
    <w:p w14:paraId="66E7749A">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四、质量与安全要求</w:t>
      </w:r>
    </w:p>
    <w:p w14:paraId="065C7EDF">
      <w:pPr>
        <w:spacing w:line="360" w:lineRule="auto"/>
        <w:ind w:firstLine="476" w:firstLineChars="227"/>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1、达到国家和行业施工验收规范一次性验收合格。</w:t>
      </w:r>
    </w:p>
    <w:p w14:paraId="0FA41306">
      <w:pPr>
        <w:spacing w:line="360" w:lineRule="auto"/>
        <w:ind w:firstLine="457" w:firstLineChars="218"/>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2、工程安全要求：合格。</w:t>
      </w:r>
    </w:p>
    <w:p w14:paraId="75B3F25C">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五、合同价款</w:t>
      </w:r>
    </w:p>
    <w:p w14:paraId="1991B6F0">
      <w:pPr>
        <w:spacing w:line="360" w:lineRule="auto"/>
        <w:ind w:firstLine="403" w:firstLineChars="192"/>
        <w:rPr>
          <w:rFonts w:hint="eastAsia" w:asciiTheme="minorEastAsia" w:hAnsiTheme="minorEastAsia" w:eastAsiaTheme="minorEastAsia" w:cstheme="minorEastAsia"/>
          <w:color w:val="auto"/>
          <w:sz w:val="21"/>
          <w:szCs w:val="21"/>
          <w:highlight w:val="none"/>
          <w:u w:val="none"/>
        </w:rPr>
      </w:pPr>
      <w:r>
        <w:rPr>
          <w:rFonts w:hint="eastAsia" w:asciiTheme="minorEastAsia" w:hAnsiTheme="minorEastAsia" w:eastAsiaTheme="minorEastAsia" w:cstheme="minorEastAsia"/>
          <w:color w:val="auto"/>
          <w:sz w:val="21"/>
          <w:szCs w:val="21"/>
          <w:highlight w:val="none"/>
        </w:rPr>
        <w:t>金额（大写）：</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元</w:t>
      </w:r>
      <w:r>
        <w:rPr>
          <w:rFonts w:hint="eastAsia" w:asciiTheme="minorEastAsia" w:hAnsiTheme="minorEastAsia" w:eastAsiaTheme="minorEastAsia" w:cstheme="minorEastAsia"/>
          <w:color w:val="auto"/>
          <w:sz w:val="21"/>
          <w:szCs w:val="21"/>
          <w:highlight w:val="none"/>
          <w:u w:val="none"/>
        </w:rPr>
        <w:t xml:space="preserve">整 </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pacing w:val="14"/>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rPr>
        <w:t>元</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综合折扣</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none"/>
          <w:lang w:val="en-US" w:eastAsia="zh-CN"/>
        </w:rPr>
        <w:t>%</w:t>
      </w:r>
      <w:r>
        <w:rPr>
          <w:rFonts w:hint="eastAsia" w:asciiTheme="minorEastAsia" w:hAnsiTheme="minorEastAsia" w:eastAsiaTheme="minorEastAsia" w:cstheme="minorEastAsia"/>
          <w:color w:val="auto"/>
          <w:sz w:val="21"/>
          <w:szCs w:val="21"/>
          <w:highlight w:val="none"/>
          <w:u w:val="none"/>
        </w:rPr>
        <w:t>。</w:t>
      </w:r>
    </w:p>
    <w:p w14:paraId="1E20C173">
      <w:pPr>
        <w:spacing w:line="360" w:lineRule="auto"/>
        <w:ind w:firstLine="403" w:firstLineChars="192"/>
        <w:rPr>
          <w:rFonts w:hint="eastAsia" w:asciiTheme="minorEastAsia" w:hAnsiTheme="minorEastAsia" w:eastAsiaTheme="minorEastAsia" w:cstheme="minorEastAsia"/>
          <w:color w:val="auto"/>
          <w:sz w:val="21"/>
          <w:szCs w:val="21"/>
          <w:highlight w:val="none"/>
          <w:u w:val="single"/>
        </w:rPr>
      </w:pPr>
      <w:r>
        <w:rPr>
          <w:rFonts w:hint="eastAsia" w:asciiTheme="minorEastAsia" w:hAnsiTheme="minorEastAsia" w:eastAsiaTheme="minorEastAsia" w:cstheme="minorEastAsia"/>
          <w:color w:val="auto"/>
          <w:sz w:val="21"/>
          <w:szCs w:val="21"/>
          <w:highlight w:val="none"/>
        </w:rPr>
        <w:t>合同价格类型：</w:t>
      </w:r>
      <w:r>
        <w:rPr>
          <w:rFonts w:hint="eastAsia" w:asciiTheme="minorEastAsia" w:hAnsiTheme="minorEastAsia" w:eastAsiaTheme="minorEastAsia" w:cstheme="minorEastAsia"/>
          <w:color w:val="auto"/>
          <w:sz w:val="21"/>
          <w:szCs w:val="21"/>
          <w:highlight w:val="none"/>
          <w:u w:val="single"/>
          <w:lang w:eastAsia="zh-CN"/>
        </w:rPr>
        <w:t>单价</w:t>
      </w:r>
      <w:r>
        <w:rPr>
          <w:rFonts w:hint="eastAsia" w:asciiTheme="minorEastAsia" w:hAnsiTheme="minorEastAsia" w:eastAsiaTheme="minorEastAsia" w:cstheme="minorEastAsia"/>
          <w:color w:val="auto"/>
          <w:sz w:val="21"/>
          <w:szCs w:val="21"/>
          <w:highlight w:val="none"/>
          <w:u w:val="single"/>
        </w:rPr>
        <w:t>合同。</w:t>
      </w:r>
    </w:p>
    <w:p w14:paraId="68A1EB0B">
      <w:pPr>
        <w:spacing w:line="360" w:lineRule="auto"/>
        <w:ind w:left="551"/>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六、组成合同的文件</w:t>
      </w:r>
    </w:p>
    <w:p w14:paraId="4289B29B">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组成本合同的文件包括：</w:t>
      </w:r>
    </w:p>
    <w:p w14:paraId="08C32CD6">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1、本协议书</w:t>
      </w:r>
    </w:p>
    <w:p w14:paraId="56B7ECDC">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2、成交确认书</w:t>
      </w:r>
    </w:p>
    <w:p w14:paraId="1D34719E">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3、本合同专用条款及其附件</w:t>
      </w:r>
    </w:p>
    <w:p w14:paraId="1DB034C1">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4、</w:t>
      </w:r>
      <w:r>
        <w:rPr>
          <w:rFonts w:hint="eastAsia" w:asciiTheme="minorEastAsia" w:hAnsiTheme="minorEastAsia" w:eastAsiaTheme="minorEastAsia" w:cstheme="minorEastAsia"/>
          <w:color w:val="auto"/>
          <w:sz w:val="21"/>
          <w:szCs w:val="21"/>
          <w:highlight w:val="none"/>
          <w:lang w:val="en-US" w:eastAsia="zh-CN"/>
        </w:rPr>
        <w:t>交易公告</w:t>
      </w:r>
      <w:r>
        <w:rPr>
          <w:rFonts w:hint="eastAsia" w:asciiTheme="minorEastAsia" w:hAnsiTheme="minorEastAsia" w:eastAsiaTheme="minorEastAsia" w:cstheme="minorEastAsia"/>
          <w:color w:val="auto"/>
          <w:sz w:val="21"/>
          <w:szCs w:val="21"/>
          <w:highlight w:val="none"/>
        </w:rPr>
        <w:t>及其附件</w:t>
      </w:r>
    </w:p>
    <w:p w14:paraId="660565D0">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5、本合同通用条款</w:t>
      </w:r>
    </w:p>
    <w:p w14:paraId="794005D4">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6、标准、规范及有关技术文件</w:t>
      </w:r>
    </w:p>
    <w:p w14:paraId="4885F7D6">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7、图纸</w:t>
      </w:r>
    </w:p>
    <w:p w14:paraId="6EC63A74">
      <w:pPr>
        <w:keepNext w:val="0"/>
        <w:keepLines w:val="0"/>
        <w:pageBreakBefore w:val="0"/>
        <w:widowControl w:val="0"/>
        <w:kinsoku/>
        <w:wordWrap/>
        <w:overflowPunct/>
        <w:topLinePunct w:val="0"/>
        <w:bidi w:val="0"/>
        <w:snapToGrid/>
        <w:spacing w:line="440" w:lineRule="exact"/>
        <w:ind w:firstLine="435"/>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8、工程量清单或预算书</w:t>
      </w:r>
    </w:p>
    <w:p w14:paraId="6896F9DE">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双方有关工程的洽商、变更等书面协议或文件视为本合同的组成部分。</w:t>
      </w:r>
    </w:p>
    <w:p w14:paraId="6FC26C77">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七</w:t>
      </w:r>
      <w:r>
        <w:rPr>
          <w:rFonts w:hint="eastAsia" w:asciiTheme="minorEastAsia" w:hAnsiTheme="minorEastAsia" w:eastAsiaTheme="minorEastAsia" w:cstheme="minorEastAsia"/>
          <w:b/>
          <w:color w:val="auto"/>
          <w:sz w:val="21"/>
          <w:szCs w:val="21"/>
          <w:highlight w:val="none"/>
        </w:rPr>
        <w:t>、</w:t>
      </w:r>
      <w:r>
        <w:rPr>
          <w:rFonts w:hint="eastAsia" w:asciiTheme="minorEastAsia" w:hAnsiTheme="minorEastAsia" w:eastAsiaTheme="minorEastAsia" w:cstheme="minorEastAsia"/>
          <w:color w:val="auto"/>
          <w:sz w:val="21"/>
          <w:szCs w:val="21"/>
          <w:highlight w:val="none"/>
        </w:rPr>
        <w:t>本协议书中有关词语含义与本合同第二部分《通用条款》中分别赋予它们的定义相同。</w:t>
      </w:r>
    </w:p>
    <w:p w14:paraId="70C906F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八、承包人向发包人承诺按照合同约定进行施工、竣工并在质量保修期内承担工程质量保修责任。</w:t>
      </w:r>
    </w:p>
    <w:p w14:paraId="46E1B953">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b/>
          <w:color w:val="auto"/>
          <w:sz w:val="21"/>
          <w:szCs w:val="21"/>
          <w:highlight w:val="none"/>
        </w:rPr>
      </w:pPr>
      <w:r>
        <w:rPr>
          <w:rFonts w:hint="eastAsia" w:asciiTheme="minorEastAsia" w:hAnsiTheme="minorEastAsia" w:eastAsiaTheme="minorEastAsia" w:cstheme="minorEastAsia"/>
          <w:color w:val="auto"/>
          <w:sz w:val="21"/>
          <w:szCs w:val="21"/>
          <w:highlight w:val="none"/>
        </w:rPr>
        <w:t>九、发包人向承包人承诺按照合同约定的期限和方式支付合同价款及其他应当支付的款项。</w:t>
      </w:r>
    </w:p>
    <w:p w14:paraId="6A7B300B">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十、合同生效</w:t>
      </w:r>
    </w:p>
    <w:p w14:paraId="1294BAD2">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合同订立时间：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rPr>
        <w:t>年</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月</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u w:val="single"/>
          <w:lang w:val="en-US" w:eastAsia="zh-CN"/>
        </w:rPr>
        <w:t xml:space="preserve">  </w:t>
      </w:r>
      <w:r>
        <w:rPr>
          <w:rFonts w:hint="eastAsia" w:asciiTheme="minorEastAsia" w:hAnsiTheme="minorEastAsia" w:eastAsiaTheme="minorEastAsia" w:cstheme="minorEastAsia"/>
          <w:color w:val="auto"/>
          <w:sz w:val="21"/>
          <w:szCs w:val="21"/>
          <w:highlight w:val="none"/>
          <w:u w:val="single"/>
        </w:rPr>
        <w:t xml:space="preserve"> </w:t>
      </w:r>
      <w:r>
        <w:rPr>
          <w:rFonts w:hint="eastAsia" w:asciiTheme="minorEastAsia" w:hAnsiTheme="minorEastAsia" w:eastAsiaTheme="minorEastAsia" w:cstheme="minorEastAsia"/>
          <w:color w:val="auto"/>
          <w:sz w:val="21"/>
          <w:szCs w:val="21"/>
          <w:highlight w:val="none"/>
        </w:rPr>
        <w:t xml:space="preserve">日 </w:t>
      </w:r>
    </w:p>
    <w:p w14:paraId="6CEFA47F">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合同订立地点：宁波市奉化区 </w:t>
      </w:r>
    </w:p>
    <w:p w14:paraId="07916B39">
      <w:pPr>
        <w:keepNext w:val="0"/>
        <w:keepLines w:val="0"/>
        <w:pageBreakBefore w:val="0"/>
        <w:widowControl w:val="0"/>
        <w:kinsoku/>
        <w:wordWrap/>
        <w:overflowPunct/>
        <w:topLinePunct w:val="0"/>
        <w:bidi w:val="0"/>
        <w:snapToGrid/>
        <w:spacing w:line="440" w:lineRule="exact"/>
        <w:ind w:firstLine="420" w:firstLineChars="200"/>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本合同双方约定</w:t>
      </w:r>
      <w:r>
        <w:rPr>
          <w:rFonts w:hint="eastAsia" w:asciiTheme="minorEastAsia" w:hAnsiTheme="minorEastAsia" w:eastAsiaTheme="minorEastAsia" w:cstheme="minorEastAsia"/>
          <w:color w:val="auto"/>
          <w:sz w:val="21"/>
          <w:szCs w:val="21"/>
          <w:highlight w:val="none"/>
          <w:u w:val="single"/>
        </w:rPr>
        <w:t>加盖双方单位印章并经法定代表人或其委托代理人签字，并按约定提供履约担保</w:t>
      </w:r>
      <w:r>
        <w:rPr>
          <w:rFonts w:hint="eastAsia" w:asciiTheme="minorEastAsia" w:hAnsiTheme="minorEastAsia" w:eastAsiaTheme="minorEastAsia" w:cstheme="minorEastAsia"/>
          <w:color w:val="auto"/>
          <w:sz w:val="21"/>
          <w:szCs w:val="21"/>
          <w:highlight w:val="none"/>
        </w:rPr>
        <w:t>后生效。</w:t>
      </w:r>
    </w:p>
    <w:p w14:paraId="4BBFD2B6">
      <w:pPr>
        <w:keepNext w:val="0"/>
        <w:keepLines w:val="0"/>
        <w:pageBreakBefore w:val="0"/>
        <w:widowControl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十一、合同份数</w:t>
      </w:r>
    </w:p>
    <w:p w14:paraId="6B48220C">
      <w:pPr>
        <w:keepNext w:val="0"/>
        <w:keepLines w:val="0"/>
        <w:pageBreakBefore w:val="0"/>
        <w:kinsoku/>
        <w:wordWrap/>
        <w:overflowPunct/>
        <w:topLinePunct w:val="0"/>
        <w:bidi w:val="0"/>
        <w:snapToGrid/>
        <w:spacing w:line="440" w:lineRule="exac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 xml:space="preserve">    本合同一式陆份，发包方贰份，承包方肆份。</w:t>
      </w:r>
    </w:p>
    <w:p w14:paraId="6285128E">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rPr>
      </w:pPr>
    </w:p>
    <w:p w14:paraId="071CE4CC">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发包人(公章)：</w:t>
      </w:r>
      <w:r>
        <w:rPr>
          <w:rFonts w:hint="eastAsia" w:asciiTheme="minorEastAsia" w:hAnsiTheme="minorEastAsia" w:eastAsiaTheme="minorEastAsia" w:cstheme="minorEastAsia"/>
          <w:color w:val="auto"/>
          <w:kern w:val="0"/>
          <w:sz w:val="21"/>
          <w:szCs w:val="21"/>
          <w:highlight w:val="none"/>
          <w:lang w:val="zh-CN"/>
        </w:rPr>
        <w:t>宁波市奉化区惠海</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sz w:val="21"/>
          <w:szCs w:val="21"/>
          <w:highlight w:val="none"/>
        </w:rPr>
        <w:t>承包人(公章)：</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7F16BA6A">
      <w:pPr>
        <w:autoSpaceDE w:val="0"/>
        <w:autoSpaceDN w:val="0"/>
        <w:adjustRightInd w:val="0"/>
        <w:spacing w:line="380" w:lineRule="exact"/>
        <w:ind w:firstLine="1470" w:firstLineChars="700"/>
        <w:jc w:val="left"/>
        <w:rPr>
          <w:rFonts w:hint="eastAsia" w:asciiTheme="minorEastAsia" w:hAnsiTheme="minorEastAsia" w:eastAsiaTheme="minorEastAsia" w:cstheme="minorEastAsia"/>
          <w:color w:val="auto"/>
          <w:kern w:val="0"/>
          <w:sz w:val="21"/>
          <w:szCs w:val="21"/>
          <w:highlight w:val="none"/>
          <w:lang w:val="zh-CN"/>
        </w:rPr>
      </w:pPr>
      <w:r>
        <w:rPr>
          <w:rFonts w:hint="eastAsia" w:asciiTheme="minorEastAsia" w:hAnsiTheme="minorEastAsia" w:eastAsiaTheme="minorEastAsia" w:cstheme="minorEastAsia"/>
          <w:color w:val="auto"/>
          <w:kern w:val="0"/>
          <w:sz w:val="21"/>
          <w:szCs w:val="21"/>
          <w:highlight w:val="none"/>
          <w:lang w:val="zh-CN"/>
        </w:rPr>
        <w:t>地下管线投资有限公司</w:t>
      </w:r>
    </w:p>
    <w:p w14:paraId="60EB463E">
      <w:pPr>
        <w:autoSpaceDE w:val="0"/>
        <w:autoSpaceDN w:val="0"/>
        <w:adjustRightInd w:val="0"/>
        <w:spacing w:line="380" w:lineRule="exact"/>
        <w:ind w:firstLine="420" w:firstLineChars="200"/>
        <w:jc w:val="left"/>
        <w:rPr>
          <w:rFonts w:hint="default"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en-US" w:eastAsia="zh-CN"/>
        </w:rPr>
        <w:t>地址</w:t>
      </w:r>
      <w:r>
        <w:rPr>
          <w:rFonts w:hint="eastAsia" w:asciiTheme="minorEastAsia" w:hAnsiTheme="minorEastAsia" w:eastAsiaTheme="minorEastAsia" w:cstheme="minorEastAsia"/>
          <w:color w:val="auto"/>
          <w:kern w:val="0"/>
          <w:sz w:val="21"/>
          <w:szCs w:val="21"/>
          <w:highlight w:val="none"/>
        </w:rPr>
        <w:t>：</w:t>
      </w:r>
      <w:r>
        <w:rPr>
          <w:rFonts w:hint="eastAsia" w:asciiTheme="minorEastAsia" w:hAnsiTheme="minorEastAsia" w:eastAsiaTheme="minorEastAsia" w:cstheme="minorEastAsia"/>
          <w:color w:val="auto"/>
          <w:kern w:val="0"/>
          <w:sz w:val="21"/>
          <w:szCs w:val="21"/>
          <w:highlight w:val="none"/>
        </w:rPr>
        <w:tab/>
      </w:r>
      <w:r>
        <w:rPr>
          <w:rFonts w:hint="eastAsia" w:asciiTheme="minorEastAsia" w:hAnsiTheme="minorEastAsia" w:eastAsiaTheme="minorEastAsia" w:cstheme="minorEastAsia"/>
          <w:color w:val="auto"/>
          <w:kern w:val="0"/>
          <w:sz w:val="21"/>
          <w:szCs w:val="21"/>
          <w:highlight w:val="none"/>
        </w:rPr>
        <w:t>浙江省宁波市奉化区岳林街道长汀</w:t>
      </w:r>
      <w:r>
        <w:rPr>
          <w:rFonts w:hint="eastAsia" w:asciiTheme="minorEastAsia" w:hAnsiTheme="minorEastAsia" w:eastAsiaTheme="minorEastAsia" w:cstheme="minorEastAsia"/>
          <w:color w:val="auto"/>
          <w:kern w:val="0"/>
          <w:sz w:val="21"/>
          <w:szCs w:val="21"/>
          <w:highlight w:val="none"/>
          <w:lang w:val="en-US" w:eastAsia="zh-CN"/>
        </w:rPr>
        <w:t xml:space="preserve">    地址： </w:t>
      </w:r>
    </w:p>
    <w:p w14:paraId="194828AF">
      <w:pPr>
        <w:autoSpaceDE w:val="0"/>
        <w:autoSpaceDN w:val="0"/>
        <w:adjustRightInd w:val="0"/>
        <w:spacing w:line="380" w:lineRule="exact"/>
        <w:ind w:firstLine="420" w:firstLineChars="200"/>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rPr>
        <w:t xml:space="preserve">东路558号（城开大厦3号楼北幢9层）    </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50DE32BA">
      <w:pPr>
        <w:autoSpaceDE w:val="0"/>
        <w:autoSpaceDN w:val="0"/>
        <w:adjustRightInd w:val="0"/>
        <w:spacing w:line="380" w:lineRule="exact"/>
        <w:ind w:left="521" w:leftChars="24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rPr>
        <w:t xml:space="preserve">      </w:t>
      </w:r>
    </w:p>
    <w:p w14:paraId="44E190CC">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法定代表人</w:t>
      </w:r>
      <w:r>
        <w:rPr>
          <w:rFonts w:hint="eastAsia" w:asciiTheme="minorEastAsia" w:hAnsiTheme="minorEastAsia" w:eastAsiaTheme="minorEastAsia" w:cstheme="minorEastAsia"/>
          <w:color w:val="auto"/>
          <w:kern w:val="0"/>
          <w:sz w:val="21"/>
          <w:szCs w:val="21"/>
          <w:highlight w:val="none"/>
        </w:rPr>
        <w:t xml:space="preserve">： </w:t>
      </w:r>
    </w:p>
    <w:p w14:paraId="32F3C75E">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rPr>
      </w:pP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委托代理人</w:t>
      </w:r>
      <w:r>
        <w:rPr>
          <w:rFonts w:hint="eastAsia" w:asciiTheme="minorEastAsia" w:hAnsiTheme="minorEastAsia" w:eastAsiaTheme="minorEastAsia" w:cstheme="minorEastAsia"/>
          <w:color w:val="auto"/>
          <w:kern w:val="0"/>
          <w:sz w:val="21"/>
          <w:szCs w:val="21"/>
          <w:highlight w:val="none"/>
        </w:rPr>
        <w:t>：</w:t>
      </w:r>
    </w:p>
    <w:p w14:paraId="2E7C07DF">
      <w:pPr>
        <w:autoSpaceDE w:val="0"/>
        <w:autoSpaceDN w:val="0"/>
        <w:adjustRightInd w:val="0"/>
        <w:spacing w:line="440" w:lineRule="exact"/>
        <w:ind w:firstLine="457" w:firstLineChars="218"/>
        <w:jc w:val="left"/>
        <w:rPr>
          <w:rFonts w:hint="eastAsia" w:asciiTheme="minorEastAsia" w:hAnsiTheme="minorEastAsia" w:eastAsiaTheme="minorEastAsia" w:cstheme="minorEastAsia"/>
          <w:color w:val="auto"/>
          <w:kern w:val="0"/>
          <w:sz w:val="21"/>
          <w:szCs w:val="21"/>
          <w:highlight w:val="none"/>
          <w:lang w:eastAsia="zh-CN"/>
        </w:rPr>
      </w:pPr>
      <w:r>
        <w:rPr>
          <w:rFonts w:hint="eastAsia" w:asciiTheme="minorEastAsia" w:hAnsiTheme="minorEastAsia" w:eastAsiaTheme="minorEastAsia" w:cstheme="minorEastAsia"/>
          <w:color w:val="auto"/>
          <w:kern w:val="0"/>
          <w:sz w:val="21"/>
          <w:szCs w:val="21"/>
          <w:highlight w:val="none"/>
          <w:lang w:val="zh-CN"/>
        </w:rPr>
        <w:t>电话：0574-88967016</w:t>
      </w:r>
      <w:r>
        <w:rPr>
          <w:rFonts w:hint="eastAsia" w:asciiTheme="minorEastAsia" w:hAnsiTheme="minorEastAsia" w:eastAsiaTheme="minorEastAsia" w:cstheme="minorEastAsia"/>
          <w:color w:val="auto"/>
          <w:kern w:val="0"/>
          <w:sz w:val="21"/>
          <w:szCs w:val="21"/>
          <w:highlight w:val="none"/>
          <w:lang w:val="zh-CN"/>
        </w:rPr>
        <w:tab/>
      </w:r>
      <w:r>
        <w:rPr>
          <w:rFonts w:hint="eastAsia" w:asciiTheme="minorEastAsia" w:hAnsiTheme="minorEastAsia" w:eastAsiaTheme="minorEastAsia" w:cstheme="minorEastAsia"/>
          <w:color w:val="auto"/>
          <w:kern w:val="0"/>
          <w:sz w:val="21"/>
          <w:szCs w:val="21"/>
          <w:highlight w:val="none"/>
          <w:lang w:val="zh-CN"/>
        </w:rPr>
        <w:t xml:space="preserve">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电话：</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756EAE46">
      <w:pPr>
        <w:autoSpaceDE w:val="0"/>
        <w:autoSpaceDN w:val="0"/>
        <w:adjustRightInd w:val="0"/>
        <w:spacing w:line="440" w:lineRule="exact"/>
        <w:ind w:left="479" w:leftChars="228" w:firstLine="35" w:firstLineChars="17"/>
        <w:jc w:val="left"/>
        <w:rPr>
          <w:rFonts w:hint="eastAsia" w:asciiTheme="minorEastAsia" w:hAnsiTheme="minorEastAsia" w:eastAsiaTheme="minorEastAsia" w:cstheme="minorEastAsia"/>
          <w:color w:val="auto"/>
          <w:kern w:val="0"/>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开户银行：宁波银行股份有限公司岳林支行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开户银行：</w:t>
      </w:r>
      <w:r>
        <w:rPr>
          <w:rFonts w:hint="eastAsia" w:asciiTheme="minorEastAsia" w:hAnsiTheme="minorEastAsia" w:eastAsiaTheme="minorEastAsia" w:cstheme="minorEastAsia"/>
          <w:color w:val="auto"/>
          <w:kern w:val="0"/>
          <w:sz w:val="21"/>
          <w:szCs w:val="21"/>
          <w:highlight w:val="none"/>
          <w:lang w:val="en-US" w:eastAsia="zh-CN"/>
        </w:rPr>
        <w:t xml:space="preserve">    </w:t>
      </w:r>
    </w:p>
    <w:p w14:paraId="28067123">
      <w:pPr>
        <w:autoSpaceDE w:val="0"/>
        <w:autoSpaceDN w:val="0"/>
        <w:adjustRightInd w:val="0"/>
        <w:spacing w:line="440" w:lineRule="exact"/>
        <w:ind w:left="479" w:leftChars="228" w:firstLine="35" w:firstLineChars="17"/>
        <w:jc w:val="left"/>
        <w:rPr>
          <w:rFonts w:hint="default" w:eastAsia="宋体"/>
          <w:color w:val="auto"/>
          <w:sz w:val="21"/>
          <w:szCs w:val="21"/>
          <w:highlight w:val="none"/>
          <w:lang w:val="en-US" w:eastAsia="zh-CN"/>
        </w:rPr>
      </w:pPr>
      <w:r>
        <w:rPr>
          <w:rFonts w:hint="eastAsia" w:asciiTheme="minorEastAsia" w:hAnsiTheme="minorEastAsia" w:eastAsiaTheme="minorEastAsia" w:cstheme="minorEastAsia"/>
          <w:color w:val="auto"/>
          <w:kern w:val="0"/>
          <w:sz w:val="21"/>
          <w:szCs w:val="21"/>
          <w:highlight w:val="none"/>
          <w:lang w:val="zh-CN"/>
        </w:rPr>
        <w:t xml:space="preserve">账号：64040122 000030230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Theme="minorEastAsia" w:hAnsiTheme="minorEastAsia" w:eastAsiaTheme="minorEastAsia" w:cstheme="minorEastAsia"/>
          <w:color w:val="auto"/>
          <w:kern w:val="0"/>
          <w:sz w:val="21"/>
          <w:szCs w:val="21"/>
          <w:highlight w:val="none"/>
          <w:lang w:val="zh-CN"/>
        </w:rPr>
        <w:t xml:space="preserve">账号： </w:t>
      </w:r>
      <w:r>
        <w:rPr>
          <w:rFonts w:hint="eastAsia" w:asciiTheme="minorEastAsia" w:hAnsiTheme="minorEastAsia" w:eastAsiaTheme="minorEastAsia" w:cstheme="minorEastAsia"/>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 xml:space="preserve">     </w:t>
      </w:r>
    </w:p>
    <w:p w14:paraId="5BD18B18">
      <w:pPr>
        <w:spacing w:line="360" w:lineRule="auto"/>
        <w:jc w:val="center"/>
        <w:rPr>
          <w:rFonts w:hint="eastAsia" w:ascii="宋体" w:hAnsi="宋体" w:cs="宋体"/>
          <w:b/>
          <w:bCs/>
          <w:color w:val="auto"/>
          <w:sz w:val="21"/>
          <w:szCs w:val="21"/>
          <w:highlight w:val="none"/>
        </w:rPr>
      </w:pPr>
    </w:p>
    <w:p w14:paraId="54B52479">
      <w:pPr>
        <w:spacing w:line="360" w:lineRule="auto"/>
        <w:jc w:val="center"/>
        <w:rPr>
          <w:rFonts w:hint="eastAsia" w:ascii="宋体" w:hAnsi="宋体" w:cs="宋体"/>
          <w:b/>
          <w:bCs/>
          <w:color w:val="auto"/>
          <w:sz w:val="21"/>
          <w:szCs w:val="21"/>
          <w:highlight w:val="none"/>
        </w:rPr>
      </w:pPr>
    </w:p>
    <w:p w14:paraId="33F02425">
      <w:pPr>
        <w:spacing w:line="360" w:lineRule="auto"/>
        <w:jc w:val="center"/>
        <w:rPr>
          <w:rFonts w:hint="eastAsia" w:ascii="宋体" w:hAnsi="宋体" w:cs="宋体"/>
          <w:b/>
          <w:bCs/>
          <w:color w:val="auto"/>
          <w:sz w:val="21"/>
          <w:szCs w:val="21"/>
          <w:highlight w:val="none"/>
        </w:rPr>
      </w:pPr>
    </w:p>
    <w:p w14:paraId="45E03AA7">
      <w:pPr>
        <w:spacing w:line="360" w:lineRule="auto"/>
        <w:jc w:val="center"/>
        <w:rPr>
          <w:rFonts w:hint="eastAsia" w:ascii="宋体" w:hAnsi="宋体" w:cs="宋体"/>
          <w:b/>
          <w:bCs/>
          <w:color w:val="auto"/>
          <w:sz w:val="21"/>
          <w:szCs w:val="21"/>
          <w:highlight w:val="none"/>
        </w:rPr>
      </w:pPr>
    </w:p>
    <w:p w14:paraId="6F0680EF">
      <w:pPr>
        <w:spacing w:line="360" w:lineRule="auto"/>
        <w:jc w:val="center"/>
        <w:rPr>
          <w:rFonts w:hint="eastAsia" w:ascii="宋体" w:hAnsi="宋体" w:cs="宋体"/>
          <w:b/>
          <w:bCs/>
          <w:color w:val="auto"/>
          <w:sz w:val="21"/>
          <w:szCs w:val="21"/>
          <w:highlight w:val="none"/>
        </w:rPr>
      </w:pPr>
    </w:p>
    <w:p w14:paraId="484C646B">
      <w:pPr>
        <w:pStyle w:val="33"/>
        <w:ind w:left="0" w:leftChars="0" w:firstLine="0" w:firstLineChars="0"/>
        <w:rPr>
          <w:rFonts w:hint="eastAsia" w:ascii="宋体" w:hAnsi="宋体" w:cs="宋体"/>
          <w:b/>
          <w:bCs/>
          <w:color w:val="auto"/>
          <w:sz w:val="21"/>
          <w:szCs w:val="21"/>
          <w:highlight w:val="none"/>
        </w:rPr>
      </w:pPr>
    </w:p>
    <w:p w14:paraId="01B8B392">
      <w:pPr>
        <w:pStyle w:val="33"/>
        <w:ind w:left="0" w:leftChars="0" w:firstLine="0" w:firstLineChars="0"/>
        <w:rPr>
          <w:rFonts w:hint="eastAsia" w:ascii="宋体" w:hAnsi="宋体" w:cs="宋体"/>
          <w:b/>
          <w:bCs/>
          <w:color w:val="auto"/>
          <w:sz w:val="21"/>
          <w:szCs w:val="21"/>
          <w:highlight w:val="none"/>
        </w:rPr>
      </w:pPr>
    </w:p>
    <w:p w14:paraId="2DC9342F">
      <w:pPr>
        <w:spacing w:line="360" w:lineRule="auto"/>
        <w:jc w:val="center"/>
        <w:rPr>
          <w:rFonts w:hint="eastAsia" w:ascii="宋体" w:hAnsi="宋体" w:cs="宋体"/>
          <w:b/>
          <w:bCs/>
          <w:color w:val="auto"/>
          <w:sz w:val="21"/>
          <w:szCs w:val="21"/>
          <w:highlight w:val="none"/>
        </w:rPr>
      </w:pPr>
    </w:p>
    <w:p w14:paraId="6910EB74">
      <w:pPr>
        <w:pageBreakBefore w:val="0"/>
        <w:widowControl w:val="0"/>
        <w:kinsoku/>
        <w:wordWrap/>
        <w:overflowPunct/>
        <w:topLinePunct w:val="0"/>
        <w:bidi w:val="0"/>
        <w:spacing w:line="360" w:lineRule="auto"/>
        <w:jc w:val="center"/>
        <w:textAlignment w:val="auto"/>
        <w:rPr>
          <w:rFonts w:hint="eastAsia" w:ascii="宋体" w:hAnsi="宋体" w:cs="宋体"/>
          <w:b/>
          <w:bCs/>
          <w:color w:val="auto"/>
          <w:sz w:val="21"/>
          <w:szCs w:val="21"/>
          <w:highlight w:val="none"/>
        </w:rPr>
      </w:pPr>
    </w:p>
    <w:p w14:paraId="27A179EC">
      <w:pPr>
        <w:pageBreakBefore w:val="0"/>
        <w:widowControl w:val="0"/>
        <w:kinsoku/>
        <w:wordWrap/>
        <w:overflowPunct/>
        <w:topLinePunct w:val="0"/>
        <w:bidi w:val="0"/>
        <w:spacing w:line="360" w:lineRule="auto"/>
        <w:jc w:val="center"/>
        <w:textAlignment w:val="auto"/>
        <w:rPr>
          <w:rFonts w:hint="eastAsia" w:ascii="宋体" w:hAnsi="宋体" w:cs="宋体"/>
          <w:b/>
          <w:bCs/>
          <w:color w:val="auto"/>
          <w:sz w:val="21"/>
          <w:szCs w:val="21"/>
          <w:highlight w:val="none"/>
        </w:rPr>
      </w:pPr>
    </w:p>
    <w:p w14:paraId="0CE2FE28">
      <w:pPr>
        <w:pageBreakBefore w:val="0"/>
        <w:widowControl w:val="0"/>
        <w:kinsoku/>
        <w:wordWrap/>
        <w:overflowPunct/>
        <w:topLinePunct w:val="0"/>
        <w:bidi w:val="0"/>
        <w:spacing w:line="360" w:lineRule="auto"/>
        <w:jc w:val="center"/>
        <w:textAlignment w:val="auto"/>
        <w:rPr>
          <w:rFonts w:hint="eastAsia" w:ascii="宋体" w:hAnsi="宋体" w:cs="宋体"/>
          <w:b/>
          <w:bCs/>
          <w:color w:val="auto"/>
          <w:sz w:val="21"/>
          <w:szCs w:val="21"/>
          <w:highlight w:val="none"/>
        </w:rPr>
      </w:pPr>
    </w:p>
    <w:p w14:paraId="2F06F26B">
      <w:pPr>
        <w:pageBreakBefore w:val="0"/>
        <w:widowControl w:val="0"/>
        <w:kinsoku/>
        <w:wordWrap/>
        <w:overflowPunct/>
        <w:topLinePunct w:val="0"/>
        <w:bidi w:val="0"/>
        <w:spacing w:line="360" w:lineRule="auto"/>
        <w:jc w:val="center"/>
        <w:textAlignment w:val="auto"/>
        <w:rPr>
          <w:rFonts w:hint="eastAsia" w:ascii="宋体" w:hAnsi="宋体" w:cs="宋体"/>
          <w:b/>
          <w:bCs/>
          <w:color w:val="auto"/>
          <w:sz w:val="21"/>
          <w:szCs w:val="21"/>
          <w:highlight w:val="none"/>
        </w:rPr>
      </w:pPr>
    </w:p>
    <w:p w14:paraId="3E7D2694">
      <w:pPr>
        <w:pageBreakBefore w:val="0"/>
        <w:widowControl w:val="0"/>
        <w:kinsoku/>
        <w:wordWrap/>
        <w:overflowPunct/>
        <w:topLinePunct w:val="0"/>
        <w:bidi w:val="0"/>
        <w:spacing w:line="360" w:lineRule="auto"/>
        <w:jc w:val="center"/>
        <w:textAlignment w:val="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第二部分</w:t>
      </w:r>
      <w:r>
        <w:rPr>
          <w:rFonts w:hint="eastAsia" w:ascii="宋体" w:hAnsi="宋体" w:cs="宋体"/>
          <w:b/>
          <w:color w:val="auto"/>
          <w:sz w:val="21"/>
          <w:szCs w:val="21"/>
          <w:highlight w:val="none"/>
        </w:rPr>
        <w:t xml:space="preserve"> 通用合同条款</w:t>
      </w:r>
    </w:p>
    <w:p w14:paraId="6CEE3926">
      <w:pPr>
        <w:pageBreakBefore w:val="0"/>
        <w:widowControl w:val="0"/>
        <w:kinsoku/>
        <w:wordWrap/>
        <w:overflowPunct/>
        <w:topLinePunct w:val="0"/>
        <w:bidi w:val="0"/>
        <w:spacing w:line="360" w:lineRule="auto"/>
        <w:ind w:firstLine="420" w:firstLineChars="200"/>
        <w:textAlignment w:val="auto"/>
        <w:rPr>
          <w:rFonts w:ascii="宋体" w:hAnsi="宋体"/>
          <w:color w:val="auto"/>
          <w:kern w:val="0"/>
          <w:sz w:val="21"/>
          <w:szCs w:val="21"/>
          <w:highlight w:val="none"/>
        </w:rPr>
      </w:pPr>
      <w:r>
        <w:rPr>
          <w:rFonts w:hint="eastAsia" w:ascii="宋体" w:hAnsi="宋体"/>
          <w:color w:val="auto"/>
          <w:kern w:val="0"/>
          <w:sz w:val="21"/>
          <w:szCs w:val="21"/>
          <w:highlight w:val="none"/>
        </w:rPr>
        <w:t>通用合同条款直接引用建市[2017]214号“住房城乡建设部、工商总局关于印发建设工程施工合同（示范文本）的通知”附件《建设工程施工合同（示范文本）（GF-2017-0201）第二部分“通用合同条款”内容。</w:t>
      </w:r>
    </w:p>
    <w:p w14:paraId="24364854">
      <w:pPr>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p>
    <w:p w14:paraId="3DD5F0A8">
      <w:pPr>
        <w:pStyle w:val="4"/>
        <w:pageBreakBefore w:val="0"/>
        <w:widowControl w:val="0"/>
        <w:kinsoku/>
        <w:wordWrap/>
        <w:overflowPunct/>
        <w:topLinePunct w:val="0"/>
        <w:bidi w:val="0"/>
        <w:spacing w:before="120" w:line="360" w:lineRule="auto"/>
        <w:jc w:val="center"/>
        <w:textAlignment w:val="auto"/>
        <w:rPr>
          <w:rFonts w:hint="eastAsia" w:ascii="宋体" w:hAnsi="宋体" w:cs="宋体"/>
          <w:color w:val="auto"/>
          <w:sz w:val="21"/>
          <w:szCs w:val="21"/>
          <w:highlight w:val="none"/>
        </w:rPr>
      </w:pPr>
      <w:bookmarkStart w:id="395" w:name="_Toc364853223"/>
      <w:r>
        <w:rPr>
          <w:rFonts w:hint="eastAsia" w:ascii="宋体" w:hAnsi="宋体" w:cs="宋体"/>
          <w:color w:val="auto"/>
          <w:sz w:val="21"/>
          <w:szCs w:val="21"/>
          <w:highlight w:val="none"/>
        </w:rPr>
        <w:t>第三部分 专用合同条款</w:t>
      </w:r>
      <w:bookmarkEnd w:id="395"/>
    </w:p>
    <w:p w14:paraId="34F9B546">
      <w:pPr>
        <w:pageBreakBefore w:val="0"/>
        <w:widowControl w:val="0"/>
        <w:kinsoku/>
        <w:wordWrap/>
        <w:overflowPunct/>
        <w:topLinePunct w:val="0"/>
        <w:bidi w:val="0"/>
        <w:spacing w:line="360" w:lineRule="auto"/>
        <w:ind w:firstLine="420" w:firstLineChars="200"/>
        <w:textAlignment w:val="auto"/>
        <w:rPr>
          <w:rFonts w:hint="eastAsia" w:ascii="宋体" w:hAnsi="宋体"/>
          <w:color w:val="auto"/>
          <w:kern w:val="0"/>
          <w:sz w:val="21"/>
          <w:szCs w:val="21"/>
          <w:highlight w:val="none"/>
        </w:rPr>
      </w:pPr>
      <w:bookmarkStart w:id="396" w:name="_Toc364853224"/>
      <w:r>
        <w:rPr>
          <w:rFonts w:hint="eastAsia" w:ascii="宋体" w:hAnsi="宋体"/>
          <w:color w:val="auto"/>
          <w:kern w:val="0"/>
          <w:sz w:val="21"/>
          <w:szCs w:val="21"/>
          <w:highlight w:val="none"/>
        </w:rPr>
        <w:t>以下主要专用合同条款根据建市[2017]214号“住房城乡建设部、工商总局关于印发建设工程施工合同（示范文本）的通知”附件《建设工程施工合同（示范文本）（GF-2017-0201）第三部分“专用合同条款”的格式与内容确定，除招标人和中标人在合同谈判期间有补充约定外，本合同的专用合同条款按以下条款执行。</w:t>
      </w:r>
    </w:p>
    <w:p w14:paraId="3437809F">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 一般约定</w:t>
      </w:r>
      <w:bookmarkEnd w:id="396"/>
    </w:p>
    <w:p w14:paraId="598F226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1.3 法律 </w:t>
      </w:r>
    </w:p>
    <w:p w14:paraId="02C4512E">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适用于合同的其他规范性文件：浙江省、宁波市有关工程建设的法规、规章及规范性文件。</w:t>
      </w:r>
    </w:p>
    <w:p w14:paraId="5BC2BC9A">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1.4 标准和规范</w:t>
      </w:r>
    </w:p>
    <w:p w14:paraId="3626BBA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1.4.1适用于工程的标准规范包括：浙江省、宁波市工程建设相关的施工及验收规范和标准。</w:t>
      </w:r>
    </w:p>
    <w:p w14:paraId="59B7525C">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1.5 合同文件的优先顺序</w:t>
      </w:r>
    </w:p>
    <w:p w14:paraId="5B77C89E">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合同文件的优先解释顺序执行通用条款。</w:t>
      </w:r>
    </w:p>
    <w:p w14:paraId="3E04D581">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1.6 图纸和承包人文件</w:t>
      </w:r>
      <w:r>
        <w:rPr>
          <w:rFonts w:hint="eastAsia" w:hAnsi="宋体" w:cs="宋体"/>
          <w:color w:val="auto"/>
          <w:sz w:val="21"/>
          <w:szCs w:val="21"/>
          <w:highlight w:val="none"/>
        </w:rPr>
        <w:tab/>
      </w:r>
    </w:p>
    <w:p w14:paraId="6078BE98">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1.6.1图纸的提供</w:t>
      </w:r>
    </w:p>
    <w:p w14:paraId="5E6CE090">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发包人向承包人提供图纸的期限：向承包人发出成交确认书后3天内；</w:t>
      </w:r>
    </w:p>
    <w:p w14:paraId="0BE4BC1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发包人向承包人提供图纸的数量：一式五套；</w:t>
      </w:r>
    </w:p>
    <w:p w14:paraId="5D877DB2">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发包人向承包人提供图纸的内容：工程承包范围内的各专业工程。</w:t>
      </w:r>
    </w:p>
    <w:p w14:paraId="6D305382">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1.6.4 承包人文件</w:t>
      </w:r>
    </w:p>
    <w:p w14:paraId="706C2DF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需要由承包人提供的文件，包括：施工组织设计、工程进度计划、专项施工方案、加工图、大样图、协调配合图等；</w:t>
      </w:r>
    </w:p>
    <w:p w14:paraId="14879F4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承包人提供的文件的期限为：施工组织设计、工程进度计划在工程开工前7天，其他文件在相应专项工程或部位施工前7天；</w:t>
      </w:r>
    </w:p>
    <w:p w14:paraId="48CC3581">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承包人提供的文件的数量为：一式五套；</w:t>
      </w:r>
    </w:p>
    <w:p w14:paraId="006C091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1.6.5 现场图纸准备</w:t>
      </w:r>
    </w:p>
    <w:p w14:paraId="18C1EE5E">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关于现场图纸准备的约定：承包人在施工现场保存至少一套完整的图纸和承包人文件。</w:t>
      </w:r>
    </w:p>
    <w:p w14:paraId="044A9B11">
      <w:pPr>
        <w:pageBreakBefore w:val="0"/>
        <w:widowControl w:val="0"/>
        <w:kinsoku/>
        <w:wordWrap/>
        <w:overflowPunct/>
        <w:topLinePunct w:val="0"/>
        <w:bidi w:val="0"/>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1.7联络</w:t>
      </w:r>
    </w:p>
    <w:p w14:paraId="6B719FCA">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1.7.1发包人和承包人应当在通用条款规定的时间内将与合同有关的通知、批准、证明、证书、指示、指令、要求、请求、同意、意见、确定和决定等书面函件送达对方当事人。</w:t>
      </w:r>
    </w:p>
    <w:p w14:paraId="60825A7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1.7.2发包人接收文件的地点：</w:t>
      </w:r>
      <w:r>
        <w:rPr>
          <w:rFonts w:hint="eastAsia" w:ascii="宋体" w:hAnsi="宋体" w:cs="宋体"/>
          <w:color w:val="auto"/>
          <w:sz w:val="21"/>
          <w:szCs w:val="21"/>
          <w:highlight w:val="none"/>
          <w:u w:val="single"/>
        </w:rPr>
        <w:t>发包人驻项目办公所在地</w:t>
      </w:r>
      <w:r>
        <w:rPr>
          <w:rFonts w:hint="eastAsia" w:ascii="宋体" w:hAnsi="宋体" w:cs="宋体"/>
          <w:color w:val="auto"/>
          <w:sz w:val="21"/>
          <w:szCs w:val="21"/>
          <w:highlight w:val="none"/>
        </w:rPr>
        <w:t>；</w:t>
      </w:r>
    </w:p>
    <w:p w14:paraId="163F4BF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发包人指定的接收人为：</w:t>
      </w:r>
      <w:r>
        <w:rPr>
          <w:rFonts w:hint="eastAsia" w:ascii="宋体" w:hAnsi="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1F86EC2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097F7982">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承包人指定的接收人为：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37560CB3">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监理人接收文件的地点：</w:t>
      </w:r>
      <w:r>
        <w:rPr>
          <w:rFonts w:hint="eastAsia" w:ascii="宋体" w:hAnsi="宋体" w:cs="宋体"/>
          <w:color w:val="auto"/>
          <w:sz w:val="21"/>
          <w:szCs w:val="21"/>
          <w:highlight w:val="none"/>
          <w:u w:val="single"/>
        </w:rPr>
        <w:t>承包人驻项目办公所在地</w:t>
      </w:r>
      <w:r>
        <w:rPr>
          <w:rFonts w:hint="eastAsia" w:ascii="宋体" w:hAnsi="宋体" w:cs="宋体"/>
          <w:color w:val="auto"/>
          <w:sz w:val="21"/>
          <w:szCs w:val="21"/>
          <w:highlight w:val="none"/>
        </w:rPr>
        <w:t>；</w:t>
      </w:r>
    </w:p>
    <w:p w14:paraId="46FE784A">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监理人指定的接收人为：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w:t>
      </w:r>
    </w:p>
    <w:p w14:paraId="40BDE09F">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1.10 交通运输</w:t>
      </w:r>
    </w:p>
    <w:p w14:paraId="15A0C991">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1.10.1 出入现场的权利：执行通用条款。</w:t>
      </w:r>
    </w:p>
    <w:p w14:paraId="30432571">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1.10.3 关于场外交通和场内交通边界的约定：</w:t>
      </w:r>
      <w:r>
        <w:rPr>
          <w:rFonts w:hint="eastAsia" w:ascii="宋体" w:hAnsi="宋体" w:cs="宋体"/>
          <w:color w:val="auto"/>
          <w:sz w:val="21"/>
          <w:szCs w:val="21"/>
          <w:highlight w:val="none"/>
          <w:u w:val="single"/>
        </w:rPr>
        <w:t xml:space="preserve">   无   </w:t>
      </w:r>
      <w:r>
        <w:rPr>
          <w:rFonts w:hint="eastAsia" w:ascii="宋体" w:hAnsi="宋体" w:cs="宋体"/>
          <w:color w:val="auto"/>
          <w:sz w:val="21"/>
          <w:szCs w:val="21"/>
          <w:highlight w:val="none"/>
        </w:rPr>
        <w:t>。</w:t>
      </w:r>
    </w:p>
    <w:p w14:paraId="7C82270F">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1.10.4 超大件和超重件的运输</w:t>
      </w:r>
    </w:p>
    <w:p w14:paraId="16DFF5D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运输超大件或超重件所需的道路和桥梁临时加固改造费用和其他有关费用由</w:t>
      </w:r>
      <w:r>
        <w:rPr>
          <w:rFonts w:hint="eastAsia" w:ascii="宋体" w:hAnsi="宋体" w:cs="宋体"/>
          <w:color w:val="auto"/>
          <w:sz w:val="21"/>
          <w:szCs w:val="21"/>
          <w:highlight w:val="none"/>
          <w:u w:val="single"/>
        </w:rPr>
        <w:t>承包人</w:t>
      </w:r>
      <w:r>
        <w:rPr>
          <w:rFonts w:hint="eastAsia" w:ascii="宋体" w:hAnsi="宋体" w:cs="宋体"/>
          <w:color w:val="auto"/>
          <w:sz w:val="21"/>
          <w:szCs w:val="21"/>
          <w:highlight w:val="none"/>
        </w:rPr>
        <w:t xml:space="preserve">承担。 </w:t>
      </w:r>
    </w:p>
    <w:p w14:paraId="750C88C8">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1.11 知识产权</w:t>
      </w:r>
    </w:p>
    <w:p w14:paraId="7B8FDF51">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关于本合同的知识产权、使用及使用费用约定：执行通用条款。</w:t>
      </w:r>
    </w:p>
    <w:p w14:paraId="3B565B1F">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1.13工程量清单错误的修正</w:t>
      </w:r>
    </w:p>
    <w:p w14:paraId="18BA610F">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bookmarkStart w:id="397" w:name="_Toc364853225"/>
      <w:r>
        <w:rPr>
          <w:rFonts w:hint="eastAsia" w:ascii="宋体" w:hAnsi="宋体" w:cs="宋体"/>
          <w:color w:val="auto"/>
          <w:sz w:val="21"/>
          <w:szCs w:val="21"/>
          <w:highlight w:val="none"/>
        </w:rPr>
        <w:t>允许对下列工程量清单的错误进行调整：（1）工程量清单存在缺项、漏项；（2）任一招标工程量清单项目的工程量有偏差；（3）未按照国家现行计量规范强制性规定计量。</w:t>
      </w:r>
    </w:p>
    <w:p w14:paraId="2AC0597A">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 发包人</w:t>
      </w:r>
      <w:bookmarkEnd w:id="397"/>
    </w:p>
    <w:p w14:paraId="6BF40E32">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2.2 发包人代表</w:t>
      </w:r>
    </w:p>
    <w:p w14:paraId="10FE480E">
      <w:pPr>
        <w:pStyle w:val="67"/>
        <w:pageBreakBefore w:val="0"/>
        <w:widowControl w:val="0"/>
        <w:kinsoku/>
        <w:wordWrap/>
        <w:overflowPunct/>
        <w:topLinePunct w:val="0"/>
        <w:bidi w:val="0"/>
        <w:spacing w:before="120" w:line="360" w:lineRule="auto"/>
        <w:ind w:firstLine="399" w:firstLineChars="190"/>
        <w:textAlignment w:val="auto"/>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发包人代表姓名：</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0DDC5F67">
      <w:pPr>
        <w:pStyle w:val="67"/>
        <w:pageBreakBefore w:val="0"/>
        <w:widowControl w:val="0"/>
        <w:kinsoku/>
        <w:wordWrap/>
        <w:overflowPunct/>
        <w:topLinePunct w:val="0"/>
        <w:bidi w:val="0"/>
        <w:spacing w:before="120" w:line="360" w:lineRule="auto"/>
        <w:ind w:firstLine="399" w:firstLineChars="190"/>
        <w:textAlignment w:val="auto"/>
        <w:rPr>
          <w:rFonts w:hint="eastAsia" w:ascii="仿宋_GB2312" w:hAnsi="宋体" w:eastAsia="仿宋_GB2312"/>
          <w:color w:val="auto"/>
          <w:sz w:val="21"/>
          <w:szCs w:val="21"/>
          <w:highlight w:val="none"/>
          <w:u w:val="single"/>
        </w:rPr>
      </w:pPr>
      <w:r>
        <w:rPr>
          <w:rFonts w:hint="eastAsia" w:ascii="宋体" w:hAnsi="宋体" w:eastAsia="宋体" w:cs="宋体"/>
          <w:b w:val="0"/>
          <w:color w:val="auto"/>
          <w:kern w:val="2"/>
          <w:sz w:val="21"/>
          <w:szCs w:val="21"/>
          <w:highlight w:val="none"/>
          <w:lang w:val="en-US" w:eastAsia="zh-CN" w:bidi="ar-SA"/>
        </w:rPr>
        <w:t>身份证号码：</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60699EC4">
      <w:pPr>
        <w:pStyle w:val="67"/>
        <w:pageBreakBefore w:val="0"/>
        <w:widowControl w:val="0"/>
        <w:kinsoku/>
        <w:wordWrap/>
        <w:overflowPunct/>
        <w:topLinePunct w:val="0"/>
        <w:bidi w:val="0"/>
        <w:spacing w:before="120" w:line="360" w:lineRule="auto"/>
        <w:ind w:firstLine="399" w:firstLineChars="190"/>
        <w:textAlignment w:val="auto"/>
        <w:rPr>
          <w:rFonts w:hint="eastAsia" w:ascii="仿宋_GB2312" w:hAnsi="宋体" w:eastAsia="仿宋_GB2312"/>
          <w:color w:val="auto"/>
          <w:sz w:val="21"/>
          <w:szCs w:val="21"/>
          <w:highlight w:val="none"/>
        </w:rPr>
      </w:pPr>
      <w:r>
        <w:rPr>
          <w:rFonts w:hint="eastAsia" w:ascii="宋体" w:hAnsi="宋体" w:eastAsia="宋体" w:cs="宋体"/>
          <w:b w:val="0"/>
          <w:color w:val="auto"/>
          <w:kern w:val="2"/>
          <w:sz w:val="21"/>
          <w:szCs w:val="21"/>
          <w:highlight w:val="none"/>
          <w:lang w:val="en-US" w:eastAsia="zh-CN" w:bidi="ar-SA"/>
        </w:rPr>
        <w:t>联系电话：</w:t>
      </w:r>
      <w:r>
        <w:rPr>
          <w:rFonts w:hint="eastAsia" w:ascii="仿宋_GB2312" w:hAnsi="宋体" w:eastAsia="仿宋_GB2312"/>
          <w:color w:val="auto"/>
          <w:sz w:val="21"/>
          <w:szCs w:val="21"/>
          <w:highlight w:val="none"/>
          <w:u w:val="single"/>
        </w:rPr>
        <w:t xml:space="preserve">  </w:t>
      </w:r>
      <w:r>
        <w:rPr>
          <w:rFonts w:hint="eastAsia" w:ascii="仿宋_GB2312" w:hAnsi="宋体" w:eastAsia="仿宋_GB2312"/>
          <w:color w:val="auto"/>
          <w:sz w:val="21"/>
          <w:szCs w:val="21"/>
          <w:highlight w:val="none"/>
          <w:u w:val="single"/>
          <w:lang w:val="en-US" w:eastAsia="zh-CN"/>
        </w:rPr>
        <w:t xml:space="preserve">         </w:t>
      </w:r>
      <w:r>
        <w:rPr>
          <w:rFonts w:hint="eastAsia" w:ascii="仿宋_GB2312" w:hAnsi="宋体" w:eastAsia="仿宋_GB2312"/>
          <w:color w:val="auto"/>
          <w:sz w:val="21"/>
          <w:szCs w:val="21"/>
          <w:highlight w:val="none"/>
          <w:u w:val="single"/>
        </w:rPr>
        <w:t xml:space="preserve">                 </w:t>
      </w:r>
    </w:p>
    <w:p w14:paraId="2A0A1823">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对发包人代表的授权范围如下：代表发包人履行发包人对工程建设管理的权利和义务，签发（或会签）各项工程联系单，对承包人、监理人有监督、协调的权利。工程价款洽商、索赔事项的处理、合同的变更等事项，由发包人代表在监理人的配合下完成，但最终需经发包人同意。</w:t>
      </w:r>
    </w:p>
    <w:p w14:paraId="3EA89DA8">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2.5 资金来源证明及支付担保</w:t>
      </w:r>
    </w:p>
    <w:p w14:paraId="70849C1F">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bookmarkStart w:id="398" w:name="_Toc364853226"/>
      <w:r>
        <w:rPr>
          <w:rFonts w:hint="eastAsia" w:ascii="宋体" w:hAnsi="宋体" w:cs="宋体"/>
          <w:color w:val="auto"/>
          <w:sz w:val="21"/>
          <w:szCs w:val="21"/>
          <w:highlight w:val="none"/>
        </w:rPr>
        <w:t>按《宁波市房屋建筑和市政基础设施工程担保管理办法（试行）》规定，发包人</w:t>
      </w:r>
      <w:r>
        <w:rPr>
          <w:rFonts w:hint="eastAsia" w:ascii="宋体" w:hAnsi="宋体" w:cs="宋体"/>
          <w:color w:val="auto"/>
          <w:kern w:val="0"/>
          <w:sz w:val="21"/>
          <w:szCs w:val="21"/>
          <w:highlight w:val="none"/>
          <w:u w:val="single"/>
        </w:rPr>
        <w:t xml:space="preserve">不需 </w:t>
      </w:r>
      <w:r>
        <w:rPr>
          <w:rFonts w:hint="eastAsia" w:ascii="宋体" w:hAnsi="宋体" w:cs="宋体"/>
          <w:color w:val="auto"/>
          <w:sz w:val="21"/>
          <w:szCs w:val="21"/>
          <w:highlight w:val="none"/>
        </w:rPr>
        <w:t>向承包人提供合同款的支付担保。</w:t>
      </w:r>
    </w:p>
    <w:p w14:paraId="5803E832">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 承包人</w:t>
      </w:r>
      <w:bookmarkEnd w:id="398"/>
    </w:p>
    <w:p w14:paraId="0ADC97D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3.1 承包人的一般义务</w:t>
      </w:r>
    </w:p>
    <w:p w14:paraId="3DCF62F0">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u w:val="single"/>
        </w:rPr>
      </w:pPr>
      <w:r>
        <w:rPr>
          <w:rFonts w:hint="eastAsia" w:ascii="宋体" w:hAnsi="宋体" w:cs="宋体"/>
          <w:color w:val="auto"/>
          <w:kern w:val="0"/>
          <w:sz w:val="21"/>
          <w:szCs w:val="21"/>
          <w:highlight w:val="none"/>
        </w:rPr>
        <w:t>（9）</w:t>
      </w:r>
      <w:r>
        <w:rPr>
          <w:rFonts w:hint="eastAsia" w:ascii="宋体" w:hAnsi="宋体" w:cs="宋体"/>
          <w:color w:val="auto"/>
          <w:sz w:val="21"/>
          <w:szCs w:val="21"/>
          <w:highlight w:val="none"/>
        </w:rPr>
        <w:t>承包人应在具备竣工验收合格条件后2个月内按宁波市奉化区城建档案归档要求向发包人提交竣工资料，至少包括纸质及电子资料各3套，为此产生的费用由承包人承担。</w:t>
      </w:r>
    </w:p>
    <w:p w14:paraId="06643C9F">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rPr>
      </w:pPr>
      <w:r>
        <w:rPr>
          <w:rFonts w:hint="eastAsia" w:hAnsi="宋体" w:cs="宋体"/>
          <w:color w:val="auto"/>
          <w:sz w:val="21"/>
          <w:szCs w:val="21"/>
          <w:highlight w:val="none"/>
        </w:rPr>
        <w:t>3.2 项目经理</w:t>
      </w:r>
    </w:p>
    <w:p w14:paraId="421E0E5D">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u w:val="single"/>
        </w:rPr>
      </w:pPr>
      <w:r>
        <w:rPr>
          <w:rFonts w:hint="eastAsia" w:hAnsi="宋体" w:cs="宋体"/>
          <w:color w:val="auto"/>
          <w:sz w:val="21"/>
          <w:szCs w:val="21"/>
          <w:highlight w:val="none"/>
        </w:rPr>
        <w:t>项目经理姓名：</w:t>
      </w:r>
      <w:r>
        <w:rPr>
          <w:rFonts w:hint="eastAsia" w:hAnsi="宋体" w:cs="宋体"/>
          <w:color w:val="auto"/>
          <w:sz w:val="21"/>
          <w:szCs w:val="21"/>
          <w:highlight w:val="none"/>
          <w:u w:val="single"/>
          <w:lang w:val="en-US" w:eastAsia="zh-CN"/>
        </w:rPr>
        <w:t xml:space="preserve">                      </w:t>
      </w:r>
    </w:p>
    <w:p w14:paraId="67C5BB5F">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lang w:val="en-US" w:eastAsia="zh-CN"/>
        </w:rPr>
        <w:t xml:space="preserve">                      </w:t>
      </w:r>
    </w:p>
    <w:p w14:paraId="1758B5DE">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u w:val="singl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7EF532C0">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u w:val="single"/>
        </w:rPr>
      </w:pPr>
      <w:r>
        <w:rPr>
          <w:rFonts w:hint="eastAsia" w:hAnsi="宋体" w:cs="宋体"/>
          <w:color w:val="auto"/>
          <w:sz w:val="21"/>
          <w:szCs w:val="21"/>
          <w:highlight w:val="none"/>
        </w:rPr>
        <w:t>安全员姓名：</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r>
        <w:rPr>
          <w:rFonts w:hint="eastAsia" w:hAnsi="宋体" w:cs="宋体"/>
          <w:color w:val="auto"/>
          <w:sz w:val="21"/>
          <w:szCs w:val="21"/>
          <w:highlight w:val="none"/>
          <w:u w:val="single"/>
        </w:rPr>
        <w:t xml:space="preserve">      </w:t>
      </w:r>
    </w:p>
    <w:p w14:paraId="74C989B1">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u w:val="single"/>
        </w:rPr>
      </w:pPr>
      <w:r>
        <w:rPr>
          <w:rFonts w:hint="eastAsia" w:hAnsi="宋体" w:cs="宋体"/>
          <w:color w:val="auto"/>
          <w:sz w:val="21"/>
          <w:szCs w:val="21"/>
          <w:highlight w:val="none"/>
        </w:rPr>
        <w:t>身份证号码：</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41F314AF">
      <w:pPr>
        <w:pStyle w:val="67"/>
        <w:pageBreakBefore w:val="0"/>
        <w:widowControl w:val="0"/>
        <w:kinsoku/>
        <w:wordWrap/>
        <w:overflowPunct/>
        <w:topLinePunct w:val="0"/>
        <w:bidi w:val="0"/>
        <w:spacing w:before="120" w:line="360" w:lineRule="auto"/>
        <w:ind w:firstLine="398" w:firstLineChars="189"/>
        <w:textAlignment w:val="auto"/>
        <w:rPr>
          <w:rFonts w:hint="eastAsia" w:hAnsi="宋体" w:cs="宋体"/>
          <w:color w:val="auto"/>
          <w:sz w:val="21"/>
          <w:szCs w:val="21"/>
          <w:highlight w:val="none"/>
        </w:rPr>
      </w:pPr>
      <w:r>
        <w:rPr>
          <w:rFonts w:hint="eastAsia" w:hAnsi="宋体" w:cs="宋体"/>
          <w:color w:val="auto"/>
          <w:sz w:val="21"/>
          <w:szCs w:val="21"/>
          <w:highlight w:val="none"/>
        </w:rPr>
        <w:t>联系电话：</w:t>
      </w:r>
      <w:r>
        <w:rPr>
          <w:rFonts w:hint="eastAsia" w:hAnsi="宋体" w:cs="宋体"/>
          <w:color w:val="auto"/>
          <w:sz w:val="21"/>
          <w:szCs w:val="21"/>
          <w:highlight w:val="none"/>
          <w:u w:val="single"/>
        </w:rPr>
        <w:t xml:space="preserve"> </w:t>
      </w:r>
      <w:r>
        <w:rPr>
          <w:rFonts w:hint="eastAsia" w:hAnsi="宋体" w:cs="宋体"/>
          <w:color w:val="auto"/>
          <w:sz w:val="21"/>
          <w:szCs w:val="21"/>
          <w:highlight w:val="none"/>
          <w:u w:val="single"/>
          <w:lang w:val="en-US" w:eastAsia="zh-CN"/>
        </w:rPr>
        <w:t xml:space="preserve">                       </w:t>
      </w:r>
    </w:p>
    <w:p w14:paraId="52E7B51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3.2.1承包人委派的项目</w:t>
      </w:r>
      <w:r>
        <w:rPr>
          <w:rFonts w:hint="eastAsia" w:ascii="宋体" w:hAnsi="宋体" w:cs="宋体"/>
          <w:color w:val="auto"/>
          <w:sz w:val="21"/>
          <w:szCs w:val="21"/>
          <w:highlight w:val="none"/>
        </w:rPr>
        <w:t>经理</w:t>
      </w:r>
      <w:r>
        <w:rPr>
          <w:rFonts w:hint="eastAsia" w:ascii="宋体" w:hAnsi="宋体" w:cs="宋体"/>
          <w:color w:val="auto"/>
          <w:kern w:val="0"/>
          <w:sz w:val="21"/>
          <w:szCs w:val="21"/>
          <w:highlight w:val="none"/>
        </w:rPr>
        <w:t>及其执业行为应遵守通用条款约定，违反约定的，按本专用条款约定，承担违约责任。</w:t>
      </w:r>
    </w:p>
    <w:p w14:paraId="330528E2">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承包人项目经理必须与承包人所承诺的人员一致，并在根据本合同约定的开工日期前到任。项目经理不得违反本市建设行政主管部门对项目经理的管理规定。未经发包人书面许可，承包人不得更换项目经理。承包人项目经理以及项目管理机构关键岗位人员的姓名、职称、身份证号、执业资格证书号、注册证书号、执业印章号、安全生产考核合格证书号等资料应当在合同协议书中载明。</w:t>
      </w:r>
    </w:p>
    <w:p w14:paraId="1A49E76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（2）承包人对项目经理的授权范围如下：在承</w:t>
      </w:r>
      <w:r>
        <w:rPr>
          <w:rFonts w:hint="eastAsia" w:ascii="宋体" w:hAnsi="宋体" w:cs="宋体"/>
          <w:color w:val="auto"/>
          <w:kern w:val="0"/>
          <w:sz w:val="21"/>
          <w:szCs w:val="21"/>
          <w:highlight w:val="none"/>
        </w:rPr>
        <w:t>包人授权范围内履行承包人的职权，对工程建设的质量、安全、工期以及工程造价控制负责，所有上报给发包人的文件均需项目经理签字。</w:t>
      </w:r>
    </w:p>
    <w:p w14:paraId="072BB103">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（3）承包人未提交劳动合同，以及没有为项目经理缴纳社会保险证明的违约责任：发包人有权解除合同，由此造成的费用增加和工期延误损失均由承包人承担。</w:t>
      </w:r>
    </w:p>
    <w:p w14:paraId="70D0F8EA">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（4）关于项目经理每月在施工现场的时间要求：每月在施工现场时间不得少于</w:t>
      </w:r>
      <w:r>
        <w:rPr>
          <w:rFonts w:hint="eastAsia" w:ascii="宋体" w:hAnsi="宋体" w:cs="宋体"/>
          <w:color w:val="auto"/>
          <w:kern w:val="0"/>
          <w:sz w:val="21"/>
          <w:szCs w:val="21"/>
          <w:highlight w:val="none"/>
          <w:u w:val="single"/>
        </w:rPr>
        <w:t xml:space="preserve"> 25</w:t>
      </w:r>
      <w:r>
        <w:rPr>
          <w:rFonts w:hint="eastAsia" w:ascii="宋体" w:hAnsi="宋体" w:cs="宋体"/>
          <w:color w:val="auto"/>
          <w:kern w:val="0"/>
          <w:sz w:val="21"/>
          <w:szCs w:val="21"/>
          <w:highlight w:val="none"/>
        </w:rPr>
        <w:t>天，每天工作时间不得少于</w:t>
      </w:r>
      <w:r>
        <w:rPr>
          <w:rFonts w:hint="eastAsia" w:ascii="宋体" w:hAnsi="宋体" w:cs="宋体"/>
          <w:color w:val="auto"/>
          <w:kern w:val="0"/>
          <w:sz w:val="21"/>
          <w:szCs w:val="21"/>
          <w:highlight w:val="none"/>
          <w:u w:val="single"/>
        </w:rPr>
        <w:t xml:space="preserve"> 8 </w:t>
      </w:r>
      <w:r>
        <w:rPr>
          <w:rFonts w:hint="eastAsia" w:ascii="宋体" w:hAnsi="宋体" w:cs="宋体"/>
          <w:color w:val="auto"/>
          <w:kern w:val="0"/>
          <w:sz w:val="21"/>
          <w:szCs w:val="21"/>
          <w:highlight w:val="none"/>
        </w:rPr>
        <w:t>小时，且重要工程例会及验收环节等必须由项目经理参加。</w:t>
      </w:r>
    </w:p>
    <w:p w14:paraId="3A62FE3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（5）项目经理未经批准，擅自离开施工现场的违约责任：处违约金</w:t>
      </w:r>
      <w:r>
        <w:rPr>
          <w:rFonts w:hint="eastAsia" w:ascii="宋体" w:hAnsi="宋体" w:cs="宋体"/>
          <w:color w:val="auto"/>
          <w:kern w:val="0"/>
          <w:sz w:val="21"/>
          <w:szCs w:val="21"/>
          <w:highlight w:val="none"/>
          <w:u w:val="single"/>
        </w:rPr>
        <w:t>1000</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57DE3E4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发包人对项目经理擅自离开施工现场的违约处理，应根据监理人对项目经理的考勤结果进行。</w:t>
      </w:r>
    </w:p>
    <w:p w14:paraId="4B655B1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3.2.3 承包人擅自更换项目经理的违约责任：处违约金</w:t>
      </w:r>
      <w:r>
        <w:rPr>
          <w:rFonts w:hint="eastAsia" w:ascii="宋体" w:hAnsi="宋体" w:cs="宋体"/>
          <w:color w:val="auto"/>
          <w:kern w:val="0"/>
          <w:sz w:val="21"/>
          <w:szCs w:val="21"/>
          <w:highlight w:val="none"/>
          <w:u w:val="single"/>
        </w:rPr>
        <w:t xml:space="preserve"> 10000 </w:t>
      </w:r>
      <w:r>
        <w:rPr>
          <w:rFonts w:hint="eastAsia" w:ascii="宋体" w:hAnsi="宋体" w:cs="宋体"/>
          <w:color w:val="auto"/>
          <w:kern w:val="0"/>
          <w:sz w:val="21"/>
          <w:szCs w:val="21"/>
          <w:highlight w:val="none"/>
        </w:rPr>
        <w:t>元/次，违约金从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中承诺的“未履行项目经理及主要施工管理人员到场承诺违约金限额”中扣除，该项限额不足时，发包人有权向承包人追偿，且有权拒绝接受其擅自更换的项目经理。</w:t>
      </w:r>
    </w:p>
    <w:p w14:paraId="4BE06C7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3.2.4 承包人无正当理由拒绝更换项目经理的违约责任：发包人认为项目经理无法履行职责的，应提供相关证明材料，并签发《整改通知书》，承包人在收到《整改通知书》后仍无改善的，发包人有权要求承包人更换项目经理。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中承诺的“未履行项目经理及主要施工管理人员到场承诺违约金限额”。情节严重的，发包人有权解除合同，由此造成的一切损失由承包人承担。</w:t>
      </w:r>
    </w:p>
    <w:p w14:paraId="717BCBC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3.3 承包人人员</w:t>
      </w:r>
    </w:p>
    <w:p w14:paraId="0040518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3.3.1 承包人应接到开工通知后7天内提交与</w:t>
      </w:r>
      <w:r>
        <w:rPr>
          <w:rFonts w:hint="eastAsia" w:ascii="宋体" w:hAnsi="宋体" w:cs="宋体"/>
          <w:color w:val="auto"/>
          <w:sz w:val="21"/>
          <w:szCs w:val="21"/>
          <w:highlight w:val="none"/>
        </w:rPr>
        <w:t>投标时所承诺的人员一致的</w:t>
      </w:r>
      <w:r>
        <w:rPr>
          <w:rFonts w:hint="eastAsia" w:ascii="宋体" w:hAnsi="宋体" w:cs="宋体"/>
          <w:color w:val="auto"/>
          <w:kern w:val="0"/>
          <w:sz w:val="21"/>
          <w:szCs w:val="21"/>
          <w:highlight w:val="none"/>
        </w:rPr>
        <w:t>项目管理机构及施工现场管理人员安排报告。</w:t>
      </w:r>
    </w:p>
    <w:p w14:paraId="75822AD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3.3.3 承包人无正当理由拒绝撤换主要施工管理人员的违约责任：发包人认为主要施工管理人员（指技术负责人、安全员、施工员、质量员）无法履行职责的，应提供相关证明材料，并签发《整改通知书》。承包人在收到《整改通知书》后仍无改善的，发包人有权要求承包人更换管理人员。承包人无正当理由拒绝更换的，发包人可以一次性扣除承包人</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w:t>
      </w:r>
    </w:p>
    <w:p w14:paraId="56A3CEAE">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3.3.4 承包人主要施工管理人员离开施工现场的批准要求：安全员、施工员每月在施工管理现场不得少于25天，其他主要施工管理人员每月在施工管理现场不得少于15天，有特殊情况少于上述时间的，批准要求按通用条款执行。</w:t>
      </w:r>
    </w:p>
    <w:p w14:paraId="0934F6A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3.3.5 承包人擅自更换主要施工管理人员的违约责任：处违约金5000元/人/次，违约金从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中承诺中的“未履行项目经理及主要施工管理人员到场承诺违约金限额”中扣除，该项限额不足时，发包人有权向承包人追偿，且有权拒绝接受其擅自更换的主要施工管理人员。</w:t>
      </w:r>
    </w:p>
    <w:p w14:paraId="2360BBE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承包人主要施工管理人员擅自离开施工现场的违约责任：处违约金2000元/人/次，违约金从</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中承诺的“未履行项目经理及主要施工管理人员到场承诺违约金限额”中扣除，该项限额不足时，发包人有权向承包人追偿。</w:t>
      </w:r>
    </w:p>
    <w:p w14:paraId="2368A26D">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3.5 分包</w:t>
      </w:r>
    </w:p>
    <w:p w14:paraId="533CBE3A">
      <w:pPr>
        <w:pStyle w:val="67"/>
        <w:pageBreakBefore w:val="0"/>
        <w:widowControl w:val="0"/>
        <w:kinsoku/>
        <w:wordWrap/>
        <w:overflowPunct/>
        <w:topLinePunct w:val="0"/>
        <w:bidi w:val="0"/>
        <w:spacing w:before="120" w:line="360" w:lineRule="auto"/>
        <w:ind w:firstLine="399" w:firstLineChars="190"/>
        <w:textAlignment w:val="auto"/>
        <w:rPr>
          <w:rFonts w:hint="eastAsia" w:hAnsi="宋体" w:cs="宋体"/>
          <w:b w:val="0"/>
          <w:bCs/>
          <w:color w:val="auto"/>
          <w:kern w:val="0"/>
          <w:sz w:val="21"/>
          <w:szCs w:val="21"/>
          <w:highlight w:val="none"/>
        </w:rPr>
      </w:pPr>
      <w:r>
        <w:rPr>
          <w:rFonts w:hint="eastAsia" w:hAnsi="宋体" w:cs="宋体"/>
          <w:b w:val="0"/>
          <w:bCs/>
          <w:color w:val="auto"/>
          <w:kern w:val="0"/>
          <w:sz w:val="21"/>
          <w:szCs w:val="21"/>
          <w:highlight w:val="none"/>
        </w:rPr>
        <w:t>不允许。</w:t>
      </w:r>
    </w:p>
    <w:p w14:paraId="4C5434FB">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3.6 工程照管与成品、半成品保护</w:t>
      </w:r>
    </w:p>
    <w:p w14:paraId="1A3F65A5">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工程照管与成品、半成品保护有关约定：执行通用条款。</w:t>
      </w:r>
    </w:p>
    <w:p w14:paraId="393F5EE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bookmarkStart w:id="399" w:name="_Toc364853227"/>
      <w:r>
        <w:rPr>
          <w:rFonts w:hint="eastAsia" w:hAnsi="宋体" w:cs="宋体"/>
          <w:color w:val="auto"/>
          <w:sz w:val="21"/>
          <w:szCs w:val="21"/>
          <w:highlight w:val="none"/>
        </w:rPr>
        <w:t>3.7 履约担保</w:t>
      </w:r>
    </w:p>
    <w:p w14:paraId="5BA53B8E">
      <w:pPr>
        <w:pStyle w:val="67"/>
        <w:pageBreakBefore w:val="0"/>
        <w:widowControl w:val="0"/>
        <w:kinsoku/>
        <w:wordWrap/>
        <w:overflowPunct/>
        <w:topLinePunct w:val="0"/>
        <w:bidi w:val="0"/>
        <w:spacing w:before="120" w:line="360" w:lineRule="auto"/>
        <w:ind w:left="120" w:hanging="105" w:hangingChars="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（1）承包人提供的履约担保形式为</w:t>
      </w:r>
      <w:r>
        <w:rPr>
          <w:rFonts w:hint="eastAsia" w:hAnsi="宋体" w:cs="宋体"/>
          <w:b w:val="0"/>
          <w:color w:val="auto"/>
          <w:kern w:val="0"/>
          <w:sz w:val="21"/>
          <w:szCs w:val="21"/>
          <w:highlight w:val="none"/>
          <w:u w:val="single"/>
        </w:rPr>
        <w:t xml:space="preserve">  </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rPr>
        <w:t xml:space="preserve">（ A、履约保函；/  B、履约保证金电汇、/  </w:t>
      </w:r>
      <w:r>
        <w:rPr>
          <w:rFonts w:hint="eastAsia" w:hAnsi="宋体" w:cs="宋体"/>
          <w:b w:val="0"/>
          <w:color w:val="auto"/>
          <w:kern w:val="0"/>
          <w:sz w:val="21"/>
          <w:szCs w:val="21"/>
          <w:highlight w:val="none"/>
          <w:lang w:val="en-US" w:eastAsia="zh-CN"/>
        </w:rPr>
        <w:t>C</w:t>
      </w:r>
      <w:r>
        <w:rPr>
          <w:rFonts w:hint="eastAsia" w:hAnsi="宋体" w:cs="宋体"/>
          <w:b w:val="0"/>
          <w:color w:val="auto"/>
          <w:kern w:val="0"/>
          <w:sz w:val="21"/>
          <w:szCs w:val="21"/>
          <w:highlight w:val="none"/>
        </w:rPr>
        <w:t xml:space="preserve">、银行支票、/ </w:t>
      </w:r>
      <w:r>
        <w:rPr>
          <w:rFonts w:hint="eastAsia" w:hAnsi="宋体" w:cs="宋体"/>
          <w:b w:val="0"/>
          <w:color w:val="auto"/>
          <w:kern w:val="0"/>
          <w:sz w:val="21"/>
          <w:szCs w:val="21"/>
          <w:highlight w:val="none"/>
          <w:lang w:val="en-US" w:eastAsia="zh-CN"/>
        </w:rPr>
        <w:t>D</w:t>
      </w:r>
      <w:r>
        <w:rPr>
          <w:rFonts w:hint="eastAsia" w:hAnsi="宋体" w:cs="宋体"/>
          <w:b w:val="0"/>
          <w:color w:val="auto"/>
          <w:kern w:val="0"/>
          <w:sz w:val="21"/>
          <w:szCs w:val="21"/>
          <w:highlight w:val="none"/>
        </w:rPr>
        <w:t xml:space="preserve">、银行保函、/  </w:t>
      </w:r>
      <w:r>
        <w:rPr>
          <w:rFonts w:hint="eastAsia" w:hAnsi="宋体" w:cs="宋体"/>
          <w:b w:val="0"/>
          <w:color w:val="auto"/>
          <w:kern w:val="0"/>
          <w:sz w:val="21"/>
          <w:szCs w:val="21"/>
          <w:highlight w:val="none"/>
          <w:lang w:val="en-US" w:eastAsia="zh-CN"/>
        </w:rPr>
        <w:t>E</w:t>
      </w:r>
      <w:r>
        <w:rPr>
          <w:rFonts w:hint="eastAsia" w:hAnsi="宋体" w:cs="宋体"/>
          <w:b w:val="0"/>
          <w:color w:val="auto"/>
          <w:kern w:val="0"/>
          <w:sz w:val="21"/>
          <w:szCs w:val="21"/>
          <w:highlight w:val="none"/>
        </w:rPr>
        <w:t xml:space="preserve">、保险公司担保）。                </w:t>
      </w:r>
    </w:p>
    <w:p w14:paraId="33071349">
      <w:pPr>
        <w:pStyle w:val="67"/>
        <w:pageBreakBefore w:val="0"/>
        <w:widowControl w:val="0"/>
        <w:kinsoku/>
        <w:wordWrap/>
        <w:overflowPunct/>
        <w:topLinePunct w:val="0"/>
        <w:bidi w:val="0"/>
        <w:spacing w:before="120" w:line="360" w:lineRule="auto"/>
        <w:ind w:firstLine="105" w:firstLineChars="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① 如提供履约保函的，将向发包人提供符合本合同附件6格式的履约保函一份。</w:t>
      </w:r>
    </w:p>
    <w:p w14:paraId="7F9E358B">
      <w:pPr>
        <w:pStyle w:val="67"/>
        <w:pageBreakBefore w:val="0"/>
        <w:widowControl w:val="0"/>
        <w:kinsoku/>
        <w:wordWrap/>
        <w:overflowPunct/>
        <w:topLinePunct w:val="0"/>
        <w:bidi w:val="0"/>
        <w:spacing w:before="120" w:line="360" w:lineRule="auto"/>
        <w:ind w:left="554" w:leftChars="114" w:hanging="315" w:hangingChars="1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②提供履约保证金的，承包人在签订合同</w:t>
      </w:r>
      <w:r>
        <w:rPr>
          <w:rFonts w:hint="eastAsia" w:hAnsi="宋体" w:cs="宋体"/>
          <w:b w:val="0"/>
          <w:color w:val="auto"/>
          <w:kern w:val="0"/>
          <w:sz w:val="21"/>
          <w:szCs w:val="21"/>
          <w:highlight w:val="none"/>
          <w:lang w:eastAsia="zh-CN"/>
        </w:rPr>
        <w:t>的</w:t>
      </w:r>
      <w:r>
        <w:rPr>
          <w:rFonts w:hint="eastAsia" w:hAnsi="宋体" w:cs="宋体"/>
          <w:b w:val="0"/>
          <w:color w:val="auto"/>
          <w:kern w:val="0"/>
          <w:sz w:val="21"/>
          <w:szCs w:val="21"/>
          <w:highlight w:val="none"/>
          <w:lang w:val="en-US" w:eastAsia="zh-CN"/>
        </w:rPr>
        <w:t>同时</w:t>
      </w:r>
      <w:r>
        <w:rPr>
          <w:rFonts w:hint="eastAsia" w:hAnsi="宋体" w:cs="宋体"/>
          <w:b w:val="0"/>
          <w:color w:val="auto"/>
          <w:kern w:val="0"/>
          <w:sz w:val="21"/>
          <w:szCs w:val="21"/>
          <w:highlight w:val="none"/>
        </w:rPr>
        <w:t>向发包人提交合同价款的</w:t>
      </w:r>
      <w:r>
        <w:rPr>
          <w:rFonts w:hint="eastAsia" w:hAnsi="宋体" w:cs="宋体"/>
          <w:b w:val="0"/>
          <w:color w:val="auto"/>
          <w:kern w:val="0"/>
          <w:sz w:val="21"/>
          <w:szCs w:val="21"/>
          <w:highlight w:val="none"/>
          <w:lang w:val="en-US" w:eastAsia="zh-CN"/>
        </w:rPr>
        <w:t>2</w:t>
      </w:r>
      <w:r>
        <w:rPr>
          <w:rFonts w:hint="eastAsia" w:hAnsi="宋体" w:cs="宋体"/>
          <w:b w:val="0"/>
          <w:color w:val="auto"/>
          <w:kern w:val="0"/>
          <w:sz w:val="21"/>
          <w:szCs w:val="21"/>
          <w:highlight w:val="none"/>
        </w:rPr>
        <w:t>%</w:t>
      </w:r>
      <w:r>
        <w:rPr>
          <w:rFonts w:hint="eastAsia" w:hAnsi="宋体" w:cs="宋体"/>
          <w:b w:val="0"/>
          <w:color w:val="auto"/>
          <w:kern w:val="0"/>
          <w:sz w:val="21"/>
          <w:szCs w:val="21"/>
          <w:highlight w:val="none"/>
          <w:lang w:eastAsia="zh-CN"/>
        </w:rPr>
        <w:t>（即</w:t>
      </w:r>
      <w:r>
        <w:rPr>
          <w:rFonts w:hint="eastAsia" w:hAnsi="宋体" w:cs="宋体"/>
          <w:b w:val="0"/>
          <w:color w:val="auto"/>
          <w:kern w:val="0"/>
          <w:sz w:val="21"/>
          <w:szCs w:val="21"/>
          <w:highlight w:val="none"/>
          <w:u w:val="single"/>
          <w:lang w:val="en-US" w:eastAsia="zh-CN"/>
        </w:rPr>
        <w:t xml:space="preserve">     </w:t>
      </w:r>
      <w:r>
        <w:rPr>
          <w:rFonts w:hint="eastAsia" w:hAnsi="宋体" w:cs="宋体"/>
          <w:b w:val="0"/>
          <w:color w:val="auto"/>
          <w:kern w:val="0"/>
          <w:sz w:val="21"/>
          <w:szCs w:val="21"/>
          <w:highlight w:val="none"/>
          <w:lang w:val="en-US" w:eastAsia="zh-CN"/>
        </w:rPr>
        <w:t>元</w:t>
      </w:r>
      <w:r>
        <w:rPr>
          <w:rFonts w:hint="eastAsia" w:hAnsi="宋体" w:cs="宋体"/>
          <w:b w:val="0"/>
          <w:color w:val="auto"/>
          <w:kern w:val="0"/>
          <w:sz w:val="21"/>
          <w:szCs w:val="21"/>
          <w:highlight w:val="none"/>
          <w:lang w:eastAsia="zh-CN"/>
        </w:rPr>
        <w:t>）</w:t>
      </w:r>
      <w:r>
        <w:rPr>
          <w:rFonts w:hint="eastAsia" w:hAnsi="宋体" w:cs="宋体"/>
          <w:b w:val="0"/>
          <w:color w:val="auto"/>
          <w:kern w:val="0"/>
          <w:sz w:val="21"/>
          <w:szCs w:val="21"/>
          <w:highlight w:val="none"/>
        </w:rPr>
        <w:t>的履约保证金；</w:t>
      </w:r>
    </w:p>
    <w:p w14:paraId="53BA6416">
      <w:pPr>
        <w:pStyle w:val="67"/>
        <w:pageBreakBefore w:val="0"/>
        <w:widowControl w:val="0"/>
        <w:kinsoku/>
        <w:wordWrap/>
        <w:overflowPunct/>
        <w:topLinePunct w:val="0"/>
        <w:bidi w:val="0"/>
        <w:spacing w:before="120" w:line="360" w:lineRule="auto"/>
        <w:ind w:firstLine="105" w:firstLineChars="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（2）履约担保期限自合同生效之日起至发包人签认并由监理人向承包人出具工程接收证书之日止。</w:t>
      </w:r>
    </w:p>
    <w:p w14:paraId="517B0B66">
      <w:pPr>
        <w:pStyle w:val="67"/>
        <w:pageBreakBefore w:val="0"/>
        <w:widowControl w:val="0"/>
        <w:kinsoku/>
        <w:wordWrap/>
        <w:overflowPunct/>
        <w:topLinePunct w:val="0"/>
        <w:bidi w:val="0"/>
        <w:spacing w:before="120" w:line="360" w:lineRule="auto"/>
        <w:ind w:firstLine="105" w:firstLineChars="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3）承包人与履约担保有关的任何利息或其它类似的费用或者收益由承包人承担；因承包人原因或其他承包人应承担责任的事由导致工期延长的，继续提供履约担保所增加的费用由承包人承担；非承包人原因导致工期延长的，继续提供履约担保所增加的费用由发包人承担。</w:t>
      </w:r>
    </w:p>
    <w:p w14:paraId="4AD4F7E5">
      <w:pPr>
        <w:pStyle w:val="67"/>
        <w:pageBreakBefore w:val="0"/>
        <w:widowControl w:val="0"/>
        <w:kinsoku/>
        <w:wordWrap/>
        <w:overflowPunct/>
        <w:topLinePunct w:val="0"/>
        <w:bidi w:val="0"/>
        <w:spacing w:before="120" w:line="360" w:lineRule="auto"/>
        <w:ind w:firstLine="105" w:firstLineChars="50"/>
        <w:textAlignment w:val="auto"/>
        <w:rPr>
          <w:rFonts w:hint="eastAsia" w:hAnsi="宋体" w:cs="宋体"/>
          <w:b w:val="0"/>
          <w:color w:val="auto"/>
          <w:kern w:val="0"/>
          <w:sz w:val="21"/>
          <w:szCs w:val="21"/>
          <w:highlight w:val="none"/>
        </w:rPr>
      </w:pPr>
      <w:r>
        <w:rPr>
          <w:rFonts w:hint="eastAsia" w:hAnsi="宋体" w:cs="宋体"/>
          <w:b w:val="0"/>
          <w:color w:val="auto"/>
          <w:kern w:val="0"/>
          <w:sz w:val="21"/>
          <w:szCs w:val="21"/>
          <w:highlight w:val="none"/>
        </w:rPr>
        <w:t>（4）履约担保在工程竣工验收合格后28天内予以退还。</w:t>
      </w:r>
    </w:p>
    <w:p w14:paraId="6C4AC920">
      <w:pPr>
        <w:pStyle w:val="67"/>
        <w:pageBreakBefore w:val="0"/>
        <w:widowControl w:val="0"/>
        <w:kinsoku/>
        <w:wordWrap/>
        <w:overflowPunct/>
        <w:topLinePunct w:val="0"/>
        <w:bidi w:val="0"/>
        <w:spacing w:before="120" w:line="360" w:lineRule="auto"/>
        <w:ind w:firstLine="105" w:firstLineChars="50"/>
        <w:textAlignment w:val="auto"/>
        <w:rPr>
          <w:rFonts w:hint="eastAsia" w:hAnsi="宋体" w:cs="宋体"/>
          <w:b w:val="0"/>
          <w:color w:val="auto"/>
          <w:kern w:val="0"/>
          <w:sz w:val="21"/>
          <w:szCs w:val="21"/>
          <w:highlight w:val="none"/>
        </w:rPr>
      </w:pPr>
      <w:r>
        <w:rPr>
          <w:rFonts w:hint="eastAsia" w:hAnsi="宋体" w:cs="宋体"/>
          <w:color w:val="auto"/>
          <w:sz w:val="21"/>
          <w:szCs w:val="21"/>
          <w:highlight w:val="none"/>
        </w:rPr>
        <w:t>4. 监理人</w:t>
      </w:r>
      <w:bookmarkEnd w:id="399"/>
    </w:p>
    <w:p w14:paraId="59A13CC2">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4.1监理人的一般规定</w:t>
      </w:r>
    </w:p>
    <w:p w14:paraId="1E842A07">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关于监理人的监理内容：工程建设监理合同授予监理人的权利。</w:t>
      </w:r>
    </w:p>
    <w:p w14:paraId="7FC9D4D3">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 xml:space="preserve">关于监理人的监理权限：涉及费用、工期、图纸更改等工程变更指令和付款、暂停工程施工指令的下达权需取得发包人书面批准方可执行。 </w:t>
      </w:r>
    </w:p>
    <w:p w14:paraId="7CA9C5F5">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关于监理人在施工现场的办公场所、生活场所的提供和费用承担的约定：执行通用条款。</w:t>
      </w:r>
    </w:p>
    <w:p w14:paraId="5BA0DB2F">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4.4 商定或确定</w:t>
      </w:r>
    </w:p>
    <w:p w14:paraId="716B1F24">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bookmarkStart w:id="400" w:name="_Toc364853228"/>
      <w:r>
        <w:rPr>
          <w:rFonts w:hint="eastAsia" w:ascii="宋体" w:hAnsi="宋体" w:cs="宋体"/>
          <w:color w:val="auto"/>
          <w:kern w:val="0"/>
          <w:sz w:val="21"/>
          <w:szCs w:val="21"/>
          <w:highlight w:val="none"/>
        </w:rPr>
        <w:t>当合同当事人对需要商定或确定的事项不能达成一致时，总监理工程师应按照合同约定作出公正确定，应在合同当事人会商之日起 7 天内提供书面确定意见。</w:t>
      </w:r>
    </w:p>
    <w:p w14:paraId="013500D5">
      <w:pPr>
        <w:pageBreakBefore w:val="0"/>
        <w:widowControl w:val="0"/>
        <w:kinsoku/>
        <w:wordWrap/>
        <w:overflowPunct/>
        <w:topLinePunct w:val="0"/>
        <w:bidi w:val="0"/>
        <w:spacing w:line="360" w:lineRule="auto"/>
        <w:ind w:firstLine="103" w:firstLineChars="49"/>
        <w:textAlignment w:val="auto"/>
        <w:rPr>
          <w:rFonts w:hint="eastAsia" w:ascii="宋体" w:hAnsi="宋体" w:cs="宋体"/>
          <w:b/>
          <w:color w:val="auto"/>
          <w:kern w:val="0"/>
          <w:sz w:val="21"/>
          <w:szCs w:val="21"/>
          <w:highlight w:val="none"/>
        </w:rPr>
      </w:pPr>
      <w:r>
        <w:rPr>
          <w:rFonts w:hint="eastAsia" w:ascii="宋体" w:hAnsi="宋体" w:cs="宋体"/>
          <w:b/>
          <w:color w:val="auto"/>
          <w:sz w:val="21"/>
          <w:szCs w:val="21"/>
          <w:highlight w:val="none"/>
        </w:rPr>
        <w:t>5. 工程质量</w:t>
      </w:r>
      <w:bookmarkEnd w:id="400"/>
    </w:p>
    <w:p w14:paraId="7AE58E5D">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 质量要求:</w:t>
      </w:r>
      <w:r>
        <w:rPr>
          <w:rFonts w:hint="eastAsia" w:ascii="宋体" w:hAnsi="宋体" w:cs="宋体"/>
          <w:color w:val="auto"/>
          <w:kern w:val="0"/>
          <w:sz w:val="21"/>
          <w:szCs w:val="21"/>
          <w:highlight w:val="none"/>
          <w:u w:val="single"/>
        </w:rPr>
        <w:t>达到国家和行业施工验收规范一次性验收合格</w:t>
      </w:r>
    </w:p>
    <w:p w14:paraId="70E24BED">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5.1.1 特殊质量标准和要求：</w:t>
      </w:r>
      <w:r>
        <w:rPr>
          <w:rFonts w:hint="eastAsia" w:ascii="宋体" w:hAnsi="宋体" w:cs="宋体"/>
          <w:color w:val="auto"/>
          <w:kern w:val="0"/>
          <w:sz w:val="21"/>
          <w:szCs w:val="21"/>
          <w:highlight w:val="none"/>
          <w:u w:val="single"/>
        </w:rPr>
        <w:t xml:space="preserve">     无   </w:t>
      </w:r>
      <w:r>
        <w:rPr>
          <w:rFonts w:hint="eastAsia" w:ascii="宋体" w:hAnsi="宋体" w:cs="宋体"/>
          <w:color w:val="auto"/>
          <w:kern w:val="0"/>
          <w:sz w:val="21"/>
          <w:szCs w:val="21"/>
          <w:highlight w:val="none"/>
        </w:rPr>
        <w:t>。</w:t>
      </w:r>
    </w:p>
    <w:p w14:paraId="1A2EE3EC">
      <w:pPr>
        <w:pStyle w:val="67"/>
        <w:pageBreakBefore w:val="0"/>
        <w:widowControl w:val="0"/>
        <w:kinsoku/>
        <w:wordWrap/>
        <w:overflowPunct/>
        <w:topLinePunct w:val="0"/>
        <w:bidi w:val="0"/>
        <w:spacing w:before="120" w:line="360" w:lineRule="auto"/>
        <w:ind w:firstLine="399" w:firstLineChars="190"/>
        <w:textAlignment w:val="auto"/>
        <w:rPr>
          <w:rFonts w:hint="eastAsia" w:hAnsi="宋体" w:cs="宋体"/>
          <w:b w:val="0"/>
          <w:color w:val="auto"/>
          <w:sz w:val="21"/>
          <w:szCs w:val="21"/>
          <w:highlight w:val="none"/>
        </w:rPr>
      </w:pPr>
      <w:r>
        <w:rPr>
          <w:rFonts w:hint="eastAsia" w:hAnsi="宋体" w:cs="宋体"/>
          <w:b w:val="0"/>
          <w:color w:val="auto"/>
          <w:sz w:val="21"/>
          <w:szCs w:val="21"/>
          <w:highlight w:val="none"/>
        </w:rPr>
        <w:t>5.3 隐蔽工程检查</w:t>
      </w:r>
    </w:p>
    <w:p w14:paraId="2E2FB7F4">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bookmarkStart w:id="401" w:name="_Toc364853229"/>
      <w:r>
        <w:rPr>
          <w:rFonts w:hint="eastAsia" w:ascii="宋体" w:hAnsi="宋体" w:cs="宋体"/>
          <w:color w:val="auto"/>
          <w:kern w:val="0"/>
          <w:sz w:val="21"/>
          <w:szCs w:val="21"/>
          <w:highlight w:val="none"/>
        </w:rPr>
        <w:t>5.3.2承包人提前通知监理人隐蔽工程检查的期限的约定：承包人应在共同检查前</w:t>
      </w:r>
      <w:r>
        <w:rPr>
          <w:rFonts w:hint="eastAsia" w:ascii="宋体" w:hAnsi="宋体" w:cs="宋体"/>
          <w:color w:val="auto"/>
          <w:kern w:val="0"/>
          <w:sz w:val="21"/>
          <w:szCs w:val="21"/>
          <w:highlight w:val="none"/>
          <w:u w:val="single"/>
        </w:rPr>
        <w:t xml:space="preserve">24 </w:t>
      </w:r>
      <w:r>
        <w:rPr>
          <w:rFonts w:hint="eastAsia" w:ascii="宋体" w:hAnsi="宋体" w:cs="宋体"/>
          <w:color w:val="auto"/>
          <w:kern w:val="0"/>
          <w:sz w:val="21"/>
          <w:szCs w:val="21"/>
          <w:highlight w:val="none"/>
        </w:rPr>
        <w:t>小时书面通知监理人检查。</w:t>
      </w:r>
    </w:p>
    <w:p w14:paraId="1F5C2FDF">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监理人不能按时进行检查时，应提前</w:t>
      </w:r>
      <w:r>
        <w:rPr>
          <w:rFonts w:hint="eastAsia" w:ascii="宋体" w:hAnsi="宋体" w:cs="宋体"/>
          <w:color w:val="auto"/>
          <w:kern w:val="0"/>
          <w:sz w:val="21"/>
          <w:szCs w:val="21"/>
          <w:highlight w:val="none"/>
          <w:u w:val="single"/>
        </w:rPr>
        <w:t xml:space="preserve">  24 </w:t>
      </w:r>
      <w:r>
        <w:rPr>
          <w:rFonts w:hint="eastAsia" w:ascii="宋体" w:hAnsi="宋体" w:cs="宋体"/>
          <w:color w:val="auto"/>
          <w:kern w:val="0"/>
          <w:sz w:val="21"/>
          <w:szCs w:val="21"/>
          <w:highlight w:val="none"/>
        </w:rPr>
        <w:t>小时提交书面延期要求。延期最长不得超过：</w:t>
      </w:r>
      <w:r>
        <w:rPr>
          <w:rFonts w:hint="eastAsia" w:ascii="宋体" w:hAnsi="宋体" w:cs="宋体"/>
          <w:color w:val="auto"/>
          <w:kern w:val="0"/>
          <w:sz w:val="21"/>
          <w:szCs w:val="21"/>
          <w:highlight w:val="none"/>
          <w:u w:val="single"/>
        </w:rPr>
        <w:t xml:space="preserve"> 48</w:t>
      </w:r>
      <w:r>
        <w:rPr>
          <w:rFonts w:hint="eastAsia" w:ascii="宋体" w:hAnsi="宋体" w:cs="宋体"/>
          <w:color w:val="auto"/>
          <w:kern w:val="0"/>
          <w:sz w:val="21"/>
          <w:szCs w:val="21"/>
          <w:highlight w:val="none"/>
        </w:rPr>
        <w:t>小时。</w:t>
      </w:r>
    </w:p>
    <w:p w14:paraId="6C99867D">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6. 安全文明施工与环境保护</w:t>
      </w:r>
      <w:bookmarkEnd w:id="401"/>
    </w:p>
    <w:p w14:paraId="09C7E51A">
      <w:pPr>
        <w:pStyle w:val="67"/>
        <w:pageBreakBefore w:val="0"/>
        <w:widowControl w:val="0"/>
        <w:kinsoku/>
        <w:wordWrap/>
        <w:overflowPunct/>
        <w:topLinePunct w:val="0"/>
        <w:bidi w:val="0"/>
        <w:spacing w:before="120" w:line="360" w:lineRule="auto"/>
        <w:ind w:firstLine="399" w:firstLineChars="190"/>
        <w:textAlignment w:val="auto"/>
        <w:rPr>
          <w:rFonts w:hint="eastAsia" w:hAnsi="宋体" w:cs="宋体"/>
          <w:b w:val="0"/>
          <w:color w:val="auto"/>
          <w:sz w:val="21"/>
          <w:szCs w:val="21"/>
          <w:highlight w:val="none"/>
        </w:rPr>
      </w:pPr>
      <w:r>
        <w:rPr>
          <w:rFonts w:hint="eastAsia" w:hAnsi="宋体" w:cs="宋体"/>
          <w:b w:val="0"/>
          <w:color w:val="auto"/>
          <w:sz w:val="21"/>
          <w:szCs w:val="21"/>
          <w:highlight w:val="none"/>
        </w:rPr>
        <w:t>6.1安全文明施工</w:t>
      </w:r>
    </w:p>
    <w:p w14:paraId="274DE12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bookmarkStart w:id="402" w:name="_Toc364853230"/>
      <w:r>
        <w:rPr>
          <w:rFonts w:hint="eastAsia" w:ascii="宋体" w:hAnsi="宋体" w:cs="宋体"/>
          <w:color w:val="auto"/>
          <w:kern w:val="0"/>
          <w:sz w:val="21"/>
          <w:szCs w:val="21"/>
          <w:highlight w:val="none"/>
        </w:rPr>
        <w:t>6.1.1 项目安全生产的达标目标及相应事项的约定：</w:t>
      </w:r>
      <w:r>
        <w:rPr>
          <w:rFonts w:hint="eastAsia" w:ascii="宋体" w:hAnsi="宋体" w:cs="宋体"/>
          <w:color w:val="auto"/>
          <w:sz w:val="21"/>
          <w:szCs w:val="21"/>
          <w:highlight w:val="none"/>
          <w:u w:val="single"/>
        </w:rPr>
        <w:t>合格</w:t>
      </w:r>
      <w:r>
        <w:rPr>
          <w:rFonts w:hint="eastAsia" w:ascii="宋体" w:hAnsi="宋体" w:cs="宋体"/>
          <w:color w:val="auto"/>
          <w:kern w:val="0"/>
          <w:sz w:val="21"/>
          <w:szCs w:val="21"/>
          <w:highlight w:val="none"/>
        </w:rPr>
        <w:t>。</w:t>
      </w:r>
    </w:p>
    <w:p w14:paraId="79432ACA">
      <w:pPr>
        <w:pageBreakBefore w:val="0"/>
        <w:widowControl w:val="0"/>
        <w:kinsoku/>
        <w:wordWrap/>
        <w:overflowPunct/>
        <w:topLinePunct w:val="0"/>
        <w:bidi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施工期间由于承包人违反安全操作规范，发生重大死亡及其它事故，发包人将根据事故的严重程度对承包人予以处罚；被政府部门处罚的，承包人承担一切责任。</w:t>
      </w:r>
    </w:p>
    <w:p w14:paraId="05CE64D1">
      <w:pPr>
        <w:pageBreakBefore w:val="0"/>
        <w:widowControl w:val="0"/>
        <w:kinsoku/>
        <w:wordWrap/>
        <w:overflowPunct/>
        <w:topLinePunct w:val="0"/>
        <w:bidi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6.1.1.1 承包方未履行安全文明施工发生以下情况之一的，视为承包方未履行安全生产文明施工违约，承包方须支付合同价款的1% ：</w:t>
      </w:r>
    </w:p>
    <w:p w14:paraId="26EABF07">
      <w:pPr>
        <w:pageBreakBefore w:val="0"/>
        <w:widowControl w:val="0"/>
        <w:kinsoku/>
        <w:wordWrap/>
        <w:overflowPunct/>
        <w:topLinePunct w:val="0"/>
        <w:bidi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(1)未达到合同要求的安全等级要求（安全等级以宁波市奉化区住房和城乡建设局文件和上级文件为准）；</w:t>
      </w:r>
    </w:p>
    <w:p w14:paraId="14975FB2">
      <w:pPr>
        <w:pageBreakBefore w:val="0"/>
        <w:widowControl w:val="0"/>
        <w:kinsoku/>
        <w:wordWrap/>
        <w:overflowPunct/>
        <w:topLinePunct w:val="0"/>
        <w:bidi w:val="0"/>
        <w:spacing w:line="360" w:lineRule="auto"/>
        <w:ind w:firstLine="422" w:firstLineChars="200"/>
        <w:textAlignment w:val="auto"/>
        <w:rPr>
          <w:rFonts w:hint="eastAsia" w:ascii="宋体" w:hAnsi="宋体" w:cs="宋体"/>
          <w:b/>
          <w:bCs/>
          <w:color w:val="auto"/>
          <w:kern w:val="0"/>
          <w:sz w:val="21"/>
          <w:szCs w:val="21"/>
          <w:highlight w:val="none"/>
        </w:rPr>
      </w:pPr>
      <w:r>
        <w:rPr>
          <w:rFonts w:hint="eastAsia" w:ascii="宋体" w:hAnsi="宋体" w:cs="宋体"/>
          <w:b/>
          <w:bCs/>
          <w:color w:val="auto"/>
          <w:kern w:val="0"/>
          <w:sz w:val="21"/>
          <w:szCs w:val="21"/>
          <w:highlight w:val="none"/>
        </w:rPr>
        <w:t xml:space="preserve"> （2）在施工期间，施工单位发生事故等级为一般事故及以上生产安全责任事故（事故等级和责任按按国务院第493号令和行政部门的事故调查报告认定）；</w:t>
      </w:r>
    </w:p>
    <w:p w14:paraId="7B5DFB65">
      <w:pPr>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 w:val="21"/>
          <w:szCs w:val="21"/>
          <w:highlight w:val="none"/>
        </w:rPr>
        <w:t xml:space="preserve"> </w:t>
      </w: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6.1.1.2</w:t>
      </w:r>
      <w:r>
        <w:rPr>
          <w:rFonts w:hint="eastAsia" w:ascii="宋体" w:hAnsi="宋体" w:cs="宋体"/>
          <w:b/>
          <w:bCs/>
          <w:color w:val="auto"/>
          <w:kern w:val="0"/>
          <w:szCs w:val="21"/>
          <w:highlight w:val="none"/>
        </w:rPr>
        <w:t>在施工期间，发现承包方现场管理混乱</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每发现一次扣除合同价款的0.3% （上述条款每次扣款金额如低于3000元/次的，则按3000元/次扣除）。</w:t>
      </w:r>
    </w:p>
    <w:p w14:paraId="5C5EA985">
      <w:pPr>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b/>
          <w:bCs/>
          <w:color w:val="auto"/>
          <w:kern w:val="0"/>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6.1.1.3</w:t>
      </w:r>
      <w:r>
        <w:rPr>
          <w:rFonts w:hint="eastAsia" w:ascii="宋体" w:hAnsi="宋体" w:cs="宋体"/>
          <w:b/>
          <w:bCs/>
          <w:color w:val="auto"/>
          <w:kern w:val="0"/>
          <w:szCs w:val="21"/>
          <w:highlight w:val="none"/>
        </w:rPr>
        <w:t>承包方</w:t>
      </w:r>
      <w:r>
        <w:rPr>
          <w:rFonts w:hint="eastAsia" w:ascii="宋体" w:hAnsi="宋体" w:cs="宋体"/>
          <w:b/>
          <w:bCs/>
          <w:color w:val="auto"/>
          <w:kern w:val="0"/>
          <w:szCs w:val="21"/>
          <w:highlight w:val="none"/>
          <w:lang w:val="en-US" w:eastAsia="zh-CN"/>
        </w:rPr>
        <w:t>对</w:t>
      </w:r>
      <w:r>
        <w:rPr>
          <w:rFonts w:hint="eastAsia" w:ascii="宋体" w:hAnsi="宋体" w:cs="宋体"/>
          <w:b/>
          <w:bCs/>
          <w:color w:val="auto"/>
          <w:kern w:val="0"/>
          <w:szCs w:val="21"/>
          <w:highlight w:val="none"/>
        </w:rPr>
        <w:t>安全隐患整改不力，对发包方、监理单位及上级部门提出的安全隐患整改不到位</w:t>
      </w:r>
      <w:r>
        <w:rPr>
          <w:rFonts w:hint="eastAsia" w:ascii="宋体" w:hAnsi="宋体" w:cs="宋体"/>
          <w:b/>
          <w:bCs/>
          <w:color w:val="auto"/>
          <w:kern w:val="0"/>
          <w:szCs w:val="21"/>
          <w:highlight w:val="none"/>
          <w:lang w:eastAsia="zh-CN"/>
        </w:rPr>
        <w:t>的，</w:t>
      </w:r>
      <w:r>
        <w:rPr>
          <w:rFonts w:hint="eastAsia" w:ascii="宋体" w:hAnsi="宋体" w:cs="宋体"/>
          <w:b/>
          <w:bCs/>
          <w:color w:val="auto"/>
          <w:kern w:val="0"/>
          <w:szCs w:val="21"/>
          <w:highlight w:val="none"/>
          <w:lang w:val="en-US" w:eastAsia="zh-CN"/>
        </w:rPr>
        <w:t>每发现一次扣合同价款的0.3%（上述条款每次扣款金额如低于3000元/次的，则按3000元/次扣除）。</w:t>
      </w:r>
    </w:p>
    <w:p w14:paraId="0463489C">
      <w:pPr>
        <w:pageBreakBefore w:val="0"/>
        <w:widowControl w:val="0"/>
        <w:shd w:val="clear"/>
        <w:kinsoku/>
        <w:wordWrap/>
        <w:overflowPunct/>
        <w:topLinePunct w:val="0"/>
        <w:autoSpaceDE/>
        <w:autoSpaceDN/>
        <w:bidi w:val="0"/>
        <w:adjustRightInd/>
        <w:snapToGrid/>
        <w:spacing w:line="360" w:lineRule="auto"/>
        <w:ind w:firstLine="422" w:firstLineChars="200"/>
        <w:textAlignment w:val="auto"/>
        <w:rPr>
          <w:rFonts w:hint="eastAsia" w:ascii="宋体" w:hAnsi="宋体" w:cs="宋体"/>
          <w:color w:val="auto"/>
          <w:kern w:val="0"/>
          <w:sz w:val="21"/>
          <w:szCs w:val="21"/>
          <w:highlight w:val="none"/>
        </w:rPr>
      </w:pPr>
      <w:r>
        <w:rPr>
          <w:rFonts w:hint="eastAsia" w:ascii="宋体" w:hAnsi="宋体" w:cs="宋体"/>
          <w:b/>
          <w:bCs/>
          <w:color w:val="auto"/>
          <w:kern w:val="0"/>
          <w:szCs w:val="21"/>
          <w:highlight w:val="none"/>
        </w:rPr>
        <w:t xml:space="preserve"> </w:t>
      </w:r>
      <w:r>
        <w:rPr>
          <w:rFonts w:hint="eastAsia" w:ascii="宋体" w:hAnsi="宋体" w:cs="宋体"/>
          <w:b/>
          <w:bCs/>
          <w:color w:val="auto"/>
          <w:kern w:val="0"/>
          <w:szCs w:val="21"/>
          <w:highlight w:val="none"/>
          <w:lang w:val="en-US" w:eastAsia="zh-CN"/>
        </w:rPr>
        <w:t>注：以上（6.1.1.2和6.1.1.3）条款出现累计</w:t>
      </w:r>
      <w:r>
        <w:rPr>
          <w:rFonts w:hint="eastAsia" w:ascii="宋体" w:hAnsi="宋体" w:cs="宋体"/>
          <w:b/>
          <w:bCs/>
          <w:color w:val="auto"/>
          <w:kern w:val="0"/>
          <w:szCs w:val="21"/>
          <w:highlight w:val="none"/>
        </w:rPr>
        <w:t>三次及以上</w:t>
      </w:r>
      <w:r>
        <w:rPr>
          <w:rFonts w:hint="eastAsia" w:ascii="宋体" w:hAnsi="宋体" w:cs="宋体"/>
          <w:b/>
          <w:bCs/>
          <w:color w:val="auto"/>
          <w:kern w:val="0"/>
          <w:szCs w:val="21"/>
          <w:highlight w:val="none"/>
          <w:lang w:val="en-US" w:eastAsia="zh-CN"/>
        </w:rPr>
        <w:t>相同问题或情况的，除执行上述条款约定的扣款外，还须另行扣除合同价款的1% （扣款金额如低于2000元的，则按2000元扣除）。</w:t>
      </w:r>
    </w:p>
    <w:p w14:paraId="77699CA2">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6.1.4 关于治安保卫的特别约定：执行通用条款。</w:t>
      </w:r>
    </w:p>
    <w:p w14:paraId="2ED5828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6.1.5文明施工应按《宁波市建设工程文明施工管理规定》文件要求执行。</w:t>
      </w:r>
    </w:p>
    <w:p w14:paraId="5ADF15BA">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6.1.6 关于安全文明施工费相关约定：</w:t>
      </w:r>
      <w:r>
        <w:rPr>
          <w:rFonts w:hint="eastAsia" w:ascii="宋体" w:hAnsi="Calibri" w:eastAsia="宋体" w:cs="Times New Roman"/>
          <w:b w:val="0"/>
          <w:bCs w:val="0"/>
          <w:color w:val="auto"/>
          <w:szCs w:val="21"/>
          <w:highlight w:val="none"/>
          <w:lang w:eastAsia="zh-CN"/>
        </w:rPr>
        <w:t>市区一般工程考虑</w:t>
      </w:r>
      <w:r>
        <w:rPr>
          <w:rFonts w:hint="eastAsia" w:ascii="宋体" w:eastAsia="宋体" w:cs="Times New Roman"/>
          <w:b w:val="0"/>
          <w:bCs w:val="0"/>
          <w:color w:val="auto"/>
          <w:szCs w:val="21"/>
          <w:highlight w:val="none"/>
          <w:lang w:eastAsia="zh-CN"/>
        </w:rPr>
        <w:t>。</w:t>
      </w:r>
    </w:p>
    <w:p w14:paraId="117916D8">
      <w:pPr>
        <w:pStyle w:val="5"/>
        <w:pageBreakBefore w:val="0"/>
        <w:widowControl w:val="0"/>
        <w:kinsoku/>
        <w:wordWrap/>
        <w:overflowPunct/>
        <w:topLinePunct w:val="0"/>
        <w:bidi w:val="0"/>
        <w:spacing w:line="360" w:lineRule="auto"/>
        <w:textAlignment w:val="auto"/>
        <w:rPr>
          <w:rFonts w:hint="default" w:ascii="宋体" w:hAnsi="宋体" w:cs="宋体"/>
          <w:color w:val="auto"/>
          <w:sz w:val="21"/>
          <w:szCs w:val="21"/>
          <w:highlight w:val="none"/>
          <w:lang w:val="en-US"/>
        </w:rPr>
      </w:pPr>
      <w:r>
        <w:rPr>
          <w:rFonts w:hint="eastAsia" w:ascii="宋体" w:hAnsi="宋体" w:cs="宋体"/>
          <w:color w:val="auto"/>
          <w:sz w:val="21"/>
          <w:szCs w:val="21"/>
          <w:highlight w:val="none"/>
        </w:rPr>
        <w:t>7. 工期和进度</w:t>
      </w:r>
      <w:bookmarkEnd w:id="402"/>
      <w:r>
        <w:rPr>
          <w:rFonts w:hint="eastAsia" w:ascii="宋体" w:hAnsi="宋体" w:cs="宋体"/>
          <w:color w:val="auto"/>
          <w:sz w:val="21"/>
          <w:szCs w:val="21"/>
          <w:highlight w:val="none"/>
          <w:lang w:val="en-US" w:eastAsia="zh-CN"/>
        </w:rPr>
        <w:t xml:space="preserve">   </w:t>
      </w:r>
      <w:r>
        <w:rPr>
          <w:rFonts w:hint="eastAsia" w:ascii="宋体" w:hAnsi="宋体" w:eastAsia="宋体"/>
          <w:b/>
          <w:bCs/>
          <w:color w:val="auto"/>
          <w:kern w:val="0"/>
          <w:sz w:val="24"/>
          <w:highlight w:val="none"/>
          <w:lang w:val="en-US" w:eastAsia="zh-CN"/>
        </w:rPr>
        <w:t xml:space="preserve"> </w:t>
      </w:r>
    </w:p>
    <w:p w14:paraId="00CE6FB8">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7.1 施工组织设计</w:t>
      </w:r>
    </w:p>
    <w:p w14:paraId="1DDDD477">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7.1.1 合同当事人约定的施工组织设计应包括的其他内容：</w:t>
      </w:r>
      <w:r>
        <w:rPr>
          <w:rFonts w:hint="eastAsia" w:ascii="宋体" w:hAnsi="宋体" w:cs="宋体"/>
          <w:color w:val="auto"/>
          <w:kern w:val="0"/>
          <w:sz w:val="21"/>
          <w:szCs w:val="21"/>
          <w:highlight w:val="none"/>
          <w:u w:val="single"/>
        </w:rPr>
        <w:t>各分部分项施工方案与技术措施、工程进度管理体系与措施、工程质量管理体系与措施、安全生产文明施工管理体系与措施、环境保护管理体系与措施等</w:t>
      </w:r>
      <w:r>
        <w:rPr>
          <w:rFonts w:hint="eastAsia" w:ascii="宋体" w:hAnsi="宋体" w:cs="宋体"/>
          <w:color w:val="auto"/>
          <w:kern w:val="0"/>
          <w:sz w:val="21"/>
          <w:szCs w:val="21"/>
          <w:highlight w:val="none"/>
        </w:rPr>
        <w:t>。</w:t>
      </w:r>
    </w:p>
    <w:p w14:paraId="2738881C">
      <w:pPr>
        <w:pageBreakBefore w:val="0"/>
        <w:widowControl w:val="0"/>
        <w:kinsoku/>
        <w:wordWrap/>
        <w:overflowPunct/>
        <w:topLinePunct w:val="0"/>
        <w:bidi w:val="0"/>
        <w:spacing w:line="360" w:lineRule="auto"/>
        <w:ind w:firstLine="441" w:firstLineChars="21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7.1.2 施工组织设计的提交和修改：按通用条款约定执行。</w:t>
      </w:r>
    </w:p>
    <w:p w14:paraId="55920A6A">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7.2 施工进度计划</w:t>
      </w:r>
    </w:p>
    <w:p w14:paraId="7815C60C">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施工进度计划的编制和修订：按通用条款约定执行。</w:t>
      </w:r>
    </w:p>
    <w:p w14:paraId="6D40A57B">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7.3 开工</w:t>
      </w:r>
    </w:p>
    <w:p w14:paraId="0478B0BF">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7.3.1 开工准备</w:t>
      </w:r>
    </w:p>
    <w:p w14:paraId="49207554">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关于承包人提交工程开工报审表的期限：按第7.1款[施工组织设计]约定的时间。</w:t>
      </w:r>
    </w:p>
    <w:p w14:paraId="0068C1C0">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关于发包人应完成的其他开工准备工作及期限：在第7.3.2项[开工通知]载明的开工日期前7天获得开工所需的各项行政审批和许可手续。</w:t>
      </w:r>
    </w:p>
    <w:p w14:paraId="57A0C03E">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关于承包人应完成的其他开工准备工作及期限： 在第7.3.2项[开工通知]载明的开工日期前7天签订材料、工程设备、周转材料等的采购合同，确定劳动力、材料、机械的进场安排。</w:t>
      </w:r>
    </w:p>
    <w:p w14:paraId="51966958">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7.3.2 开工通知</w:t>
      </w:r>
    </w:p>
    <w:p w14:paraId="3F12CB79">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因发包人原因造成监理人未能在通用条款规定的期限内发出开工通知的，承包人有权提出价格调整要求，或者解除合同。</w:t>
      </w:r>
    </w:p>
    <w:p w14:paraId="6DC1BCB2">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7.4 测量放线</w:t>
      </w:r>
    </w:p>
    <w:p w14:paraId="4309A449">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7.4.1 发包人通过监理人向承包人提供测量基准点、基准线和水准点及其书面资料的期限：不得晚于在第7.3.2项[开工通知]载明的开工日期前7天。</w:t>
      </w:r>
    </w:p>
    <w:p w14:paraId="69098037">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7.5 工期延误</w:t>
      </w:r>
    </w:p>
    <w:p w14:paraId="04FFC7C1">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b w:val="0"/>
          <w:color w:val="auto"/>
          <w:sz w:val="21"/>
          <w:szCs w:val="21"/>
          <w:highlight w:val="none"/>
        </w:rPr>
      </w:pPr>
      <w:r>
        <w:rPr>
          <w:rFonts w:hint="eastAsia" w:hAnsi="宋体" w:cs="宋体"/>
          <w:color w:val="auto"/>
          <w:sz w:val="21"/>
          <w:szCs w:val="21"/>
          <w:highlight w:val="none"/>
        </w:rPr>
        <w:t xml:space="preserve">7.5.1 </w:t>
      </w:r>
      <w:r>
        <w:rPr>
          <w:rFonts w:hint="eastAsia" w:hAnsi="宋体" w:cs="宋体"/>
          <w:b w:val="0"/>
          <w:color w:val="auto"/>
          <w:sz w:val="21"/>
          <w:szCs w:val="21"/>
          <w:highlight w:val="none"/>
        </w:rPr>
        <w:t>因发包人原因导致工期延误</w:t>
      </w:r>
    </w:p>
    <w:p w14:paraId="15EDCEC0">
      <w:pPr>
        <w:pStyle w:val="67"/>
        <w:pageBreakBefore w:val="0"/>
        <w:widowControl w:val="0"/>
        <w:kinsoku/>
        <w:wordWrap/>
        <w:overflowPunct/>
        <w:topLinePunct w:val="0"/>
        <w:bidi w:val="0"/>
        <w:spacing w:before="120" w:line="360" w:lineRule="auto"/>
        <w:ind w:firstLine="399" w:firstLineChars="190"/>
        <w:textAlignment w:val="auto"/>
        <w:rPr>
          <w:rFonts w:hint="eastAsia" w:hAnsi="宋体" w:cs="宋体"/>
          <w:color w:val="auto"/>
          <w:sz w:val="21"/>
          <w:szCs w:val="21"/>
          <w:highlight w:val="none"/>
        </w:rPr>
      </w:pPr>
      <w:r>
        <w:rPr>
          <w:rFonts w:hint="eastAsia" w:hAnsi="宋体" w:cs="宋体"/>
          <w:b w:val="0"/>
          <w:color w:val="auto"/>
          <w:sz w:val="21"/>
          <w:szCs w:val="21"/>
          <w:highlight w:val="none"/>
        </w:rPr>
        <w:t>（7）因发包人原因导致工期延误的其他情形：</w:t>
      </w:r>
      <w:r>
        <w:rPr>
          <w:rFonts w:hint="eastAsia" w:hAnsi="宋体" w:cs="宋体"/>
          <w:b w:val="0"/>
          <w:color w:val="auto"/>
          <w:sz w:val="21"/>
          <w:szCs w:val="21"/>
          <w:highlight w:val="none"/>
          <w:u w:val="single"/>
        </w:rPr>
        <w:t xml:space="preserve">  无  </w:t>
      </w:r>
      <w:r>
        <w:rPr>
          <w:rFonts w:hint="eastAsia" w:hAnsi="宋体" w:cs="宋体"/>
          <w:b w:val="0"/>
          <w:color w:val="auto"/>
          <w:sz w:val="21"/>
          <w:szCs w:val="21"/>
          <w:highlight w:val="none"/>
        </w:rPr>
        <w:t>。</w:t>
      </w:r>
    </w:p>
    <w:p w14:paraId="0DC663D7">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7.5.2 因承包人原因导致工期延误</w:t>
      </w:r>
    </w:p>
    <w:p w14:paraId="5582DDCC">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因承包人原因造成工期延误，逾期竣工违约金的计算方法根据“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w:t>
      </w:r>
      <w:r>
        <w:rPr>
          <w:rFonts w:hint="eastAsia" w:ascii="宋体" w:hAnsi="宋体" w:cs="宋体"/>
          <w:color w:val="auto"/>
          <w:kern w:val="0"/>
          <w:sz w:val="21"/>
          <w:szCs w:val="21"/>
          <w:highlight w:val="none"/>
          <w:u w:val="single"/>
          <w:lang w:val="en-US" w:eastAsia="zh-CN"/>
        </w:rPr>
        <w:t>1</w:t>
      </w:r>
      <w:r>
        <w:rPr>
          <w:rFonts w:hint="eastAsia" w:ascii="宋体" w:hAnsi="宋体" w:cs="宋体"/>
          <w:color w:val="auto"/>
          <w:kern w:val="0"/>
          <w:sz w:val="21"/>
          <w:szCs w:val="21"/>
          <w:highlight w:val="none"/>
          <w:u w:val="single"/>
        </w:rPr>
        <w:t>000</w:t>
      </w:r>
      <w:r>
        <w:rPr>
          <w:rFonts w:hint="eastAsia" w:ascii="宋体" w:hAnsi="宋体" w:cs="宋体"/>
          <w:color w:val="auto"/>
          <w:kern w:val="0"/>
          <w:sz w:val="21"/>
          <w:szCs w:val="21"/>
          <w:highlight w:val="none"/>
        </w:rPr>
        <w:t>元/天。</w:t>
      </w:r>
    </w:p>
    <w:p w14:paraId="0B78DB33">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因承包人原因造成工期延误，逾期竣工违约金的上限根据“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”承诺确定，为合同价款的</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u w:val="single"/>
          <w:lang w:val="en-US" w:eastAsia="zh-CN"/>
        </w:rPr>
        <w:t>2</w:t>
      </w:r>
      <w:r>
        <w:rPr>
          <w:rFonts w:hint="eastAsia" w:ascii="宋体" w:hAnsi="宋体" w:cs="宋体"/>
          <w:color w:val="auto"/>
          <w:kern w:val="0"/>
          <w:sz w:val="21"/>
          <w:szCs w:val="21"/>
          <w:highlight w:val="none"/>
          <w:u w:val="single"/>
        </w:rPr>
        <w:t xml:space="preserve"> </w:t>
      </w:r>
      <w:r>
        <w:rPr>
          <w:rFonts w:hint="eastAsia" w:ascii="宋体" w:hAnsi="宋体" w:cs="宋体"/>
          <w:color w:val="auto"/>
          <w:kern w:val="0"/>
          <w:sz w:val="21"/>
          <w:szCs w:val="21"/>
          <w:highlight w:val="none"/>
        </w:rPr>
        <w:t>%。</w:t>
      </w:r>
    </w:p>
    <w:p w14:paraId="41D9822F">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7.6 不利物质条件</w:t>
      </w:r>
    </w:p>
    <w:p w14:paraId="18B3D7D9">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不利物质条件的其他情形和有关约定：地勘资料未设计的地下管道、地雷、岩层等，但不包括气候条件。</w:t>
      </w:r>
    </w:p>
    <w:p w14:paraId="6BE2DBB0">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7.7异常恶劣的气候条件</w:t>
      </w:r>
    </w:p>
    <w:p w14:paraId="49F4568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发包人和承包人同意以下情形视为异常恶劣的气候条件：</w:t>
      </w:r>
    </w:p>
    <w:p w14:paraId="14894077">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（1）12小时内降雨量达到50mm以上；</w:t>
      </w:r>
    </w:p>
    <w:p w14:paraId="3CFC0556">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（2）风速达到8级及以上的热带风暴（或台风）；</w:t>
      </w:r>
    </w:p>
    <w:p w14:paraId="71DEAB94">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（3）日最高气温超过38度或低于零下10度；</w:t>
      </w:r>
    </w:p>
    <w:p w14:paraId="3645E62C">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（4）造成工程损坏的冰雹和12小时内降雪量达到4mm及以上的大雪灾害。</w:t>
      </w:r>
    </w:p>
    <w:p w14:paraId="79B8F305">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（5）政府有关部门通知停工的其它恶劣气候条件。</w:t>
      </w:r>
    </w:p>
    <w:p w14:paraId="48FC1571">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7.9 提前竣工的奖励</w:t>
      </w:r>
    </w:p>
    <w:p w14:paraId="2FF70F81">
      <w:pPr>
        <w:pageBreakBefore w:val="0"/>
        <w:widowControl w:val="0"/>
        <w:kinsoku/>
        <w:wordWrap/>
        <w:overflowPunct/>
        <w:topLinePunct w:val="0"/>
        <w:autoSpaceDE w:val="0"/>
        <w:autoSpaceDN w:val="0"/>
        <w:bidi w:val="0"/>
        <w:adjustRightInd w:val="0"/>
        <w:spacing w:line="360" w:lineRule="auto"/>
        <w:ind w:left="630" w:leftChars="200" w:hanging="210" w:hangingChars="1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7.9.2 提前竣工的奖励：根据“</w:t>
      </w:r>
      <w:r>
        <w:rPr>
          <w:rFonts w:hint="eastAsia" w:ascii="宋体" w:hAnsi="宋体" w:cs="宋体"/>
          <w:color w:val="auto"/>
          <w:kern w:val="0"/>
          <w:sz w:val="21"/>
          <w:szCs w:val="21"/>
          <w:highlight w:val="none"/>
          <w:lang w:eastAsia="zh-CN"/>
        </w:rPr>
        <w:t>前附表</w:t>
      </w:r>
      <w:r>
        <w:rPr>
          <w:rFonts w:hint="eastAsia" w:ascii="宋体" w:hAnsi="宋体" w:cs="宋体"/>
          <w:color w:val="auto"/>
          <w:kern w:val="0"/>
          <w:sz w:val="21"/>
          <w:szCs w:val="21"/>
          <w:highlight w:val="none"/>
        </w:rPr>
        <w:t>”承诺，提前竣工奖励为</w:t>
      </w:r>
      <w:r>
        <w:rPr>
          <w:rFonts w:hint="eastAsia" w:ascii="宋体" w:hAnsi="宋体" w:cs="宋体"/>
          <w:color w:val="auto"/>
          <w:kern w:val="0"/>
          <w:sz w:val="21"/>
          <w:szCs w:val="21"/>
          <w:highlight w:val="none"/>
          <w:u w:val="single"/>
        </w:rPr>
        <w:t xml:space="preserve">  0 </w:t>
      </w:r>
      <w:r>
        <w:rPr>
          <w:rFonts w:hint="eastAsia" w:ascii="宋体" w:hAnsi="宋体" w:cs="宋体"/>
          <w:color w:val="auto"/>
          <w:kern w:val="0"/>
          <w:sz w:val="21"/>
          <w:szCs w:val="21"/>
          <w:highlight w:val="none"/>
        </w:rPr>
        <w:t>元/天。</w:t>
      </w:r>
      <w:bookmarkStart w:id="403" w:name="_Toc364853231"/>
    </w:p>
    <w:p w14:paraId="246E891A">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8. 材料与设备</w:t>
      </w:r>
      <w:bookmarkEnd w:id="403"/>
    </w:p>
    <w:p w14:paraId="68F57F23">
      <w:pPr>
        <w:pStyle w:val="67"/>
        <w:pageBreakBefore w:val="0"/>
        <w:widowControl w:val="0"/>
        <w:kinsoku/>
        <w:wordWrap/>
        <w:overflowPunct/>
        <w:topLinePunct w:val="0"/>
        <w:bidi w:val="0"/>
        <w:spacing w:before="120" w:line="360" w:lineRule="auto"/>
        <w:ind w:firstLine="310" w:firstLineChars="147"/>
        <w:textAlignment w:val="auto"/>
        <w:rPr>
          <w:rFonts w:hint="eastAsia" w:hAnsi="宋体" w:cs="宋体"/>
          <w:color w:val="auto"/>
          <w:sz w:val="21"/>
          <w:szCs w:val="21"/>
          <w:highlight w:val="none"/>
        </w:rPr>
      </w:pPr>
      <w:r>
        <w:rPr>
          <w:rFonts w:hint="eastAsia" w:hAnsi="宋体" w:cs="宋体"/>
          <w:color w:val="auto"/>
          <w:sz w:val="21"/>
          <w:szCs w:val="21"/>
          <w:highlight w:val="none"/>
        </w:rPr>
        <w:t xml:space="preserve"> 8.2承包人采购材料与工程设备</w:t>
      </w:r>
    </w:p>
    <w:p w14:paraId="553B16FD">
      <w:pPr>
        <w:pStyle w:val="67"/>
        <w:pageBreakBefore w:val="0"/>
        <w:widowControl w:val="0"/>
        <w:kinsoku/>
        <w:wordWrap/>
        <w:overflowPunct/>
        <w:topLinePunct w:val="0"/>
        <w:bidi w:val="0"/>
        <w:spacing w:before="120" w:line="360" w:lineRule="auto"/>
        <w:ind w:firstLine="480"/>
        <w:textAlignment w:val="auto"/>
        <w:rPr>
          <w:rFonts w:hint="eastAsia" w:hAnsi="宋体" w:cs="宋体"/>
          <w:b w:val="0"/>
          <w:color w:val="auto"/>
          <w:sz w:val="21"/>
          <w:szCs w:val="21"/>
          <w:highlight w:val="none"/>
        </w:rPr>
      </w:pPr>
      <w:r>
        <w:rPr>
          <w:rFonts w:hint="eastAsia" w:hAnsi="宋体" w:cs="宋体"/>
          <w:b w:val="0"/>
          <w:color w:val="auto"/>
          <w:sz w:val="21"/>
          <w:szCs w:val="21"/>
          <w:highlight w:val="none"/>
        </w:rPr>
        <w:t>承包人负责采购材料、工程设备的，应按照设计和有关标准要求采购，并提供产品合格证明及出厂证明，对材料、工程设备质量负责。</w:t>
      </w:r>
    </w:p>
    <w:p w14:paraId="6682F0D5">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8.4材料与工程设备的保管与使用</w:t>
      </w:r>
    </w:p>
    <w:p w14:paraId="47265AF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w:t>
      </w:r>
      <w:bookmarkStart w:id="404" w:name="_Toc292559878"/>
      <w:bookmarkStart w:id="405" w:name="_Toc292559373"/>
      <w:r>
        <w:rPr>
          <w:rFonts w:hint="eastAsia" w:ascii="宋体" w:hAnsi="宋体" w:cs="宋体"/>
          <w:color w:val="auto"/>
          <w:kern w:val="0"/>
          <w:sz w:val="21"/>
          <w:szCs w:val="21"/>
          <w:highlight w:val="none"/>
        </w:rPr>
        <w:t>.4.1保管费用承担：执行通用条款。</w:t>
      </w:r>
      <w:bookmarkEnd w:id="404"/>
      <w:bookmarkEnd w:id="405"/>
    </w:p>
    <w:p w14:paraId="317B89AA">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8.8 施工设备和临时设施</w:t>
      </w:r>
    </w:p>
    <w:p w14:paraId="73164DC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8.8.1 承包人提供的施工设备和临时设施</w:t>
      </w:r>
    </w:p>
    <w:p w14:paraId="54CE385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关于修建临时设施费用承担的约定：执行通用条款。</w:t>
      </w:r>
      <w:bookmarkStart w:id="406" w:name="_Toc364853232"/>
    </w:p>
    <w:bookmarkEnd w:id="406"/>
    <w:p w14:paraId="5CBE9F3D">
      <w:pPr>
        <w:pStyle w:val="5"/>
        <w:pageBreakBefore w:val="0"/>
        <w:widowControl w:val="0"/>
        <w:kinsoku/>
        <w:wordWrap/>
        <w:overflowPunct/>
        <w:topLinePunct w:val="0"/>
        <w:bidi w:val="0"/>
        <w:spacing w:line="360" w:lineRule="auto"/>
        <w:ind w:firstLine="211" w:firstLineChars="100"/>
        <w:textAlignment w:val="auto"/>
        <w:rPr>
          <w:rFonts w:hint="eastAsia" w:ascii="宋体" w:hAnsi="宋体" w:cs="宋体"/>
          <w:color w:val="auto"/>
          <w:sz w:val="21"/>
          <w:szCs w:val="21"/>
          <w:highlight w:val="none"/>
        </w:rPr>
      </w:pPr>
      <w:bookmarkStart w:id="407" w:name="_Toc364853233"/>
      <w:r>
        <w:rPr>
          <w:rFonts w:hint="eastAsia" w:ascii="宋体" w:hAnsi="宋体" w:cs="宋体"/>
          <w:color w:val="auto"/>
          <w:sz w:val="21"/>
          <w:szCs w:val="21"/>
          <w:highlight w:val="none"/>
          <w:lang w:val="en-US" w:eastAsia="zh-CN"/>
        </w:rPr>
        <w:t>10</w:t>
      </w:r>
      <w:r>
        <w:rPr>
          <w:rFonts w:hint="eastAsia" w:ascii="宋体" w:hAnsi="宋体" w:cs="宋体"/>
          <w:color w:val="auto"/>
          <w:sz w:val="21"/>
          <w:szCs w:val="21"/>
          <w:highlight w:val="none"/>
        </w:rPr>
        <w:t>. 变更</w:t>
      </w:r>
    </w:p>
    <w:p w14:paraId="44B71590">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10</w:t>
      </w:r>
      <w:r>
        <w:rPr>
          <w:rFonts w:hint="eastAsia" w:hAnsi="宋体" w:cs="宋体"/>
          <w:color w:val="auto"/>
          <w:sz w:val="21"/>
          <w:szCs w:val="21"/>
          <w:highlight w:val="none"/>
        </w:rPr>
        <w:t>.1变更的范围</w:t>
      </w:r>
    </w:p>
    <w:p w14:paraId="516C574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合同双方当事人约定：合同履行过程中发生以下情形时，应按照本条约定进行合同变更。</w:t>
      </w:r>
    </w:p>
    <w:p w14:paraId="7872CDDE">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1）、法律法规以及政府主管部门的政策性调整；</w:t>
      </w:r>
    </w:p>
    <w:p w14:paraId="415F3CBF">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2）、增加或减少合同中任何工作，或追加额外的工作；</w:t>
      </w:r>
    </w:p>
    <w:p w14:paraId="2AB0333C">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3）、取消合同中任何工作，但转由他人实施的工作除外；</w:t>
      </w:r>
    </w:p>
    <w:p w14:paraId="0A7434F5">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4)、改变合同中任何工作的质量标准或其他特性；</w:t>
      </w:r>
    </w:p>
    <w:p w14:paraId="61718381">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5)、改变工程的基线、标高、位置和尺寸；</w:t>
      </w:r>
    </w:p>
    <w:p w14:paraId="25808295">
      <w:pPr>
        <w:pageBreakBefore w:val="0"/>
        <w:widowControl w:val="0"/>
        <w:kinsoku/>
        <w:wordWrap/>
        <w:overflowPunct/>
        <w:topLinePunct w:val="0"/>
        <w:autoSpaceDE w:val="0"/>
        <w:autoSpaceDN w:val="0"/>
        <w:bidi w:val="0"/>
        <w:adjustRightInd w:val="0"/>
        <w:spacing w:before="9" w:line="360" w:lineRule="auto"/>
        <w:ind w:left="524" w:right="-2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color w:val="auto"/>
          <w:kern w:val="0"/>
          <w:sz w:val="21"/>
          <w:szCs w:val="21"/>
          <w:highlight w:val="none"/>
          <w:lang w:val="en-US" w:eastAsia="zh-CN"/>
        </w:rPr>
        <w:t>6)、改变工程的时间安排或实施顺序。</w:t>
      </w:r>
    </w:p>
    <w:p w14:paraId="5B4B2B30">
      <w:pPr>
        <w:pageBreakBefore w:val="0"/>
        <w:widowControl w:val="0"/>
        <w:shd w:val="clear"/>
        <w:kinsoku/>
        <w:wordWrap/>
        <w:overflowPunct/>
        <w:topLinePunct w:val="0"/>
        <w:bidi w:val="0"/>
        <w:spacing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cs="宋体"/>
          <w:b/>
          <w:color w:val="auto"/>
          <w:kern w:val="2"/>
          <w:sz w:val="21"/>
          <w:szCs w:val="21"/>
          <w:highlight w:val="none"/>
          <w:lang w:val="en-US" w:eastAsia="zh-CN" w:bidi="ar-SA"/>
        </w:rPr>
        <w:t>10.4</w:t>
      </w:r>
      <w:r>
        <w:rPr>
          <w:rFonts w:hint="eastAsia" w:ascii="宋体" w:hAnsi="宋体" w:eastAsia="宋体" w:cs="宋体"/>
          <w:b/>
          <w:color w:val="auto"/>
          <w:kern w:val="2"/>
          <w:sz w:val="21"/>
          <w:szCs w:val="21"/>
          <w:highlight w:val="none"/>
          <w:lang w:val="en-US" w:eastAsia="zh-CN" w:bidi="ar-SA"/>
        </w:rPr>
        <w:t>变更估价</w:t>
      </w:r>
    </w:p>
    <w:p w14:paraId="5F30F8D0">
      <w:pPr>
        <w:pageBreakBefore w:val="0"/>
        <w:widowControl w:val="0"/>
        <w:shd w:val="clear"/>
        <w:kinsoku/>
        <w:wordWrap/>
        <w:overflowPunct/>
        <w:topLinePunct w:val="0"/>
        <w:bidi w:val="0"/>
        <w:spacing w:line="360" w:lineRule="auto"/>
        <w:ind w:firstLine="420" w:firstLineChars="200"/>
        <w:textAlignment w:val="auto"/>
        <w:rPr>
          <w:rFonts w:hint="default" w:ascii="宋体" w:hAnsi="宋体" w:eastAsia="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10.4.1</w:t>
      </w:r>
      <w:r>
        <w:rPr>
          <w:rFonts w:hint="eastAsia" w:ascii="宋体" w:hAnsi="宋体" w:eastAsia="宋体" w:cs="宋体"/>
          <w:color w:val="auto"/>
          <w:kern w:val="0"/>
          <w:szCs w:val="21"/>
          <w:highlight w:val="none"/>
        </w:rPr>
        <w:t>变更估价原则</w:t>
      </w:r>
    </w:p>
    <w:p w14:paraId="15BD50A0">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关于变更估价的约定：</w:t>
      </w:r>
    </w:p>
    <w:p w14:paraId="4DBC91B6">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（1）工程预算书有相同项目的，按照相同项目单价结合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认定；</w:t>
      </w:r>
    </w:p>
    <w:p w14:paraId="15BA9086">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（2）工程预算书中无相同项目，但有类似项目的，参照类似项目单价结合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若有二个及以上类似项目且单价不一致的，参照单价较低的类似项目单价）按以下原则计算确定：某种材料（或半成品及成品）等级、标准变化的，清单组合子目不变，仅调整不同的材料价格；清单项目某一特征或工程内容变化，不影响其他特征及工程内容价格的，其他特征组合标准不变，仅调整发生变化的组合子目价格。</w:t>
      </w:r>
    </w:p>
    <w:p w14:paraId="3078308D">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（3）变更导致实际完成的变更工程量与工程预算书中列明的该项目工程量的变化幅度增加或减少15%以上的，其增加或减少超过15%以上部分工程量的相应单价由承包人根据本工程计价依据并结合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后提出综合单价，经监理人及发包人或其委托的咨询单位工程师确认，作为结算依据。</w:t>
      </w:r>
    </w:p>
    <w:p w14:paraId="4CB8F3EE">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（4）工程预算书中无相同项目及类似项目单价的，由承包人根据实际完成的工程内容、规定的工程取费类别、本工程计价依据并结合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提出综合单价，经签证方式确定的材料、设备价格不作下浮。</w:t>
      </w:r>
    </w:p>
    <w:p w14:paraId="793124D5">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val="en-US" w:eastAsia="zh-CN"/>
        </w:rPr>
        <w:t>4</w:t>
      </w:r>
      <w:r>
        <w:rPr>
          <w:rFonts w:hint="eastAsia" w:ascii="宋体" w:hAnsi="宋体" w:cs="宋体"/>
          <w:color w:val="auto"/>
          <w:kern w:val="0"/>
          <w:szCs w:val="21"/>
          <w:highlight w:val="none"/>
        </w:rPr>
        <w:t>.1.2 关于变更措施项目费的约定：</w:t>
      </w:r>
    </w:p>
    <w:p w14:paraId="00212373">
      <w:pPr>
        <w:pageBreakBefore w:val="0"/>
        <w:widowControl w:val="0"/>
        <w:shd w:val="clear"/>
        <w:kinsoku/>
        <w:wordWrap/>
        <w:overflowPunct/>
        <w:topLinePunct w:val="0"/>
        <w:bidi w:val="0"/>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分部分项工程量清单非承包人原因的工程变更，造成施工组织设计或施工方案变更，以及分部分项工程量变化，引起措施项目数量、内容发生变化，应调整措施项目费。其中采用综合单价计价的措施项目，根据发承包双方确认的工程量和根据结算办法第</w:t>
      </w:r>
      <w:r>
        <w:rPr>
          <w:rFonts w:hint="eastAsia" w:ascii="宋体" w:hAnsi="宋体" w:cs="宋体"/>
          <w:color w:val="auto"/>
          <w:kern w:val="0"/>
          <w:szCs w:val="21"/>
          <w:highlight w:val="none"/>
          <w:lang w:val="en-US" w:eastAsia="zh-CN"/>
        </w:rPr>
        <w:t>10.4.1.1</w:t>
      </w:r>
      <w:r>
        <w:rPr>
          <w:rFonts w:hint="eastAsia" w:ascii="宋体" w:hAnsi="宋体" w:cs="宋体"/>
          <w:color w:val="auto"/>
          <w:kern w:val="0"/>
          <w:szCs w:val="21"/>
          <w:highlight w:val="none"/>
        </w:rPr>
        <w:t>条款约定原则计算的单价提出措施费；采用以“项”计价的措施项目，根据工程量清单中的措施项目和金额结合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或发承包双方确认调整后的措施项目和金额计算。</w:t>
      </w:r>
    </w:p>
    <w:p w14:paraId="04E513D0">
      <w:pPr>
        <w:pageBreakBefore w:val="0"/>
        <w:widowControl w:val="0"/>
        <w:shd w:val="clear"/>
        <w:kinsoku/>
        <w:wordWrap/>
        <w:overflowPunct/>
        <w:topLinePunct w:val="0"/>
        <w:bidi w:val="0"/>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（1）原措施项目费中已有的措施项目，按原措施项目费的组价方法调整。</w:t>
      </w:r>
    </w:p>
    <w:p w14:paraId="699AF876">
      <w:pPr>
        <w:pageBreakBefore w:val="0"/>
        <w:widowControl w:val="0"/>
        <w:shd w:val="clear"/>
        <w:kinsoku/>
        <w:wordWrap/>
        <w:overflowPunct/>
        <w:topLinePunct w:val="0"/>
        <w:bidi w:val="0"/>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rPr>
        <w:t>（2）原措施费没有的措施项目，承包人根据实际措施项目内容、规定的工程取费类别、现行计价依据并结合</w:t>
      </w:r>
      <w:r>
        <w:rPr>
          <w:rFonts w:hint="eastAsia" w:ascii="宋体" w:hAnsi="宋体" w:cs="宋体"/>
          <w:b/>
          <w:color w:val="auto"/>
          <w:kern w:val="0"/>
          <w:szCs w:val="21"/>
          <w:highlight w:val="none"/>
        </w:rPr>
        <w:t>综合折扣</w:t>
      </w:r>
      <w:r>
        <w:rPr>
          <w:rFonts w:hint="eastAsia" w:ascii="宋体" w:hAnsi="宋体" w:cs="宋体"/>
          <w:color w:val="auto"/>
          <w:kern w:val="0"/>
          <w:szCs w:val="21"/>
          <w:highlight w:val="none"/>
        </w:rPr>
        <w:t>后提出措施费。</w:t>
      </w:r>
    </w:p>
    <w:p w14:paraId="08BC4685">
      <w:pPr>
        <w:pageBreakBefore w:val="0"/>
        <w:widowControl w:val="0"/>
        <w:shd w:val="clear"/>
        <w:kinsoku/>
        <w:wordWrap/>
        <w:overflowPunct/>
        <w:topLinePunct w:val="0"/>
        <w:bidi w:val="0"/>
        <w:snapToGrid/>
        <w:spacing w:line="360" w:lineRule="auto"/>
        <w:ind w:firstLine="420" w:firstLineChars="200"/>
        <w:textAlignment w:val="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10.4.1.3</w:t>
      </w:r>
      <w:r>
        <w:rPr>
          <w:rFonts w:hint="eastAsia" w:ascii="宋体" w:hAnsi="宋体" w:cs="宋体"/>
          <w:color w:val="auto"/>
          <w:kern w:val="0"/>
          <w:szCs w:val="21"/>
          <w:highlight w:val="none"/>
        </w:rPr>
        <w:t>关于其他项目费变更的约定：</w:t>
      </w:r>
    </w:p>
    <w:p w14:paraId="6B731C06">
      <w:pPr>
        <w:pageBreakBefore w:val="0"/>
        <w:widowControl w:val="0"/>
        <w:numPr>
          <w:ilvl w:val="0"/>
          <w:numId w:val="4"/>
        </w:numPr>
        <w:shd w:val="clear"/>
        <w:kinsoku/>
        <w:wordWrap/>
        <w:overflowPunct/>
        <w:topLinePunct w:val="0"/>
        <w:bidi w:val="0"/>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承包人应发包人要求完成合同以外的项目、工作，或者发生应由发包人承担责任的事件，承包人应按合同约定的时间、程序向发包人提出费用或责任事件确认的书面资料，办理现场签证。现场签证作为其竣工结算的依据。发包人在现场签证时涉及工程量、价、费等内容的，按合同约定的时间，由具备工程计价资格的人员核对，并详细、明确签署相应意见，否则视为认同承包人提出的内容及金额。</w:t>
      </w:r>
    </w:p>
    <w:p w14:paraId="355C6265">
      <w:pPr>
        <w:pageBreakBefore w:val="0"/>
        <w:widowControl w:val="0"/>
        <w:numPr>
          <w:ilvl w:val="0"/>
          <w:numId w:val="4"/>
        </w:numPr>
        <w:shd w:val="clear"/>
        <w:kinsoku/>
        <w:wordWrap/>
        <w:overflowPunct/>
        <w:topLinePunct w:val="0"/>
        <w:bidi w:val="0"/>
        <w:snapToGrid/>
        <w:spacing w:line="360" w:lineRule="auto"/>
        <w:ind w:firstLine="420" w:firstLineChars="200"/>
        <w:textAlignment w:val="auto"/>
        <w:rPr>
          <w:rFonts w:hint="eastAsia" w:ascii="宋体" w:hAnsi="宋体" w:cs="宋体"/>
          <w:color w:val="auto"/>
          <w:kern w:val="0"/>
          <w:szCs w:val="21"/>
          <w:highlight w:val="none"/>
        </w:rPr>
      </w:pPr>
      <w:r>
        <w:rPr>
          <w:rFonts w:hint="eastAsia" w:ascii="宋体" w:hAnsi="宋体" w:cs="宋体"/>
          <w:color w:val="auto"/>
          <w:kern w:val="0"/>
          <w:szCs w:val="21"/>
          <w:highlight w:val="none"/>
        </w:rPr>
        <w:t>承包人在施工期间的变更应严格按照《宁波市奉化区政府投资项目变更管理办法（试行）》(奉政办发〔2024〕27号)执行，未按该管理办法实行变更审批的，均为无效变更，变更增加的费用在审核结算时，不得计取。</w:t>
      </w:r>
    </w:p>
    <w:p w14:paraId="440AE211">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ascii="宋体" w:hAnsi="宋体" w:cs="宋体"/>
          <w:color w:val="auto"/>
          <w:szCs w:val="21"/>
          <w:highlight w:val="none"/>
        </w:rPr>
      </w:pPr>
      <w:r>
        <w:rPr>
          <w:rFonts w:hint="eastAsia" w:ascii="宋体" w:hAnsi="宋体"/>
          <w:color w:val="auto"/>
          <w:szCs w:val="21"/>
          <w:highlight w:val="none"/>
          <w:lang w:val="en-US" w:eastAsia="zh-CN"/>
        </w:rPr>
        <w:t>10.4.1.4</w:t>
      </w:r>
      <w:r>
        <w:rPr>
          <w:rFonts w:hint="eastAsia" w:ascii="宋体" w:hAnsi="宋体" w:cs="宋体"/>
          <w:color w:val="auto"/>
          <w:szCs w:val="21"/>
          <w:highlight w:val="none"/>
        </w:rPr>
        <w:t>计价依据：</w:t>
      </w:r>
      <w:r>
        <w:rPr>
          <w:rFonts w:hint="eastAsia" w:ascii="宋体" w:hAnsi="宋体" w:cs="宋体"/>
          <w:color w:val="auto"/>
          <w:kern w:val="0"/>
          <w:szCs w:val="21"/>
          <w:highlight w:val="none"/>
        </w:rPr>
        <w:t xml:space="preserve">                                                                                                                                                                                               </w:t>
      </w:r>
    </w:p>
    <w:p w14:paraId="3A3FAEB2">
      <w:pPr>
        <w:keepNext w:val="0"/>
        <w:keepLines w:val="0"/>
        <w:pageBreakBefore w:val="0"/>
        <w:widowControl w:val="0"/>
        <w:numPr>
          <w:ilvl w:val="0"/>
          <w:numId w:val="5"/>
        </w:numPr>
        <w:shd w:val="clear"/>
        <w:kinsoku/>
        <w:wordWrap/>
        <w:overflowPunct/>
        <w:topLinePunct w:val="0"/>
        <w:bidi w:val="0"/>
        <w:snapToGrid/>
        <w:spacing w:line="360" w:lineRule="auto"/>
        <w:ind w:firstLine="420" w:firstLineChars="200"/>
        <w:textAlignment w:val="auto"/>
        <w:rPr>
          <w:rFonts w:hint="eastAsia" w:ascii="宋体" w:hAnsi="宋体" w:cs="宋体"/>
          <w:color w:val="auto"/>
          <w:kern w:val="0"/>
          <w:sz w:val="21"/>
          <w:szCs w:val="21"/>
          <w:highlight w:val="none"/>
          <w:lang w:val="en-US" w:eastAsia="zh-CN"/>
        </w:rPr>
      </w:pPr>
      <w:r>
        <w:rPr>
          <w:rFonts w:hint="eastAsia" w:ascii="宋体" w:hAnsi="宋体" w:cs="宋体"/>
          <w:color w:val="auto"/>
          <w:kern w:val="0"/>
          <w:sz w:val="21"/>
          <w:szCs w:val="21"/>
          <w:highlight w:val="none"/>
          <w:lang w:val="en-US" w:eastAsia="zh-CN"/>
        </w:rPr>
        <w:t>施工图纸等技术资料；工程量：根据施工图纸计算。</w:t>
      </w:r>
    </w:p>
    <w:p w14:paraId="71C6C23D">
      <w:pPr>
        <w:keepNext w:val="0"/>
        <w:keepLines w:val="0"/>
        <w:pageBreakBefore w:val="0"/>
        <w:widowControl w:val="0"/>
        <w:numPr>
          <w:ilvl w:val="0"/>
          <w:numId w:val="5"/>
        </w:numPr>
        <w:shd w:val="clea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rPr>
      </w:pPr>
      <w:r>
        <w:rPr>
          <w:rFonts w:hint="eastAsia" w:asciiTheme="minorEastAsia" w:hAnsiTheme="minorEastAsia" w:eastAsiaTheme="minorEastAsia" w:cstheme="minorEastAsia"/>
          <w:color w:val="auto"/>
          <w:kern w:val="0"/>
          <w:szCs w:val="21"/>
          <w:highlight w:val="none"/>
        </w:rPr>
        <w:t>定额采用：</w:t>
      </w:r>
    </w:p>
    <w:p w14:paraId="01DC6DE9">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建设工程工程量清单计价规范》（GB50500-2013）、《市政工程工程量计算规范（GB50857-2013）》、《通用安装工程工程量计算规范》（GB50856-2013）、《浙江省市政工程预算定额》(2018版)、《浙江省通用安装工程预算定额》（2018版）、《浙江省建设工程计价规则》(2018版)及浙江省、宁波市有关造价文件和规定。</w:t>
      </w:r>
    </w:p>
    <w:p w14:paraId="60623BC3">
      <w:pPr>
        <w:keepNext w:val="0"/>
        <w:keepLines w:val="0"/>
        <w:pageBreakBefore w:val="0"/>
        <w:widowControl w:val="0"/>
        <w:shd w:val="clear"/>
        <w:kinsoku/>
        <w:wordWrap/>
        <w:overflowPunct/>
        <w:topLinePunct w:val="0"/>
        <w:bidi w:val="0"/>
        <w:snapToGrid/>
        <w:spacing w:line="360" w:lineRule="auto"/>
        <w:ind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三、人工及材料信息价：</w:t>
      </w:r>
    </w:p>
    <w:p w14:paraId="7C4F4809">
      <w:pPr>
        <w:keepNext w:val="0"/>
        <w:keepLines w:val="0"/>
        <w:pageBreakBefore w:val="0"/>
        <w:widowControl w:val="0"/>
        <w:shd w:val="clear"/>
        <w:kinsoku/>
        <w:wordWrap/>
        <w:overflowPunct/>
        <w:topLinePunct w:val="0"/>
        <w:autoSpaceDE w:val="0"/>
        <w:autoSpaceDN w:val="0"/>
        <w:bidi w:val="0"/>
        <w:adjustRightInd w:val="0"/>
        <w:snapToGrid/>
        <w:spacing w:before="9" w:line="360" w:lineRule="auto"/>
        <w:ind w:right="-20"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1、人工市场信息价：按照2025年5月份《宁波建设工程造价信息》（综合版）。</w:t>
      </w:r>
    </w:p>
    <w:p w14:paraId="740E1BDA">
      <w:pPr>
        <w:keepNext w:val="0"/>
        <w:keepLines w:val="0"/>
        <w:pageBreakBefore w:val="0"/>
        <w:widowControl w:val="0"/>
        <w:shd w:val="clear"/>
        <w:kinsoku/>
        <w:wordWrap/>
        <w:overflowPunct/>
        <w:topLinePunct w:val="0"/>
        <w:autoSpaceDE w:val="0"/>
        <w:autoSpaceDN w:val="0"/>
        <w:bidi w:val="0"/>
        <w:adjustRightInd w:val="0"/>
        <w:snapToGrid/>
        <w:spacing w:before="9" w:line="360" w:lineRule="auto"/>
        <w:ind w:right="-20" w:firstLine="420" w:firstLineChars="200"/>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2、材料信息价：按照2025年5月的《宁波建设工程造价信息》奉化区信息价、奉化区信息价缺项的参照宁波市区信息价、宁波市区信息价缺项的参照同期《浙江造价信息》，无信息价材料参照市场询价计入；</w:t>
      </w:r>
    </w:p>
    <w:p w14:paraId="33F5F5FB">
      <w:pPr>
        <w:keepNext w:val="0"/>
        <w:keepLines w:val="0"/>
        <w:pageBreakBefore w:val="0"/>
        <w:widowControl w:val="0"/>
        <w:kinsoku/>
        <w:wordWrap/>
        <w:overflowPunct/>
        <w:topLinePunct w:val="0"/>
        <w:bidi w:val="0"/>
        <w:snapToGrid/>
        <w:spacing w:line="360" w:lineRule="auto"/>
        <w:ind w:firstLine="411" w:firstLineChars="196"/>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四、取费标准:</w:t>
      </w:r>
    </w:p>
    <w:p w14:paraId="3B435A22">
      <w:pPr>
        <w:keepNext w:val="0"/>
        <w:keepLines w:val="0"/>
        <w:pageBreakBefore w:val="0"/>
        <w:widowControl w:val="0"/>
        <w:kinsoku/>
        <w:wordWrap/>
        <w:overflowPunct/>
        <w:topLinePunct w:val="0"/>
        <w:bidi w:val="0"/>
        <w:snapToGrid/>
        <w:spacing w:line="360" w:lineRule="auto"/>
        <w:ind w:firstLine="411" w:firstLineChars="196"/>
        <w:textAlignment w:val="auto"/>
        <w:rPr>
          <w:rFonts w:hint="eastAsia" w:asciiTheme="minorEastAsia" w:hAnsiTheme="minorEastAsia" w:eastAsiaTheme="minorEastAsia" w:cstheme="minorEastAsia"/>
          <w:color w:val="auto"/>
          <w:kern w:val="0"/>
          <w:szCs w:val="21"/>
          <w:highlight w:val="none"/>
          <w:lang w:val="en-US" w:eastAsia="zh-CN"/>
        </w:rPr>
      </w:pPr>
      <w:r>
        <w:rPr>
          <w:rFonts w:hint="eastAsia" w:asciiTheme="minorEastAsia" w:hAnsiTheme="minorEastAsia" w:eastAsiaTheme="minorEastAsia" w:cstheme="minorEastAsia"/>
          <w:color w:val="auto"/>
          <w:kern w:val="0"/>
          <w:szCs w:val="21"/>
          <w:highlight w:val="none"/>
          <w:lang w:val="en-US" w:eastAsia="zh-CN"/>
        </w:rPr>
        <w:t>企业管理费、利润费率按相应工程中值计取；施工组织措施项目费计取安全文明施工基本费（非市区工程）、冬雨季施工增加费两项，费率按中值计取，其他施工组织项目费均不计取，其中安全文明施工基本费根据甬建发〔2022〕34号进行调整；规费按相应工程标准费率的30%计取；安全生产责任保险费用按市建管〔2024〕12号文件计取。税金按浙建建发〔2019〕92号文规定9%计取。</w:t>
      </w:r>
    </w:p>
    <w:p w14:paraId="5BD4CE55">
      <w:pPr>
        <w:keepNext w:val="0"/>
        <w:keepLines w:val="0"/>
        <w:pageBreakBefore w:val="0"/>
        <w:widowControl w:val="0"/>
        <w:shd w:val="clear"/>
        <w:kinsoku/>
        <w:wordWrap/>
        <w:overflowPunct/>
        <w:topLinePunct w:val="0"/>
        <w:autoSpaceDE w:val="0"/>
        <w:autoSpaceDN w:val="0"/>
        <w:bidi w:val="0"/>
        <w:adjustRightInd w:val="0"/>
        <w:snapToGrid/>
        <w:spacing w:before="9" w:line="360" w:lineRule="auto"/>
        <w:ind w:right="-20" w:firstLine="482" w:firstLineChars="200"/>
        <w:textAlignment w:val="auto"/>
        <w:rPr>
          <w:rFonts w:hint="eastAsia" w:asciiTheme="minorEastAsia" w:hAnsiTheme="minorEastAsia" w:eastAsiaTheme="minorEastAsia" w:cstheme="minorEastAsia"/>
          <w:b/>
          <w:color w:val="auto"/>
          <w:kern w:val="0"/>
          <w:szCs w:val="21"/>
          <w:highlight w:val="none"/>
        </w:rPr>
      </w:pPr>
      <w:r>
        <w:rPr>
          <w:rFonts w:hint="eastAsia" w:asciiTheme="minorEastAsia" w:hAnsiTheme="minorEastAsia" w:eastAsiaTheme="minorEastAsia" w:cstheme="minorEastAsia"/>
          <w:b/>
          <w:color w:val="auto"/>
          <w:sz w:val="24"/>
          <w:highlight w:val="none"/>
        </w:rPr>
        <w:t>本项目综合折扣为</w:t>
      </w:r>
      <w:r>
        <w:rPr>
          <w:rFonts w:hint="eastAsia" w:asciiTheme="minorEastAsia" w:hAnsiTheme="minorEastAsia" w:eastAsiaTheme="minorEastAsia" w:cstheme="minorEastAsia"/>
          <w:b/>
          <w:color w:val="auto"/>
          <w:sz w:val="24"/>
          <w:highlight w:val="none"/>
          <w:u w:val="single"/>
        </w:rPr>
        <w:t xml:space="preserve">    %</w:t>
      </w:r>
      <w:r>
        <w:rPr>
          <w:rFonts w:hint="eastAsia" w:asciiTheme="minorEastAsia" w:hAnsiTheme="minorEastAsia" w:eastAsiaTheme="minorEastAsia" w:cstheme="minorEastAsia"/>
          <w:b/>
          <w:color w:val="auto"/>
          <w:sz w:val="24"/>
          <w:highlight w:val="none"/>
        </w:rPr>
        <w:t>。</w:t>
      </w:r>
    </w:p>
    <w:p w14:paraId="095D7C2B">
      <w:pPr>
        <w:pStyle w:val="5"/>
        <w:pageBreakBefore w:val="0"/>
        <w:widowControl w:val="0"/>
        <w:kinsoku/>
        <w:wordWrap/>
        <w:overflowPunct/>
        <w:topLinePunct w:val="0"/>
        <w:bidi w:val="0"/>
        <w:snapToGrid/>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11.</w:t>
      </w:r>
      <w:r>
        <w:rPr>
          <w:rFonts w:hint="eastAsia" w:ascii="宋体" w:hAnsi="宋体" w:cs="宋体"/>
          <w:color w:val="auto"/>
          <w:sz w:val="21"/>
          <w:szCs w:val="21"/>
          <w:highlight w:val="none"/>
        </w:rPr>
        <w:t xml:space="preserve"> 价格调整</w:t>
      </w:r>
      <w:bookmarkEnd w:id="407"/>
    </w:p>
    <w:p w14:paraId="31F9F6AF">
      <w:pPr>
        <w:pageBreakBefore w:val="0"/>
        <w:widowControl w:val="0"/>
        <w:kinsoku/>
        <w:wordWrap/>
        <w:overflowPunct/>
        <w:topLinePunct w:val="0"/>
        <w:bidi w:val="0"/>
        <w:snapToGrid/>
        <w:spacing w:line="360" w:lineRule="auto"/>
        <w:ind w:firstLine="422" w:firstLineChars="20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lang w:val="en-US" w:eastAsia="zh-CN"/>
        </w:rPr>
        <w:t>11.1</w:t>
      </w:r>
      <w:r>
        <w:rPr>
          <w:rFonts w:hint="eastAsia" w:ascii="宋体" w:hAnsi="宋体" w:cs="宋体"/>
          <w:b/>
          <w:color w:val="auto"/>
          <w:sz w:val="21"/>
          <w:szCs w:val="21"/>
          <w:highlight w:val="none"/>
        </w:rPr>
        <w:t xml:space="preserve"> 市场价格波动引起的调整</w:t>
      </w:r>
    </w:p>
    <w:p w14:paraId="33CDEDAD">
      <w:pPr>
        <w:pStyle w:val="67"/>
        <w:pageBreakBefore w:val="0"/>
        <w:widowControl w:val="0"/>
        <w:kinsoku/>
        <w:wordWrap/>
        <w:overflowPunct/>
        <w:topLinePunct w:val="0"/>
        <w:bidi w:val="0"/>
        <w:snapToGrid/>
        <w:spacing w:line="360" w:lineRule="auto"/>
        <w:ind w:firstLine="401" w:firstLineChars="190"/>
        <w:textAlignment w:val="auto"/>
        <w:rPr>
          <w:rFonts w:hint="eastAsia" w:hAnsi="宋体" w:eastAsia="宋体" w:cs="宋体"/>
          <w:color w:val="auto"/>
          <w:sz w:val="21"/>
          <w:szCs w:val="21"/>
          <w:highlight w:val="none"/>
          <w:lang w:val="en-US" w:eastAsia="zh-CN"/>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.1.1 合同当事人约定：实际施工期内不作调整。</w:t>
      </w:r>
    </w:p>
    <w:p w14:paraId="6FE52CFD">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1</w:t>
      </w:r>
      <w:r>
        <w:rPr>
          <w:rFonts w:hint="eastAsia" w:hAnsi="宋体" w:cs="宋体"/>
          <w:color w:val="auto"/>
          <w:sz w:val="21"/>
          <w:szCs w:val="21"/>
          <w:highlight w:val="none"/>
        </w:rPr>
        <w:t>.2 法律变化引起的调整</w:t>
      </w:r>
    </w:p>
    <w:p w14:paraId="1A1BBFA0">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bookmarkStart w:id="408" w:name="_Toc364853234"/>
      <w:r>
        <w:rPr>
          <w:rFonts w:hint="eastAsia" w:ascii="宋体" w:hAnsi="宋体" w:cs="宋体"/>
          <w:color w:val="auto"/>
          <w:sz w:val="21"/>
          <w:szCs w:val="21"/>
          <w:highlight w:val="none"/>
        </w:rPr>
        <w:t>合同当事人关于本条的补充约定：</w:t>
      </w:r>
    </w:p>
    <w:p w14:paraId="753A592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（1）本条所称的法律包括法律、法规、规章及规范性文件。</w:t>
      </w:r>
    </w:p>
    <w:p w14:paraId="4D7A7CE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（2）国有投资项目应按本省建设行政主管部门或其授权工程造价管理机构发布的规定调整合同价款。</w:t>
      </w:r>
    </w:p>
    <w:p w14:paraId="4479822A">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12</w:t>
      </w:r>
      <w:r>
        <w:rPr>
          <w:rFonts w:hint="eastAsia" w:ascii="宋体" w:hAnsi="宋体" w:cs="宋体"/>
          <w:color w:val="auto"/>
          <w:sz w:val="21"/>
          <w:szCs w:val="21"/>
          <w:highlight w:val="none"/>
        </w:rPr>
        <w:t>. 合同价格、计量与支付</w:t>
      </w:r>
      <w:bookmarkEnd w:id="408"/>
    </w:p>
    <w:p w14:paraId="127D0DC4">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bookmarkStart w:id="409" w:name="_Toc267251461"/>
      <w:bookmarkStart w:id="410" w:name="_Toc292559916"/>
      <w:bookmarkStart w:id="411" w:name="_Toc292559411"/>
      <w:bookmarkStart w:id="412" w:name="_Toc297120506"/>
      <w:bookmarkStart w:id="413" w:name="_Toc296503206"/>
      <w:bookmarkStart w:id="414" w:name="_Toc296944545"/>
      <w:bookmarkStart w:id="415" w:name="_Toc296347205"/>
      <w:bookmarkStart w:id="416" w:name="_Toc296891034"/>
      <w:bookmarkStart w:id="417" w:name="_Toc296346707"/>
      <w:bookmarkStart w:id="418" w:name="_Toc296891246"/>
      <w:bookmarkStart w:id="419" w:name="_Toc297048392"/>
      <w:bookmarkStart w:id="420" w:name="_Toc297123553"/>
      <w:bookmarkStart w:id="421" w:name="_Toc304295580"/>
      <w:bookmarkStart w:id="422" w:name="_Toc312678041"/>
      <w:bookmarkStart w:id="423" w:name="_Toc300935003"/>
      <w:bookmarkStart w:id="424" w:name="_Toc303539160"/>
      <w:bookmarkStart w:id="425" w:name="_Toc297216212"/>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.1 合</w:t>
      </w:r>
      <w:bookmarkEnd w:id="409"/>
      <w:bookmarkEnd w:id="410"/>
      <w:bookmarkEnd w:id="411"/>
      <w:r>
        <w:rPr>
          <w:rFonts w:hint="eastAsia" w:hAnsi="宋体" w:cs="宋体"/>
          <w:color w:val="auto"/>
          <w:sz w:val="21"/>
          <w:szCs w:val="21"/>
          <w:highlight w:val="none"/>
        </w:rPr>
        <w:t>同价</w:t>
      </w:r>
      <w:bookmarkEnd w:id="412"/>
      <w:bookmarkEnd w:id="413"/>
      <w:bookmarkEnd w:id="414"/>
      <w:bookmarkEnd w:id="415"/>
      <w:bookmarkEnd w:id="416"/>
      <w:bookmarkEnd w:id="417"/>
      <w:bookmarkEnd w:id="418"/>
      <w:bookmarkEnd w:id="419"/>
      <w:r>
        <w:rPr>
          <w:rFonts w:hint="eastAsia" w:hAnsi="宋体" w:cs="宋体"/>
          <w:color w:val="auto"/>
          <w:sz w:val="21"/>
          <w:szCs w:val="21"/>
          <w:highlight w:val="none"/>
        </w:rPr>
        <w:t>格形式</w:t>
      </w:r>
    </w:p>
    <w:bookmarkEnd w:id="420"/>
    <w:bookmarkEnd w:id="421"/>
    <w:bookmarkEnd w:id="422"/>
    <w:bookmarkEnd w:id="423"/>
    <w:bookmarkEnd w:id="424"/>
    <w:bookmarkEnd w:id="425"/>
    <w:p w14:paraId="37467682">
      <w:pPr>
        <w:pageBreakBefore w:val="0"/>
        <w:widowControl w:val="0"/>
        <w:kinsoku/>
        <w:wordWrap/>
        <w:overflowPunct/>
        <w:topLinePunct w:val="0"/>
        <w:bidi w:val="0"/>
        <w:spacing w:line="360" w:lineRule="auto"/>
        <w:ind w:firstLine="422" w:firstLineChars="200"/>
        <w:textAlignment w:val="auto"/>
        <w:rPr>
          <w:rFonts w:hint="eastAsia" w:hAnsi="宋体" w:cs="宋体"/>
          <w:color w:val="auto"/>
          <w:sz w:val="21"/>
          <w:szCs w:val="21"/>
          <w:highlight w:val="none"/>
        </w:rPr>
      </w:pPr>
      <w:r>
        <w:rPr>
          <w:rFonts w:hint="eastAsia" w:ascii="宋体" w:hAnsi="宋体" w:cs="宋体"/>
          <w:b/>
          <w:color w:val="auto"/>
          <w:kern w:val="0"/>
          <w:sz w:val="21"/>
          <w:szCs w:val="21"/>
          <w:highlight w:val="none"/>
        </w:rPr>
        <w:t>本合同采用合同当事人签订的合同协议书中约定的价格形式，即：</w:t>
      </w:r>
      <w:r>
        <w:rPr>
          <w:rFonts w:hint="eastAsia" w:ascii="宋体" w:hAnsi="宋体" w:cs="宋体"/>
          <w:b/>
          <w:color w:val="auto"/>
          <w:kern w:val="0"/>
          <w:sz w:val="21"/>
          <w:szCs w:val="21"/>
          <w:highlight w:val="none"/>
          <w:lang w:eastAsia="zh-CN"/>
        </w:rPr>
        <w:t>单价</w:t>
      </w:r>
      <w:r>
        <w:rPr>
          <w:rFonts w:hint="eastAsia" w:ascii="宋体" w:hAnsi="宋体" w:eastAsia="宋体" w:cs="宋体"/>
          <w:b/>
          <w:color w:val="auto"/>
          <w:kern w:val="0"/>
          <w:sz w:val="21"/>
          <w:szCs w:val="21"/>
          <w:highlight w:val="none"/>
        </w:rPr>
        <w:t>合同。</w:t>
      </w:r>
      <w:r>
        <w:rPr>
          <w:rFonts w:hint="eastAsia" w:ascii="宋体" w:hAnsi="宋体" w:cs="宋体"/>
          <w:color w:val="auto"/>
          <w:kern w:val="0"/>
          <w:sz w:val="21"/>
          <w:szCs w:val="21"/>
          <w:highlight w:val="none"/>
        </w:rPr>
        <w:t xml:space="preserve"> </w:t>
      </w:r>
      <w:r>
        <w:rPr>
          <w:rFonts w:hint="eastAsia" w:hAnsi="宋体" w:cs="宋体"/>
          <w:color w:val="auto"/>
          <w:sz w:val="21"/>
          <w:szCs w:val="21"/>
          <w:highlight w:val="none"/>
        </w:rPr>
        <w:t xml:space="preserve">  </w:t>
      </w:r>
    </w:p>
    <w:p w14:paraId="5E09239A">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12.</w:t>
      </w:r>
      <w:r>
        <w:rPr>
          <w:rFonts w:hint="eastAsia" w:hAnsi="宋体" w:cs="宋体"/>
          <w:color w:val="auto"/>
          <w:sz w:val="21"/>
          <w:szCs w:val="21"/>
          <w:highlight w:val="none"/>
        </w:rPr>
        <w:t>2 预付款</w:t>
      </w:r>
    </w:p>
    <w:p w14:paraId="7C37C3FB">
      <w:pPr>
        <w:pStyle w:val="13"/>
        <w:pageBreakBefore w:val="0"/>
        <w:widowControl w:val="0"/>
        <w:kinsoku/>
        <w:wordWrap/>
        <w:overflowPunct/>
        <w:topLinePunct w:val="0"/>
        <w:bidi w:val="0"/>
        <w:spacing w:line="360" w:lineRule="auto"/>
        <w:ind w:firstLine="420" w:firstLineChars="200"/>
        <w:textAlignment w:val="auto"/>
        <w:rPr>
          <w:rFonts w:hint="eastAsia" w:hAnsi="宋体" w:cs="宋体"/>
          <w:color w:val="auto"/>
          <w:sz w:val="21"/>
          <w:szCs w:val="21"/>
          <w:highlight w:val="none"/>
        </w:rPr>
      </w:pPr>
      <w:r>
        <w:rPr>
          <w:rFonts w:hint="eastAsia" w:ascii="宋体" w:hAnsi="宋体" w:eastAsia="宋体" w:cs="宋体"/>
          <w:color w:val="auto"/>
          <w:sz w:val="21"/>
          <w:szCs w:val="21"/>
          <w:highlight w:val="none"/>
        </w:rPr>
        <w:t>1</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 xml:space="preserve">.2.1 </w:t>
      </w:r>
      <w:r>
        <w:rPr>
          <w:rFonts w:hint="eastAsia" w:ascii="宋体" w:hAnsi="宋体" w:eastAsia="宋体" w:cs="宋体"/>
          <w:color w:val="auto"/>
          <w:sz w:val="21"/>
          <w:szCs w:val="21"/>
          <w:highlight w:val="none"/>
          <w:lang w:val="en-US" w:eastAsia="zh-CN"/>
        </w:rPr>
        <w:t>预付款的支付和扣回的方式：</w:t>
      </w:r>
      <w:r>
        <w:rPr>
          <w:rFonts w:hint="eastAsia" w:ascii="宋体" w:hAnsi="宋体" w:eastAsia="宋体" w:cs="宋体"/>
          <w:b/>
          <w:bCs w:val="0"/>
          <w:color w:val="auto"/>
          <w:sz w:val="21"/>
          <w:szCs w:val="21"/>
          <w:highlight w:val="none"/>
          <w:u w:val="single"/>
          <w:lang w:val="en-US" w:eastAsia="zh-CN"/>
        </w:rPr>
        <w:t>在合同签订生效后一周内，支付合同价款的20%；（预付款扣回的方式：在前2次工程进度款支付时各扣回预付款的50%)。</w:t>
      </w:r>
    </w:p>
    <w:p w14:paraId="0F7A1F8B">
      <w:pPr>
        <w:pStyle w:val="67"/>
        <w:pageBreakBefore w:val="0"/>
        <w:widowControl w:val="0"/>
        <w:kinsoku/>
        <w:wordWrap/>
        <w:overflowPunct/>
        <w:topLinePunct w:val="0"/>
        <w:bidi w:val="0"/>
        <w:spacing w:before="120" w:line="360" w:lineRule="auto"/>
        <w:ind w:firstLine="310" w:firstLineChars="147"/>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.3 计量</w:t>
      </w:r>
    </w:p>
    <w:p w14:paraId="0A194C4C">
      <w:pPr>
        <w:pStyle w:val="13"/>
        <w:pageBreakBefore w:val="0"/>
        <w:widowControl w:val="0"/>
        <w:kinsoku/>
        <w:wordWrap/>
        <w:overflowPunct/>
        <w:topLinePunct w:val="0"/>
        <w:bidi w:val="0"/>
        <w:spacing w:line="360" w:lineRule="auto"/>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关于工程量计算原则约定：按现行的工程量计算规则执行。</w:t>
      </w:r>
    </w:p>
    <w:p w14:paraId="693F1ABC">
      <w:pPr>
        <w:pStyle w:val="13"/>
        <w:pageBreakBefore w:val="0"/>
        <w:widowControl w:val="0"/>
        <w:kinsoku/>
        <w:wordWrap/>
        <w:overflowPunct/>
        <w:topLinePunct w:val="0"/>
        <w:bidi w:val="0"/>
        <w:spacing w:line="360" w:lineRule="auto"/>
        <w:ind w:firstLine="420" w:firstLineChars="200"/>
        <w:textAlignment w:val="auto"/>
        <w:rPr>
          <w:rFonts w:hint="eastAsia" w:hAnsi="宋体" w:cs="宋体"/>
          <w:color w:val="auto"/>
          <w:sz w:val="21"/>
          <w:szCs w:val="21"/>
          <w:highlight w:val="none"/>
        </w:rPr>
      </w:pPr>
      <w:r>
        <w:rPr>
          <w:rFonts w:hint="eastAsia" w:hAnsi="宋体" w:cs="宋体"/>
          <w:color w:val="auto"/>
          <w:sz w:val="21"/>
          <w:szCs w:val="21"/>
          <w:highlight w:val="none"/>
        </w:rPr>
        <w:t>关于计量周期及本合同计量方式和程序的约定：执行通用条款。</w:t>
      </w:r>
    </w:p>
    <w:p w14:paraId="18738420">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2</w:t>
      </w:r>
      <w:r>
        <w:rPr>
          <w:rFonts w:hint="eastAsia" w:hAnsi="宋体" w:cs="宋体"/>
          <w:color w:val="auto"/>
          <w:sz w:val="21"/>
          <w:szCs w:val="21"/>
          <w:highlight w:val="none"/>
        </w:rPr>
        <w:t>.4 工程进度款支付</w:t>
      </w:r>
    </w:p>
    <w:p w14:paraId="17EA8E1F">
      <w:pPr>
        <w:pStyle w:val="67"/>
        <w:pageBreakBefore w:val="0"/>
        <w:widowControl w:val="0"/>
        <w:kinsoku/>
        <w:wordWrap/>
        <w:overflowPunct/>
        <w:topLinePunct w:val="0"/>
        <w:bidi w:val="0"/>
        <w:spacing w:before="120" w:line="360" w:lineRule="auto"/>
        <w:ind w:firstLine="310" w:firstLineChars="147"/>
        <w:textAlignment w:val="auto"/>
        <w:rPr>
          <w:rFonts w:hint="eastAsia"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关于付款周期、进度款支付程序和方法的约定</w:t>
      </w:r>
      <w:bookmarkStart w:id="426" w:name="_Toc364853235"/>
      <w:r>
        <w:rPr>
          <w:rFonts w:hint="eastAsia" w:ascii="宋体" w:hAnsi="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在工程施工进度（监理工程师、现场业主代表共同核定的已完合格的工程量）至50%时支付合同价款的30%；工程施工进度（监理工程师、现场业主代表共同核定的已完合格的工程量）至80%时支付合同价款的30%；待工程竣工验收合格后支付至合同价款的80%；待竣工结算经甲方委托的造价咨询机构审核后支付至结算审核价款的98.5%，余款在质保期过后付清。</w:t>
      </w:r>
    </w:p>
    <w:p w14:paraId="4E35BB45">
      <w:pPr>
        <w:pStyle w:val="67"/>
        <w:pageBreakBefore w:val="0"/>
        <w:widowControl w:val="0"/>
        <w:kinsoku/>
        <w:wordWrap/>
        <w:overflowPunct/>
        <w:topLinePunct w:val="0"/>
        <w:bidi w:val="0"/>
        <w:spacing w:before="120" w:line="360" w:lineRule="auto"/>
        <w:ind w:firstLine="518" w:firstLineChars="247"/>
        <w:textAlignment w:val="auto"/>
        <w:rPr>
          <w:rFonts w:hint="eastAsia" w:ascii="宋体" w:hAnsi="宋体" w:eastAsia="宋体" w:cs="宋体"/>
          <w:b w:val="0"/>
          <w:snapToGrid w:val="0"/>
          <w:color w:val="auto"/>
          <w:kern w:val="2"/>
          <w:sz w:val="21"/>
          <w:szCs w:val="21"/>
          <w:highlight w:val="none"/>
          <w:lang w:val="en-US" w:eastAsia="zh-CN" w:bidi="ar-SA"/>
        </w:rPr>
      </w:pPr>
      <w:r>
        <w:rPr>
          <w:rFonts w:hint="eastAsia" w:ascii="宋体" w:hAnsi="宋体" w:eastAsia="宋体" w:cs="宋体"/>
          <w:b w:val="0"/>
          <w:snapToGrid w:val="0"/>
          <w:color w:val="auto"/>
          <w:kern w:val="2"/>
          <w:sz w:val="21"/>
          <w:szCs w:val="21"/>
          <w:highlight w:val="none"/>
          <w:lang w:val="en-US" w:eastAsia="zh-CN" w:bidi="ar-SA"/>
        </w:rPr>
        <w:t>以上付款，发包人在收到承包人开具的相应等额票据后，发包人在28日内向承包人支付相应款项（自发包人收到相应票据之日起计算）；如承包人未及时提供或提供的相应等额票据不符合甲方要求，发包人有权拒绝或延迟支付此笔款项，且不承担延迟付款的违约责任。</w:t>
      </w:r>
    </w:p>
    <w:p w14:paraId="1BDBA3FD">
      <w:pPr>
        <w:pageBreakBefore w:val="0"/>
        <w:widowControl w:val="0"/>
        <w:kinsoku/>
        <w:wordWrap/>
        <w:overflowPunct/>
        <w:topLinePunct w:val="0"/>
        <w:bidi w:val="0"/>
        <w:snapToGrid w:val="0"/>
        <w:spacing w:line="360" w:lineRule="auto"/>
        <w:ind w:firstLine="420"/>
        <w:textAlignment w:val="auto"/>
        <w:rPr>
          <w:rFonts w:hint="eastAsia" w:ascii="宋体" w:hAnsi="宋体" w:cs="宋体"/>
          <w:b/>
          <w:color w:val="auto"/>
          <w:sz w:val="21"/>
          <w:szCs w:val="21"/>
          <w:highlight w:val="none"/>
        </w:rPr>
      </w:pPr>
      <w:r>
        <w:rPr>
          <w:rFonts w:hint="eastAsia" w:ascii="宋体" w:hAnsi="宋体" w:cs="宋体"/>
          <w:b/>
          <w:color w:val="auto"/>
          <w:sz w:val="21"/>
          <w:szCs w:val="21"/>
          <w:highlight w:val="none"/>
        </w:rPr>
        <w:t>1</w:t>
      </w:r>
      <w:r>
        <w:rPr>
          <w:rFonts w:hint="eastAsia" w:ascii="宋体" w:hAnsi="宋体" w:cs="宋体"/>
          <w:b/>
          <w:color w:val="auto"/>
          <w:sz w:val="21"/>
          <w:szCs w:val="21"/>
          <w:highlight w:val="none"/>
          <w:lang w:val="en-US" w:eastAsia="zh-CN"/>
        </w:rPr>
        <w:t>3</w:t>
      </w:r>
      <w:r>
        <w:rPr>
          <w:rFonts w:hint="eastAsia" w:ascii="宋体" w:hAnsi="宋体" w:cs="宋体"/>
          <w:b/>
          <w:color w:val="auto"/>
          <w:sz w:val="21"/>
          <w:szCs w:val="21"/>
          <w:highlight w:val="none"/>
        </w:rPr>
        <w:t>. 验收和工程试车</w:t>
      </w:r>
      <w:bookmarkEnd w:id="426"/>
    </w:p>
    <w:p w14:paraId="27E239E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1 分部分项工程验收</w:t>
      </w:r>
    </w:p>
    <w:p w14:paraId="70D68B08">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.1.2 监理人不能按时进行验收时，应提前</w:t>
      </w:r>
      <w:r>
        <w:rPr>
          <w:rFonts w:hint="eastAsia" w:ascii="宋体" w:hAnsi="宋体" w:cs="宋体"/>
          <w:color w:val="auto"/>
          <w:sz w:val="21"/>
          <w:szCs w:val="21"/>
          <w:highlight w:val="none"/>
          <w:u w:val="single"/>
        </w:rPr>
        <w:t xml:space="preserve"> 24 </w:t>
      </w:r>
      <w:r>
        <w:rPr>
          <w:rFonts w:hint="eastAsia" w:ascii="宋体" w:hAnsi="宋体" w:cs="宋体"/>
          <w:color w:val="auto"/>
          <w:sz w:val="21"/>
          <w:szCs w:val="21"/>
          <w:highlight w:val="none"/>
        </w:rPr>
        <w:t>小时提交书面延期要求，但延期不能超过48小时。</w:t>
      </w:r>
    </w:p>
    <w:p w14:paraId="7BCB3D39">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.2 竣工验收</w:t>
      </w:r>
    </w:p>
    <w:p w14:paraId="6BD03717">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.2.2 竣工验收程序</w:t>
      </w:r>
    </w:p>
    <w:p w14:paraId="1EAC0435">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关于竣工验收程序的约定：执行通用条款。</w:t>
      </w:r>
    </w:p>
    <w:p w14:paraId="089DB039">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发包人不按照本项约定组织竣工验收、颁发工程接收证书的违约金的计算方法：执行通用条款。</w:t>
      </w:r>
    </w:p>
    <w:p w14:paraId="18B0C0FE">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.2.5　移交、接收全部与部分工程</w:t>
      </w:r>
    </w:p>
    <w:p w14:paraId="6F08A571">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承包人向发包人移交工程的期限：在颁发工程接收证书后</w:t>
      </w:r>
      <w:r>
        <w:rPr>
          <w:rFonts w:hint="eastAsia" w:ascii="宋体" w:hAnsi="宋体" w:cs="宋体"/>
          <w:color w:val="auto"/>
          <w:sz w:val="21"/>
          <w:szCs w:val="21"/>
          <w:highlight w:val="none"/>
          <w:u w:val="single"/>
        </w:rPr>
        <w:t xml:space="preserve">7 </w:t>
      </w:r>
      <w:r>
        <w:rPr>
          <w:rFonts w:hint="eastAsia" w:ascii="宋体" w:hAnsi="宋体" w:cs="宋体"/>
          <w:color w:val="auto"/>
          <w:sz w:val="21"/>
          <w:szCs w:val="21"/>
          <w:highlight w:val="none"/>
        </w:rPr>
        <w:t>天内完成工程的移交。</w:t>
      </w:r>
    </w:p>
    <w:p w14:paraId="2642CB29">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发包人无正当理由未按本合同约定接收全部或部分工程的，除承担自应接收工程</w:t>
      </w:r>
      <w:r>
        <w:rPr>
          <w:rFonts w:hint="eastAsia" w:ascii="宋体" w:hAnsi="宋体" w:cs="宋体"/>
          <w:color w:val="auto"/>
          <w:sz w:val="21"/>
          <w:szCs w:val="21"/>
          <w:highlight w:val="none"/>
        </w:rPr>
        <w:t>之日起的工程照管、成本保护、保管等与工程有关的各项费用外，应当按本专用条款约定的</w:t>
      </w:r>
      <w:r>
        <w:rPr>
          <w:rFonts w:hint="eastAsia" w:ascii="宋体" w:hAnsi="宋体" w:cs="宋体"/>
          <w:color w:val="auto"/>
          <w:kern w:val="0"/>
          <w:sz w:val="21"/>
          <w:szCs w:val="21"/>
          <w:highlight w:val="none"/>
        </w:rPr>
        <w:t>提前竣工奖励的5倍标准</w:t>
      </w:r>
      <w:r>
        <w:rPr>
          <w:rFonts w:hint="eastAsia" w:ascii="宋体" w:hAnsi="宋体" w:cs="宋体"/>
          <w:color w:val="auto"/>
          <w:sz w:val="21"/>
          <w:szCs w:val="21"/>
          <w:highlight w:val="none"/>
        </w:rPr>
        <w:t>向承包人支付逾期接收工程的违约金。</w:t>
      </w:r>
    </w:p>
    <w:p w14:paraId="11016CA0">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承包人无正当理由未按时移交工程的，除承担自应接收工程之日起的工程照管、成本保护、保管等与工程有关的各项费用外，应当按本合同约定的工期延误赔偿标准的5倍向发</w:t>
      </w:r>
      <w:r>
        <w:rPr>
          <w:rFonts w:hint="eastAsia" w:ascii="宋体" w:hAnsi="宋体" w:cs="宋体"/>
          <w:color w:val="auto"/>
          <w:sz w:val="21"/>
          <w:szCs w:val="21"/>
          <w:highlight w:val="none"/>
        </w:rPr>
        <w:t>包人支付逾期移交工程的违约金。</w:t>
      </w:r>
    </w:p>
    <w:p w14:paraId="3219E88F">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13</w:t>
      </w:r>
      <w:r>
        <w:rPr>
          <w:rFonts w:hint="eastAsia" w:hAnsi="宋体" w:cs="宋体"/>
          <w:color w:val="auto"/>
          <w:sz w:val="21"/>
          <w:szCs w:val="21"/>
          <w:highlight w:val="none"/>
        </w:rPr>
        <w:t>.3 工程试车</w:t>
      </w:r>
    </w:p>
    <w:p w14:paraId="71185FE3">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w:t>
      </w:r>
      <w:r>
        <w:rPr>
          <w:rFonts w:hint="eastAsia" w:ascii="宋体" w:hAnsi="宋体" w:cs="宋体"/>
          <w:color w:val="auto"/>
          <w:sz w:val="21"/>
          <w:szCs w:val="21"/>
          <w:highlight w:val="none"/>
        </w:rPr>
        <w:t>.3.1 关于试车程序及费用的约定：执行通用条款。</w:t>
      </w:r>
    </w:p>
    <w:p w14:paraId="599B7774">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.3.3　关于投料试车相关事项的约定：执行通用条款。</w:t>
      </w:r>
    </w:p>
    <w:p w14:paraId="70AB415C">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3.6</w:t>
      </w:r>
      <w:r>
        <w:rPr>
          <w:rFonts w:hint="eastAsia" w:hAnsi="宋体" w:cs="宋体"/>
          <w:color w:val="auto"/>
          <w:sz w:val="21"/>
          <w:szCs w:val="21"/>
          <w:highlight w:val="none"/>
        </w:rPr>
        <w:t xml:space="preserve"> 竣工退场</w:t>
      </w:r>
    </w:p>
    <w:p w14:paraId="06D4BD39">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13.6.1</w:t>
      </w:r>
      <w:r>
        <w:rPr>
          <w:rFonts w:hint="eastAsia" w:ascii="宋体" w:hAnsi="宋体" w:cs="宋体"/>
          <w:color w:val="auto"/>
          <w:sz w:val="21"/>
          <w:szCs w:val="21"/>
          <w:highlight w:val="none"/>
        </w:rPr>
        <w:t>竣工退场</w:t>
      </w:r>
    </w:p>
    <w:p w14:paraId="0D90CE73">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承包人应当在发包人颁发工程接收证书后</w:t>
      </w:r>
      <w:r>
        <w:rPr>
          <w:rFonts w:hint="eastAsia" w:ascii="宋体" w:hAnsi="宋体" w:cs="宋体"/>
          <w:color w:val="auto"/>
          <w:sz w:val="21"/>
          <w:szCs w:val="21"/>
          <w:highlight w:val="none"/>
          <w:u w:val="single"/>
        </w:rPr>
        <w:t xml:space="preserve">  14</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内完成竣工退场，逾期未完成的，按通用条款执行。</w:t>
      </w:r>
    </w:p>
    <w:p w14:paraId="5B9ADA65">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bookmarkStart w:id="427" w:name="_Toc364853236"/>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4</w:t>
      </w:r>
      <w:r>
        <w:rPr>
          <w:rFonts w:hint="eastAsia" w:ascii="宋体" w:hAnsi="宋体" w:cs="宋体"/>
          <w:color w:val="auto"/>
          <w:sz w:val="21"/>
          <w:szCs w:val="21"/>
          <w:highlight w:val="none"/>
        </w:rPr>
        <w:t>. 竣工结算</w:t>
      </w:r>
      <w:bookmarkEnd w:id="427"/>
    </w:p>
    <w:p w14:paraId="2F920AB0">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1 竣工结算申请</w:t>
      </w:r>
    </w:p>
    <w:p w14:paraId="1EE869F6">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承包人应当在工程竣工验收合格后</w:t>
      </w:r>
      <w:r>
        <w:rPr>
          <w:rFonts w:hint="eastAsia" w:ascii="宋体" w:hAnsi="宋体" w:cs="宋体"/>
          <w:color w:val="auto"/>
          <w:sz w:val="21"/>
          <w:szCs w:val="21"/>
          <w:highlight w:val="none"/>
          <w:u w:val="single"/>
        </w:rPr>
        <w:t>　28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内向发包人或其委托的工程造价咨询人提交竣工结算申请单及其完整的结算资料3份。</w:t>
      </w:r>
    </w:p>
    <w:p w14:paraId="34761E4A">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或其委托的工程造价咨询人对竣工结算申请单有异议或者结算资料不符合要求的，有权要求承包进行修正和提供补充资料，但应当出具书面的意见。承包人应当按照发包人或其委托的工程造价咨询人出具的书面意见提交修正后的竣工结算申请单或结算资料，竣工结算申请的时间从提交修正后的竣工结算申请单或结算资料起计算。</w:t>
      </w:r>
    </w:p>
    <w:p w14:paraId="012DBB56">
      <w:pPr>
        <w:pageBreakBefore w:val="0"/>
        <w:widowControl w:val="0"/>
        <w:kinsoku/>
        <w:wordWrap/>
        <w:overflowPunct/>
        <w:topLinePunct w:val="0"/>
        <w:autoSpaceDE w:val="0"/>
        <w:autoSpaceDN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竣工结算申请单应包括的内容：按通用条款执行。</w:t>
      </w:r>
    </w:p>
    <w:p w14:paraId="2CCC24AA">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14.2</w:t>
      </w:r>
      <w:r>
        <w:rPr>
          <w:rFonts w:hint="eastAsia" w:hAnsi="宋体" w:cs="宋体"/>
          <w:color w:val="auto"/>
          <w:sz w:val="21"/>
          <w:szCs w:val="21"/>
          <w:highlight w:val="none"/>
        </w:rPr>
        <w:t xml:space="preserve"> 竣工结算审核</w:t>
      </w:r>
    </w:p>
    <w:p w14:paraId="0C44998F">
      <w:pPr>
        <w:pStyle w:val="68"/>
        <w:pageBreakBefore w:val="0"/>
        <w:widowControl w:val="0"/>
        <w:kinsoku/>
        <w:wordWrap/>
        <w:overflowPunct/>
        <w:topLinePunct w:val="0"/>
        <w:bidi w:val="0"/>
        <w:adjustRightInd w:val="0"/>
        <w:spacing w:line="360" w:lineRule="auto"/>
        <w:ind w:firstLine="420" w:firstLineChars="200"/>
        <w:textAlignment w:val="auto"/>
        <w:rPr>
          <w:rFonts w:hint="eastAsia" w:hAnsi="宋体" w:eastAsia="宋体" w:cs="宋体"/>
          <w:color w:val="auto"/>
          <w:sz w:val="21"/>
          <w:szCs w:val="21"/>
          <w:highlight w:val="none"/>
        </w:rPr>
      </w:pPr>
      <w:r>
        <w:rPr>
          <w:rFonts w:hint="eastAsia" w:hAnsi="宋体" w:eastAsia="宋体" w:cs="宋体"/>
          <w:color w:val="auto"/>
          <w:sz w:val="21"/>
          <w:szCs w:val="21"/>
          <w:highlight w:val="none"/>
          <w:lang w:val="en-US" w:eastAsia="zh-CN"/>
        </w:rPr>
        <w:t>14.2.1</w:t>
      </w:r>
      <w:r>
        <w:rPr>
          <w:rFonts w:hint="eastAsia" w:hAnsi="宋体" w:eastAsia="宋体" w:cs="宋体"/>
          <w:color w:val="auto"/>
          <w:sz w:val="21"/>
          <w:szCs w:val="21"/>
          <w:highlight w:val="none"/>
        </w:rPr>
        <w:t xml:space="preserve"> 竣工结算审核</w:t>
      </w:r>
    </w:p>
    <w:p w14:paraId="633C14D3">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（1）发包人在收到承包人完整的竣工结算审核申请资料后，应在28天内及时提交财政或审计部门审核，财政或审计部门出具结算审核报告后，发包人应在14天内签发竣工付款证书。</w:t>
      </w:r>
    </w:p>
    <w:p w14:paraId="46B8841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发包人在收到承包人提交的竣工结算申请单后</w:t>
      </w:r>
      <w:r>
        <w:rPr>
          <w:rFonts w:hint="eastAsia" w:ascii="宋体" w:hAnsi="宋体" w:cs="宋体"/>
          <w:color w:val="auto"/>
          <w:sz w:val="21"/>
          <w:szCs w:val="21"/>
          <w:highlight w:val="none"/>
          <w:u w:val="single"/>
        </w:rPr>
        <w:t>　28　</w:t>
      </w:r>
      <w:r>
        <w:rPr>
          <w:rFonts w:hint="eastAsia" w:ascii="宋体" w:hAnsi="宋体" w:cs="宋体"/>
          <w:color w:val="auto"/>
          <w:sz w:val="21"/>
          <w:szCs w:val="21"/>
          <w:highlight w:val="none"/>
        </w:rPr>
        <w:t>天未提出异议或者未出具结算报告的，视为发包人认可承包人提交的竣工结算申请单，逾期，视为已</w:t>
      </w:r>
    </w:p>
    <w:p w14:paraId="72A1F991">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签发竣工付款证书。</w:t>
      </w:r>
    </w:p>
    <w:p w14:paraId="73120EA3">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（2）发包人应在签发竣工付款证书后</w:t>
      </w:r>
      <w:r>
        <w:rPr>
          <w:rFonts w:hint="eastAsia" w:ascii="宋体" w:hAnsi="宋体" w:cs="宋体"/>
          <w:color w:val="auto"/>
          <w:sz w:val="21"/>
          <w:szCs w:val="21"/>
          <w:highlight w:val="none"/>
          <w:u w:val="single"/>
        </w:rPr>
        <w:t>　7　</w:t>
      </w:r>
      <w:r>
        <w:rPr>
          <w:rFonts w:hint="eastAsia" w:ascii="宋体" w:hAnsi="宋体" w:cs="宋体"/>
          <w:color w:val="auto"/>
          <w:sz w:val="21"/>
          <w:szCs w:val="21"/>
          <w:highlight w:val="none"/>
        </w:rPr>
        <w:t>天内，完成对承包人的竣工付款。发包人逾期支付的违约责任按通用条款执行。</w:t>
      </w:r>
    </w:p>
    <w:p w14:paraId="707D357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3）承包人对发包人签发的竣工付款证书有异议的内容，应在收到竣工付款证书后7天内提出，按照第20条[争议解决]约定处理。无异议部分，发包人应签发临时竣工付款证书，并按第（2）项约定完成付款；承包人逾期未提出异议的，视为认可发包人的审核结果。</w:t>
      </w:r>
    </w:p>
    <w:p w14:paraId="29411AD3">
      <w:pPr>
        <w:pageBreakBefore w:val="0"/>
        <w:widowControl w:val="0"/>
        <w:kinsoku/>
        <w:wordWrap/>
        <w:overflowPunct/>
        <w:topLinePunct w:val="0"/>
        <w:bidi w:val="0"/>
        <w:spacing w:line="360" w:lineRule="auto"/>
        <w:ind w:firstLine="525" w:firstLineChars="25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（4）委托中介机构进行竣工结算审核时发生追加费，其费用由承包方承担。结算追加费执行浙价服【2009】84号标准，结合奉化财政局规定执行。</w:t>
      </w:r>
    </w:p>
    <w:p w14:paraId="2AEBDB09">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（5）关于承包人收款账户的约定：执行通用条款。</w:t>
      </w:r>
    </w:p>
    <w:p w14:paraId="35BC42C0">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14.4</w:t>
      </w:r>
      <w:r>
        <w:rPr>
          <w:rFonts w:hint="eastAsia" w:hAnsi="宋体" w:cs="宋体"/>
          <w:color w:val="auto"/>
          <w:sz w:val="21"/>
          <w:szCs w:val="21"/>
          <w:highlight w:val="none"/>
        </w:rPr>
        <w:t xml:space="preserve"> 最终结清</w:t>
      </w:r>
    </w:p>
    <w:p w14:paraId="192A5030">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bookmarkStart w:id="428" w:name="_Toc364853237"/>
      <w:r>
        <w:rPr>
          <w:rFonts w:hint="eastAsia" w:ascii="宋体" w:hAnsi="宋体" w:cs="宋体"/>
          <w:color w:val="auto"/>
          <w:sz w:val="21"/>
          <w:szCs w:val="21"/>
          <w:highlight w:val="none"/>
          <w:lang w:val="en-US" w:eastAsia="zh-CN"/>
        </w:rPr>
        <w:t>14.4.1</w:t>
      </w:r>
      <w:r>
        <w:rPr>
          <w:rFonts w:hint="eastAsia" w:ascii="宋体" w:hAnsi="宋体" w:cs="宋体"/>
          <w:color w:val="auto"/>
          <w:sz w:val="21"/>
          <w:szCs w:val="21"/>
          <w:highlight w:val="none"/>
        </w:rPr>
        <w:t>最终结清申请单</w:t>
      </w:r>
    </w:p>
    <w:p w14:paraId="77580FF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（1）承包人应在缺陷责任期终止证书颁发后7天内提交3份最终结清申请单，并提供相关证明材料。最终结清申请单应列明质量保证金、应扣除的质量保证金、缺陷责任期内发生的增减费用。</w:t>
      </w:r>
    </w:p>
    <w:p w14:paraId="17FD651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（2）发包人对最终结清申请单内容有异议的，有权要求承包人进行修正和提供补充资料，但应当出具书面意见。承包人应当按照发包人的书面意见提交修正后的最终结清申请单。</w:t>
      </w:r>
    </w:p>
    <w:p w14:paraId="402FE48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14.4.2</w:t>
      </w:r>
      <w:r>
        <w:rPr>
          <w:rFonts w:hint="eastAsia" w:ascii="宋体" w:hAnsi="宋体" w:cs="宋体"/>
          <w:color w:val="auto"/>
          <w:sz w:val="21"/>
          <w:szCs w:val="21"/>
          <w:highlight w:val="none"/>
        </w:rPr>
        <w:t xml:space="preserve"> 最终结清证书和支付</w:t>
      </w:r>
    </w:p>
    <w:p w14:paraId="4720BC7D">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（1）发包人应在收到承包人提交的最终结清申请单后</w:t>
      </w:r>
      <w:r>
        <w:rPr>
          <w:rFonts w:hint="eastAsia" w:ascii="宋体" w:hAnsi="宋体" w:cs="宋体"/>
          <w:color w:val="auto"/>
          <w:sz w:val="21"/>
          <w:szCs w:val="21"/>
          <w:highlight w:val="none"/>
          <w:u w:val="single"/>
        </w:rPr>
        <w:t>14</w:t>
      </w:r>
      <w:r>
        <w:rPr>
          <w:rFonts w:hint="eastAsia" w:ascii="宋体" w:hAnsi="宋体" w:cs="宋体"/>
          <w:color w:val="auto"/>
          <w:sz w:val="21"/>
          <w:szCs w:val="21"/>
          <w:highlight w:val="none"/>
        </w:rPr>
        <w:t>天内完成审批并向承包人颁发最终结清证书。发包人逾期未完成审批，又未提出修改意见的，视为发包人同意承包人提交的最终结清申请单并已颁发最终结清证书 。</w:t>
      </w:r>
    </w:p>
    <w:p w14:paraId="1E21CD3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（2）发包人应在颁发最终结清证书后</w:t>
      </w:r>
      <w:r>
        <w:rPr>
          <w:rFonts w:hint="eastAsia" w:ascii="宋体" w:hAnsi="宋体" w:cs="宋体"/>
          <w:color w:val="auto"/>
          <w:sz w:val="21"/>
          <w:szCs w:val="21"/>
          <w:highlight w:val="none"/>
          <w:u w:val="single"/>
        </w:rPr>
        <w:t>　7　</w:t>
      </w:r>
      <w:r>
        <w:rPr>
          <w:rFonts w:hint="eastAsia" w:ascii="宋体" w:hAnsi="宋体" w:cs="宋体"/>
          <w:color w:val="auto"/>
          <w:kern w:val="0"/>
          <w:sz w:val="21"/>
          <w:szCs w:val="21"/>
          <w:highlight w:val="none"/>
        </w:rPr>
        <w:t>天</w:t>
      </w:r>
      <w:r>
        <w:rPr>
          <w:rFonts w:hint="eastAsia" w:ascii="宋体" w:hAnsi="宋体" w:cs="宋体"/>
          <w:color w:val="auto"/>
          <w:sz w:val="21"/>
          <w:szCs w:val="21"/>
          <w:highlight w:val="none"/>
        </w:rPr>
        <w:t>内完成支付。发包人逾期支付的违约责任按通用条款执行。</w:t>
      </w:r>
    </w:p>
    <w:p w14:paraId="2894FAD6">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 xml:space="preserve"> 缺陷责任期与保修</w:t>
      </w:r>
      <w:bookmarkEnd w:id="428"/>
    </w:p>
    <w:p w14:paraId="539ECABC">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15.2</w:t>
      </w:r>
      <w:r>
        <w:rPr>
          <w:rFonts w:hint="eastAsia" w:hAnsi="宋体" w:cs="宋体"/>
          <w:color w:val="auto"/>
          <w:sz w:val="21"/>
          <w:szCs w:val="21"/>
          <w:highlight w:val="none"/>
        </w:rPr>
        <w:t>缺陷责任期</w:t>
      </w:r>
    </w:p>
    <w:p w14:paraId="0E0CD20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15.2.1</w:t>
      </w:r>
      <w:r>
        <w:rPr>
          <w:rFonts w:hint="eastAsia" w:ascii="宋体" w:hAnsi="宋体" w:cs="宋体"/>
          <w:color w:val="auto"/>
          <w:sz w:val="21"/>
          <w:szCs w:val="21"/>
          <w:highlight w:val="none"/>
        </w:rPr>
        <w:t xml:space="preserve"> 本合同缺陷责任期为</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w:t>
      </w:r>
    </w:p>
    <w:p w14:paraId="55987F78">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工程竣工验收合格后，因承包人原因导致的缺陷使工程或或某项主要设备不能按原定目的使用的，发包人有权在原缺陷责任期届满前要求施工承包人延长缺陷责任期，延长的缺陷责任期为</w:t>
      </w:r>
      <w:r>
        <w:rPr>
          <w:rFonts w:hint="eastAsia" w:ascii="宋体" w:hAnsi="宋体" w:cs="宋体"/>
          <w:color w:val="auto"/>
          <w:sz w:val="21"/>
          <w:szCs w:val="21"/>
          <w:highlight w:val="none"/>
          <w:u w:val="single"/>
        </w:rPr>
        <w:t>12</w:t>
      </w:r>
      <w:r>
        <w:rPr>
          <w:rFonts w:hint="eastAsia" w:ascii="宋体" w:hAnsi="宋体" w:cs="宋体"/>
          <w:color w:val="auto"/>
          <w:sz w:val="21"/>
          <w:szCs w:val="21"/>
          <w:highlight w:val="none"/>
        </w:rPr>
        <w:t>个月。</w:t>
      </w:r>
    </w:p>
    <w:p w14:paraId="7E0C7AF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15.3</w:t>
      </w:r>
      <w:r>
        <w:rPr>
          <w:rFonts w:hint="eastAsia" w:hAnsi="宋体" w:cs="宋体"/>
          <w:color w:val="auto"/>
          <w:sz w:val="21"/>
          <w:szCs w:val="21"/>
          <w:highlight w:val="none"/>
        </w:rPr>
        <w:t>质量保证担保</w:t>
      </w:r>
    </w:p>
    <w:p w14:paraId="21FC0034">
      <w:pPr>
        <w:pStyle w:val="67"/>
        <w:pageBreakBefore w:val="0"/>
        <w:widowControl w:val="0"/>
        <w:kinsoku/>
        <w:wordWrap/>
        <w:overflowPunct/>
        <w:topLinePunct w:val="0"/>
        <w:bidi w:val="0"/>
        <w:spacing w:before="120" w:line="360" w:lineRule="auto"/>
        <w:ind w:firstLine="399" w:firstLineChars="190"/>
        <w:textAlignment w:val="auto"/>
        <w:rPr>
          <w:rFonts w:hint="eastAsia" w:hAnsi="宋体" w:cs="宋体"/>
          <w:color w:val="auto"/>
          <w:sz w:val="21"/>
          <w:szCs w:val="21"/>
          <w:highlight w:val="none"/>
        </w:rPr>
      </w:pPr>
      <w:r>
        <w:rPr>
          <w:rFonts w:hint="eastAsia" w:hAnsi="宋体" w:cs="宋体"/>
          <w:b w:val="0"/>
          <w:color w:val="auto"/>
          <w:kern w:val="2"/>
          <w:sz w:val="21"/>
          <w:szCs w:val="21"/>
          <w:highlight w:val="none"/>
          <w:lang w:val="en-US" w:eastAsia="zh-CN" w:bidi="ar-SA"/>
        </w:rPr>
        <w:t>15.3.1</w:t>
      </w:r>
      <w:r>
        <w:rPr>
          <w:rFonts w:hint="eastAsia" w:ascii="宋体" w:hAnsi="宋体" w:eastAsia="宋体" w:cs="宋体"/>
          <w:b w:val="0"/>
          <w:color w:val="auto"/>
          <w:kern w:val="2"/>
          <w:sz w:val="21"/>
          <w:szCs w:val="21"/>
          <w:highlight w:val="none"/>
          <w:lang w:val="en-US" w:eastAsia="zh-CN" w:bidi="ar-SA"/>
        </w:rPr>
        <w:t>质量保证期：自实际竣工日期起计算</w:t>
      </w:r>
      <w:r>
        <w:rPr>
          <w:rFonts w:hint="eastAsia" w:hAnsi="宋体" w:cs="宋体"/>
          <w:b w:val="0"/>
          <w:color w:val="auto"/>
          <w:kern w:val="2"/>
          <w:sz w:val="21"/>
          <w:szCs w:val="21"/>
          <w:highlight w:val="none"/>
          <w:lang w:val="en-US" w:eastAsia="zh-CN" w:bidi="ar-SA"/>
        </w:rPr>
        <w:t>12</w:t>
      </w:r>
      <w:r>
        <w:rPr>
          <w:rFonts w:hint="eastAsia" w:ascii="宋体" w:hAnsi="宋体" w:eastAsia="宋体" w:cs="宋体"/>
          <w:b w:val="0"/>
          <w:color w:val="auto"/>
          <w:kern w:val="2"/>
          <w:sz w:val="21"/>
          <w:szCs w:val="21"/>
          <w:highlight w:val="none"/>
          <w:lang w:val="en-US" w:eastAsia="zh-CN" w:bidi="ar-SA"/>
        </w:rPr>
        <w:t>个月。</w:t>
      </w:r>
      <w:r>
        <w:rPr>
          <w:rFonts w:hint="eastAsia" w:hAnsi="宋体" w:cs="宋体"/>
          <w:color w:val="auto"/>
          <w:sz w:val="21"/>
          <w:szCs w:val="21"/>
          <w:highlight w:val="none"/>
        </w:rPr>
        <w:t xml:space="preserve"> </w:t>
      </w:r>
    </w:p>
    <w:p w14:paraId="1679883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15.3.2</w:t>
      </w:r>
      <w:r>
        <w:rPr>
          <w:rFonts w:hint="eastAsia" w:ascii="宋体" w:hAnsi="宋体" w:cs="宋体"/>
          <w:color w:val="auto"/>
          <w:sz w:val="21"/>
          <w:szCs w:val="21"/>
          <w:highlight w:val="none"/>
        </w:rPr>
        <w:t>承包人与质量保证担保有关的任何利息或其它类似的费用或者收益由承包人承担；因承包人原因导致缺陷责任期延长的，继续提供质量保证担保所增加的费用由承包人承担。</w:t>
      </w:r>
    </w:p>
    <w:p w14:paraId="3206C788">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15.4</w:t>
      </w:r>
      <w:r>
        <w:rPr>
          <w:rFonts w:hint="eastAsia" w:hAnsi="宋体" w:cs="宋体"/>
          <w:color w:val="auto"/>
          <w:sz w:val="21"/>
          <w:szCs w:val="21"/>
          <w:highlight w:val="none"/>
        </w:rPr>
        <w:t>保修</w:t>
      </w:r>
    </w:p>
    <w:p w14:paraId="7A5C12ED">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kern w:val="0"/>
          <w:sz w:val="21"/>
          <w:szCs w:val="21"/>
          <w:highlight w:val="none"/>
        </w:rPr>
      </w:pPr>
      <w:bookmarkStart w:id="429" w:name="_Toc364853238"/>
      <w:r>
        <w:rPr>
          <w:rFonts w:hint="eastAsia" w:ascii="宋体" w:hAnsi="宋体" w:cs="宋体"/>
          <w:color w:val="auto"/>
          <w:kern w:val="0"/>
          <w:sz w:val="21"/>
          <w:szCs w:val="21"/>
          <w:highlight w:val="none"/>
          <w:lang w:val="en-US" w:eastAsia="zh-CN"/>
        </w:rPr>
        <w:t>15.4.1</w:t>
      </w:r>
      <w:r>
        <w:rPr>
          <w:rFonts w:hint="eastAsia" w:ascii="宋体" w:hAnsi="宋体" w:cs="宋体"/>
          <w:color w:val="auto"/>
          <w:kern w:val="0"/>
          <w:sz w:val="21"/>
          <w:szCs w:val="21"/>
          <w:highlight w:val="none"/>
        </w:rPr>
        <w:t>保修责任</w:t>
      </w:r>
    </w:p>
    <w:p w14:paraId="32A73B8D">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工程保修期为：</w:t>
      </w:r>
      <w:r>
        <w:rPr>
          <w:rFonts w:hint="eastAsia" w:ascii="宋体" w:hAnsi="宋体" w:cs="宋体"/>
          <w:color w:val="auto"/>
          <w:sz w:val="21"/>
          <w:szCs w:val="21"/>
          <w:highlight w:val="none"/>
          <w:lang w:val="en-US" w:eastAsia="zh-CN"/>
        </w:rPr>
        <w:t>1年</w:t>
      </w:r>
      <w:r>
        <w:rPr>
          <w:rFonts w:hint="eastAsia" w:ascii="宋体" w:hAnsi="宋体" w:cs="宋体"/>
          <w:color w:val="auto"/>
          <w:sz w:val="21"/>
          <w:szCs w:val="21"/>
          <w:highlight w:val="none"/>
        </w:rPr>
        <w:t>。</w:t>
      </w:r>
    </w:p>
    <w:p w14:paraId="4E496BF2">
      <w:pPr>
        <w:pageBreakBefore w:val="0"/>
        <w:widowControl w:val="0"/>
        <w:kinsoku/>
        <w:wordWrap/>
        <w:overflowPunct/>
        <w:topLinePunct w:val="0"/>
        <w:bidi w:val="0"/>
        <w:spacing w:line="360" w:lineRule="auto"/>
        <w:ind w:firstLine="420" w:firstLineChars="20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15.4.2质量保修金：结算价款的1.5%。</w:t>
      </w:r>
    </w:p>
    <w:p w14:paraId="26DEC28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15.4.3</w:t>
      </w:r>
      <w:r>
        <w:rPr>
          <w:rFonts w:hint="eastAsia" w:ascii="宋体" w:hAnsi="宋体" w:cs="宋体"/>
          <w:color w:val="auto"/>
          <w:sz w:val="21"/>
          <w:szCs w:val="21"/>
          <w:highlight w:val="none"/>
        </w:rPr>
        <w:t xml:space="preserve"> 修复通知</w:t>
      </w:r>
    </w:p>
    <w:p w14:paraId="694B1587">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合同当事人约定：承包人收到保修通知并到达工程现场的合理时间为48小时内（含48小时）。</w:t>
      </w:r>
    </w:p>
    <w:p w14:paraId="7EDD7CE6">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w:t>
      </w:r>
      <w:r>
        <w:rPr>
          <w:rFonts w:hint="eastAsia" w:ascii="宋体" w:hAnsi="宋体" w:cs="宋体"/>
          <w:color w:val="auto"/>
          <w:sz w:val="21"/>
          <w:szCs w:val="21"/>
          <w:highlight w:val="none"/>
        </w:rPr>
        <w:t>. 违约</w:t>
      </w:r>
      <w:bookmarkEnd w:id="429"/>
    </w:p>
    <w:p w14:paraId="416F629E">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16.1</w:t>
      </w:r>
      <w:r>
        <w:rPr>
          <w:rFonts w:hint="eastAsia" w:hAnsi="宋体" w:cs="宋体"/>
          <w:color w:val="auto"/>
          <w:sz w:val="21"/>
          <w:szCs w:val="21"/>
          <w:highlight w:val="none"/>
        </w:rPr>
        <w:t xml:space="preserve"> 发包人违约</w:t>
      </w:r>
    </w:p>
    <w:p w14:paraId="3864FC14">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.1.1发包人违约的情形按通用条款确定。</w:t>
      </w:r>
    </w:p>
    <w:p w14:paraId="7FD91276">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.1.2 发包人违约的责任</w:t>
      </w:r>
    </w:p>
    <w:p w14:paraId="3A4584D5">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发包人应承担其违约承包人增加的费用和（或）延误工期，并支付承包人合理的利润。</w:t>
      </w:r>
    </w:p>
    <w:p w14:paraId="296D904C">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.1.3  关于发包人违约解除合同的约定：执行通用条款。</w:t>
      </w:r>
    </w:p>
    <w:p w14:paraId="6B759484">
      <w:pPr>
        <w:pStyle w:val="67"/>
        <w:pageBreakBefore w:val="0"/>
        <w:widowControl w:val="0"/>
        <w:kinsoku/>
        <w:wordWrap/>
        <w:overflowPunct/>
        <w:topLinePunct w:val="0"/>
        <w:bidi w:val="0"/>
        <w:spacing w:before="120"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16.2</w:t>
      </w:r>
      <w:r>
        <w:rPr>
          <w:rFonts w:hint="eastAsia" w:hAnsi="宋体" w:cs="宋体"/>
          <w:color w:val="auto"/>
          <w:sz w:val="21"/>
          <w:szCs w:val="21"/>
          <w:highlight w:val="none"/>
        </w:rPr>
        <w:t>承包人违约</w:t>
      </w:r>
    </w:p>
    <w:p w14:paraId="49254D66">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bookmarkStart w:id="430" w:name="_Toc364853239"/>
      <w:r>
        <w:rPr>
          <w:rFonts w:hint="eastAsia" w:ascii="宋体" w:hAnsi="宋体" w:cs="宋体"/>
          <w:color w:val="auto"/>
          <w:sz w:val="21"/>
          <w:szCs w:val="21"/>
          <w:highlight w:val="none"/>
          <w:lang w:val="en-US" w:eastAsia="zh-CN"/>
        </w:rPr>
        <w:t>16.2.1</w:t>
      </w:r>
      <w:r>
        <w:rPr>
          <w:rFonts w:hint="eastAsia" w:ascii="宋体" w:hAnsi="宋体" w:cs="宋体"/>
          <w:color w:val="auto"/>
          <w:sz w:val="21"/>
          <w:szCs w:val="21"/>
          <w:highlight w:val="none"/>
        </w:rPr>
        <w:t>承包人违约的情形按通用条款确定。</w:t>
      </w:r>
    </w:p>
    <w:p w14:paraId="63E4009B">
      <w:pPr>
        <w:pageBreakBefore w:val="0"/>
        <w:widowControl w:val="0"/>
        <w:kinsoku/>
        <w:wordWrap/>
        <w:overflowPunct/>
        <w:topLinePunct w:val="0"/>
        <w:bidi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16.2.2</w:t>
      </w:r>
      <w:r>
        <w:rPr>
          <w:rFonts w:hint="eastAsia" w:ascii="宋体" w:hAnsi="宋体" w:cs="宋体"/>
          <w:color w:val="auto"/>
          <w:sz w:val="21"/>
          <w:szCs w:val="21"/>
          <w:highlight w:val="none"/>
        </w:rPr>
        <w:t>承包人违约的责任</w:t>
      </w:r>
    </w:p>
    <w:p w14:paraId="1E1BB963">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sz w:val="21"/>
          <w:szCs w:val="21"/>
          <w:highlight w:val="none"/>
        </w:rPr>
        <w:t>承包人应承担其违约行为及纠正其违约行为而增加的费用和（或）延误的工期。延误工期的，</w:t>
      </w:r>
      <w:r>
        <w:rPr>
          <w:rFonts w:hint="eastAsia" w:ascii="宋体" w:hAnsi="宋体" w:cs="宋体"/>
          <w:color w:val="auto"/>
          <w:kern w:val="0"/>
          <w:sz w:val="21"/>
          <w:szCs w:val="21"/>
          <w:highlight w:val="none"/>
        </w:rPr>
        <w:t>根据实际延误的时间，按本合同约定的工期延误赔偿标准向发包人支付违约金；延误超过56天的，按本合同约定的工期延误赔偿标准两倍支付违约金；逾期竣工违约金的限额不足时，发包人有权向承包人追偿。</w:t>
      </w:r>
    </w:p>
    <w:p w14:paraId="7CB90F1B">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lang w:val="en-US" w:eastAsia="zh-CN"/>
        </w:rPr>
        <w:t>16.2.3</w:t>
      </w:r>
      <w:r>
        <w:rPr>
          <w:rFonts w:hint="eastAsia" w:ascii="宋体" w:hAnsi="宋体" w:cs="宋体"/>
          <w:color w:val="auto"/>
          <w:kern w:val="0"/>
          <w:sz w:val="21"/>
          <w:szCs w:val="21"/>
          <w:highlight w:val="none"/>
        </w:rPr>
        <w:t xml:space="preserve"> 关于因承包人违约解除合同的约定：执行通用条款。</w:t>
      </w:r>
    </w:p>
    <w:p w14:paraId="6B78F51F">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发包人继续使用承包人在施工现场的材料、设备、临时工程、承包人文件和由承包人或以其名义编制的其他文件的费用承担方式约定：产生的费用未超过承包人应承担的违约赔偿限额的，由承包人承担；产生的费用超出承包人应承担的违约赔偿限额部分，由发包人承担。</w:t>
      </w:r>
    </w:p>
    <w:p w14:paraId="3164C28D">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eastAsia="宋体" w:cs="宋体"/>
          <w:color w:val="auto"/>
          <w:sz w:val="21"/>
          <w:szCs w:val="21"/>
          <w:highlight w:val="none"/>
        </w:rPr>
        <w:t>若承包人对合同履约不到位（包含延误合同工期、未达到工程质量要求、未履行项目经理及主要施工管理人员到场承诺、未履行安全文明施工承诺、未履行主要机械设备到场承诺等）导致承包人违约的。若违约金不足以弥补发包人损失的，承包人继续承担赔偿责任</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赔偿款在工程进度款中扣除。</w:t>
      </w:r>
    </w:p>
    <w:p w14:paraId="175E5714">
      <w:pPr>
        <w:pageBreakBefore w:val="0"/>
        <w:widowControl w:val="0"/>
        <w:kinsoku/>
        <w:wordWrap/>
        <w:overflowPunct/>
        <w:topLinePunct w:val="0"/>
        <w:bidi w:val="0"/>
        <w:adjustRightInd w:val="0"/>
        <w:spacing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16.2.4</w:t>
      </w:r>
      <w:r>
        <w:rPr>
          <w:rFonts w:hint="eastAsia" w:ascii="宋体" w:hAnsi="宋体" w:eastAsia="宋体" w:cs="宋体"/>
          <w:color w:val="auto"/>
          <w:sz w:val="21"/>
          <w:szCs w:val="21"/>
          <w:highlight w:val="none"/>
        </w:rPr>
        <w:t>承包人未履行主要机械设备到场承诺，经监理人和发包人认定影响施工工期或施工质量的，监理人和发包人将签发《整改通知书》，承包人收到《整改通知书》后3天内仍未整改到位的，发包人有权扣除其主要机械设备到场违约金。</w:t>
      </w:r>
    </w:p>
    <w:p w14:paraId="07F05323">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17. 不可抗力</w:t>
      </w:r>
      <w:bookmarkEnd w:id="430"/>
      <w:r>
        <w:rPr>
          <w:rFonts w:hint="eastAsia" w:ascii="宋体" w:hAnsi="宋体" w:cs="宋体"/>
          <w:color w:val="auto"/>
          <w:sz w:val="21"/>
          <w:szCs w:val="21"/>
          <w:highlight w:val="none"/>
        </w:rPr>
        <w:t xml:space="preserve"> </w:t>
      </w:r>
    </w:p>
    <w:p w14:paraId="23887270">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17.1 不可抗力的确认</w:t>
      </w:r>
    </w:p>
    <w:p w14:paraId="4EE0F4EC">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除通用合同条款约定的不可抗力事件之外，视为不可抗力的其他情形：火灾、洪水、罢工、政府征用、政府禁止令等。</w:t>
      </w:r>
    </w:p>
    <w:p w14:paraId="341A5F15">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17.</w:t>
      </w:r>
      <w:r>
        <w:rPr>
          <w:rFonts w:hint="eastAsia" w:hAnsi="宋体" w:cs="宋体"/>
          <w:color w:val="auto"/>
          <w:sz w:val="21"/>
          <w:szCs w:val="21"/>
          <w:highlight w:val="none"/>
          <w:lang w:val="en-US" w:eastAsia="zh-CN"/>
        </w:rPr>
        <w:t>4</w:t>
      </w:r>
      <w:r>
        <w:rPr>
          <w:rFonts w:hint="eastAsia" w:hAnsi="宋体" w:cs="宋体"/>
          <w:color w:val="auto"/>
          <w:sz w:val="21"/>
          <w:szCs w:val="21"/>
          <w:highlight w:val="none"/>
        </w:rPr>
        <w:t>因不可抗力解除合同</w:t>
      </w:r>
    </w:p>
    <w:p w14:paraId="1D1979FF">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bookmarkStart w:id="431" w:name="_Toc364853240"/>
      <w:r>
        <w:rPr>
          <w:rFonts w:hint="eastAsia" w:ascii="宋体" w:hAnsi="宋体" w:cs="宋体"/>
          <w:color w:val="auto"/>
          <w:kern w:val="0"/>
          <w:sz w:val="21"/>
          <w:szCs w:val="21"/>
          <w:highlight w:val="none"/>
        </w:rPr>
        <w:t>合同解除后，发包人应在商定或确定发包人应支付款项后28天内完成款项的支付。</w:t>
      </w:r>
    </w:p>
    <w:p w14:paraId="4E42CBB5">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18. 保险</w:t>
      </w:r>
      <w:bookmarkEnd w:id="431"/>
    </w:p>
    <w:p w14:paraId="3AEE0895">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18.1 工程保险</w:t>
      </w:r>
    </w:p>
    <w:p w14:paraId="4FBA08FD">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关于工程保险的特别约定：</w:t>
      </w:r>
      <w:r>
        <w:rPr>
          <w:rFonts w:hint="eastAsia" w:ascii="宋体" w:hAnsi="宋体" w:cs="宋体"/>
          <w:color w:val="auto"/>
          <w:sz w:val="21"/>
          <w:szCs w:val="21"/>
          <w:highlight w:val="none"/>
        </w:rPr>
        <w:t>执行通用条款</w:t>
      </w:r>
      <w:r>
        <w:rPr>
          <w:rFonts w:hint="eastAsia" w:ascii="宋体" w:hAnsi="宋体" w:cs="宋体"/>
          <w:color w:val="auto"/>
          <w:kern w:val="0"/>
          <w:sz w:val="21"/>
          <w:szCs w:val="21"/>
          <w:highlight w:val="none"/>
        </w:rPr>
        <w:t>。</w:t>
      </w:r>
    </w:p>
    <w:p w14:paraId="14B38C35">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.3</w:t>
      </w:r>
      <w:r>
        <w:rPr>
          <w:rFonts w:hint="eastAsia" w:hAnsi="宋体" w:cs="宋体"/>
          <w:color w:val="auto"/>
          <w:sz w:val="21"/>
          <w:szCs w:val="21"/>
          <w:highlight w:val="none"/>
        </w:rPr>
        <w:t xml:space="preserve"> 其他保险</w:t>
      </w:r>
    </w:p>
    <w:p w14:paraId="1EFC3440">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关于其他保险的约定：除第三者责任险外，保险费用由被保险人承担。</w:t>
      </w:r>
    </w:p>
    <w:p w14:paraId="594935EF">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承包人</w:t>
      </w:r>
      <w:r>
        <w:rPr>
          <w:rFonts w:hint="eastAsia" w:ascii="宋体" w:hAnsi="宋体" w:cs="宋体"/>
          <w:color w:val="auto"/>
          <w:kern w:val="0"/>
          <w:sz w:val="21"/>
          <w:szCs w:val="21"/>
          <w:highlight w:val="none"/>
          <w:u w:val="single"/>
        </w:rPr>
        <w:t xml:space="preserve">  应当 </w:t>
      </w:r>
      <w:r>
        <w:rPr>
          <w:rFonts w:hint="eastAsia" w:ascii="宋体" w:hAnsi="宋体" w:cs="宋体"/>
          <w:color w:val="auto"/>
          <w:kern w:val="0"/>
          <w:sz w:val="21"/>
          <w:szCs w:val="21"/>
          <w:highlight w:val="none"/>
        </w:rPr>
        <w:t>为其施工设备等办理财产保险。</w:t>
      </w:r>
    </w:p>
    <w:p w14:paraId="142AEB38">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rPr>
        <w:t>18.</w:t>
      </w:r>
      <w:r>
        <w:rPr>
          <w:rFonts w:hint="eastAsia" w:hAnsi="宋体" w:cs="宋体"/>
          <w:color w:val="auto"/>
          <w:sz w:val="21"/>
          <w:szCs w:val="21"/>
          <w:highlight w:val="none"/>
          <w:lang w:val="en-US" w:eastAsia="zh-CN"/>
        </w:rPr>
        <w:t>7</w:t>
      </w:r>
      <w:r>
        <w:rPr>
          <w:rFonts w:hint="eastAsia" w:hAnsi="宋体" w:cs="宋体"/>
          <w:color w:val="auto"/>
          <w:sz w:val="21"/>
          <w:szCs w:val="21"/>
          <w:highlight w:val="none"/>
        </w:rPr>
        <w:t xml:space="preserve"> 通知义务</w:t>
      </w:r>
    </w:p>
    <w:p w14:paraId="68174942">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sz w:val="21"/>
          <w:szCs w:val="21"/>
          <w:highlight w:val="none"/>
        </w:rPr>
      </w:pPr>
      <w:r>
        <w:rPr>
          <w:rFonts w:hint="eastAsia" w:ascii="宋体" w:hAnsi="宋体" w:cs="宋体"/>
          <w:color w:val="auto"/>
          <w:kern w:val="0"/>
          <w:sz w:val="21"/>
          <w:szCs w:val="21"/>
          <w:highlight w:val="none"/>
        </w:rPr>
        <w:t>关于变更保险合同时的通知义务的约定：执行通用条款。</w:t>
      </w:r>
      <w:bookmarkStart w:id="432" w:name="_Toc364853241"/>
    </w:p>
    <w:p w14:paraId="31BC4F29">
      <w:pPr>
        <w:pStyle w:val="5"/>
        <w:pageBreakBefore w:val="0"/>
        <w:widowControl w:val="0"/>
        <w:kinsoku/>
        <w:wordWrap/>
        <w:overflowPunct/>
        <w:topLinePunct w:val="0"/>
        <w:bidi w:val="0"/>
        <w:spacing w:line="360" w:lineRule="auto"/>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rPr>
        <w:t>. 争议解决</w:t>
      </w:r>
      <w:bookmarkEnd w:id="432"/>
    </w:p>
    <w:p w14:paraId="1A3AEBF3">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20.3</w:t>
      </w:r>
      <w:r>
        <w:rPr>
          <w:rFonts w:hint="eastAsia" w:hAnsi="宋体" w:cs="宋体"/>
          <w:color w:val="auto"/>
          <w:sz w:val="21"/>
          <w:szCs w:val="21"/>
          <w:highlight w:val="none"/>
        </w:rPr>
        <w:t xml:space="preserve"> 争议评审</w:t>
      </w:r>
    </w:p>
    <w:p w14:paraId="58866E47">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1"/>
          <w:szCs w:val="21"/>
          <w:highlight w:val="none"/>
        </w:rPr>
      </w:pPr>
      <w:r>
        <w:rPr>
          <w:rFonts w:hint="eastAsia" w:ascii="宋体" w:hAnsi="宋体" w:cs="宋体"/>
          <w:color w:val="auto"/>
          <w:kern w:val="0"/>
          <w:sz w:val="21"/>
          <w:szCs w:val="21"/>
          <w:highlight w:val="none"/>
        </w:rPr>
        <w:t>合同当事人</w:t>
      </w:r>
      <w:r>
        <w:rPr>
          <w:rFonts w:hint="eastAsia" w:ascii="宋体" w:hAnsi="宋体" w:cs="宋体"/>
          <w:color w:val="auto"/>
          <w:kern w:val="0"/>
          <w:sz w:val="21"/>
          <w:szCs w:val="21"/>
          <w:highlight w:val="none"/>
          <w:u w:val="single"/>
        </w:rPr>
        <w:t xml:space="preserve">   不同意  </w:t>
      </w:r>
      <w:r>
        <w:rPr>
          <w:rFonts w:hint="eastAsia" w:ascii="宋体" w:hAnsi="宋体" w:cs="宋体"/>
          <w:color w:val="auto"/>
          <w:kern w:val="0"/>
          <w:sz w:val="21"/>
          <w:szCs w:val="21"/>
          <w:highlight w:val="none"/>
        </w:rPr>
        <w:t xml:space="preserve">将工程争议提交争议评审小组决定。  </w:t>
      </w:r>
    </w:p>
    <w:p w14:paraId="40F4EC59">
      <w:pPr>
        <w:pStyle w:val="67"/>
        <w:pageBreakBefore w:val="0"/>
        <w:widowControl w:val="0"/>
        <w:kinsoku/>
        <w:wordWrap/>
        <w:overflowPunct/>
        <w:topLinePunct w:val="0"/>
        <w:bidi w:val="0"/>
        <w:spacing w:line="360" w:lineRule="auto"/>
        <w:ind w:firstLine="401" w:firstLineChars="190"/>
        <w:textAlignment w:val="auto"/>
        <w:rPr>
          <w:rFonts w:hint="eastAsia" w:hAnsi="宋体" w:cs="宋体"/>
          <w:color w:val="auto"/>
          <w:sz w:val="21"/>
          <w:szCs w:val="21"/>
          <w:highlight w:val="none"/>
        </w:rPr>
      </w:pPr>
      <w:r>
        <w:rPr>
          <w:rFonts w:hint="eastAsia" w:hAnsi="宋体" w:cs="宋体"/>
          <w:color w:val="auto"/>
          <w:sz w:val="21"/>
          <w:szCs w:val="21"/>
          <w:highlight w:val="none"/>
          <w:lang w:val="en-US" w:eastAsia="zh-CN"/>
        </w:rPr>
        <w:t>20.4</w:t>
      </w:r>
      <w:r>
        <w:rPr>
          <w:rFonts w:hint="eastAsia" w:hAnsi="宋体" w:cs="宋体"/>
          <w:color w:val="auto"/>
          <w:sz w:val="21"/>
          <w:szCs w:val="21"/>
          <w:highlight w:val="none"/>
        </w:rPr>
        <w:t>仲裁或诉讼</w:t>
      </w:r>
    </w:p>
    <w:p w14:paraId="2224D901">
      <w:pPr>
        <w:pageBreakBefore w:val="0"/>
        <w:widowControl w:val="0"/>
        <w:kinsoku/>
        <w:wordWrap/>
        <w:overflowPunct/>
        <w:topLinePunct w:val="0"/>
        <w:bidi w:val="0"/>
        <w:adjustRightInd w:val="0"/>
        <w:spacing w:line="360" w:lineRule="auto"/>
        <w:ind w:firstLine="420" w:firstLineChars="200"/>
        <w:textAlignment w:val="auto"/>
        <w:rPr>
          <w:rFonts w:hint="eastAsia" w:ascii="宋体" w:hAnsi="宋体" w:cs="宋体"/>
          <w:color w:val="auto"/>
          <w:kern w:val="0"/>
          <w:sz w:val="24"/>
          <w:szCs w:val="24"/>
          <w:highlight w:val="none"/>
        </w:rPr>
      </w:pPr>
      <w:r>
        <w:rPr>
          <w:rFonts w:hint="eastAsia" w:ascii="宋体" w:hAnsi="宋体" w:cs="宋体"/>
          <w:color w:val="auto"/>
          <w:kern w:val="0"/>
          <w:sz w:val="21"/>
          <w:szCs w:val="21"/>
          <w:highlight w:val="none"/>
        </w:rPr>
        <w:t>因合同及合同有关事项发生的争议，向</w:t>
      </w:r>
      <w:r>
        <w:rPr>
          <w:rFonts w:hint="eastAsia" w:ascii="宋体" w:hAnsi="宋体" w:cs="宋体"/>
          <w:color w:val="auto"/>
          <w:kern w:val="0"/>
          <w:sz w:val="21"/>
          <w:szCs w:val="21"/>
          <w:highlight w:val="none"/>
          <w:u w:val="single"/>
        </w:rPr>
        <w:t>宁波市奉化区</w:t>
      </w:r>
      <w:r>
        <w:rPr>
          <w:rFonts w:hint="eastAsia" w:ascii="宋体" w:hAnsi="宋体" w:cs="宋体"/>
          <w:color w:val="auto"/>
          <w:kern w:val="0"/>
          <w:sz w:val="21"/>
          <w:szCs w:val="21"/>
          <w:highlight w:val="none"/>
        </w:rPr>
        <w:t>人民法院起诉。</w:t>
      </w:r>
    </w:p>
    <w:p w14:paraId="10DB02CC">
      <w:pPr>
        <w:pStyle w:val="35"/>
        <w:pageBreakBefore w:val="0"/>
        <w:widowControl w:val="0"/>
        <w:numPr>
          <w:ilvl w:val="0"/>
          <w:numId w:val="0"/>
        </w:numPr>
        <w:shd w:val="clear"/>
        <w:kinsoku/>
        <w:wordWrap/>
        <w:overflowPunct/>
        <w:topLinePunct w:val="0"/>
        <w:bidi w:val="0"/>
        <w:spacing w:line="360" w:lineRule="auto"/>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21.其他条款</w:t>
      </w:r>
    </w:p>
    <w:p w14:paraId="7C49321B">
      <w:pPr>
        <w:pageBreakBefore w:val="0"/>
        <w:widowControl w:val="0"/>
        <w:shd w:val="clear"/>
        <w:kinsoku/>
        <w:wordWrap/>
        <w:overflowPunct/>
        <w:topLinePunct w:val="0"/>
        <w:bidi w:val="0"/>
        <w:spacing w:line="360" w:lineRule="auto"/>
        <w:ind w:firstLine="422" w:firstLineChars="200"/>
        <w:jc w:val="left"/>
        <w:textAlignment w:val="auto"/>
        <w:rPr>
          <w:rFonts w:hint="eastAsia" w:ascii="宋体" w:hAnsi="宋体" w:cs="宋体"/>
          <w:b/>
          <w:bCs/>
          <w:color w:val="auto"/>
          <w:kern w:val="0"/>
          <w:szCs w:val="21"/>
          <w:highlight w:val="none"/>
          <w:lang w:val="en-US" w:eastAsia="zh-CN"/>
        </w:rPr>
      </w:pPr>
    </w:p>
    <w:p w14:paraId="404592C7">
      <w:pPr>
        <w:pageBreakBefore w:val="0"/>
        <w:widowControl w:val="0"/>
        <w:shd w:val="clear"/>
        <w:kinsoku/>
        <w:wordWrap/>
        <w:overflowPunct/>
        <w:topLinePunct w:val="0"/>
        <w:bidi w:val="0"/>
        <w:spacing w:line="360" w:lineRule="auto"/>
        <w:ind w:firstLine="422" w:firstLineChars="200"/>
        <w:jc w:val="left"/>
        <w:textAlignment w:val="auto"/>
        <w:rPr>
          <w:rFonts w:hint="eastAsia" w:ascii="宋体" w:hAnsi="宋体" w:cs="宋体"/>
          <w:b/>
          <w:bCs/>
          <w:color w:val="auto"/>
          <w:kern w:val="0"/>
          <w:szCs w:val="21"/>
          <w:highlight w:val="none"/>
          <w:lang w:val="en-US" w:eastAsia="zh-CN"/>
        </w:rPr>
      </w:pPr>
      <w:r>
        <w:rPr>
          <w:rFonts w:hint="eastAsia" w:ascii="宋体" w:hAnsi="宋体" w:cs="宋体"/>
          <w:b/>
          <w:bCs/>
          <w:color w:val="auto"/>
          <w:kern w:val="0"/>
          <w:szCs w:val="21"/>
          <w:highlight w:val="none"/>
          <w:lang w:val="en-US" w:eastAsia="zh-CN"/>
        </w:rPr>
        <w:t>发包人受项目业主委托，实施该项目的施工管理工作，若项目业主单位发现合同履约不到位（包含延误合同工期、未达到工程质量要求、未履行项目经理及主要施工管理人员到场承诺、未履行安全文明施工承诺、未履行主要机械设备到场承诺等）对发包人予以处罚，则发包人向承包人作出相应的处罚。</w:t>
      </w:r>
    </w:p>
    <w:p w14:paraId="10F64D62">
      <w:pPr>
        <w:pageBreakBefore w:val="0"/>
        <w:widowControl w:val="0"/>
        <w:kinsoku/>
        <w:wordWrap/>
        <w:overflowPunct/>
        <w:topLinePunct w:val="0"/>
        <w:bidi w:val="0"/>
        <w:spacing w:line="360" w:lineRule="auto"/>
        <w:textAlignment w:val="auto"/>
        <w:rPr>
          <w:rFonts w:hint="default" w:eastAsia="宋体"/>
          <w:color w:val="auto"/>
          <w:highlight w:val="none"/>
          <w:lang w:val="en-US" w:eastAsia="zh-CN"/>
        </w:rPr>
      </w:pPr>
    </w:p>
    <w:p w14:paraId="5C4D0A0B">
      <w:pPr>
        <w:pStyle w:val="35"/>
        <w:keepNext w:val="0"/>
        <w:keepLines w:val="0"/>
        <w:pageBreakBefore w:val="0"/>
        <w:kinsoku/>
        <w:wordWrap/>
        <w:overflowPunct/>
        <w:topLinePunct w:val="0"/>
        <w:bidi w:val="0"/>
        <w:snapToGrid/>
        <w:spacing w:line="440" w:lineRule="exact"/>
        <w:ind w:firstLine="0" w:firstLineChars="0"/>
        <w:textAlignment w:val="auto"/>
        <w:rPr>
          <w:rFonts w:asciiTheme="minorEastAsia" w:hAnsiTheme="minorEastAsia" w:eastAsiaTheme="minorEastAsia" w:cstheme="minorEastAsia"/>
          <w:color w:val="auto"/>
          <w:highlight w:val="none"/>
        </w:rPr>
      </w:pPr>
    </w:p>
    <w:p w14:paraId="67287572">
      <w:pPr>
        <w:spacing w:line="360" w:lineRule="auto"/>
        <w:ind w:firstLine="482" w:firstLineChars="200"/>
        <w:jc w:val="center"/>
        <w:rPr>
          <w:rFonts w:hint="eastAsia" w:ascii="宋体" w:hAnsi="宋体" w:eastAsia="宋体" w:cs="宋体"/>
          <w:b/>
          <w:bCs/>
          <w:color w:val="auto"/>
          <w:sz w:val="21"/>
          <w:szCs w:val="21"/>
          <w:highlight w:val="none"/>
        </w:rPr>
      </w:pPr>
      <w:r>
        <w:rPr>
          <w:rFonts w:hint="eastAsia" w:asciiTheme="minorEastAsia" w:hAnsiTheme="minorEastAsia" w:eastAsiaTheme="minorEastAsia" w:cstheme="minorEastAsia"/>
          <w:b/>
          <w:color w:val="auto"/>
          <w:sz w:val="24"/>
          <w:highlight w:val="none"/>
        </w:rPr>
        <w:br w:type="page"/>
      </w:r>
      <w:r>
        <w:rPr>
          <w:rFonts w:hint="eastAsia" w:ascii="宋体" w:hAnsi="宋体" w:eastAsia="宋体" w:cs="宋体"/>
          <w:b/>
          <w:bCs/>
          <w:color w:val="auto"/>
          <w:sz w:val="21"/>
          <w:szCs w:val="21"/>
          <w:highlight w:val="none"/>
        </w:rPr>
        <w:t>第四部分  附件</w:t>
      </w:r>
    </w:p>
    <w:p w14:paraId="4CD6C8FF">
      <w:pPr>
        <w:spacing w:line="360" w:lineRule="auto"/>
        <w:ind w:firstLine="420" w:firstLineChars="200"/>
        <w:rPr>
          <w:rFonts w:hint="eastAsia" w:ascii="宋体" w:hAnsi="宋体" w:eastAsia="宋体" w:cs="宋体"/>
          <w:color w:val="auto"/>
          <w:sz w:val="21"/>
          <w:szCs w:val="21"/>
          <w:highlight w:val="none"/>
        </w:rPr>
      </w:pPr>
    </w:p>
    <w:p w14:paraId="657C4FF5">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专用合同条款附件：</w:t>
      </w:r>
    </w:p>
    <w:p w14:paraId="0ECBF582">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附件1：工程质量保修书</w:t>
      </w:r>
    </w:p>
    <w:p w14:paraId="0F711CE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附件2：安全生产合同</w:t>
      </w:r>
    </w:p>
    <w:p w14:paraId="3120F37F">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附件3：工程项目廉政合同</w:t>
      </w:r>
    </w:p>
    <w:p w14:paraId="24CF6A44">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附件4：承包人用于本工程施工的机械设备表</w:t>
      </w:r>
    </w:p>
    <w:p w14:paraId="28B49300">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附件5：承包人主要施工管理人员表</w:t>
      </w:r>
    </w:p>
    <w:p w14:paraId="5B15EF7E">
      <w:pPr>
        <w:spacing w:line="360" w:lineRule="auto"/>
        <w:rPr>
          <w:rFonts w:hint="eastAsia" w:ascii="宋体" w:hAnsi="宋体" w:cs="宋体"/>
          <w:color w:val="auto"/>
          <w:sz w:val="21"/>
          <w:szCs w:val="21"/>
          <w:highlight w:val="none"/>
        </w:rPr>
      </w:pPr>
    </w:p>
    <w:p w14:paraId="178C2684">
      <w:pPr>
        <w:spacing w:line="360" w:lineRule="auto"/>
        <w:rPr>
          <w:rFonts w:hint="eastAsia" w:ascii="宋体" w:hAnsi="宋体" w:cs="宋体"/>
          <w:color w:val="auto"/>
          <w:sz w:val="21"/>
          <w:szCs w:val="21"/>
          <w:highlight w:val="none"/>
        </w:rPr>
      </w:pPr>
    </w:p>
    <w:p w14:paraId="451D56C9">
      <w:pPr>
        <w:spacing w:line="360" w:lineRule="auto"/>
        <w:rPr>
          <w:rFonts w:hint="eastAsia" w:ascii="宋体" w:hAnsi="宋体" w:cs="宋体"/>
          <w:color w:val="auto"/>
          <w:sz w:val="21"/>
          <w:szCs w:val="21"/>
          <w:highlight w:val="none"/>
        </w:rPr>
      </w:pPr>
    </w:p>
    <w:p w14:paraId="7FD1BC9F">
      <w:pPr>
        <w:spacing w:line="360" w:lineRule="auto"/>
        <w:rPr>
          <w:rFonts w:hint="eastAsia" w:ascii="宋体" w:hAnsi="宋体" w:cs="宋体"/>
          <w:color w:val="auto"/>
          <w:sz w:val="21"/>
          <w:szCs w:val="21"/>
          <w:highlight w:val="none"/>
        </w:rPr>
      </w:pPr>
    </w:p>
    <w:p w14:paraId="202DCE4A">
      <w:pPr>
        <w:spacing w:line="360" w:lineRule="auto"/>
        <w:rPr>
          <w:rFonts w:hint="eastAsia" w:ascii="宋体" w:hAnsi="宋体" w:cs="宋体"/>
          <w:color w:val="auto"/>
          <w:sz w:val="21"/>
          <w:szCs w:val="21"/>
          <w:highlight w:val="none"/>
        </w:rPr>
      </w:pPr>
    </w:p>
    <w:p w14:paraId="5B699EC3">
      <w:pPr>
        <w:spacing w:line="360" w:lineRule="auto"/>
        <w:rPr>
          <w:rFonts w:hint="eastAsia" w:ascii="宋体" w:hAnsi="宋体" w:cs="宋体"/>
          <w:color w:val="auto"/>
          <w:sz w:val="21"/>
          <w:szCs w:val="21"/>
          <w:highlight w:val="none"/>
        </w:rPr>
      </w:pPr>
    </w:p>
    <w:p w14:paraId="1219C65D">
      <w:pPr>
        <w:spacing w:line="360" w:lineRule="auto"/>
        <w:rPr>
          <w:rFonts w:hint="eastAsia" w:ascii="宋体" w:hAnsi="宋体" w:cs="宋体"/>
          <w:color w:val="auto"/>
          <w:sz w:val="21"/>
          <w:szCs w:val="21"/>
          <w:highlight w:val="none"/>
        </w:rPr>
      </w:pPr>
    </w:p>
    <w:p w14:paraId="29B0E34E">
      <w:pPr>
        <w:spacing w:line="360" w:lineRule="auto"/>
        <w:rPr>
          <w:rFonts w:hint="eastAsia" w:ascii="宋体" w:hAnsi="宋体" w:cs="宋体"/>
          <w:color w:val="auto"/>
          <w:sz w:val="21"/>
          <w:szCs w:val="21"/>
          <w:highlight w:val="none"/>
        </w:rPr>
      </w:pPr>
    </w:p>
    <w:p w14:paraId="5E36BC4C">
      <w:pPr>
        <w:spacing w:line="360" w:lineRule="auto"/>
        <w:rPr>
          <w:rFonts w:hint="eastAsia" w:ascii="宋体" w:hAnsi="宋体" w:cs="宋体"/>
          <w:color w:val="auto"/>
          <w:sz w:val="21"/>
          <w:szCs w:val="21"/>
          <w:highlight w:val="none"/>
        </w:rPr>
      </w:pPr>
    </w:p>
    <w:p w14:paraId="2BF87C83">
      <w:pPr>
        <w:spacing w:line="360" w:lineRule="auto"/>
        <w:rPr>
          <w:rFonts w:hint="eastAsia" w:ascii="宋体" w:hAnsi="宋体" w:cs="宋体"/>
          <w:color w:val="auto"/>
          <w:sz w:val="21"/>
          <w:szCs w:val="21"/>
          <w:highlight w:val="none"/>
        </w:rPr>
      </w:pPr>
    </w:p>
    <w:p w14:paraId="593C454C">
      <w:pPr>
        <w:spacing w:line="360" w:lineRule="auto"/>
        <w:rPr>
          <w:rFonts w:hint="eastAsia" w:ascii="宋体" w:hAnsi="宋体" w:cs="宋体"/>
          <w:color w:val="auto"/>
          <w:sz w:val="21"/>
          <w:szCs w:val="21"/>
          <w:highlight w:val="none"/>
        </w:rPr>
      </w:pPr>
    </w:p>
    <w:p w14:paraId="115F1BCE">
      <w:pPr>
        <w:spacing w:line="360" w:lineRule="auto"/>
        <w:rPr>
          <w:rFonts w:hint="eastAsia" w:ascii="宋体" w:hAnsi="宋体" w:cs="宋体"/>
          <w:color w:val="auto"/>
          <w:sz w:val="21"/>
          <w:szCs w:val="21"/>
          <w:highlight w:val="none"/>
        </w:rPr>
      </w:pPr>
    </w:p>
    <w:p w14:paraId="451CEC35">
      <w:pPr>
        <w:spacing w:line="360" w:lineRule="auto"/>
        <w:rPr>
          <w:rFonts w:hint="eastAsia" w:ascii="宋体" w:hAnsi="宋体" w:cs="宋体"/>
          <w:color w:val="auto"/>
          <w:sz w:val="21"/>
          <w:szCs w:val="21"/>
          <w:highlight w:val="none"/>
        </w:rPr>
      </w:pPr>
    </w:p>
    <w:p w14:paraId="1E6DC4C0">
      <w:pPr>
        <w:spacing w:line="360" w:lineRule="auto"/>
        <w:rPr>
          <w:rFonts w:hint="eastAsia" w:ascii="宋体" w:hAnsi="宋体" w:cs="宋体"/>
          <w:color w:val="auto"/>
          <w:sz w:val="21"/>
          <w:szCs w:val="21"/>
          <w:highlight w:val="none"/>
        </w:rPr>
      </w:pPr>
    </w:p>
    <w:p w14:paraId="08DA4BA0">
      <w:pPr>
        <w:spacing w:line="360" w:lineRule="auto"/>
        <w:rPr>
          <w:rFonts w:hint="eastAsia" w:ascii="宋体" w:hAnsi="宋体" w:cs="宋体"/>
          <w:b/>
          <w:color w:val="auto"/>
          <w:sz w:val="21"/>
          <w:szCs w:val="21"/>
          <w:highlight w:val="none"/>
        </w:rPr>
      </w:pPr>
    </w:p>
    <w:p w14:paraId="6FF04BCD">
      <w:pPr>
        <w:spacing w:line="360" w:lineRule="auto"/>
        <w:rPr>
          <w:rFonts w:hint="eastAsia" w:ascii="宋体" w:hAnsi="宋体" w:cs="宋体"/>
          <w:b/>
          <w:color w:val="auto"/>
          <w:sz w:val="21"/>
          <w:szCs w:val="21"/>
          <w:highlight w:val="none"/>
        </w:rPr>
      </w:pPr>
    </w:p>
    <w:p w14:paraId="4CF9ADD1">
      <w:pPr>
        <w:spacing w:line="360" w:lineRule="auto"/>
        <w:rPr>
          <w:rFonts w:hint="eastAsia" w:ascii="宋体" w:hAnsi="宋体" w:cs="宋体"/>
          <w:b/>
          <w:color w:val="auto"/>
          <w:sz w:val="21"/>
          <w:szCs w:val="21"/>
          <w:highlight w:val="none"/>
        </w:rPr>
      </w:pPr>
    </w:p>
    <w:p w14:paraId="0EAC6C05">
      <w:pPr>
        <w:spacing w:line="360" w:lineRule="auto"/>
        <w:rPr>
          <w:rFonts w:hint="eastAsia" w:ascii="宋体" w:hAnsi="宋体" w:cs="宋体"/>
          <w:b/>
          <w:color w:val="auto"/>
          <w:sz w:val="21"/>
          <w:szCs w:val="21"/>
          <w:highlight w:val="none"/>
        </w:rPr>
      </w:pPr>
    </w:p>
    <w:p w14:paraId="37039AC9">
      <w:pPr>
        <w:spacing w:line="360" w:lineRule="auto"/>
        <w:rPr>
          <w:rFonts w:hint="eastAsia" w:ascii="宋体" w:hAnsi="宋体" w:cs="宋体"/>
          <w:b/>
          <w:color w:val="auto"/>
          <w:sz w:val="21"/>
          <w:szCs w:val="21"/>
          <w:highlight w:val="none"/>
        </w:rPr>
      </w:pPr>
    </w:p>
    <w:p w14:paraId="695FEF14">
      <w:pPr>
        <w:spacing w:line="360" w:lineRule="auto"/>
        <w:rPr>
          <w:rFonts w:hint="eastAsia" w:ascii="宋体" w:hAnsi="宋体" w:cs="宋体"/>
          <w:b/>
          <w:color w:val="auto"/>
          <w:sz w:val="21"/>
          <w:szCs w:val="21"/>
          <w:highlight w:val="none"/>
        </w:rPr>
      </w:pPr>
    </w:p>
    <w:p w14:paraId="31C0F235">
      <w:pPr>
        <w:spacing w:line="360" w:lineRule="auto"/>
        <w:rPr>
          <w:rFonts w:hint="eastAsia" w:ascii="宋体" w:hAnsi="宋体" w:cs="宋体"/>
          <w:b/>
          <w:color w:val="auto"/>
          <w:sz w:val="21"/>
          <w:szCs w:val="21"/>
          <w:highlight w:val="none"/>
        </w:rPr>
      </w:pPr>
    </w:p>
    <w:p w14:paraId="10443CC1">
      <w:pPr>
        <w:spacing w:line="360" w:lineRule="auto"/>
        <w:rPr>
          <w:rFonts w:hint="eastAsia" w:ascii="宋体" w:hAnsi="宋体" w:cs="宋体"/>
          <w:b/>
          <w:color w:val="auto"/>
          <w:sz w:val="21"/>
          <w:szCs w:val="21"/>
          <w:highlight w:val="none"/>
        </w:rPr>
      </w:pPr>
    </w:p>
    <w:p w14:paraId="612B9CC4">
      <w:pPr>
        <w:spacing w:line="360" w:lineRule="auto"/>
        <w:rPr>
          <w:rFonts w:hint="eastAsia" w:ascii="宋体" w:hAnsi="宋体" w:cs="宋体"/>
          <w:b/>
          <w:color w:val="auto"/>
          <w:sz w:val="21"/>
          <w:szCs w:val="21"/>
          <w:highlight w:val="none"/>
        </w:rPr>
      </w:pPr>
    </w:p>
    <w:p w14:paraId="4575FCC0">
      <w:pPr>
        <w:spacing w:line="360" w:lineRule="auto"/>
        <w:rPr>
          <w:rFonts w:hint="eastAsia" w:ascii="宋体" w:hAnsi="宋体" w:cs="宋体"/>
          <w:b/>
          <w:color w:val="auto"/>
          <w:sz w:val="21"/>
          <w:szCs w:val="21"/>
          <w:highlight w:val="none"/>
        </w:rPr>
      </w:pPr>
    </w:p>
    <w:p w14:paraId="1C739FD4">
      <w:pPr>
        <w:spacing w:line="360" w:lineRule="auto"/>
        <w:rPr>
          <w:rFonts w:hint="eastAsia" w:ascii="宋体" w:hAnsi="宋体" w:cs="宋体"/>
          <w:b/>
          <w:color w:val="auto"/>
          <w:sz w:val="21"/>
          <w:szCs w:val="21"/>
          <w:highlight w:val="none"/>
        </w:rPr>
      </w:pPr>
    </w:p>
    <w:p w14:paraId="574D894F">
      <w:pPr>
        <w:spacing w:line="360" w:lineRule="auto"/>
        <w:rPr>
          <w:rFonts w:hint="eastAsia" w:ascii="宋体" w:hAnsi="宋体" w:cs="宋体"/>
          <w:b/>
          <w:color w:val="auto"/>
          <w:sz w:val="21"/>
          <w:szCs w:val="21"/>
          <w:highlight w:val="none"/>
        </w:rPr>
      </w:pPr>
    </w:p>
    <w:p w14:paraId="5CEA478A">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33" w:name="_Toc267261693"/>
      <w:bookmarkStart w:id="434" w:name="_Toc296503226"/>
      <w:bookmarkStart w:id="435" w:name="_Toc296346727"/>
      <w:bookmarkStart w:id="436" w:name="_Toc296891054"/>
      <w:bookmarkStart w:id="437" w:name="_Toc296944565"/>
      <w:bookmarkStart w:id="438" w:name="_Toc296347225"/>
      <w:bookmarkStart w:id="439" w:name="_Toc296891266"/>
      <w:r>
        <w:rPr>
          <w:rFonts w:hint="eastAsia" w:ascii="宋体" w:hAnsi="宋体" w:cs="宋体"/>
          <w:b/>
          <w:color w:val="auto"/>
          <w:sz w:val="21"/>
          <w:szCs w:val="21"/>
          <w:highlight w:val="none"/>
        </w:rPr>
        <w:t>件1：</w:t>
      </w:r>
      <w:bookmarkEnd w:id="433"/>
      <w:bookmarkEnd w:id="434"/>
      <w:bookmarkEnd w:id="435"/>
      <w:bookmarkEnd w:id="436"/>
      <w:bookmarkEnd w:id="437"/>
      <w:bookmarkEnd w:id="438"/>
      <w:bookmarkEnd w:id="439"/>
      <w:r>
        <w:rPr>
          <w:rFonts w:hint="eastAsia" w:ascii="宋体" w:hAnsi="宋体" w:cs="宋体"/>
          <w:b/>
          <w:color w:val="auto"/>
          <w:sz w:val="21"/>
          <w:szCs w:val="21"/>
          <w:highlight w:val="none"/>
        </w:rPr>
        <w:t xml:space="preserve">    </w:t>
      </w:r>
    </w:p>
    <w:p w14:paraId="1A642418">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工程质量保修书</w:t>
      </w:r>
    </w:p>
    <w:p w14:paraId="3B1BB3CC">
      <w:pPr>
        <w:spacing w:line="360" w:lineRule="auto"/>
        <w:rPr>
          <w:rFonts w:hint="eastAsia" w:ascii="宋体" w:hAnsi="宋体" w:cs="宋体"/>
          <w:color w:val="auto"/>
          <w:sz w:val="21"/>
          <w:szCs w:val="21"/>
          <w:highlight w:val="none"/>
          <w:u w:val="single"/>
        </w:rPr>
      </w:pPr>
      <w:r>
        <w:rPr>
          <w:rFonts w:hint="eastAsia" w:ascii="宋体" w:hAnsi="宋体" w:cs="宋体"/>
          <w:color w:val="auto"/>
          <w:sz w:val="21"/>
          <w:szCs w:val="21"/>
          <w:highlight w:val="none"/>
        </w:rPr>
        <w:t xml:space="preserve">    发包人（全称）：</w:t>
      </w:r>
      <w:r>
        <w:rPr>
          <w:rFonts w:hint="eastAsia" w:ascii="宋体" w:hAnsi="宋体" w:cs="宋体"/>
          <w:color w:val="auto"/>
          <w:sz w:val="21"/>
          <w:szCs w:val="21"/>
          <w:highlight w:val="none"/>
          <w:u w:val="single"/>
        </w:rPr>
        <w:t>宁波市奉化区惠海地下管线投资有限公司</w:t>
      </w:r>
    </w:p>
    <w:p w14:paraId="47BAA65E">
      <w:pPr>
        <w:spacing w:line="360" w:lineRule="auto"/>
        <w:ind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cs="宋体"/>
          <w:color w:val="auto"/>
          <w:sz w:val="21"/>
          <w:szCs w:val="21"/>
          <w:highlight w:val="none"/>
        </w:rPr>
        <w:t>承包人（全称）：</w:t>
      </w:r>
      <w:r>
        <w:rPr>
          <w:rFonts w:hint="eastAsia" w:ascii="宋体" w:hAnsi="宋体" w:eastAsia="宋体" w:cs="宋体"/>
          <w:color w:val="auto"/>
          <w:sz w:val="21"/>
          <w:szCs w:val="21"/>
          <w:highlight w:val="none"/>
          <w:u w:val="single"/>
          <w:lang w:val="en-US" w:eastAsia="zh-CN"/>
        </w:rPr>
        <w:t xml:space="preserve">                                  </w:t>
      </w:r>
    </w:p>
    <w:p w14:paraId="6333301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发包人和承包人根据《中华人民共和国建筑法》和《建设工程质量管理条例》，经协商一</w:t>
      </w:r>
    </w:p>
    <w:p w14:paraId="029A5417">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致就</w:t>
      </w:r>
      <w:r>
        <w:rPr>
          <w:rFonts w:hint="eastAsia" w:ascii="宋体" w:hAnsi="宋体" w:cs="宋体"/>
          <w:color w:val="auto"/>
          <w:sz w:val="21"/>
          <w:szCs w:val="21"/>
          <w:highlight w:val="none"/>
          <w:u w:val="single"/>
          <w:lang w:val="en-US" w:eastAsia="zh-CN"/>
        </w:rPr>
        <w:t xml:space="preserve">奉化区溪口三隐潭沿线电缆改造工程 </w:t>
      </w:r>
      <w:r>
        <w:rPr>
          <w:rFonts w:hint="eastAsia" w:ascii="宋体" w:hAnsi="宋体" w:eastAsia="宋体" w:cs="宋体"/>
          <w:color w:val="auto"/>
          <w:sz w:val="21"/>
          <w:szCs w:val="21"/>
          <w:highlight w:val="none"/>
        </w:rPr>
        <w:t>质量保修书。</w:t>
      </w:r>
    </w:p>
    <w:p w14:paraId="294A75E6">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一、工程质量保修范围和内容</w:t>
      </w:r>
    </w:p>
    <w:p w14:paraId="52AFA028">
      <w:pPr>
        <w:spacing w:line="360" w:lineRule="auto"/>
        <w:ind w:firstLine="420" w:firstLineChars="200"/>
        <w:rPr>
          <w:rFonts w:hint="eastAsia" w:ascii="宋体" w:hAnsi="宋体" w:eastAsia="宋体" w:cs="宋体"/>
          <w:bCs/>
          <w:snapToGrid w:val="0"/>
          <w:color w:val="auto"/>
          <w:kern w:val="2"/>
          <w:sz w:val="22"/>
          <w:szCs w:val="22"/>
          <w:highlight w:val="yellow"/>
          <w:lang w:val="en-US" w:eastAsia="zh-CN" w:bidi="ar-SA"/>
        </w:rPr>
      </w:pPr>
      <w:r>
        <w:rPr>
          <w:rFonts w:hint="eastAsia" w:ascii="宋体" w:hAnsi="宋体" w:eastAsia="宋体" w:cs="宋体"/>
          <w:color w:val="auto"/>
          <w:sz w:val="21"/>
          <w:szCs w:val="21"/>
          <w:highlight w:val="none"/>
        </w:rPr>
        <w:t>承包人在质量保修期内，按照有关法律规定和合同约定，承担工程质量保修责任。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cs="宋体"/>
          <w:color w:val="auto"/>
          <w:sz w:val="21"/>
          <w:szCs w:val="21"/>
          <w:highlight w:val="none"/>
          <w:u w:val="single"/>
          <w:lang w:val="en-US" w:eastAsia="zh-CN"/>
        </w:rPr>
        <w:t>施工图范围内的低压电力排管、低压分接箱及配套基础、绿化迁移、电缆敷设等</w:t>
      </w:r>
      <w:r>
        <w:rPr>
          <w:rFonts w:hint="eastAsia" w:ascii="宋体" w:hAnsi="宋体" w:eastAsia="宋体" w:cs="宋体"/>
          <w:color w:val="auto"/>
          <w:sz w:val="21"/>
          <w:szCs w:val="21"/>
          <w:highlight w:val="none"/>
          <w:lang w:val="en-US" w:eastAsia="zh-CN"/>
        </w:rPr>
        <w:t>。</w:t>
      </w:r>
    </w:p>
    <w:p w14:paraId="2464751C">
      <w:pPr>
        <w:pStyle w:val="66"/>
        <w:spacing w:line="360" w:lineRule="auto"/>
        <w:ind w:firstLine="422" w:firstLineChars="200"/>
        <w:rPr>
          <w:rFonts w:hint="eastAsia" w:cs="宋体"/>
          <w:b/>
          <w:color w:val="auto"/>
          <w:sz w:val="21"/>
          <w:szCs w:val="21"/>
          <w:highlight w:val="none"/>
        </w:rPr>
      </w:pPr>
      <w:r>
        <w:rPr>
          <w:rFonts w:hint="eastAsia" w:cs="宋体"/>
          <w:b/>
          <w:color w:val="auto"/>
          <w:sz w:val="21"/>
          <w:szCs w:val="21"/>
          <w:highlight w:val="none"/>
        </w:rPr>
        <w:t>二、质量保修期</w:t>
      </w:r>
    </w:p>
    <w:p w14:paraId="267A9477">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根据《建设工程质量管理条例》及有关规定，工程的质量保修期如下：</w:t>
      </w:r>
    </w:p>
    <w:p w14:paraId="08FD9129">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cs="宋体"/>
          <w:color w:val="auto"/>
          <w:sz w:val="21"/>
          <w:szCs w:val="21"/>
          <w:highlight w:val="none"/>
        </w:rPr>
        <w:t>1．</w:t>
      </w:r>
      <w:r>
        <w:rPr>
          <w:rFonts w:hint="eastAsia" w:ascii="宋体" w:hAnsi="宋体" w:eastAsia="宋体" w:cs="宋体"/>
          <w:color w:val="auto"/>
          <w:sz w:val="21"/>
          <w:szCs w:val="21"/>
          <w:highlight w:val="none"/>
          <w:lang w:val="en-US" w:eastAsia="zh-CN"/>
        </w:rPr>
        <w:t>本工程保修期为</w:t>
      </w:r>
      <w:r>
        <w:rPr>
          <w:rFonts w:hint="eastAsia" w:ascii="宋体" w:hAnsi="宋体" w:cs="宋体"/>
          <w:color w:val="auto"/>
          <w:sz w:val="21"/>
          <w:szCs w:val="21"/>
          <w:highlight w:val="none"/>
          <w:lang w:val="en-US" w:eastAsia="zh-CN"/>
        </w:rPr>
        <w:t>1</w:t>
      </w:r>
      <w:r>
        <w:rPr>
          <w:rFonts w:hint="eastAsia" w:ascii="宋体" w:hAnsi="宋体" w:eastAsia="宋体" w:cs="宋体"/>
          <w:color w:val="auto"/>
          <w:sz w:val="21"/>
          <w:szCs w:val="21"/>
          <w:highlight w:val="none"/>
          <w:lang w:val="en-US" w:eastAsia="zh-CN"/>
        </w:rPr>
        <w:t>年。</w:t>
      </w:r>
    </w:p>
    <w:p w14:paraId="30B63039">
      <w:pPr>
        <w:spacing w:line="360" w:lineRule="auto"/>
        <w:rPr>
          <w:rFonts w:hint="eastAsia" w:ascii="宋体" w:hAnsi="宋体" w:cs="宋体"/>
          <w:b/>
          <w:color w:val="auto"/>
          <w:sz w:val="21"/>
          <w:szCs w:val="21"/>
          <w:highlight w:val="none"/>
        </w:rPr>
      </w:pPr>
      <w:r>
        <w:rPr>
          <w:rFonts w:hint="eastAsia" w:ascii="宋体" w:hAnsi="宋体" w:cs="宋体"/>
          <w:color w:val="auto"/>
          <w:sz w:val="21"/>
          <w:szCs w:val="21"/>
          <w:highlight w:val="none"/>
        </w:rPr>
        <w:t>　　质量保修期自工程竣工验收合格之日起计算。</w:t>
      </w:r>
    </w:p>
    <w:p w14:paraId="50A5D2D9">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三、缺陷责任期</w:t>
      </w:r>
    </w:p>
    <w:p w14:paraId="64A680CD">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工程缺陷责任期为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12</w:t>
      </w:r>
      <w:r>
        <w:rPr>
          <w:rFonts w:hint="eastAsia" w:ascii="宋体" w:hAnsi="宋体" w:cs="宋体"/>
          <w:color w:val="auto"/>
          <w:sz w:val="21"/>
          <w:szCs w:val="21"/>
          <w:highlight w:val="none"/>
        </w:rPr>
        <w:t>个月，缺陷责任期自工程竣工验收合格之日起计算。单位工程先于全部工程进行验收，单位工程缺陷责任期自单位工程验收合格之日起算。</w:t>
      </w:r>
    </w:p>
    <w:p w14:paraId="663AFB48">
      <w:pPr>
        <w:spacing w:line="360" w:lineRule="auto"/>
        <w:ind w:firstLine="411" w:firstLineChars="196"/>
        <w:rPr>
          <w:rFonts w:hint="eastAsia" w:ascii="宋体" w:hAnsi="宋体" w:cs="宋体"/>
          <w:color w:val="auto"/>
          <w:sz w:val="21"/>
          <w:szCs w:val="21"/>
          <w:highlight w:val="none"/>
        </w:rPr>
      </w:pPr>
      <w:r>
        <w:rPr>
          <w:rFonts w:hint="eastAsia" w:ascii="宋体" w:hAnsi="宋体" w:cs="宋体"/>
          <w:color w:val="auto"/>
          <w:sz w:val="21"/>
          <w:szCs w:val="21"/>
          <w:highlight w:val="none"/>
        </w:rPr>
        <w:t>缺陷责任期终止后，发包人在完成最终结清后应退还承包人的质量保证金保函或剩余的质量保证金。</w:t>
      </w:r>
    </w:p>
    <w:p w14:paraId="11725F39">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四、质量保修责任</w:t>
      </w:r>
    </w:p>
    <w:p w14:paraId="4DA7CC58">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1．属于保修范围、内容的项目，承包人应当在接到保修通知之日起7天内派人保修。承包人不在约定期限内派人保修的，发包人可以委托他人修理。</w:t>
      </w:r>
    </w:p>
    <w:p w14:paraId="35B6A4E3">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2．发生紧急事故需抢修的，承包人在接到事故通知后，应当立即到达事故现场抢修。</w:t>
      </w:r>
    </w:p>
    <w:p w14:paraId="28BE59A4">
      <w:pPr>
        <w:spacing w:line="360" w:lineRule="auto"/>
        <w:ind w:left="105" w:leftChars="50"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F89AC28">
      <w:pPr>
        <w:spacing w:line="360" w:lineRule="auto"/>
        <w:ind w:left="105" w:leftChars="50" w:firstLine="420" w:firstLineChars="200"/>
        <w:rPr>
          <w:rFonts w:hint="eastAsia" w:ascii="宋体" w:hAnsi="宋体" w:cs="宋体"/>
          <w:b/>
          <w:color w:val="auto"/>
          <w:sz w:val="21"/>
          <w:szCs w:val="21"/>
          <w:highlight w:val="none"/>
        </w:rPr>
      </w:pPr>
      <w:r>
        <w:rPr>
          <w:rFonts w:hint="eastAsia" w:ascii="宋体" w:hAnsi="宋体" w:cs="宋体"/>
          <w:color w:val="auto"/>
          <w:sz w:val="21"/>
          <w:szCs w:val="21"/>
          <w:highlight w:val="none"/>
        </w:rPr>
        <w:t>4．质量保修完成后，由发包人组织验收。</w:t>
      </w:r>
    </w:p>
    <w:p w14:paraId="68C44C06">
      <w:pPr>
        <w:spacing w:line="360" w:lineRule="auto"/>
        <w:ind w:firstLine="413" w:firstLineChars="196"/>
        <w:rPr>
          <w:rFonts w:hint="eastAsia" w:ascii="宋体" w:hAnsi="宋体" w:cs="宋体"/>
          <w:b/>
          <w:color w:val="auto"/>
          <w:sz w:val="21"/>
          <w:szCs w:val="21"/>
          <w:highlight w:val="none"/>
        </w:rPr>
      </w:pPr>
      <w:r>
        <w:rPr>
          <w:rFonts w:hint="eastAsia" w:ascii="宋体" w:hAnsi="宋体" w:cs="宋体"/>
          <w:b/>
          <w:color w:val="auto"/>
          <w:sz w:val="21"/>
          <w:szCs w:val="21"/>
          <w:highlight w:val="none"/>
        </w:rPr>
        <w:t>五、保修费用</w:t>
      </w:r>
    </w:p>
    <w:p w14:paraId="3F024CC3">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保修费用由造成质量缺陷的责任方承担。</w:t>
      </w:r>
    </w:p>
    <w:p w14:paraId="026A7E6D">
      <w:pPr>
        <w:spacing w:line="360" w:lineRule="auto"/>
        <w:ind w:firstLine="413" w:firstLineChars="196"/>
        <w:rPr>
          <w:rFonts w:hint="eastAsia" w:ascii="宋体" w:hAnsi="宋体" w:cs="宋体"/>
          <w:b/>
          <w:color w:val="auto"/>
          <w:sz w:val="21"/>
          <w:szCs w:val="21"/>
          <w:highlight w:val="none"/>
          <w:u w:val="single"/>
        </w:rPr>
      </w:pPr>
      <w:r>
        <w:rPr>
          <w:rFonts w:hint="eastAsia" w:ascii="宋体" w:hAnsi="宋体" w:cs="宋体"/>
          <w:b/>
          <w:color w:val="auto"/>
          <w:sz w:val="21"/>
          <w:szCs w:val="21"/>
          <w:highlight w:val="none"/>
        </w:rPr>
        <w:t>六、双方约定的其他工程质量保修事项：</w:t>
      </w:r>
      <w:r>
        <w:rPr>
          <w:rFonts w:hint="eastAsia" w:ascii="宋体" w:hAnsi="宋体" w:cs="宋体"/>
          <w:b/>
          <w:color w:val="auto"/>
          <w:sz w:val="21"/>
          <w:szCs w:val="21"/>
          <w:highlight w:val="none"/>
          <w:u w:val="single"/>
        </w:rPr>
        <w:t xml:space="preserve">    /    </w:t>
      </w:r>
      <w:r>
        <w:rPr>
          <w:rFonts w:hint="eastAsia" w:ascii="宋体" w:hAnsi="宋体" w:cs="宋体"/>
          <w:color w:val="auto"/>
          <w:sz w:val="21"/>
          <w:szCs w:val="21"/>
          <w:highlight w:val="none"/>
        </w:rPr>
        <w:t>。</w:t>
      </w:r>
    </w:p>
    <w:p w14:paraId="1F82FA92">
      <w:pPr>
        <w:spacing w:line="360" w:lineRule="auto"/>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工程质量保修书由发包人、承包人在工程竣工验收前共同签署，作为施工合同附件，其有效期限至保修期满。</w:t>
      </w:r>
    </w:p>
    <w:p w14:paraId="79AEA89E">
      <w:pPr>
        <w:spacing w:line="360" w:lineRule="auto"/>
        <w:ind w:firstLine="420"/>
        <w:rPr>
          <w:rFonts w:hint="eastAsia" w:ascii="宋体" w:hAnsi="宋体" w:cs="宋体"/>
          <w:color w:val="auto"/>
          <w:sz w:val="21"/>
          <w:szCs w:val="21"/>
          <w:highlight w:val="none"/>
        </w:rPr>
      </w:pPr>
    </w:p>
    <w:p w14:paraId="0EE44432">
      <w:pPr>
        <w:autoSpaceDE w:val="0"/>
        <w:autoSpaceDN w:val="0"/>
        <w:adjustRightInd w:val="0"/>
        <w:spacing w:line="38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sz w:val="21"/>
          <w:szCs w:val="21"/>
          <w:highlight w:val="none"/>
        </w:rPr>
        <w:t>发包人(公章)：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pacing w:val="14"/>
          <w:sz w:val="21"/>
          <w:szCs w:val="21"/>
          <w:highlight w:val="none"/>
          <w:u w:val="single"/>
        </w:rPr>
        <w:t>宁波市奉化区惠海</w:t>
      </w:r>
      <w:r>
        <w:rPr>
          <w:rFonts w:hint="eastAsia" w:ascii="宋体" w:hAnsi="宋体" w:eastAsia="宋体" w:cs="宋体"/>
          <w:color w:val="auto"/>
          <w:spacing w:val="14"/>
          <w:sz w:val="21"/>
          <w:szCs w:val="21"/>
          <w:highlight w:val="none"/>
        </w:rPr>
        <w:t xml:space="preserve">     </w:t>
      </w:r>
      <w:r>
        <w:rPr>
          <w:rFonts w:hint="eastAsia" w:ascii="宋体" w:hAnsi="宋体" w:cs="宋体"/>
          <w:color w:val="auto"/>
          <w:spacing w:val="14"/>
          <w:sz w:val="21"/>
          <w:szCs w:val="21"/>
          <w:highlight w:val="none"/>
          <w:lang w:val="en-US" w:eastAsia="zh-CN"/>
        </w:rPr>
        <w:t xml:space="preserve">  </w:t>
      </w:r>
      <w:r>
        <w:rPr>
          <w:rFonts w:hint="eastAsia" w:ascii="宋体" w:hAnsi="宋体" w:eastAsia="宋体" w:cs="宋体"/>
          <w:color w:val="auto"/>
          <w:sz w:val="21"/>
          <w:szCs w:val="21"/>
          <w:highlight w:val="none"/>
        </w:rPr>
        <w:t>承包人(公章):</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p>
    <w:p w14:paraId="2A49E5C4">
      <w:pPr>
        <w:spacing w:line="560" w:lineRule="exact"/>
        <w:ind w:firstLine="1190" w:firstLineChars="500"/>
        <w:rPr>
          <w:rFonts w:hint="eastAsia" w:ascii="宋体" w:hAnsi="宋体" w:eastAsia="宋体" w:cs="宋体"/>
          <w:color w:val="auto"/>
          <w:sz w:val="21"/>
          <w:szCs w:val="21"/>
          <w:highlight w:val="none"/>
          <w:u w:val="single"/>
        </w:rPr>
      </w:pPr>
      <w:r>
        <w:rPr>
          <w:rFonts w:hint="eastAsia" w:ascii="宋体" w:hAnsi="宋体" w:eastAsia="宋体" w:cs="宋体"/>
          <w:color w:val="auto"/>
          <w:spacing w:val="14"/>
          <w:sz w:val="21"/>
          <w:szCs w:val="21"/>
          <w:highlight w:val="none"/>
          <w:u w:val="single"/>
        </w:rPr>
        <w:t>地下管线投资有限公司</w:t>
      </w:r>
      <w:r>
        <w:rPr>
          <w:rFonts w:hint="eastAsia" w:ascii="宋体" w:hAnsi="宋体" w:eastAsia="宋体" w:cs="宋体"/>
          <w:color w:val="auto"/>
          <w:sz w:val="21"/>
          <w:szCs w:val="21"/>
          <w:highlight w:val="none"/>
          <w:u w:val="single"/>
        </w:rPr>
        <w:t xml:space="preserve"> </w:t>
      </w:r>
    </w:p>
    <w:p w14:paraId="072954C7">
      <w:pPr>
        <w:spacing w:line="560" w:lineRule="exact"/>
        <w:rPr>
          <w:rFonts w:hint="eastAsia" w:ascii="宋体" w:hAnsi="宋体" w:eastAsia="宋体" w:cs="宋体"/>
          <w:color w:val="auto"/>
          <w:kern w:val="0"/>
          <w:sz w:val="21"/>
          <w:szCs w:val="21"/>
          <w:highlight w:val="none"/>
          <w:u w:val="single"/>
        </w:rPr>
      </w:pPr>
      <w:r>
        <w:rPr>
          <w:rFonts w:hint="eastAsia" w:ascii="宋体" w:hAnsi="宋体" w:eastAsia="宋体" w:cs="宋体"/>
          <w:color w:val="auto"/>
          <w:sz w:val="21"/>
          <w:szCs w:val="21"/>
          <w:highlight w:val="none"/>
        </w:rPr>
        <w:t>地  址：</w:t>
      </w:r>
      <w:r>
        <w:rPr>
          <w:rFonts w:hint="eastAsia" w:ascii="宋体" w:hAnsi="宋体" w:eastAsia="宋体" w:cs="宋体"/>
          <w:color w:val="auto"/>
          <w:kern w:val="0"/>
          <w:sz w:val="21"/>
          <w:szCs w:val="21"/>
          <w:highlight w:val="none"/>
          <w:u w:val="single"/>
        </w:rPr>
        <w:t>浙江省宁波市奉化区岳林街道长</w:t>
      </w:r>
    </w:p>
    <w:p w14:paraId="7A17C737">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u w:val="single"/>
        </w:rPr>
        <w:t>汀东路558号（城开大厦3号楼北幢9层）</w:t>
      </w:r>
      <w:r>
        <w:rPr>
          <w:rFonts w:hint="eastAsia" w:ascii="宋体" w:hAnsi="宋体" w:eastAsia="宋体" w:cs="宋体"/>
          <w:color w:val="auto"/>
          <w:kern w:val="0"/>
          <w:sz w:val="21"/>
          <w:szCs w:val="21"/>
          <w:highlight w:val="none"/>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u w:val="single"/>
          <w:lang w:val="en-US" w:eastAsia="zh-CN"/>
        </w:rPr>
        <w:t xml:space="preserve">                      </w:t>
      </w:r>
    </w:p>
    <w:p w14:paraId="673F6C7E">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法定代表人(签字):</w:t>
      </w:r>
      <w:r>
        <w:rPr>
          <w:rFonts w:hint="eastAsia" w:ascii="宋体" w:hAnsi="宋体" w:eastAsia="宋体" w:cs="宋体"/>
          <w:color w:val="auto"/>
          <w:sz w:val="21"/>
          <w:szCs w:val="21"/>
          <w:highlight w:val="none"/>
          <w:u w:val="single"/>
        </w:rPr>
        <w:t xml:space="preserve">                  </w:t>
      </w:r>
    </w:p>
    <w:p w14:paraId="5CDAB7F9">
      <w:pPr>
        <w:spacing w:line="560" w:lineRule="exact"/>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委托代理人(签字):</w:t>
      </w:r>
      <w:r>
        <w:rPr>
          <w:rFonts w:hint="eastAsia" w:ascii="宋体" w:hAnsi="宋体" w:eastAsia="宋体" w:cs="宋体"/>
          <w:color w:val="auto"/>
          <w:sz w:val="21"/>
          <w:szCs w:val="21"/>
          <w:highlight w:val="none"/>
          <w:u w:val="single"/>
        </w:rPr>
        <w:t xml:space="preserve">                  </w:t>
      </w:r>
    </w:p>
    <w:p w14:paraId="7A6A60BC">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电  话:</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p>
    <w:p w14:paraId="0BDE581C">
      <w:pPr>
        <w:spacing w:line="5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传  真：</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D5059DA">
      <w:pPr>
        <w:autoSpaceDE w:val="0"/>
        <w:autoSpaceDN w:val="0"/>
        <w:adjustRightInd w:val="0"/>
        <w:spacing w:line="440" w:lineRule="exact"/>
        <w:jc w:val="left"/>
        <w:rPr>
          <w:rFonts w:hint="default"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zh-CN"/>
        </w:rPr>
        <w:t>开户银行：</w:t>
      </w:r>
      <w:r>
        <w:rPr>
          <w:rFonts w:hint="eastAsia" w:ascii="宋体" w:hAnsi="宋体" w:eastAsia="宋体" w:cs="宋体"/>
          <w:color w:val="auto"/>
          <w:kern w:val="0"/>
          <w:sz w:val="21"/>
          <w:szCs w:val="21"/>
          <w:highlight w:val="none"/>
          <w:u w:val="single"/>
          <w:lang w:val="zh-CN"/>
        </w:rPr>
        <w:t>宁波银行股份有限公司岳林支行</w:t>
      </w:r>
      <w:r>
        <w:rPr>
          <w:rFonts w:hint="eastAsia" w:ascii="宋体" w:hAnsi="宋体" w:eastAsia="宋体" w:cs="宋体"/>
          <w:color w:val="auto"/>
          <w:kern w:val="0"/>
          <w:sz w:val="21"/>
          <w:szCs w:val="21"/>
          <w:highlight w:val="none"/>
          <w:lang w:val="zh-CN"/>
        </w:rPr>
        <w:t xml:space="preserve">   开户银行：</w:t>
      </w:r>
      <w:r>
        <w:rPr>
          <w:rFonts w:hint="eastAsia" w:ascii="宋体" w:hAnsi="宋体" w:eastAsia="宋体" w:cs="宋体"/>
          <w:color w:val="auto"/>
          <w:kern w:val="0"/>
          <w:sz w:val="21"/>
          <w:szCs w:val="21"/>
          <w:highlight w:val="none"/>
          <w:u w:val="single"/>
          <w:lang w:val="en-US" w:eastAsia="zh-CN"/>
        </w:rPr>
        <w:t xml:space="preserve">                       </w:t>
      </w:r>
    </w:p>
    <w:p w14:paraId="7EE7CED4">
      <w:pPr>
        <w:spacing w:line="360" w:lineRule="auto"/>
        <w:rPr>
          <w:rFonts w:hint="eastAsia" w:ascii="宋体" w:hAnsi="宋体" w:cs="宋体"/>
          <w:color w:val="auto"/>
          <w:sz w:val="21"/>
          <w:szCs w:val="21"/>
          <w:highlight w:val="none"/>
          <w:u w:val="single"/>
        </w:rPr>
      </w:pPr>
      <w:r>
        <w:rPr>
          <w:rFonts w:hint="eastAsia" w:ascii="宋体" w:hAnsi="宋体" w:eastAsia="宋体" w:cs="宋体"/>
          <w:color w:val="auto"/>
          <w:kern w:val="0"/>
          <w:sz w:val="21"/>
          <w:szCs w:val="21"/>
          <w:highlight w:val="none"/>
          <w:lang w:val="zh-CN"/>
        </w:rPr>
        <w:t>账号：</w:t>
      </w:r>
      <w:r>
        <w:rPr>
          <w:rFonts w:hint="eastAsia" w:ascii="宋体" w:hAnsi="宋体" w:eastAsia="宋体" w:cs="宋体"/>
          <w:color w:val="auto"/>
          <w:kern w:val="0"/>
          <w:sz w:val="21"/>
          <w:szCs w:val="21"/>
          <w:highlight w:val="none"/>
          <w:u w:val="single"/>
          <w:lang w:val="zh-CN"/>
        </w:rPr>
        <w:t xml:space="preserve">64040122 000030230 </w:t>
      </w:r>
      <w:r>
        <w:rPr>
          <w:rFonts w:hint="eastAsia" w:ascii="宋体" w:hAnsi="宋体" w:eastAsia="宋体" w:cs="宋体"/>
          <w:color w:val="auto"/>
          <w:kern w:val="0"/>
          <w:sz w:val="21"/>
          <w:szCs w:val="21"/>
          <w:highlight w:val="none"/>
          <w:lang w:val="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 xml:space="preserve">账号：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p>
    <w:p w14:paraId="0D121421">
      <w:pPr>
        <w:spacing w:line="360" w:lineRule="auto"/>
        <w:rPr>
          <w:rFonts w:hint="eastAsia" w:ascii="宋体" w:hAnsi="宋体" w:cs="宋体"/>
          <w:color w:val="auto"/>
          <w:sz w:val="21"/>
          <w:szCs w:val="21"/>
          <w:highlight w:val="none"/>
          <w:u w:val="single"/>
        </w:rPr>
      </w:pPr>
    </w:p>
    <w:p w14:paraId="41FF97E6">
      <w:pPr>
        <w:spacing w:line="360" w:lineRule="auto"/>
        <w:rPr>
          <w:rFonts w:hint="eastAsia" w:ascii="宋体" w:hAnsi="宋体" w:cs="宋体"/>
          <w:color w:val="auto"/>
          <w:sz w:val="21"/>
          <w:szCs w:val="21"/>
          <w:highlight w:val="none"/>
          <w:u w:val="single"/>
        </w:rPr>
      </w:pPr>
    </w:p>
    <w:p w14:paraId="157FA114">
      <w:pPr>
        <w:spacing w:line="360" w:lineRule="auto"/>
        <w:rPr>
          <w:rFonts w:hint="eastAsia" w:ascii="宋体" w:hAnsi="宋体" w:cs="宋体"/>
          <w:color w:val="auto"/>
          <w:sz w:val="21"/>
          <w:szCs w:val="21"/>
          <w:highlight w:val="none"/>
          <w:u w:val="single"/>
        </w:rPr>
      </w:pPr>
    </w:p>
    <w:p w14:paraId="6CFF4FD2">
      <w:pPr>
        <w:spacing w:line="360" w:lineRule="auto"/>
        <w:rPr>
          <w:rFonts w:hint="eastAsia" w:ascii="宋体" w:hAnsi="宋体" w:cs="宋体"/>
          <w:color w:val="auto"/>
          <w:sz w:val="21"/>
          <w:szCs w:val="21"/>
          <w:highlight w:val="none"/>
          <w:u w:val="single"/>
        </w:rPr>
      </w:pPr>
    </w:p>
    <w:p w14:paraId="6E2FCABC">
      <w:pPr>
        <w:spacing w:line="360" w:lineRule="auto"/>
        <w:rPr>
          <w:rFonts w:hint="eastAsia" w:ascii="宋体" w:hAnsi="宋体" w:cs="宋体"/>
          <w:color w:val="auto"/>
          <w:sz w:val="21"/>
          <w:szCs w:val="21"/>
          <w:highlight w:val="none"/>
          <w:u w:val="single"/>
        </w:rPr>
      </w:pPr>
    </w:p>
    <w:p w14:paraId="420BB343">
      <w:pPr>
        <w:spacing w:line="360" w:lineRule="auto"/>
        <w:rPr>
          <w:rFonts w:hint="eastAsia" w:ascii="宋体" w:hAnsi="宋体" w:cs="宋体"/>
          <w:color w:val="auto"/>
          <w:sz w:val="21"/>
          <w:szCs w:val="21"/>
          <w:highlight w:val="none"/>
          <w:u w:val="single"/>
        </w:rPr>
      </w:pPr>
    </w:p>
    <w:p w14:paraId="59B75C5A">
      <w:pPr>
        <w:spacing w:line="360" w:lineRule="auto"/>
        <w:rPr>
          <w:rFonts w:hint="eastAsia" w:ascii="宋体" w:hAnsi="宋体" w:cs="宋体"/>
          <w:color w:val="auto"/>
          <w:sz w:val="21"/>
          <w:szCs w:val="21"/>
          <w:highlight w:val="none"/>
          <w:u w:val="single"/>
        </w:rPr>
      </w:pPr>
    </w:p>
    <w:p w14:paraId="3A4084FE">
      <w:pPr>
        <w:spacing w:line="360" w:lineRule="auto"/>
        <w:rPr>
          <w:rFonts w:hint="eastAsia" w:ascii="宋体" w:hAnsi="宋体" w:cs="宋体"/>
          <w:color w:val="auto"/>
          <w:sz w:val="21"/>
          <w:szCs w:val="21"/>
          <w:highlight w:val="none"/>
          <w:u w:val="single"/>
        </w:rPr>
      </w:pPr>
    </w:p>
    <w:p w14:paraId="2369AB1E">
      <w:pPr>
        <w:spacing w:line="360" w:lineRule="auto"/>
        <w:rPr>
          <w:rFonts w:hint="eastAsia" w:ascii="宋体" w:hAnsi="宋体" w:cs="宋体"/>
          <w:b/>
          <w:bCs/>
          <w:color w:val="auto"/>
          <w:sz w:val="21"/>
          <w:szCs w:val="21"/>
          <w:highlight w:val="none"/>
        </w:rPr>
      </w:pPr>
      <w:bookmarkStart w:id="440" w:name="_Toc315695461"/>
      <w:bookmarkStart w:id="441" w:name="_Toc358876721"/>
      <w:bookmarkStart w:id="442" w:name="_Toc359567922"/>
      <w:bookmarkStart w:id="443" w:name="_Toc315695235"/>
      <w:bookmarkStart w:id="444" w:name="_Toc360114130"/>
    </w:p>
    <w:p w14:paraId="6E8CE360">
      <w:pPr>
        <w:spacing w:line="360" w:lineRule="auto"/>
        <w:rPr>
          <w:rFonts w:hint="eastAsia" w:ascii="宋体" w:hAnsi="宋体" w:cs="宋体"/>
          <w:b/>
          <w:bCs/>
          <w:color w:val="auto"/>
          <w:sz w:val="21"/>
          <w:szCs w:val="21"/>
          <w:highlight w:val="none"/>
        </w:rPr>
      </w:pPr>
    </w:p>
    <w:p w14:paraId="6395DFD7">
      <w:pPr>
        <w:spacing w:line="360" w:lineRule="auto"/>
        <w:rPr>
          <w:rFonts w:hint="eastAsia" w:ascii="宋体" w:hAnsi="宋体" w:cs="宋体"/>
          <w:b/>
          <w:bCs/>
          <w:color w:val="auto"/>
          <w:sz w:val="21"/>
          <w:szCs w:val="21"/>
          <w:highlight w:val="none"/>
        </w:rPr>
      </w:pPr>
    </w:p>
    <w:p w14:paraId="26853030">
      <w:pPr>
        <w:spacing w:line="360" w:lineRule="auto"/>
        <w:rPr>
          <w:rFonts w:hint="eastAsia" w:ascii="宋体" w:hAnsi="宋体" w:cs="宋体"/>
          <w:b/>
          <w:bCs/>
          <w:color w:val="auto"/>
          <w:sz w:val="21"/>
          <w:szCs w:val="21"/>
          <w:highlight w:val="none"/>
        </w:rPr>
      </w:pPr>
    </w:p>
    <w:p w14:paraId="0DFF969C">
      <w:pPr>
        <w:spacing w:line="360" w:lineRule="auto"/>
        <w:rPr>
          <w:rFonts w:hint="eastAsia" w:ascii="宋体" w:hAnsi="宋体" w:cs="宋体"/>
          <w:b/>
          <w:bCs/>
          <w:color w:val="auto"/>
          <w:sz w:val="21"/>
          <w:szCs w:val="21"/>
          <w:highlight w:val="none"/>
        </w:rPr>
      </w:pPr>
    </w:p>
    <w:p w14:paraId="429CAA13">
      <w:pPr>
        <w:spacing w:line="360" w:lineRule="auto"/>
        <w:rPr>
          <w:rFonts w:hint="eastAsia" w:ascii="宋体" w:hAnsi="宋体" w:cs="宋体"/>
          <w:b/>
          <w:bCs/>
          <w:color w:val="auto"/>
          <w:sz w:val="21"/>
          <w:szCs w:val="21"/>
          <w:highlight w:val="none"/>
        </w:rPr>
      </w:pPr>
    </w:p>
    <w:p w14:paraId="5AD612EA">
      <w:pPr>
        <w:spacing w:line="360" w:lineRule="auto"/>
        <w:rPr>
          <w:rFonts w:hint="eastAsia" w:ascii="宋体" w:hAnsi="宋体" w:cs="宋体"/>
          <w:b/>
          <w:bCs/>
          <w:color w:val="auto"/>
          <w:sz w:val="21"/>
          <w:szCs w:val="21"/>
          <w:highlight w:val="none"/>
        </w:rPr>
      </w:pPr>
    </w:p>
    <w:p w14:paraId="53204C31">
      <w:pPr>
        <w:spacing w:line="360" w:lineRule="auto"/>
        <w:rPr>
          <w:rFonts w:hint="eastAsia" w:ascii="宋体" w:hAnsi="宋体" w:cs="宋体"/>
          <w:b/>
          <w:bCs/>
          <w:color w:val="auto"/>
          <w:sz w:val="21"/>
          <w:szCs w:val="21"/>
          <w:highlight w:val="none"/>
        </w:rPr>
      </w:pPr>
    </w:p>
    <w:p w14:paraId="64372F14">
      <w:pPr>
        <w:spacing w:line="360" w:lineRule="auto"/>
        <w:rPr>
          <w:rFonts w:hint="eastAsia" w:ascii="宋体" w:hAnsi="宋体" w:cs="宋体"/>
          <w:b/>
          <w:bCs/>
          <w:color w:val="auto"/>
          <w:sz w:val="21"/>
          <w:szCs w:val="21"/>
          <w:highlight w:val="none"/>
        </w:rPr>
      </w:pPr>
    </w:p>
    <w:p w14:paraId="3C98DCD5">
      <w:pPr>
        <w:spacing w:line="360" w:lineRule="auto"/>
        <w:rPr>
          <w:rFonts w:hint="eastAsia" w:ascii="宋体" w:hAnsi="宋体" w:cs="宋体"/>
          <w:b/>
          <w:bCs/>
          <w:color w:val="auto"/>
          <w:sz w:val="21"/>
          <w:szCs w:val="21"/>
          <w:highlight w:val="none"/>
        </w:rPr>
      </w:pPr>
    </w:p>
    <w:p w14:paraId="7E07000F">
      <w:pPr>
        <w:spacing w:line="360" w:lineRule="auto"/>
        <w:rPr>
          <w:rFonts w:hint="eastAsia" w:ascii="宋体" w:hAnsi="宋体" w:cs="宋体"/>
          <w:b/>
          <w:bCs/>
          <w:color w:val="auto"/>
          <w:sz w:val="21"/>
          <w:szCs w:val="21"/>
          <w:highlight w:val="none"/>
        </w:rPr>
      </w:pPr>
    </w:p>
    <w:p w14:paraId="754C0EE4">
      <w:pPr>
        <w:spacing w:line="360" w:lineRule="auto"/>
        <w:rPr>
          <w:rFonts w:hint="eastAsia" w:ascii="宋体" w:hAnsi="宋体" w:cs="宋体"/>
          <w:b/>
          <w:bCs/>
          <w:color w:val="auto"/>
          <w:sz w:val="21"/>
          <w:szCs w:val="21"/>
          <w:highlight w:val="none"/>
        </w:rPr>
      </w:pPr>
    </w:p>
    <w:p w14:paraId="1082A394">
      <w:pPr>
        <w:spacing w:line="360" w:lineRule="auto"/>
        <w:rPr>
          <w:rFonts w:hint="eastAsia" w:ascii="宋体" w:hAnsi="宋体" w:cs="宋体"/>
          <w:b/>
          <w:bCs/>
          <w:color w:val="auto"/>
          <w:sz w:val="21"/>
          <w:szCs w:val="21"/>
          <w:highlight w:val="none"/>
        </w:rPr>
      </w:pPr>
    </w:p>
    <w:p w14:paraId="5CEC9868">
      <w:pPr>
        <w:spacing w:line="360" w:lineRule="auto"/>
        <w:rPr>
          <w:rFonts w:hint="eastAsia" w:ascii="宋体" w:hAnsi="宋体" w:cs="宋体"/>
          <w:b/>
          <w:color w:val="auto"/>
          <w:sz w:val="21"/>
          <w:szCs w:val="21"/>
          <w:highlight w:val="none"/>
        </w:rPr>
      </w:pPr>
      <w:r>
        <w:rPr>
          <w:rFonts w:hint="eastAsia" w:ascii="宋体" w:hAnsi="宋体" w:cs="宋体"/>
          <w:b/>
          <w:bCs/>
          <w:color w:val="auto"/>
          <w:sz w:val="21"/>
          <w:szCs w:val="21"/>
          <w:highlight w:val="none"/>
        </w:rPr>
        <w:t>附件2：</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rPr>
        <w:t>安全生产合同</w:t>
      </w:r>
    </w:p>
    <w:p w14:paraId="53BA252F">
      <w:pPr>
        <w:spacing w:line="360" w:lineRule="auto"/>
        <w:ind w:firstLine="420" w:firstLineChars="200"/>
        <w:rPr>
          <w:rFonts w:hint="eastAsia" w:ascii="宋体" w:hAnsi="宋体" w:cs="宋体"/>
          <w:bCs/>
          <w:color w:val="auto"/>
          <w:sz w:val="21"/>
          <w:szCs w:val="21"/>
          <w:highlight w:val="none"/>
          <w:u w:val="single"/>
        </w:rPr>
      </w:pPr>
      <w:r>
        <w:rPr>
          <w:rFonts w:hint="eastAsia" w:ascii="宋体" w:hAnsi="宋体" w:cs="宋体"/>
          <w:color w:val="auto"/>
          <w:sz w:val="21"/>
          <w:szCs w:val="21"/>
          <w:highlight w:val="none"/>
        </w:rPr>
        <w:t>为在</w:t>
      </w:r>
      <w:r>
        <w:rPr>
          <w:rFonts w:hint="eastAsia" w:ascii="宋体" w:hAnsi="宋体" w:cs="宋体"/>
          <w:color w:val="auto"/>
          <w:sz w:val="21"/>
          <w:szCs w:val="21"/>
          <w:highlight w:val="none"/>
          <w:u w:val="single"/>
          <w:lang w:val="en-US" w:eastAsia="zh-CN"/>
        </w:rPr>
        <w:t xml:space="preserve">奉化区溪口三隐潭沿线电缆改造工程 </w:t>
      </w:r>
      <w:r>
        <w:rPr>
          <w:rFonts w:hint="eastAsia" w:ascii="宋体" w:hAnsi="宋体" w:cs="宋体"/>
          <w:color w:val="auto"/>
          <w:sz w:val="21"/>
          <w:szCs w:val="21"/>
          <w:highlight w:val="none"/>
        </w:rPr>
        <w:t>（项目名称）施工合同的实施过程中创造安全、高效的施工环境，切实搞好本项目的安全管理工作，本项目发包人</w:t>
      </w:r>
      <w:r>
        <w:rPr>
          <w:rFonts w:hint="eastAsia" w:ascii="宋体" w:hAnsi="宋体" w:cs="宋体"/>
          <w:color w:val="auto"/>
          <w:sz w:val="21"/>
          <w:szCs w:val="21"/>
          <w:highlight w:val="none"/>
          <w:u w:val="single"/>
        </w:rPr>
        <w:t>宁波市奉化区惠海地下管线投资有限公司</w:t>
      </w:r>
      <w:r>
        <w:rPr>
          <w:rFonts w:hint="eastAsia" w:ascii="宋体" w:hAnsi="宋体" w:cs="宋体"/>
          <w:color w:val="auto"/>
          <w:sz w:val="21"/>
          <w:szCs w:val="21"/>
          <w:highlight w:val="none"/>
        </w:rPr>
        <w:t>（发包人名称，以下简称“发包人”）与</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cs="宋体"/>
          <w:color w:val="auto"/>
          <w:sz w:val="21"/>
          <w:szCs w:val="21"/>
          <w:highlight w:val="none"/>
        </w:rPr>
        <w:t>承包人名称，以下简称“承包人”）特此签订安全生产合同：</w:t>
      </w:r>
    </w:p>
    <w:p w14:paraId="311DE373">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1.发包人职责</w:t>
      </w:r>
    </w:p>
    <w:p w14:paraId="73350AB5">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（1）严格遵守国家有关安全生产的法律法规，认真执行工程承包合同中的有关安全要求。</w:t>
      </w:r>
    </w:p>
    <w:p w14:paraId="64067D49">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（2）按照“安全第一、预防为主”和坚持“管生产必须管安全”的原则进行安全生产管理，做到生产与安全工作同时计划、布置、检查、总结和评比。</w:t>
      </w:r>
    </w:p>
    <w:p w14:paraId="5229CB33">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（3）重要的安全设施必须坚持与主体工程“三同时”的原则，即：同时设计、审批，同时施工，同时验收，投入使用。</w:t>
      </w:r>
    </w:p>
    <w:p w14:paraId="2CC97A8E">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（4）定期召开安全生产调度会，及时传达中央及地方有关安全生产的精神。</w:t>
      </w:r>
    </w:p>
    <w:p w14:paraId="29BCE6FB">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（5）组织对承包人施工现场安全生产检查，监督承包人及时处理发现的各种安全隐患。</w:t>
      </w:r>
    </w:p>
    <w:p w14:paraId="6636DF40">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2.承包人职责</w:t>
      </w:r>
    </w:p>
    <w:p w14:paraId="3F459554">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（1）严格遵守《中华人民共和国安全生产法》、《建设工程安全生产管理条例》等国家有关安全生产的法律法规有关安全生产的规定。认真执行工程承包合同中的有关安全要求。</w:t>
      </w:r>
    </w:p>
    <w:p w14:paraId="1CACB66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3D2C1C6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2DA8B861">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（4）承包人在任何时候都应采取各种合理的预防措施，防止其员工发生任何违法、违禁、暴力或妨碍治安的行为。</w:t>
      </w:r>
    </w:p>
    <w:p w14:paraId="1C5AD02E">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DDCC80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248FB47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（7）操作人员上岗，必须按规定穿戴防护用品。施工负责人和安全检查员应随时检查劳动防护用品的穿戴情况，不按规定穿戴防护用品的人员不得上岗。</w:t>
      </w:r>
    </w:p>
    <w:p w14:paraId="26616AA7">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（8）所有施工机具设备和高空作业的设备均应定期检查，并有安全员的签字记录，保证其经常处于完好状态；不合格的机具、设备和劳动保护用品严禁使用：</w:t>
      </w:r>
    </w:p>
    <w:p w14:paraId="082863C6">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（9）施工中采用新技术、新工艺、新设备、新材料时，必须制定相应的安全技术措施，施工现场必须具有相关的安全标志牌。</w:t>
      </w:r>
    </w:p>
    <w:p w14:paraId="4BB87CC2">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5C6BB960">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3.违约责任</w:t>
      </w:r>
    </w:p>
    <w:p w14:paraId="6D48E38C">
      <w:pPr>
        <w:spacing w:line="420" w:lineRule="exact"/>
        <w:ind w:left="480"/>
        <w:rPr>
          <w:rFonts w:hint="eastAsia" w:ascii="宋体" w:hAnsi="宋体" w:cs="宋体"/>
          <w:color w:val="auto"/>
          <w:sz w:val="21"/>
          <w:szCs w:val="21"/>
          <w:highlight w:val="none"/>
        </w:rPr>
      </w:pPr>
      <w:r>
        <w:rPr>
          <w:rFonts w:hint="eastAsia" w:ascii="宋体" w:hAnsi="宋体" w:cs="宋体"/>
          <w:color w:val="auto"/>
          <w:sz w:val="21"/>
          <w:szCs w:val="21"/>
          <w:highlight w:val="none"/>
        </w:rPr>
        <w:t>如因发包人或承包人违约造成安全事故，将依法追究责任。</w:t>
      </w:r>
    </w:p>
    <w:p w14:paraId="68C30BB3">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4.本合同由双方法定代表人或其授权的代理人签署并加盖单位章后生效，全部工程竣工验收后失效。</w:t>
      </w:r>
    </w:p>
    <w:p w14:paraId="5495373A">
      <w:pPr>
        <w:spacing w:line="420" w:lineRule="exact"/>
        <w:ind w:firstLine="420" w:firstLineChars="200"/>
        <w:rPr>
          <w:rFonts w:hint="eastAsia" w:ascii="宋体" w:hAnsi="宋体" w:cs="宋体"/>
          <w:color w:val="auto"/>
          <w:sz w:val="21"/>
          <w:szCs w:val="21"/>
          <w:highlight w:val="none"/>
        </w:rPr>
      </w:pPr>
      <w:r>
        <w:rPr>
          <w:rFonts w:hint="eastAsia" w:ascii="宋体" w:hAnsi="宋体" w:cs="宋体"/>
          <w:color w:val="auto"/>
          <w:sz w:val="21"/>
          <w:szCs w:val="21"/>
          <w:highlight w:val="none"/>
        </w:rPr>
        <w:t>5.</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1514079A">
      <w:pPr>
        <w:autoSpaceDE w:val="0"/>
        <w:autoSpaceDN w:val="0"/>
        <w:adjustRightInd w:val="0"/>
        <w:spacing w:line="380" w:lineRule="exact"/>
        <w:jc w:val="left"/>
        <w:rPr>
          <w:rFonts w:hint="eastAsia" w:ascii="宋体" w:hAnsi="宋体" w:eastAsia="宋体" w:cs="宋体"/>
          <w:color w:val="auto"/>
          <w:kern w:val="0"/>
          <w:sz w:val="21"/>
          <w:szCs w:val="21"/>
          <w:highlight w:val="none"/>
          <w:lang w:val="zh-CN"/>
        </w:rPr>
      </w:pPr>
      <w:r>
        <w:rPr>
          <w:rFonts w:hint="eastAsia" w:ascii="宋体" w:hAnsi="宋体" w:eastAsia="宋体" w:cs="宋体"/>
          <w:color w:val="auto"/>
          <w:sz w:val="21"/>
          <w:szCs w:val="21"/>
          <w:highlight w:val="none"/>
        </w:rPr>
        <w:t>发包人：（</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宁波市奉化区惠海</w:t>
      </w:r>
      <w:r>
        <w:rPr>
          <w:rFonts w:hint="eastAsia" w:ascii="宋体" w:hAnsi="宋体" w:eastAsia="宋体" w:cs="宋体"/>
          <w:color w:val="auto"/>
          <w:spacing w:val="14"/>
          <w:sz w:val="21"/>
          <w:szCs w:val="21"/>
          <w:highlight w:val="none"/>
          <w:u w:val="single"/>
        </w:rPr>
        <w:t xml:space="preserve"> </w:t>
      </w:r>
      <w:r>
        <w:rPr>
          <w:rFonts w:hint="eastAsia" w:ascii="宋体" w:hAnsi="宋体" w:eastAsia="宋体" w:cs="宋体"/>
          <w:color w:val="auto"/>
          <w:spacing w:val="14"/>
          <w:sz w:val="21"/>
          <w:szCs w:val="21"/>
          <w:highlight w:val="none"/>
        </w:rPr>
        <w:t xml:space="preserve">  </w:t>
      </w:r>
      <w:r>
        <w:rPr>
          <w:rFonts w:hint="eastAsia" w:ascii="宋体" w:hAnsi="宋体" w:eastAsia="宋体" w:cs="宋体"/>
          <w:color w:val="auto"/>
          <w:sz w:val="21"/>
          <w:szCs w:val="21"/>
          <w:highlight w:val="none"/>
        </w:rPr>
        <w:t>承包人：</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lang w:val="en-US" w:eastAsia="zh-CN"/>
        </w:rPr>
        <w:t>盖</w:t>
      </w:r>
      <w:r>
        <w:rPr>
          <w:rFonts w:hint="eastAsia" w:ascii="宋体" w:hAnsi="宋体" w:eastAsia="宋体" w:cs="宋体"/>
          <w:color w:val="auto"/>
          <w:sz w:val="21"/>
          <w:szCs w:val="21"/>
          <w:highlight w:val="none"/>
        </w:rPr>
        <w:t>章</w:t>
      </w:r>
      <w:r>
        <w:rPr>
          <w:rFonts w:hint="eastAsia" w:ascii="宋体" w:hAnsi="宋体" w:eastAsia="宋体" w:cs="宋体"/>
          <w:color w:val="auto"/>
          <w:sz w:val="21"/>
          <w:szCs w:val="21"/>
          <w:highlight w:val="none"/>
          <w:u w:val="single"/>
        </w:rPr>
        <w:t>）</w:t>
      </w:r>
    </w:p>
    <w:p w14:paraId="4E906491">
      <w:pPr>
        <w:spacing w:line="420" w:lineRule="exact"/>
        <w:rPr>
          <w:rFonts w:hint="eastAsia" w:ascii="宋体" w:hAnsi="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地下管线投资有限公司 </w:t>
      </w:r>
      <w:r>
        <w:rPr>
          <w:rFonts w:hint="eastAsia" w:ascii="宋体" w:hAnsi="宋体" w:cs="宋体"/>
          <w:color w:val="auto"/>
          <w:sz w:val="21"/>
          <w:szCs w:val="21"/>
          <w:highlight w:val="none"/>
        </w:rPr>
        <w:t xml:space="preserve"> </w:t>
      </w:r>
    </w:p>
    <w:p w14:paraId="031C74CC">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                       法定代表人或</w:t>
      </w:r>
    </w:p>
    <w:p w14:paraId="4FACD9F8">
      <w:pPr>
        <w:spacing w:line="42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  其委托代理人：</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（签字）</w:t>
      </w:r>
    </w:p>
    <w:p w14:paraId="23377BEC">
      <w:pPr>
        <w:spacing w:line="420" w:lineRule="exact"/>
        <w:ind w:left="840"/>
        <w:rPr>
          <w:rFonts w:hint="eastAsia" w:ascii="宋体" w:hAnsi="宋体" w:cs="宋体"/>
          <w:color w:val="auto"/>
          <w:sz w:val="21"/>
          <w:szCs w:val="21"/>
          <w:highlight w:val="none"/>
        </w:rPr>
      </w:pPr>
    </w:p>
    <w:p w14:paraId="78726F4B">
      <w:pPr>
        <w:spacing w:line="420" w:lineRule="exact"/>
        <w:ind w:left="840" w:leftChars="400" w:firstLine="315" w:firstLineChars="150"/>
        <w:rPr>
          <w:rFonts w:hint="eastAsia" w:ascii="宋体" w:hAnsi="宋体" w:cs="宋体"/>
          <w:color w:val="auto"/>
          <w:sz w:val="21"/>
          <w:szCs w:val="21"/>
          <w:highlight w:val="none"/>
        </w:rPr>
      </w:pP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 xml:space="preserve">日   </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cs="宋体"/>
          <w:color w:val="auto"/>
          <w:sz w:val="21"/>
          <w:szCs w:val="21"/>
          <w:highlight w:val="none"/>
        </w:rPr>
        <w:t>日</w:t>
      </w:r>
    </w:p>
    <w:p w14:paraId="2DBEC755">
      <w:pPr>
        <w:spacing w:line="360" w:lineRule="auto"/>
        <w:rPr>
          <w:rFonts w:hint="eastAsia" w:ascii="宋体" w:hAnsi="宋体" w:cs="宋体"/>
          <w:b/>
          <w:bCs/>
          <w:color w:val="auto"/>
          <w:sz w:val="21"/>
          <w:szCs w:val="21"/>
          <w:highlight w:val="none"/>
        </w:rPr>
      </w:pPr>
    </w:p>
    <w:p w14:paraId="781E89E8">
      <w:pPr>
        <w:spacing w:line="360" w:lineRule="auto"/>
        <w:jc w:val="both"/>
        <w:rPr>
          <w:rFonts w:hint="eastAsia" w:ascii="宋体" w:hAnsi="宋体" w:cs="宋体"/>
          <w:b/>
          <w:bCs/>
          <w:color w:val="auto"/>
          <w:sz w:val="21"/>
          <w:szCs w:val="21"/>
          <w:highlight w:val="none"/>
        </w:rPr>
      </w:pPr>
    </w:p>
    <w:p w14:paraId="2DC7702A">
      <w:pPr>
        <w:spacing w:line="360" w:lineRule="auto"/>
        <w:jc w:val="both"/>
        <w:rPr>
          <w:rFonts w:hint="eastAsia" w:ascii="宋体" w:hAnsi="宋体" w:cs="宋体"/>
          <w:b/>
          <w:bCs/>
          <w:color w:val="auto"/>
          <w:sz w:val="21"/>
          <w:szCs w:val="21"/>
          <w:highlight w:val="none"/>
        </w:rPr>
      </w:pPr>
    </w:p>
    <w:p w14:paraId="349904B8">
      <w:pPr>
        <w:spacing w:line="360" w:lineRule="auto"/>
        <w:jc w:val="both"/>
        <w:rPr>
          <w:rFonts w:hint="eastAsia" w:ascii="宋体" w:hAnsi="宋体" w:cs="宋体"/>
          <w:b/>
          <w:bCs/>
          <w:color w:val="auto"/>
          <w:sz w:val="21"/>
          <w:szCs w:val="21"/>
          <w:highlight w:val="none"/>
        </w:rPr>
      </w:pPr>
    </w:p>
    <w:p w14:paraId="40D46456">
      <w:pPr>
        <w:spacing w:line="360" w:lineRule="auto"/>
        <w:jc w:val="both"/>
        <w:rPr>
          <w:rFonts w:hint="eastAsia" w:ascii="宋体" w:hAnsi="宋体" w:cs="宋体"/>
          <w:b/>
          <w:bCs/>
          <w:color w:val="auto"/>
          <w:sz w:val="21"/>
          <w:szCs w:val="21"/>
          <w:highlight w:val="none"/>
        </w:rPr>
      </w:pPr>
    </w:p>
    <w:p w14:paraId="210B4B92">
      <w:pPr>
        <w:spacing w:line="360" w:lineRule="auto"/>
        <w:jc w:val="both"/>
        <w:rPr>
          <w:rFonts w:hint="eastAsia" w:ascii="宋体" w:hAnsi="宋体" w:cs="宋体"/>
          <w:b/>
          <w:bCs/>
          <w:color w:val="auto"/>
          <w:sz w:val="21"/>
          <w:szCs w:val="21"/>
          <w:highlight w:val="none"/>
        </w:rPr>
      </w:pPr>
    </w:p>
    <w:p w14:paraId="566D143F">
      <w:pPr>
        <w:spacing w:line="360" w:lineRule="auto"/>
        <w:jc w:val="both"/>
        <w:rPr>
          <w:rFonts w:hint="eastAsia" w:ascii="宋体" w:hAnsi="宋体" w:cs="宋体"/>
          <w:b/>
          <w:bCs/>
          <w:color w:val="auto"/>
          <w:sz w:val="21"/>
          <w:szCs w:val="21"/>
          <w:highlight w:val="none"/>
        </w:rPr>
      </w:pPr>
    </w:p>
    <w:p w14:paraId="3E9F889D">
      <w:pPr>
        <w:spacing w:line="360" w:lineRule="auto"/>
        <w:jc w:val="both"/>
        <w:rPr>
          <w:rFonts w:hint="eastAsia" w:ascii="宋体" w:hAnsi="宋体" w:cs="宋体"/>
          <w:b/>
          <w:bCs/>
          <w:color w:val="auto"/>
          <w:sz w:val="21"/>
          <w:szCs w:val="21"/>
          <w:highlight w:val="none"/>
        </w:rPr>
      </w:pPr>
    </w:p>
    <w:p w14:paraId="74435DE8">
      <w:pPr>
        <w:spacing w:line="360" w:lineRule="auto"/>
        <w:jc w:val="both"/>
        <w:rPr>
          <w:rFonts w:hint="eastAsia" w:ascii="宋体" w:hAnsi="宋体" w:cs="宋体"/>
          <w:b/>
          <w:bCs/>
          <w:color w:val="auto"/>
          <w:sz w:val="21"/>
          <w:szCs w:val="21"/>
          <w:highlight w:val="none"/>
        </w:rPr>
      </w:pPr>
    </w:p>
    <w:p w14:paraId="6182C9D1">
      <w:pPr>
        <w:spacing w:line="360" w:lineRule="auto"/>
        <w:jc w:val="both"/>
        <w:rPr>
          <w:rFonts w:hint="eastAsia" w:ascii="宋体" w:hAnsi="宋体" w:cs="宋体"/>
          <w:b/>
          <w:bCs/>
          <w:color w:val="auto"/>
          <w:sz w:val="21"/>
          <w:szCs w:val="21"/>
          <w:highlight w:val="none"/>
        </w:rPr>
      </w:pPr>
    </w:p>
    <w:p w14:paraId="1DA7A138">
      <w:pPr>
        <w:spacing w:line="360" w:lineRule="auto"/>
        <w:jc w:val="both"/>
        <w:rPr>
          <w:rFonts w:hint="eastAsia" w:ascii="宋体" w:hAnsi="宋体" w:cs="宋体"/>
          <w:b/>
          <w:bCs/>
          <w:color w:val="auto"/>
          <w:sz w:val="21"/>
          <w:szCs w:val="21"/>
          <w:highlight w:val="none"/>
        </w:rPr>
      </w:pPr>
    </w:p>
    <w:p w14:paraId="0EE36945">
      <w:pPr>
        <w:spacing w:line="360" w:lineRule="auto"/>
        <w:jc w:val="both"/>
        <w:rPr>
          <w:rFonts w:hint="eastAsia" w:ascii="宋体" w:hAnsi="宋体" w:cs="宋体"/>
          <w:b/>
          <w:bCs/>
          <w:color w:val="auto"/>
          <w:sz w:val="21"/>
          <w:szCs w:val="21"/>
          <w:highlight w:val="none"/>
        </w:rPr>
      </w:pPr>
    </w:p>
    <w:p w14:paraId="323338ED">
      <w:pPr>
        <w:spacing w:line="360" w:lineRule="auto"/>
        <w:jc w:val="both"/>
        <w:rPr>
          <w:rFonts w:hint="eastAsia" w:ascii="宋体" w:hAnsi="宋体" w:cs="宋体"/>
          <w:b/>
          <w:color w:val="auto"/>
          <w:sz w:val="21"/>
          <w:szCs w:val="21"/>
          <w:highlight w:val="none"/>
          <w:lang w:val="zh-CN"/>
        </w:rPr>
      </w:pPr>
      <w:r>
        <w:rPr>
          <w:rFonts w:hint="eastAsia" w:ascii="宋体" w:hAnsi="宋体" w:cs="宋体"/>
          <w:b/>
          <w:bCs/>
          <w:color w:val="auto"/>
          <w:sz w:val="21"/>
          <w:szCs w:val="21"/>
          <w:highlight w:val="none"/>
        </w:rPr>
        <w:t>附件3：</w:t>
      </w:r>
      <w:r>
        <w:rPr>
          <w:rFonts w:hint="eastAsia" w:ascii="宋体" w:hAnsi="宋体" w:cs="宋体"/>
          <w:b/>
          <w:bCs/>
          <w:color w:val="auto"/>
          <w:sz w:val="21"/>
          <w:szCs w:val="21"/>
          <w:highlight w:val="none"/>
          <w:lang w:val="en-US" w:eastAsia="zh-CN"/>
        </w:rPr>
        <w:t xml:space="preserve">                   </w:t>
      </w:r>
      <w:r>
        <w:rPr>
          <w:rFonts w:hint="eastAsia" w:ascii="宋体" w:hAnsi="宋体" w:cs="宋体"/>
          <w:b/>
          <w:color w:val="auto"/>
          <w:sz w:val="21"/>
          <w:szCs w:val="21"/>
          <w:highlight w:val="none"/>
          <w:lang w:val="zh-CN"/>
        </w:rPr>
        <w:t>工程项目廉政合同</w:t>
      </w:r>
      <w:bookmarkEnd w:id="440"/>
      <w:bookmarkEnd w:id="441"/>
      <w:bookmarkEnd w:id="442"/>
      <w:bookmarkEnd w:id="443"/>
      <w:bookmarkEnd w:id="444"/>
    </w:p>
    <w:p w14:paraId="67228C4A">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auto"/>
        <w:ind w:firstLine="420" w:firstLineChars="200"/>
        <w:jc w:val="left"/>
        <w:textAlignment w:val="auto"/>
        <w:outlineLvl w:val="0"/>
        <w:rPr>
          <w:rFonts w:hint="eastAsia" w:ascii="宋体" w:hAnsi="宋体" w:eastAsia="宋体" w:cs="宋体"/>
          <w:color w:val="auto"/>
          <w:kern w:val="0"/>
          <w:sz w:val="21"/>
          <w:szCs w:val="21"/>
          <w:highlight w:val="none"/>
          <w:u w:val="single"/>
          <w:lang w:val="en-US" w:eastAsia="zh-CN"/>
        </w:rPr>
      </w:pPr>
      <w:r>
        <w:rPr>
          <w:rFonts w:hint="eastAsia" w:ascii="宋体" w:hAnsi="宋体" w:eastAsia="宋体" w:cs="宋体"/>
          <w:color w:val="auto"/>
          <w:kern w:val="0"/>
          <w:sz w:val="21"/>
          <w:szCs w:val="21"/>
          <w:highlight w:val="none"/>
          <w:lang w:val="zh-CN"/>
        </w:rPr>
        <w:t>工程项目名称：</w:t>
      </w:r>
      <w:r>
        <w:rPr>
          <w:rFonts w:hint="eastAsia" w:ascii="宋体" w:hAnsi="宋体" w:cs="宋体"/>
          <w:color w:val="auto"/>
          <w:sz w:val="21"/>
          <w:szCs w:val="21"/>
          <w:highlight w:val="none"/>
          <w:u w:val="single"/>
          <w:lang w:val="en-US" w:eastAsia="zh-CN"/>
        </w:rPr>
        <w:t xml:space="preserve">奉化区溪口三隐潭沿线电缆改造工程 </w:t>
      </w:r>
    </w:p>
    <w:p w14:paraId="01814465">
      <w:pPr>
        <w:keepNext w:val="0"/>
        <w:keepLines w:val="0"/>
        <w:pageBreakBefore w:val="0"/>
        <w:widowControl/>
        <w:numPr>
          <w:ilvl w:val="0"/>
          <w:numId w:val="0"/>
        </w:numPr>
        <w:kinsoku/>
        <w:wordWrap/>
        <w:overflowPunct/>
        <w:topLinePunct w:val="0"/>
        <w:autoSpaceDE/>
        <w:autoSpaceDN/>
        <w:bidi w:val="0"/>
        <w:adjustRightInd/>
        <w:snapToGrid/>
        <w:spacing w:before="100" w:beforeAutospacing="1" w:after="100" w:afterAutospacing="1" w:line="240" w:lineRule="exact"/>
        <w:ind w:firstLine="420" w:firstLineChars="200"/>
        <w:jc w:val="left"/>
        <w:textAlignment w:val="auto"/>
        <w:outlineLvl w:val="0"/>
        <w:rPr>
          <w:rFonts w:hint="eastAsia" w:ascii="宋体" w:hAnsi="宋体" w:cs="宋体"/>
          <w:color w:val="auto"/>
          <w:kern w:val="0"/>
          <w:sz w:val="21"/>
          <w:szCs w:val="21"/>
          <w:highlight w:val="none"/>
          <w:u w:val="single"/>
          <w:lang w:val="zh-CN"/>
        </w:rPr>
      </w:pPr>
      <w:r>
        <w:rPr>
          <w:rFonts w:hint="eastAsia" w:ascii="宋体" w:hAnsi="宋体" w:cs="宋体"/>
          <w:color w:val="auto"/>
          <w:kern w:val="0"/>
          <w:sz w:val="21"/>
          <w:szCs w:val="21"/>
          <w:highlight w:val="none"/>
          <w:lang w:val="zh-CN"/>
        </w:rPr>
        <w:t>发包人名称(以下称甲方)：</w:t>
      </w:r>
      <w:r>
        <w:rPr>
          <w:rFonts w:hint="eastAsia" w:ascii="宋体" w:hAnsi="宋体" w:cs="宋体"/>
          <w:color w:val="auto"/>
          <w:kern w:val="0"/>
          <w:sz w:val="21"/>
          <w:szCs w:val="21"/>
          <w:highlight w:val="none"/>
          <w:u w:val="single"/>
          <w:lang w:val="zh-CN"/>
        </w:rPr>
        <w:t xml:space="preserve">宁波市奉化区惠海地下管线投资有限公司 </w:t>
      </w:r>
    </w:p>
    <w:p w14:paraId="1988939B">
      <w:pPr>
        <w:keepNext w:val="0"/>
        <w:keepLines w:val="0"/>
        <w:pageBreakBefore w:val="0"/>
        <w:widowControl w:val="0"/>
        <w:kinsoku/>
        <w:wordWrap/>
        <w:overflowPunct/>
        <w:topLinePunct w:val="0"/>
        <w:autoSpaceDE w:val="0"/>
        <w:autoSpaceDN w:val="0"/>
        <w:bidi w:val="0"/>
        <w:adjustRightInd w:val="0"/>
        <w:snapToGrid/>
        <w:spacing w:line="240" w:lineRule="exact"/>
        <w:ind w:firstLine="420" w:firstLineChars="200"/>
        <w:jc w:val="left"/>
        <w:textAlignment w:val="auto"/>
        <w:outlineLvl w:val="9"/>
        <w:rPr>
          <w:rFonts w:hint="default" w:ascii="宋体" w:hAnsi="宋体" w:eastAsia="宋体" w:cs="宋体"/>
          <w:color w:val="auto"/>
          <w:kern w:val="0"/>
          <w:sz w:val="21"/>
          <w:szCs w:val="21"/>
          <w:highlight w:val="none"/>
          <w:u w:val="single"/>
          <w:lang w:val="en-US"/>
        </w:rPr>
      </w:pPr>
      <w:r>
        <w:rPr>
          <w:rFonts w:hint="eastAsia" w:ascii="宋体" w:hAnsi="宋体" w:cs="宋体"/>
          <w:color w:val="auto"/>
          <w:kern w:val="0"/>
          <w:sz w:val="21"/>
          <w:szCs w:val="21"/>
          <w:highlight w:val="none"/>
          <w:lang w:val="zh-CN"/>
        </w:rPr>
        <w:t>承包人名称(以下称乙方)：</w:t>
      </w:r>
      <w:r>
        <w:rPr>
          <w:rFonts w:hint="eastAsia" w:ascii="宋体" w:hAnsi="宋体" w:eastAsia="宋体" w:cs="宋体"/>
          <w:color w:val="auto"/>
          <w:sz w:val="21"/>
          <w:szCs w:val="21"/>
          <w:highlight w:val="none"/>
          <w:u w:val="single"/>
          <w:lang w:val="en-US" w:eastAsia="zh-CN"/>
        </w:rPr>
        <w:t xml:space="preserve">                                 </w:t>
      </w:r>
    </w:p>
    <w:p w14:paraId="23497FD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为加强工程建设中的廉政建设，规范工程项目承包、发包双方的各项活动，防止发生各种谋取不正当利益的违法违纪行为，保护国家、集体和当事人的合法权益，根据国家有关工程建设的法律法规和廉政建设规定，特订立本廉政合同。    </w:t>
      </w:r>
    </w:p>
    <w:p w14:paraId="2BEA6117">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第一条  甲乙双方的权利和义务    </w:t>
      </w:r>
    </w:p>
    <w:p w14:paraId="1000E3B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(一)严格遵守国家关于市场准入、勘测设计、施工监理、招标询价、工程施工、设备安装和市场经营活动等有关法律法规和相关政策，以及廉政建设的各项规定。    </w:t>
      </w:r>
    </w:p>
    <w:p w14:paraId="10A92BD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(二)严格执行本项目发包承包双方签订的 (施工合同、监理合同、勘测设计合同、采购合同、代理合同等)合同，自觉按合同办事。    </w:t>
      </w:r>
    </w:p>
    <w:p w14:paraId="1016895E">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业务活动必须坚持公开、公平、公正、诚信、透明的原则(除法律法规认定的商业秘密和合同文件另有规定者外)，双方人员不得为获取不正当的利益，就工程费用、材料供应、工程量变动、工程验收、工程质量等问题进行私下商谈或达成默契，不得损害国家和集体利益，违反工程建设管理规章制度。    </w:t>
      </w:r>
    </w:p>
    <w:p w14:paraId="54F2F11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建立健全廉政制度，开展廉政教育，设立廉政告示牌，公布举报电话，监督违法违纪行为。发现对方在业务活动中有违反本合同行为的，有及时提醒对方纠正的权利和义务。情节严重的，有向有关部门举报、建议给予处理并要求告知处理结果的权利。    </w:t>
      </w:r>
    </w:p>
    <w:p w14:paraId="714BC9E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第二条  甲方的责任    </w:t>
      </w:r>
    </w:p>
    <w:p w14:paraId="70CD633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甲方的负责人和从事该工程项目的工作人员，在工程项目的事前、事中、事后应遵守以下规定：    </w:t>
      </w:r>
    </w:p>
    <w:p w14:paraId="1B1B29E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(一)不以任何理由向乙方索要或接受回扣、礼金、有价证券、贵重物品和好处费、感谢费等；不在乙方报销应由甲方或个人支付的费用。    </w:t>
      </w:r>
    </w:p>
    <w:p w14:paraId="1893221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(二)不参加乙方安排的宴请及其他消费活动；不接受乙方提供的通讯工具、交通工具、高档办公用品等。    </w:t>
      </w:r>
    </w:p>
    <w:p w14:paraId="412BCD4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(三)不要求、暗示和接受乙方为个人装修住房、为配偶子女的工作安排以及本人或亲属旅游、出国(境)等提供方便。    </w:t>
      </w:r>
    </w:p>
    <w:p w14:paraId="4F16D543">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(四)配偶、子女不得从事与乙方承包工程有关的设备材料供应、工程分包、劳务等经济活动。    </w:t>
      </w:r>
    </w:p>
    <w:p w14:paraId="1544B1E2">
      <w:pPr>
        <w:keepNext w:val="0"/>
        <w:keepLines w:val="0"/>
        <w:pageBreakBefore w:val="0"/>
        <w:widowControl w:val="0"/>
        <w:kinsoku/>
        <w:wordWrap/>
        <w:overflowPunct/>
        <w:topLinePunct w:val="0"/>
        <w:autoSpaceDE w:val="0"/>
        <w:autoSpaceDN w:val="0"/>
        <w:bidi w:val="0"/>
        <w:adjustRightInd w:val="0"/>
        <w:snapToGrid/>
        <w:spacing w:line="380" w:lineRule="exact"/>
        <w:ind w:firstLine="315" w:firstLineChars="15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（五)不以任何理由向乙方推荐分包人或要求乙方购买项目合同规定以外的材料、设备和服务等。</w:t>
      </w:r>
    </w:p>
    <w:p w14:paraId="0A81E21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第三条  乙方的责任</w:t>
      </w:r>
    </w:p>
    <w:p w14:paraId="1E0EF29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乙方应与甲方保持正常的业务交往，按照有关法律法规和程序开展业务活动，严格执行工程建设的有关方针、政策，尤其是有关强制性标准和规范，并遵守以下规定：    </w:t>
      </w:r>
    </w:p>
    <w:p w14:paraId="3D8EA9F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(一)不以任何理由向甲方及其工作人员行贿或赠送礼金、有价证券、贵重物品。    </w:t>
      </w:r>
    </w:p>
    <w:p w14:paraId="769CB942">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(二)不以任何名义为甲方及其工作人员报销应由对方支付的费用。    </w:t>
      </w:r>
    </w:p>
    <w:p w14:paraId="43A8BD2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(三)不以任何理由宴请甲方工作人员或安排其他消费活动。    </w:t>
      </w:r>
    </w:p>
    <w:p w14:paraId="29BAC67C">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(四)不为甲方和工作人员购置或提供通讯工具、交通工具、高档办公用品和装修住房等。 </w:t>
      </w:r>
    </w:p>
    <w:p w14:paraId="7F5B16AA">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第四条  违约责任 </w:t>
      </w:r>
    </w:p>
    <w:p w14:paraId="1834690F">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一)甲方工作人员有违反本合同第一、二条责任行为的，按照管理权限，依据有关规定予以处理；涉嫌犯罪的，移交司法机关追究刑事责任；给乙方造成经济损失的，应予赔偿。符合不良行为记录、公示规定的，进行不良行为记录、公示。    </w:t>
      </w:r>
    </w:p>
    <w:p w14:paraId="1B6272D8">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二)乙方工作人员有违反本合同第一、二条责任行为的，按照管理权限，依据有关规定予以处理；涉嫌犯罪的，移交司法机关追究刑事责任；给甲方造成经济损失的，应予赔偿。符合不良行为记录、公示规定的，进行不良行为记录、公示。    </w:t>
      </w:r>
    </w:p>
    <w:p w14:paraId="51217C80">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 xml:space="preserve">(三)乙方如将部分辅助项目分包的，乙方有责任向分包人交待本合同的具体内容，并严格执行本合同之规定，分包人如有违反上述责任行为的，乙方将承担连带责任。    </w:t>
      </w:r>
    </w:p>
    <w:p w14:paraId="21306744">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cs="宋体"/>
          <w:color w:val="auto"/>
          <w:kern w:val="0"/>
          <w:sz w:val="21"/>
          <w:szCs w:val="21"/>
          <w:highlight w:val="none"/>
          <w:lang w:val="zh-CN"/>
        </w:rPr>
        <w:t>第五条  双方约定：在自觉履行合同的同时，由甲、乙双方的监督单位负责对本合同履行情况进行监督检查。</w:t>
      </w:r>
    </w:p>
    <w:p w14:paraId="11A01096">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第六条  本合同作为</w:t>
      </w:r>
      <w:r>
        <w:rPr>
          <w:rFonts w:hint="eastAsia" w:ascii="宋体" w:hAnsi="宋体" w:cs="宋体"/>
          <w:color w:val="auto"/>
          <w:sz w:val="21"/>
          <w:szCs w:val="21"/>
          <w:highlight w:val="none"/>
          <w:u w:val="single"/>
          <w:lang w:val="en-US" w:eastAsia="zh-CN"/>
        </w:rPr>
        <w:t xml:space="preserve">奉化区溪口三隐潭沿线电缆改造工程 </w:t>
      </w:r>
      <w:r>
        <w:rPr>
          <w:rFonts w:hint="eastAsia" w:ascii="宋体" w:hAnsi="宋体" w:eastAsia="宋体" w:cs="宋体"/>
          <w:color w:val="auto"/>
          <w:kern w:val="0"/>
          <w:sz w:val="21"/>
          <w:szCs w:val="21"/>
          <w:highlight w:val="none"/>
          <w:lang w:val="zh-CN"/>
        </w:rPr>
        <w:t>签订工程施工合同的附件，与主合同具有同等法律效力。</w:t>
      </w:r>
    </w:p>
    <w:p w14:paraId="606C3B19">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甲乙双方签署后立即生效。</w:t>
      </w:r>
    </w:p>
    <w:p w14:paraId="3127A451">
      <w:pPr>
        <w:keepNext w:val="0"/>
        <w:keepLines w:val="0"/>
        <w:pageBreakBefore w:val="0"/>
        <w:widowControl w:val="0"/>
        <w:kinsoku/>
        <w:wordWrap/>
        <w:overflowPunct/>
        <w:topLinePunct w:val="0"/>
        <w:autoSpaceDE w:val="0"/>
        <w:autoSpaceDN w:val="0"/>
        <w:bidi w:val="0"/>
        <w:adjustRightInd w:val="0"/>
        <w:snapToGrid/>
        <w:spacing w:line="380" w:lineRule="exact"/>
        <w:ind w:firstLine="420" w:firstLineChars="200"/>
        <w:jc w:val="left"/>
        <w:textAlignment w:val="auto"/>
        <w:outlineLvl w:val="9"/>
        <w:rPr>
          <w:rFonts w:hint="eastAsia" w:ascii="宋体" w:hAnsi="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第七条  本合同的有效期为双方签署之日起至该工程项目竣工验收合格时止。  </w:t>
      </w:r>
      <w:r>
        <w:rPr>
          <w:rFonts w:hint="eastAsia" w:ascii="宋体" w:hAnsi="宋体" w:cs="宋体"/>
          <w:color w:val="auto"/>
          <w:kern w:val="0"/>
          <w:sz w:val="21"/>
          <w:szCs w:val="21"/>
          <w:highlight w:val="none"/>
          <w:lang w:val="zh-CN"/>
        </w:rPr>
        <w:t xml:space="preserve">  </w:t>
      </w:r>
    </w:p>
    <w:p w14:paraId="77481D17">
      <w:pPr>
        <w:keepNext w:val="0"/>
        <w:keepLines w:val="0"/>
        <w:pageBreakBefore w:val="0"/>
        <w:widowControl w:val="0"/>
        <w:kinsoku/>
        <w:wordWrap/>
        <w:overflowPunct/>
        <w:topLinePunct w:val="0"/>
        <w:bidi w:val="0"/>
        <w:snapToGrid/>
        <w:spacing w:line="380" w:lineRule="exact"/>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 xml:space="preserve">第八条  </w:t>
      </w:r>
      <w:r>
        <w:rPr>
          <w:rFonts w:hint="eastAsia" w:ascii="宋体" w:hAnsi="宋体"/>
          <w:color w:val="auto"/>
          <w:sz w:val="21"/>
          <w:szCs w:val="21"/>
          <w:highlight w:val="none"/>
        </w:rPr>
        <w:t>本合同一式</w:t>
      </w:r>
      <w:r>
        <w:rPr>
          <w:rFonts w:hint="eastAsia" w:ascii="宋体" w:hAnsi="宋体"/>
          <w:color w:val="auto"/>
          <w:sz w:val="21"/>
          <w:szCs w:val="21"/>
          <w:highlight w:val="none"/>
          <w:lang w:eastAsia="zh-CN"/>
        </w:rPr>
        <w:t>陆</w:t>
      </w:r>
      <w:r>
        <w:rPr>
          <w:rFonts w:hint="eastAsia" w:ascii="宋体" w:hAnsi="宋体"/>
          <w:color w:val="auto"/>
          <w:sz w:val="21"/>
          <w:szCs w:val="21"/>
          <w:highlight w:val="none"/>
        </w:rPr>
        <w:t>份，甲、乙双方各执</w:t>
      </w:r>
      <w:r>
        <w:rPr>
          <w:rFonts w:hint="eastAsia" w:ascii="宋体" w:hAnsi="宋体"/>
          <w:color w:val="auto"/>
          <w:sz w:val="21"/>
          <w:szCs w:val="21"/>
          <w:highlight w:val="none"/>
          <w:lang w:eastAsia="zh-CN"/>
        </w:rPr>
        <w:t>贰</w:t>
      </w:r>
      <w:r>
        <w:rPr>
          <w:rFonts w:hint="eastAsia" w:ascii="宋体" w:hAnsi="宋体"/>
          <w:color w:val="auto"/>
          <w:sz w:val="21"/>
          <w:szCs w:val="21"/>
          <w:highlight w:val="none"/>
        </w:rPr>
        <w:t>份，镇（街道）公共资源交易分中心</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份，归档</w:t>
      </w:r>
      <w:r>
        <w:rPr>
          <w:rFonts w:hint="eastAsia" w:ascii="宋体" w:hAnsi="宋体"/>
          <w:color w:val="auto"/>
          <w:sz w:val="21"/>
          <w:szCs w:val="21"/>
          <w:highlight w:val="none"/>
          <w:lang w:eastAsia="zh-CN"/>
        </w:rPr>
        <w:t>壹</w:t>
      </w:r>
      <w:r>
        <w:rPr>
          <w:rFonts w:hint="eastAsia" w:ascii="宋体" w:hAnsi="宋体"/>
          <w:color w:val="auto"/>
          <w:sz w:val="21"/>
          <w:szCs w:val="21"/>
          <w:highlight w:val="none"/>
        </w:rPr>
        <w:t>份。</w:t>
      </w:r>
    </w:p>
    <w:p w14:paraId="2A292F71">
      <w:pPr>
        <w:autoSpaceDE w:val="0"/>
        <w:autoSpaceDN w:val="0"/>
        <w:adjustRightInd w:val="0"/>
        <w:spacing w:line="380" w:lineRule="exact"/>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lang w:val="zh-CN"/>
        </w:rPr>
        <w:tab/>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盖章</w:t>
      </w:r>
      <w:r>
        <w:rPr>
          <w:rFonts w:hint="eastAsia" w:ascii="宋体" w:hAnsi="宋体" w:eastAsia="宋体" w:cs="宋体"/>
          <w:color w:val="auto"/>
          <w:sz w:val="21"/>
          <w:szCs w:val="21"/>
          <w:highlight w:val="none"/>
        </w:rPr>
        <w:t>)：</w:t>
      </w:r>
    </w:p>
    <w:p w14:paraId="25959D31">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法定代表人或其委托代理人：</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法定代表人或其委托代理人：</w:t>
      </w:r>
    </w:p>
    <w:p w14:paraId="4E66CCBD">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：浙江省宁波市奉化区岳林街道</w:t>
      </w:r>
      <w:r>
        <w:rPr>
          <w:rFonts w:hint="eastAsia" w:ascii="宋体" w:hAnsi="宋体" w:cs="宋体"/>
          <w:color w:val="auto"/>
          <w:kern w:val="0"/>
          <w:sz w:val="21"/>
          <w:szCs w:val="21"/>
          <w:highlight w:val="none"/>
          <w:lang w:val="en-US" w:eastAsia="zh-CN"/>
        </w:rPr>
        <w:t xml:space="preserve">         </w:t>
      </w:r>
      <w:r>
        <w:rPr>
          <w:rFonts w:hint="eastAsia" w:ascii="宋体" w:hAnsi="宋体" w:eastAsia="宋体" w:cs="宋体"/>
          <w:color w:val="auto"/>
          <w:kern w:val="0"/>
          <w:sz w:val="21"/>
          <w:szCs w:val="21"/>
          <w:highlight w:val="none"/>
          <w:lang w:val="en-US" w:eastAsia="zh-CN"/>
        </w:rPr>
        <w:t>地址</w:t>
      </w:r>
      <w:r>
        <w:rPr>
          <w:rFonts w:hint="eastAsia" w:ascii="宋体" w:hAnsi="宋体" w:eastAsia="宋体" w:cs="宋体"/>
          <w:color w:val="auto"/>
          <w:kern w:val="0"/>
          <w:sz w:val="21"/>
          <w:szCs w:val="21"/>
          <w:highlight w:val="none"/>
        </w:rPr>
        <w:t>：</w:t>
      </w:r>
    </w:p>
    <w:p w14:paraId="2689FC58">
      <w:pPr>
        <w:autoSpaceDE w:val="0"/>
        <w:autoSpaceDN w:val="0"/>
        <w:adjustRightInd w:val="0"/>
        <w:spacing w:line="380" w:lineRule="exact"/>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长汀东路558号（城开大厦3号楼北幢9层）</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w:t>
      </w:r>
    </w:p>
    <w:p w14:paraId="07498657">
      <w:pPr>
        <w:tabs>
          <w:tab w:val="left" w:pos="4962"/>
        </w:tabs>
        <w:spacing w:line="400" w:lineRule="exact"/>
        <w:rPr>
          <w:rFonts w:hint="eastAsia" w:ascii="宋体" w:hAnsi="宋体" w:cs="宋体"/>
          <w:color w:val="auto"/>
          <w:sz w:val="21"/>
          <w:szCs w:val="21"/>
          <w:highlight w:val="none"/>
        </w:rPr>
      </w:pPr>
      <w:r>
        <w:rPr>
          <w:rFonts w:hint="eastAsia" w:ascii="宋体" w:hAnsi="宋体" w:cs="宋体"/>
          <w:color w:val="auto"/>
          <w:sz w:val="21"/>
          <w:szCs w:val="21"/>
          <w:highlight w:val="none"/>
        </w:rPr>
        <w:t>电话：</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电话：</w:t>
      </w:r>
    </w:p>
    <w:p w14:paraId="4414A183">
      <w:pPr>
        <w:tabs>
          <w:tab w:val="left" w:pos="4962"/>
        </w:tabs>
        <w:spacing w:line="400" w:lineRule="exact"/>
        <w:ind w:firstLine="630" w:firstLineChars="300"/>
        <w:rPr>
          <w:rFonts w:hint="eastAsia" w:ascii="宋体" w:hAnsi="宋体" w:cs="宋体"/>
          <w:color w:val="auto"/>
          <w:sz w:val="21"/>
          <w:szCs w:val="21"/>
          <w:highlight w:val="none"/>
        </w:rPr>
      </w:pPr>
      <w:r>
        <w:rPr>
          <w:rFonts w:hint="eastAsia" w:ascii="宋体" w:hAnsi="宋体" w:cs="宋体"/>
          <w:color w:val="auto"/>
          <w:sz w:val="21"/>
          <w:szCs w:val="21"/>
          <w:highlight w:val="none"/>
        </w:rPr>
        <w:t>年 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日</w:t>
      </w:r>
      <w:r>
        <w:rPr>
          <w:rFonts w:hint="eastAsia" w:ascii="宋体" w:hAnsi="宋体" w:cs="宋体"/>
          <w:color w:val="auto"/>
          <w:sz w:val="21"/>
          <w:szCs w:val="21"/>
          <w:highlight w:val="none"/>
        </w:rPr>
        <w:tab/>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年</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月</w:t>
      </w:r>
      <w:r>
        <w:rPr>
          <w:rFonts w:hint="eastAsia" w:ascii="宋体" w:hAnsi="宋体" w:cs="宋体"/>
          <w:color w:val="auto"/>
          <w:sz w:val="21"/>
          <w:szCs w:val="21"/>
          <w:highlight w:val="none"/>
          <w:lang w:val="en-US" w:eastAsia="zh-CN"/>
        </w:rPr>
        <w:t xml:space="preserve">  </w:t>
      </w:r>
      <w:r>
        <w:rPr>
          <w:rFonts w:hint="eastAsia" w:ascii="宋体" w:hAnsi="宋体" w:cs="宋体"/>
          <w:color w:val="auto"/>
          <w:sz w:val="21"/>
          <w:szCs w:val="21"/>
          <w:highlight w:val="none"/>
        </w:rPr>
        <w:t xml:space="preserve"> 日</w:t>
      </w:r>
    </w:p>
    <w:p w14:paraId="6AF518E8">
      <w:pPr>
        <w:spacing w:line="360" w:lineRule="auto"/>
        <w:rPr>
          <w:rFonts w:hint="eastAsia" w:ascii="宋体" w:hAnsi="宋体" w:cs="宋体"/>
          <w:b/>
          <w:color w:val="auto"/>
          <w:sz w:val="21"/>
          <w:szCs w:val="21"/>
          <w:highlight w:val="none"/>
        </w:rPr>
      </w:pPr>
    </w:p>
    <w:p w14:paraId="32CFE5A8">
      <w:pPr>
        <w:spacing w:line="360" w:lineRule="auto"/>
        <w:rPr>
          <w:rFonts w:hint="eastAsia" w:ascii="宋体" w:hAnsi="宋体" w:cs="宋体"/>
          <w:b/>
          <w:color w:val="auto"/>
          <w:sz w:val="21"/>
          <w:szCs w:val="21"/>
          <w:highlight w:val="none"/>
        </w:rPr>
      </w:pPr>
    </w:p>
    <w:p w14:paraId="68F597F6">
      <w:pPr>
        <w:spacing w:line="360" w:lineRule="auto"/>
        <w:rPr>
          <w:rFonts w:hint="eastAsia" w:ascii="宋体" w:hAnsi="宋体" w:cs="宋体"/>
          <w:b/>
          <w:color w:val="auto"/>
          <w:sz w:val="21"/>
          <w:szCs w:val="21"/>
          <w:highlight w:val="none"/>
        </w:rPr>
      </w:pPr>
    </w:p>
    <w:p w14:paraId="525CFFE9">
      <w:pPr>
        <w:spacing w:line="360" w:lineRule="auto"/>
        <w:rPr>
          <w:rFonts w:hint="eastAsia" w:ascii="宋体" w:hAnsi="宋体" w:cs="宋体"/>
          <w:b/>
          <w:color w:val="auto"/>
          <w:sz w:val="21"/>
          <w:szCs w:val="21"/>
          <w:highlight w:val="none"/>
        </w:rPr>
      </w:pPr>
    </w:p>
    <w:p w14:paraId="620519B2">
      <w:pPr>
        <w:pStyle w:val="33"/>
        <w:rPr>
          <w:rFonts w:hint="eastAsia" w:ascii="宋体" w:hAnsi="宋体" w:cs="宋体"/>
          <w:b/>
          <w:color w:val="auto"/>
          <w:sz w:val="21"/>
          <w:szCs w:val="21"/>
          <w:highlight w:val="none"/>
        </w:rPr>
      </w:pPr>
    </w:p>
    <w:p w14:paraId="5DF91A67">
      <w:pPr>
        <w:pStyle w:val="33"/>
        <w:rPr>
          <w:rFonts w:hint="eastAsia" w:ascii="宋体" w:hAnsi="宋体" w:cs="宋体"/>
          <w:b/>
          <w:color w:val="auto"/>
          <w:sz w:val="21"/>
          <w:szCs w:val="21"/>
          <w:highlight w:val="none"/>
        </w:rPr>
      </w:pPr>
    </w:p>
    <w:p w14:paraId="4257C2D3">
      <w:pPr>
        <w:spacing w:line="360" w:lineRule="auto"/>
        <w:rPr>
          <w:rFonts w:hint="eastAsia" w:ascii="宋体" w:hAnsi="宋体" w:cs="宋体"/>
          <w:b/>
          <w:color w:val="auto"/>
          <w:sz w:val="21"/>
          <w:szCs w:val="21"/>
          <w:highlight w:val="none"/>
        </w:rPr>
      </w:pPr>
    </w:p>
    <w:p w14:paraId="36BA4119">
      <w:pPr>
        <w:spacing w:line="360" w:lineRule="auto"/>
        <w:rPr>
          <w:rFonts w:hint="eastAsia" w:ascii="宋体" w:hAnsi="宋体" w:cs="宋体"/>
          <w:b/>
          <w:color w:val="auto"/>
          <w:sz w:val="21"/>
          <w:szCs w:val="21"/>
          <w:highlight w:val="none"/>
        </w:rPr>
      </w:pPr>
    </w:p>
    <w:p w14:paraId="3E939860">
      <w:pPr>
        <w:spacing w:line="360" w:lineRule="auto"/>
        <w:rPr>
          <w:rFonts w:hint="eastAsia" w:ascii="宋体" w:hAnsi="宋体" w:cs="宋体"/>
          <w:b/>
          <w:color w:val="auto"/>
          <w:sz w:val="21"/>
          <w:szCs w:val="21"/>
          <w:highlight w:val="none"/>
        </w:rPr>
      </w:pPr>
    </w:p>
    <w:p w14:paraId="6B37B79E">
      <w:pPr>
        <w:spacing w:line="360" w:lineRule="auto"/>
        <w:rPr>
          <w:rFonts w:hint="eastAsia" w:ascii="宋体" w:hAnsi="宋体" w:cs="宋体"/>
          <w:b/>
          <w:color w:val="auto"/>
          <w:sz w:val="21"/>
          <w:szCs w:val="21"/>
          <w:highlight w:val="none"/>
        </w:rPr>
      </w:pPr>
    </w:p>
    <w:p w14:paraId="56C92402">
      <w:pPr>
        <w:spacing w:line="360" w:lineRule="auto"/>
        <w:rPr>
          <w:rFonts w:hint="eastAsia" w:ascii="宋体" w:hAnsi="宋体" w:cs="宋体"/>
          <w:b/>
          <w:color w:val="auto"/>
          <w:sz w:val="21"/>
          <w:szCs w:val="21"/>
          <w:highlight w:val="none"/>
        </w:rPr>
      </w:pPr>
    </w:p>
    <w:p w14:paraId="2D85802E">
      <w:pPr>
        <w:spacing w:line="360" w:lineRule="auto"/>
        <w:rPr>
          <w:rFonts w:hint="eastAsia" w:ascii="宋体" w:hAnsi="宋体" w:cs="宋体"/>
          <w:b/>
          <w:color w:val="auto"/>
          <w:sz w:val="21"/>
          <w:szCs w:val="21"/>
          <w:highlight w:val="none"/>
        </w:rPr>
      </w:pPr>
    </w:p>
    <w:p w14:paraId="53F185A6">
      <w:pPr>
        <w:spacing w:line="360" w:lineRule="auto"/>
        <w:rPr>
          <w:rFonts w:hint="eastAsia" w:ascii="宋体" w:hAnsi="宋体" w:cs="宋体"/>
          <w:b/>
          <w:color w:val="auto"/>
          <w:sz w:val="21"/>
          <w:szCs w:val="21"/>
          <w:highlight w:val="none"/>
        </w:rPr>
      </w:pPr>
    </w:p>
    <w:p w14:paraId="26BD93A4">
      <w:pPr>
        <w:spacing w:line="360" w:lineRule="auto"/>
        <w:rPr>
          <w:rFonts w:hint="eastAsia" w:ascii="宋体" w:hAnsi="宋体" w:cs="宋体"/>
          <w:b/>
          <w:color w:val="auto"/>
          <w:sz w:val="21"/>
          <w:szCs w:val="21"/>
          <w:highlight w:val="none"/>
        </w:rPr>
      </w:pPr>
    </w:p>
    <w:p w14:paraId="2B1C2ED4">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45" w:name="_Toc296891267"/>
      <w:bookmarkStart w:id="446" w:name="_Toc296944566"/>
      <w:bookmarkStart w:id="447" w:name="_Toc267261698"/>
      <w:bookmarkStart w:id="448" w:name="_Toc296346728"/>
      <w:bookmarkStart w:id="449" w:name="_Toc296347226"/>
      <w:bookmarkStart w:id="450" w:name="_Toc296891055"/>
      <w:bookmarkStart w:id="451" w:name="_Toc296503227"/>
      <w:r>
        <w:rPr>
          <w:rFonts w:hint="eastAsia" w:ascii="宋体" w:hAnsi="宋体" w:cs="宋体"/>
          <w:b/>
          <w:color w:val="auto"/>
          <w:sz w:val="21"/>
          <w:szCs w:val="21"/>
          <w:highlight w:val="none"/>
        </w:rPr>
        <w:t>件4：</w:t>
      </w:r>
    </w:p>
    <w:bookmarkEnd w:id="445"/>
    <w:bookmarkEnd w:id="446"/>
    <w:bookmarkEnd w:id="447"/>
    <w:bookmarkEnd w:id="448"/>
    <w:bookmarkEnd w:id="449"/>
    <w:bookmarkEnd w:id="450"/>
    <w:bookmarkEnd w:id="451"/>
    <w:p w14:paraId="014DC96F">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承包人用于本工程施工的机械设备表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81"/>
        <w:gridCol w:w="1549"/>
        <w:gridCol w:w="1001"/>
        <w:gridCol w:w="718"/>
        <w:gridCol w:w="794"/>
        <w:gridCol w:w="920"/>
        <w:gridCol w:w="1334"/>
        <w:gridCol w:w="920"/>
        <w:gridCol w:w="828"/>
      </w:tblGrid>
      <w:tr w14:paraId="58126F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781" w:type="dxa"/>
            <w:tcBorders>
              <w:top w:val="single" w:color="auto" w:sz="12" w:space="0"/>
              <w:bottom w:val="double" w:color="auto" w:sz="6" w:space="0"/>
            </w:tcBorders>
            <w:noWrap w:val="0"/>
            <w:vAlign w:val="center"/>
          </w:tcPr>
          <w:p w14:paraId="3D19468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序号</w:t>
            </w:r>
          </w:p>
        </w:tc>
        <w:tc>
          <w:tcPr>
            <w:tcW w:w="1549" w:type="dxa"/>
            <w:tcBorders>
              <w:top w:val="single" w:color="auto" w:sz="12" w:space="0"/>
              <w:bottom w:val="double" w:color="auto" w:sz="6" w:space="0"/>
            </w:tcBorders>
            <w:noWrap w:val="0"/>
            <w:vAlign w:val="center"/>
          </w:tcPr>
          <w:p w14:paraId="5E299DD9">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机械或</w:t>
            </w:r>
          </w:p>
          <w:p w14:paraId="07BD951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设备名称</w:t>
            </w:r>
          </w:p>
        </w:tc>
        <w:tc>
          <w:tcPr>
            <w:tcW w:w="1001" w:type="dxa"/>
            <w:tcBorders>
              <w:top w:val="single" w:color="auto" w:sz="12" w:space="0"/>
              <w:bottom w:val="double" w:color="auto" w:sz="6" w:space="0"/>
            </w:tcBorders>
            <w:noWrap w:val="0"/>
            <w:vAlign w:val="center"/>
          </w:tcPr>
          <w:p w14:paraId="57725D14">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规格</w:t>
            </w:r>
          </w:p>
          <w:p w14:paraId="7CE5DF6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型号</w:t>
            </w:r>
          </w:p>
        </w:tc>
        <w:tc>
          <w:tcPr>
            <w:tcW w:w="718" w:type="dxa"/>
            <w:tcBorders>
              <w:top w:val="single" w:color="auto" w:sz="12" w:space="0"/>
              <w:bottom w:val="double" w:color="auto" w:sz="6" w:space="0"/>
            </w:tcBorders>
            <w:noWrap w:val="0"/>
            <w:vAlign w:val="center"/>
          </w:tcPr>
          <w:p w14:paraId="182CB3A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数量</w:t>
            </w:r>
          </w:p>
        </w:tc>
        <w:tc>
          <w:tcPr>
            <w:tcW w:w="794" w:type="dxa"/>
            <w:tcBorders>
              <w:top w:val="single" w:color="auto" w:sz="12" w:space="0"/>
              <w:bottom w:val="double" w:color="auto" w:sz="6" w:space="0"/>
            </w:tcBorders>
            <w:noWrap w:val="0"/>
            <w:vAlign w:val="center"/>
          </w:tcPr>
          <w:p w14:paraId="1322EC9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产地</w:t>
            </w:r>
          </w:p>
        </w:tc>
        <w:tc>
          <w:tcPr>
            <w:tcW w:w="920" w:type="dxa"/>
            <w:tcBorders>
              <w:top w:val="single" w:color="auto" w:sz="12" w:space="0"/>
              <w:bottom w:val="double" w:color="auto" w:sz="6" w:space="0"/>
            </w:tcBorders>
            <w:noWrap w:val="0"/>
            <w:vAlign w:val="center"/>
          </w:tcPr>
          <w:p w14:paraId="2C5A35E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制造</w:t>
            </w:r>
          </w:p>
          <w:p w14:paraId="616C174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年份</w:t>
            </w:r>
          </w:p>
        </w:tc>
        <w:tc>
          <w:tcPr>
            <w:tcW w:w="1334" w:type="dxa"/>
            <w:tcBorders>
              <w:top w:val="single" w:color="auto" w:sz="12" w:space="0"/>
              <w:bottom w:val="double" w:color="auto" w:sz="6" w:space="0"/>
            </w:tcBorders>
            <w:noWrap w:val="0"/>
            <w:vAlign w:val="center"/>
          </w:tcPr>
          <w:p w14:paraId="2BC27C25">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额定功率(kW)</w:t>
            </w:r>
          </w:p>
        </w:tc>
        <w:tc>
          <w:tcPr>
            <w:tcW w:w="920" w:type="dxa"/>
            <w:tcBorders>
              <w:top w:val="single" w:color="auto" w:sz="12" w:space="0"/>
              <w:bottom w:val="double" w:color="auto" w:sz="6" w:space="0"/>
            </w:tcBorders>
            <w:noWrap w:val="0"/>
            <w:vAlign w:val="center"/>
          </w:tcPr>
          <w:p w14:paraId="5C172BF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生产</w:t>
            </w:r>
          </w:p>
          <w:p w14:paraId="0FF4643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能力</w:t>
            </w:r>
          </w:p>
        </w:tc>
        <w:tc>
          <w:tcPr>
            <w:tcW w:w="828" w:type="dxa"/>
            <w:tcBorders>
              <w:top w:val="single" w:color="auto" w:sz="12" w:space="0"/>
              <w:bottom w:val="double" w:color="auto" w:sz="6" w:space="0"/>
            </w:tcBorders>
            <w:noWrap w:val="0"/>
            <w:vAlign w:val="center"/>
          </w:tcPr>
          <w:p w14:paraId="3A48A6FB">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备注</w:t>
            </w:r>
          </w:p>
        </w:tc>
      </w:tr>
      <w:tr w14:paraId="13C41D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double" w:color="auto" w:sz="6" w:space="0"/>
              <w:bottom w:val="single" w:color="auto" w:sz="6" w:space="0"/>
            </w:tcBorders>
            <w:noWrap w:val="0"/>
            <w:vAlign w:val="center"/>
          </w:tcPr>
          <w:p w14:paraId="42CE9C0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w:t>
            </w:r>
          </w:p>
        </w:tc>
        <w:tc>
          <w:tcPr>
            <w:tcW w:w="1549" w:type="dxa"/>
            <w:tcBorders>
              <w:top w:val="double" w:color="auto" w:sz="6" w:space="0"/>
              <w:bottom w:val="single" w:color="auto" w:sz="6" w:space="0"/>
            </w:tcBorders>
            <w:noWrap w:val="0"/>
            <w:vAlign w:val="center"/>
          </w:tcPr>
          <w:p w14:paraId="5386CC8D">
            <w:pPr>
              <w:jc w:val="center"/>
              <w:rPr>
                <w:rFonts w:hint="eastAsia" w:ascii="仿宋_GB2312" w:eastAsia="仿宋_GB2312"/>
                <w:color w:val="auto"/>
                <w:kern w:val="2"/>
                <w:sz w:val="21"/>
                <w:szCs w:val="21"/>
                <w:highlight w:val="none"/>
                <w:lang w:val="en-US" w:eastAsia="zh-CN" w:bidi="ar-SA"/>
              </w:rPr>
            </w:pPr>
          </w:p>
        </w:tc>
        <w:tc>
          <w:tcPr>
            <w:tcW w:w="1001" w:type="dxa"/>
            <w:tcBorders>
              <w:top w:val="double" w:color="auto" w:sz="6" w:space="0"/>
              <w:bottom w:val="single" w:color="auto" w:sz="6" w:space="0"/>
            </w:tcBorders>
            <w:noWrap w:val="0"/>
            <w:vAlign w:val="center"/>
          </w:tcPr>
          <w:p w14:paraId="7DC5874C">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double" w:color="auto" w:sz="6" w:space="0"/>
              <w:bottom w:val="single" w:color="auto" w:sz="6" w:space="0"/>
            </w:tcBorders>
            <w:noWrap w:val="0"/>
            <w:vAlign w:val="bottom"/>
          </w:tcPr>
          <w:p w14:paraId="05F17F83">
            <w:pPr>
              <w:jc w:val="center"/>
              <w:rPr>
                <w:rFonts w:hint="eastAsia" w:ascii="仿宋_GB2312" w:eastAsia="仿宋_GB2312"/>
                <w:color w:val="auto"/>
                <w:kern w:val="2"/>
                <w:sz w:val="21"/>
                <w:szCs w:val="21"/>
                <w:highlight w:val="none"/>
                <w:lang w:val="en-US" w:eastAsia="zh-CN" w:bidi="ar-SA"/>
              </w:rPr>
            </w:pPr>
          </w:p>
        </w:tc>
        <w:tc>
          <w:tcPr>
            <w:tcW w:w="794" w:type="dxa"/>
            <w:tcBorders>
              <w:top w:val="double" w:color="auto" w:sz="6" w:space="0"/>
              <w:bottom w:val="single" w:color="auto" w:sz="6" w:space="0"/>
            </w:tcBorders>
            <w:noWrap w:val="0"/>
            <w:vAlign w:val="center"/>
          </w:tcPr>
          <w:p w14:paraId="5EDB5633">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5F0322A3">
            <w:pPr>
              <w:jc w:val="center"/>
              <w:rPr>
                <w:rFonts w:hint="eastAsia" w:ascii="仿宋_GB2312" w:hAnsi="宋体" w:eastAsia="仿宋_GB2312"/>
                <w:color w:val="auto"/>
                <w:kern w:val="2"/>
                <w:sz w:val="21"/>
                <w:szCs w:val="21"/>
                <w:highlight w:val="none"/>
                <w:lang w:val="en-US" w:eastAsia="zh-CN" w:bidi="ar-SA"/>
              </w:rPr>
            </w:pPr>
          </w:p>
        </w:tc>
        <w:tc>
          <w:tcPr>
            <w:tcW w:w="1334" w:type="dxa"/>
            <w:tcBorders>
              <w:top w:val="double" w:color="auto" w:sz="6" w:space="0"/>
              <w:bottom w:val="single" w:color="auto" w:sz="6" w:space="0"/>
            </w:tcBorders>
            <w:noWrap w:val="0"/>
            <w:vAlign w:val="bottom"/>
          </w:tcPr>
          <w:p w14:paraId="2A6F45B6">
            <w:pPr>
              <w:jc w:val="center"/>
              <w:rPr>
                <w:rFonts w:hint="eastAsia" w:ascii="仿宋_GB2312" w:eastAsia="仿宋_GB2312"/>
                <w:color w:val="auto"/>
                <w:kern w:val="2"/>
                <w:sz w:val="21"/>
                <w:szCs w:val="21"/>
                <w:highlight w:val="none"/>
                <w:lang w:val="en-US" w:eastAsia="zh-CN" w:bidi="ar-SA"/>
              </w:rPr>
            </w:pPr>
          </w:p>
        </w:tc>
        <w:tc>
          <w:tcPr>
            <w:tcW w:w="920" w:type="dxa"/>
            <w:tcBorders>
              <w:top w:val="double" w:color="auto" w:sz="6" w:space="0"/>
              <w:bottom w:val="single" w:color="auto" w:sz="6" w:space="0"/>
            </w:tcBorders>
            <w:noWrap w:val="0"/>
            <w:vAlign w:val="center"/>
          </w:tcPr>
          <w:p w14:paraId="7CDF0E0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double" w:color="auto" w:sz="6" w:space="0"/>
              <w:bottom w:val="single" w:color="auto" w:sz="6" w:space="0"/>
            </w:tcBorders>
            <w:noWrap w:val="0"/>
            <w:vAlign w:val="center"/>
          </w:tcPr>
          <w:p w14:paraId="7E91AFD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24E171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tcBorders>
              <w:top w:val="nil"/>
            </w:tcBorders>
            <w:noWrap w:val="0"/>
            <w:vAlign w:val="center"/>
          </w:tcPr>
          <w:p w14:paraId="1896743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w:t>
            </w:r>
          </w:p>
        </w:tc>
        <w:tc>
          <w:tcPr>
            <w:tcW w:w="1549" w:type="dxa"/>
            <w:tcBorders>
              <w:top w:val="nil"/>
            </w:tcBorders>
            <w:noWrap w:val="0"/>
            <w:vAlign w:val="center"/>
          </w:tcPr>
          <w:p w14:paraId="59775809">
            <w:pPr>
              <w:jc w:val="center"/>
              <w:rPr>
                <w:rFonts w:hint="eastAsia" w:ascii="仿宋_GB2312" w:eastAsia="仿宋_GB2312"/>
                <w:color w:val="auto"/>
                <w:kern w:val="2"/>
                <w:sz w:val="21"/>
                <w:szCs w:val="21"/>
                <w:highlight w:val="none"/>
                <w:lang w:val="en-US" w:eastAsia="zh-CN" w:bidi="ar-SA"/>
              </w:rPr>
            </w:pPr>
          </w:p>
        </w:tc>
        <w:tc>
          <w:tcPr>
            <w:tcW w:w="1001" w:type="dxa"/>
            <w:tcBorders>
              <w:top w:val="nil"/>
            </w:tcBorders>
            <w:noWrap w:val="0"/>
            <w:vAlign w:val="center"/>
          </w:tcPr>
          <w:p w14:paraId="719147E0">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tcBorders>
              <w:top w:val="nil"/>
            </w:tcBorders>
            <w:noWrap w:val="0"/>
            <w:vAlign w:val="bottom"/>
          </w:tcPr>
          <w:p w14:paraId="278C6FCD">
            <w:pPr>
              <w:jc w:val="center"/>
              <w:rPr>
                <w:rFonts w:hint="eastAsia" w:ascii="仿宋_GB2312" w:eastAsia="仿宋_GB2312"/>
                <w:color w:val="auto"/>
                <w:kern w:val="2"/>
                <w:sz w:val="21"/>
                <w:szCs w:val="21"/>
                <w:highlight w:val="none"/>
                <w:lang w:val="en-US" w:eastAsia="zh-CN" w:bidi="ar-SA"/>
              </w:rPr>
            </w:pPr>
          </w:p>
        </w:tc>
        <w:tc>
          <w:tcPr>
            <w:tcW w:w="794" w:type="dxa"/>
            <w:tcBorders>
              <w:top w:val="nil"/>
            </w:tcBorders>
            <w:noWrap w:val="0"/>
            <w:vAlign w:val="center"/>
          </w:tcPr>
          <w:p w14:paraId="1D7F6EA0">
            <w:pPr>
              <w:jc w:val="center"/>
              <w:rPr>
                <w:rFonts w:hint="eastAsia" w:ascii="仿宋_GB2312" w:hAnsi="宋体" w:eastAsia="仿宋_GB2312"/>
                <w:color w:val="auto"/>
                <w:kern w:val="2"/>
                <w:sz w:val="21"/>
                <w:szCs w:val="21"/>
                <w:highlight w:val="none"/>
                <w:lang w:val="en-US" w:eastAsia="zh-CN" w:bidi="ar-SA"/>
              </w:rPr>
            </w:pPr>
          </w:p>
        </w:tc>
        <w:tc>
          <w:tcPr>
            <w:tcW w:w="920" w:type="dxa"/>
            <w:tcBorders>
              <w:top w:val="nil"/>
            </w:tcBorders>
            <w:noWrap w:val="0"/>
            <w:vAlign w:val="center"/>
          </w:tcPr>
          <w:p w14:paraId="76836CAC">
            <w:pPr>
              <w:jc w:val="center"/>
              <w:rPr>
                <w:rFonts w:hint="eastAsia" w:ascii="仿宋_GB2312" w:hAnsi="宋体" w:eastAsia="仿宋_GB2312"/>
                <w:b/>
                <w:color w:val="auto"/>
                <w:kern w:val="2"/>
                <w:sz w:val="21"/>
                <w:szCs w:val="21"/>
                <w:highlight w:val="none"/>
                <w:lang w:val="en-US" w:eastAsia="zh-CN" w:bidi="ar-SA"/>
              </w:rPr>
            </w:pPr>
          </w:p>
        </w:tc>
        <w:tc>
          <w:tcPr>
            <w:tcW w:w="1334" w:type="dxa"/>
            <w:tcBorders>
              <w:top w:val="nil"/>
            </w:tcBorders>
            <w:noWrap w:val="0"/>
            <w:vAlign w:val="bottom"/>
          </w:tcPr>
          <w:p w14:paraId="2530680F">
            <w:pPr>
              <w:jc w:val="center"/>
              <w:rPr>
                <w:rFonts w:hint="eastAsia" w:ascii="仿宋_GB2312" w:eastAsia="仿宋_GB2312"/>
                <w:color w:val="auto"/>
                <w:kern w:val="2"/>
                <w:sz w:val="21"/>
                <w:szCs w:val="21"/>
                <w:highlight w:val="none"/>
                <w:lang w:val="en-US" w:eastAsia="zh-CN" w:bidi="ar-SA"/>
              </w:rPr>
            </w:pPr>
          </w:p>
        </w:tc>
        <w:tc>
          <w:tcPr>
            <w:tcW w:w="920" w:type="dxa"/>
            <w:tcBorders>
              <w:top w:val="nil"/>
            </w:tcBorders>
            <w:noWrap w:val="0"/>
            <w:vAlign w:val="center"/>
          </w:tcPr>
          <w:p w14:paraId="4306EBE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tcBorders>
              <w:top w:val="nil"/>
            </w:tcBorders>
            <w:noWrap w:val="0"/>
            <w:vAlign w:val="center"/>
          </w:tcPr>
          <w:p w14:paraId="1BD1018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A8705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7A36C92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3</w:t>
            </w:r>
          </w:p>
        </w:tc>
        <w:tc>
          <w:tcPr>
            <w:tcW w:w="1549" w:type="dxa"/>
            <w:noWrap w:val="0"/>
            <w:vAlign w:val="center"/>
          </w:tcPr>
          <w:p w14:paraId="4AFB8634">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E471C6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9EA4277">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48E8C76">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5AF88DE">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9CAAE50">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7A21A13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78A6AAB">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76AC8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6896BBA">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4</w:t>
            </w:r>
          </w:p>
        </w:tc>
        <w:tc>
          <w:tcPr>
            <w:tcW w:w="1549" w:type="dxa"/>
            <w:noWrap w:val="0"/>
            <w:vAlign w:val="center"/>
          </w:tcPr>
          <w:p w14:paraId="616463F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A5BC7B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76BAA75">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FBF0395">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6AEF5096">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3F04A03">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59E8128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22C5D4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216F94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F3E474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5</w:t>
            </w:r>
          </w:p>
        </w:tc>
        <w:tc>
          <w:tcPr>
            <w:tcW w:w="1549" w:type="dxa"/>
            <w:noWrap w:val="0"/>
            <w:vAlign w:val="center"/>
          </w:tcPr>
          <w:p w14:paraId="1214175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405B33F">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00A81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3175DD1">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50E817DB">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E7B8922">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757A7F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E9DEBA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25353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C7B7FF2">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6</w:t>
            </w:r>
          </w:p>
        </w:tc>
        <w:tc>
          <w:tcPr>
            <w:tcW w:w="1549" w:type="dxa"/>
            <w:noWrap w:val="0"/>
            <w:vAlign w:val="center"/>
          </w:tcPr>
          <w:p w14:paraId="59AAEA7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AD339C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40D8853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62146B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33AB904C">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A4905DB">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F15451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17B24BB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90C53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42A90D7">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7</w:t>
            </w:r>
          </w:p>
        </w:tc>
        <w:tc>
          <w:tcPr>
            <w:tcW w:w="1549" w:type="dxa"/>
            <w:noWrap w:val="0"/>
            <w:vAlign w:val="center"/>
          </w:tcPr>
          <w:p w14:paraId="01B37AF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A3600EE">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1619585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10DA3B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1A84851">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151AC7F">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1B827BE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79316DC9">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305B1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87075E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8</w:t>
            </w:r>
          </w:p>
        </w:tc>
        <w:tc>
          <w:tcPr>
            <w:tcW w:w="1549" w:type="dxa"/>
            <w:noWrap w:val="0"/>
            <w:vAlign w:val="center"/>
          </w:tcPr>
          <w:p w14:paraId="7F48DAD5">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70BCE1E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14909A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C43B18E">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591BF31">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C24780C">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2AC8C8A7">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4F27F763">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4F7CD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D54C21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9</w:t>
            </w:r>
          </w:p>
        </w:tc>
        <w:tc>
          <w:tcPr>
            <w:tcW w:w="1549" w:type="dxa"/>
            <w:noWrap w:val="0"/>
            <w:vAlign w:val="center"/>
          </w:tcPr>
          <w:p w14:paraId="1D7E563B">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9D3AA07">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F97A7F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CBB34B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72941922">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5823C87C">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2873B90">
            <w:pPr>
              <w:spacing w:line="360" w:lineRule="auto"/>
              <w:rPr>
                <w:rFonts w:hint="eastAsia" w:ascii="宋体" w:hAnsi="宋体" w:cs="宋体"/>
                <w:color w:val="auto"/>
                <w:sz w:val="21"/>
                <w:szCs w:val="21"/>
                <w:highlight w:val="none"/>
              </w:rPr>
            </w:pPr>
          </w:p>
        </w:tc>
        <w:tc>
          <w:tcPr>
            <w:tcW w:w="828" w:type="dxa"/>
            <w:noWrap w:val="0"/>
            <w:vAlign w:val="top"/>
          </w:tcPr>
          <w:p w14:paraId="5F8709D3">
            <w:pPr>
              <w:spacing w:line="360" w:lineRule="auto"/>
              <w:rPr>
                <w:rFonts w:hint="eastAsia" w:ascii="宋体" w:hAnsi="宋体" w:cs="宋体"/>
                <w:color w:val="auto"/>
                <w:sz w:val="21"/>
                <w:szCs w:val="21"/>
                <w:highlight w:val="none"/>
              </w:rPr>
            </w:pPr>
          </w:p>
        </w:tc>
      </w:tr>
      <w:tr w14:paraId="292D5F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6B473C7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10</w:t>
            </w:r>
          </w:p>
        </w:tc>
        <w:tc>
          <w:tcPr>
            <w:tcW w:w="1549" w:type="dxa"/>
            <w:noWrap w:val="0"/>
            <w:vAlign w:val="center"/>
          </w:tcPr>
          <w:p w14:paraId="2743B92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367F3EB">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6B3BE87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A9B6320">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39A87D5">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095C1607">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33FAE1F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828" w:type="dxa"/>
            <w:noWrap w:val="0"/>
            <w:vAlign w:val="center"/>
          </w:tcPr>
          <w:p w14:paraId="6B01E5C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7B5A1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10EA2CF">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11</w:t>
            </w:r>
          </w:p>
        </w:tc>
        <w:tc>
          <w:tcPr>
            <w:tcW w:w="1549" w:type="dxa"/>
            <w:noWrap w:val="0"/>
            <w:vAlign w:val="center"/>
          </w:tcPr>
          <w:p w14:paraId="59F593FC">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6AC05A0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0D62752">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11D53CF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FD7CACE">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5E1211C">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31C8AB7">
            <w:pPr>
              <w:spacing w:line="360" w:lineRule="auto"/>
              <w:rPr>
                <w:rFonts w:hint="eastAsia" w:ascii="宋体" w:hAnsi="宋体" w:cs="宋体"/>
                <w:color w:val="auto"/>
                <w:sz w:val="21"/>
                <w:szCs w:val="21"/>
                <w:highlight w:val="none"/>
              </w:rPr>
            </w:pPr>
          </w:p>
        </w:tc>
        <w:tc>
          <w:tcPr>
            <w:tcW w:w="828" w:type="dxa"/>
            <w:noWrap w:val="0"/>
            <w:vAlign w:val="top"/>
          </w:tcPr>
          <w:p w14:paraId="19F5E2B1">
            <w:pPr>
              <w:spacing w:line="360" w:lineRule="auto"/>
              <w:rPr>
                <w:rFonts w:hint="eastAsia" w:ascii="宋体" w:hAnsi="宋体" w:cs="宋体"/>
                <w:color w:val="auto"/>
                <w:sz w:val="21"/>
                <w:szCs w:val="21"/>
                <w:highlight w:val="none"/>
              </w:rPr>
            </w:pPr>
          </w:p>
        </w:tc>
      </w:tr>
      <w:tr w14:paraId="30178F8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9C6306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12</w:t>
            </w:r>
          </w:p>
        </w:tc>
        <w:tc>
          <w:tcPr>
            <w:tcW w:w="1549" w:type="dxa"/>
            <w:noWrap w:val="0"/>
            <w:vAlign w:val="center"/>
          </w:tcPr>
          <w:p w14:paraId="7A70EB0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3E6B06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73D095AB">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03CFCF88">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40500187">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33B243E">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D81E1C4">
            <w:pPr>
              <w:spacing w:line="360" w:lineRule="auto"/>
              <w:rPr>
                <w:rFonts w:hint="eastAsia" w:ascii="宋体" w:hAnsi="宋体" w:cs="宋体"/>
                <w:color w:val="auto"/>
                <w:sz w:val="21"/>
                <w:szCs w:val="21"/>
                <w:highlight w:val="none"/>
              </w:rPr>
            </w:pPr>
          </w:p>
        </w:tc>
        <w:tc>
          <w:tcPr>
            <w:tcW w:w="828" w:type="dxa"/>
            <w:noWrap w:val="0"/>
            <w:vAlign w:val="top"/>
          </w:tcPr>
          <w:p w14:paraId="64ABFD4A">
            <w:pPr>
              <w:spacing w:line="360" w:lineRule="auto"/>
              <w:rPr>
                <w:rFonts w:hint="eastAsia" w:ascii="宋体" w:hAnsi="宋体" w:cs="宋体"/>
                <w:color w:val="auto"/>
                <w:sz w:val="21"/>
                <w:szCs w:val="21"/>
                <w:highlight w:val="none"/>
              </w:rPr>
            </w:pPr>
          </w:p>
        </w:tc>
      </w:tr>
      <w:tr w14:paraId="0E073D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054E396">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13</w:t>
            </w:r>
          </w:p>
        </w:tc>
        <w:tc>
          <w:tcPr>
            <w:tcW w:w="1549" w:type="dxa"/>
            <w:noWrap w:val="0"/>
            <w:vAlign w:val="center"/>
          </w:tcPr>
          <w:p w14:paraId="7F378881">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273471F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B46C64A">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092371A">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20F4C74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6E5CF5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DAA0783">
            <w:pPr>
              <w:spacing w:line="360" w:lineRule="auto"/>
              <w:rPr>
                <w:rFonts w:hint="eastAsia" w:ascii="宋体" w:hAnsi="宋体" w:cs="宋体"/>
                <w:color w:val="auto"/>
                <w:sz w:val="21"/>
                <w:szCs w:val="21"/>
                <w:highlight w:val="none"/>
              </w:rPr>
            </w:pPr>
          </w:p>
        </w:tc>
        <w:tc>
          <w:tcPr>
            <w:tcW w:w="828" w:type="dxa"/>
            <w:noWrap w:val="0"/>
            <w:vAlign w:val="top"/>
          </w:tcPr>
          <w:p w14:paraId="4C5013FD">
            <w:pPr>
              <w:spacing w:line="360" w:lineRule="auto"/>
              <w:rPr>
                <w:rFonts w:hint="eastAsia" w:ascii="宋体" w:hAnsi="宋体" w:cs="宋体"/>
                <w:color w:val="auto"/>
                <w:sz w:val="21"/>
                <w:szCs w:val="21"/>
                <w:highlight w:val="none"/>
              </w:rPr>
            </w:pPr>
          </w:p>
        </w:tc>
      </w:tr>
      <w:tr w14:paraId="592CD3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967351D">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14</w:t>
            </w:r>
          </w:p>
        </w:tc>
        <w:tc>
          <w:tcPr>
            <w:tcW w:w="1549" w:type="dxa"/>
            <w:noWrap w:val="0"/>
            <w:vAlign w:val="center"/>
          </w:tcPr>
          <w:p w14:paraId="01C5CD75">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72BC774">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2435CB54">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6662E99C">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FDBCA54">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348B3E5F">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BC2076B">
            <w:pPr>
              <w:spacing w:line="360" w:lineRule="auto"/>
              <w:rPr>
                <w:rFonts w:hint="eastAsia" w:ascii="宋体" w:hAnsi="宋体" w:cs="宋体"/>
                <w:color w:val="auto"/>
                <w:sz w:val="21"/>
                <w:szCs w:val="21"/>
                <w:highlight w:val="none"/>
              </w:rPr>
            </w:pPr>
          </w:p>
        </w:tc>
        <w:tc>
          <w:tcPr>
            <w:tcW w:w="828" w:type="dxa"/>
            <w:noWrap w:val="0"/>
            <w:vAlign w:val="top"/>
          </w:tcPr>
          <w:p w14:paraId="3D8FD7FE">
            <w:pPr>
              <w:spacing w:line="360" w:lineRule="auto"/>
              <w:rPr>
                <w:rFonts w:hint="eastAsia" w:ascii="宋体" w:hAnsi="宋体" w:cs="宋体"/>
                <w:color w:val="auto"/>
                <w:sz w:val="21"/>
                <w:szCs w:val="21"/>
                <w:highlight w:val="none"/>
              </w:rPr>
            </w:pPr>
          </w:p>
        </w:tc>
      </w:tr>
      <w:tr w14:paraId="7EA295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3D0968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15</w:t>
            </w:r>
          </w:p>
        </w:tc>
        <w:tc>
          <w:tcPr>
            <w:tcW w:w="1549" w:type="dxa"/>
            <w:noWrap w:val="0"/>
            <w:vAlign w:val="center"/>
          </w:tcPr>
          <w:p w14:paraId="0F5AB4EE">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6527B09">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36C63DDD">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57B974B">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07493101">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2912B1CE">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7BA2041D">
            <w:pPr>
              <w:spacing w:line="360" w:lineRule="auto"/>
              <w:rPr>
                <w:rFonts w:hint="eastAsia" w:ascii="宋体" w:hAnsi="宋体" w:cs="宋体"/>
                <w:color w:val="auto"/>
                <w:sz w:val="21"/>
                <w:szCs w:val="21"/>
                <w:highlight w:val="none"/>
              </w:rPr>
            </w:pPr>
          </w:p>
        </w:tc>
        <w:tc>
          <w:tcPr>
            <w:tcW w:w="828" w:type="dxa"/>
            <w:noWrap w:val="0"/>
            <w:vAlign w:val="top"/>
          </w:tcPr>
          <w:p w14:paraId="379EF1B4">
            <w:pPr>
              <w:spacing w:line="360" w:lineRule="auto"/>
              <w:rPr>
                <w:rFonts w:hint="eastAsia" w:ascii="宋体" w:hAnsi="宋体" w:cs="宋体"/>
                <w:color w:val="auto"/>
                <w:sz w:val="21"/>
                <w:szCs w:val="21"/>
                <w:highlight w:val="none"/>
              </w:rPr>
            </w:pPr>
          </w:p>
        </w:tc>
      </w:tr>
      <w:tr w14:paraId="56A134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251146FB">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16</w:t>
            </w:r>
          </w:p>
        </w:tc>
        <w:tc>
          <w:tcPr>
            <w:tcW w:w="1549" w:type="dxa"/>
            <w:noWrap w:val="0"/>
            <w:vAlign w:val="center"/>
          </w:tcPr>
          <w:p w14:paraId="75A3D8B0">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4132C8B3">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054CD75E">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3F2B0DB">
            <w:pPr>
              <w:widowControl/>
              <w:jc w:val="center"/>
              <w:rPr>
                <w:rFonts w:hint="eastAsia" w:ascii="仿宋_GB2312" w:hAnsi="宋体" w:eastAsia="仿宋_GB2312" w:cs="宋体"/>
                <w:color w:val="auto"/>
                <w:kern w:val="0"/>
                <w:sz w:val="21"/>
                <w:szCs w:val="21"/>
                <w:highlight w:val="none"/>
                <w:lang w:val="en-US" w:eastAsia="zh-CN" w:bidi="ar-SA"/>
              </w:rPr>
            </w:pPr>
          </w:p>
        </w:tc>
        <w:tc>
          <w:tcPr>
            <w:tcW w:w="920" w:type="dxa"/>
            <w:noWrap w:val="0"/>
            <w:vAlign w:val="center"/>
          </w:tcPr>
          <w:p w14:paraId="57D327F8">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7505A056">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4F8E88F3">
            <w:pPr>
              <w:spacing w:line="360" w:lineRule="auto"/>
              <w:rPr>
                <w:rFonts w:hint="eastAsia" w:ascii="宋体" w:hAnsi="宋体" w:cs="宋体"/>
                <w:color w:val="auto"/>
                <w:sz w:val="21"/>
                <w:szCs w:val="21"/>
                <w:highlight w:val="none"/>
              </w:rPr>
            </w:pPr>
          </w:p>
        </w:tc>
        <w:tc>
          <w:tcPr>
            <w:tcW w:w="828" w:type="dxa"/>
            <w:noWrap w:val="0"/>
            <w:vAlign w:val="top"/>
          </w:tcPr>
          <w:p w14:paraId="0F6246AE">
            <w:pPr>
              <w:spacing w:line="360" w:lineRule="auto"/>
              <w:rPr>
                <w:rFonts w:hint="eastAsia" w:ascii="宋体" w:hAnsi="宋体" w:cs="宋体"/>
                <w:color w:val="auto"/>
                <w:sz w:val="21"/>
                <w:szCs w:val="21"/>
                <w:highlight w:val="none"/>
              </w:rPr>
            </w:pPr>
          </w:p>
        </w:tc>
      </w:tr>
      <w:tr w14:paraId="32D031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0D949B10">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17</w:t>
            </w:r>
          </w:p>
        </w:tc>
        <w:tc>
          <w:tcPr>
            <w:tcW w:w="1549" w:type="dxa"/>
            <w:noWrap w:val="0"/>
            <w:vAlign w:val="center"/>
          </w:tcPr>
          <w:p w14:paraId="7192AD58">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88C55B1">
            <w:pPr>
              <w:widowControl/>
              <w:jc w:val="center"/>
              <w:rPr>
                <w:rFonts w:hint="eastAsia" w:ascii="仿宋_GB2312" w:hAnsi="宋体" w:eastAsia="仿宋_GB2312" w:cs="宋体"/>
                <w:color w:val="auto"/>
                <w:kern w:val="0"/>
                <w:sz w:val="21"/>
                <w:szCs w:val="21"/>
                <w:highlight w:val="none"/>
                <w:lang w:val="en-US" w:eastAsia="zh-CN" w:bidi="ar-SA"/>
              </w:rPr>
            </w:pPr>
          </w:p>
        </w:tc>
        <w:tc>
          <w:tcPr>
            <w:tcW w:w="718" w:type="dxa"/>
            <w:noWrap w:val="0"/>
            <w:vAlign w:val="bottom"/>
          </w:tcPr>
          <w:p w14:paraId="58319706">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509C4703">
            <w:pPr>
              <w:jc w:val="center"/>
              <w:rPr>
                <w:rFonts w:hint="eastAsia" w:ascii="仿宋_GB2312" w:hAnsi="宋体" w:eastAsia="仿宋_GB2312"/>
                <w:color w:val="auto"/>
                <w:kern w:val="2"/>
                <w:sz w:val="21"/>
                <w:szCs w:val="21"/>
                <w:highlight w:val="none"/>
                <w:lang w:val="en-US" w:eastAsia="zh-CN" w:bidi="ar-SA"/>
              </w:rPr>
            </w:pPr>
          </w:p>
        </w:tc>
        <w:tc>
          <w:tcPr>
            <w:tcW w:w="920" w:type="dxa"/>
            <w:noWrap w:val="0"/>
            <w:vAlign w:val="center"/>
          </w:tcPr>
          <w:p w14:paraId="13E29579">
            <w:pPr>
              <w:jc w:val="center"/>
              <w:rPr>
                <w:rFonts w:hint="eastAsia" w:ascii="仿宋_GB2312" w:hAnsi="宋体" w:eastAsia="仿宋_GB2312"/>
                <w:b/>
                <w:color w:val="auto"/>
                <w:kern w:val="2"/>
                <w:sz w:val="21"/>
                <w:szCs w:val="21"/>
                <w:highlight w:val="none"/>
                <w:lang w:val="en-US" w:eastAsia="zh-CN" w:bidi="ar-SA"/>
              </w:rPr>
            </w:pPr>
          </w:p>
        </w:tc>
        <w:tc>
          <w:tcPr>
            <w:tcW w:w="1334" w:type="dxa"/>
            <w:noWrap w:val="0"/>
            <w:vAlign w:val="bottom"/>
          </w:tcPr>
          <w:p w14:paraId="49C91784">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292C08B9">
            <w:pPr>
              <w:spacing w:line="360" w:lineRule="auto"/>
              <w:rPr>
                <w:rFonts w:hint="eastAsia" w:ascii="宋体" w:hAnsi="宋体" w:cs="宋体"/>
                <w:color w:val="auto"/>
                <w:sz w:val="21"/>
                <w:szCs w:val="21"/>
                <w:highlight w:val="none"/>
              </w:rPr>
            </w:pPr>
          </w:p>
        </w:tc>
        <w:tc>
          <w:tcPr>
            <w:tcW w:w="828" w:type="dxa"/>
            <w:noWrap w:val="0"/>
            <w:vAlign w:val="top"/>
          </w:tcPr>
          <w:p w14:paraId="2E946E62">
            <w:pPr>
              <w:spacing w:line="360" w:lineRule="auto"/>
              <w:rPr>
                <w:rFonts w:hint="eastAsia" w:ascii="宋体" w:hAnsi="宋体" w:cs="宋体"/>
                <w:color w:val="auto"/>
                <w:sz w:val="21"/>
                <w:szCs w:val="21"/>
                <w:highlight w:val="none"/>
              </w:rPr>
            </w:pPr>
          </w:p>
        </w:tc>
      </w:tr>
      <w:tr w14:paraId="4A6E44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329D135E">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18</w:t>
            </w:r>
          </w:p>
        </w:tc>
        <w:tc>
          <w:tcPr>
            <w:tcW w:w="1549" w:type="dxa"/>
            <w:noWrap w:val="0"/>
            <w:vAlign w:val="center"/>
          </w:tcPr>
          <w:p w14:paraId="4F31DC6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572A8103">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45F4E658">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794828F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68C333A5">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5AD94678">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1ED2383">
            <w:pPr>
              <w:spacing w:line="360" w:lineRule="auto"/>
              <w:rPr>
                <w:rFonts w:hint="eastAsia" w:ascii="宋体" w:hAnsi="宋体" w:cs="宋体"/>
                <w:color w:val="auto"/>
                <w:sz w:val="21"/>
                <w:szCs w:val="21"/>
                <w:highlight w:val="none"/>
              </w:rPr>
            </w:pPr>
          </w:p>
        </w:tc>
        <w:tc>
          <w:tcPr>
            <w:tcW w:w="828" w:type="dxa"/>
            <w:noWrap w:val="0"/>
            <w:vAlign w:val="top"/>
          </w:tcPr>
          <w:p w14:paraId="6E78CB8C">
            <w:pPr>
              <w:spacing w:line="360" w:lineRule="auto"/>
              <w:rPr>
                <w:rFonts w:hint="eastAsia" w:ascii="宋体" w:hAnsi="宋体" w:cs="宋体"/>
                <w:color w:val="auto"/>
                <w:sz w:val="21"/>
                <w:szCs w:val="21"/>
                <w:highlight w:val="none"/>
              </w:rPr>
            </w:pPr>
          </w:p>
        </w:tc>
      </w:tr>
      <w:tr w14:paraId="3F3C03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1BCB33B5">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19</w:t>
            </w:r>
          </w:p>
        </w:tc>
        <w:tc>
          <w:tcPr>
            <w:tcW w:w="1549" w:type="dxa"/>
            <w:noWrap w:val="0"/>
            <w:vAlign w:val="center"/>
          </w:tcPr>
          <w:p w14:paraId="54AA2382">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0A0BBD36">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61CDC1F0">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22308425">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0B14759">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14B8CE2B">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03F0AD43">
            <w:pPr>
              <w:spacing w:line="360" w:lineRule="auto"/>
              <w:rPr>
                <w:rFonts w:hint="eastAsia" w:ascii="宋体" w:hAnsi="宋体" w:cs="宋体"/>
                <w:color w:val="auto"/>
                <w:sz w:val="21"/>
                <w:szCs w:val="21"/>
                <w:highlight w:val="none"/>
              </w:rPr>
            </w:pPr>
          </w:p>
        </w:tc>
        <w:tc>
          <w:tcPr>
            <w:tcW w:w="828" w:type="dxa"/>
            <w:noWrap w:val="0"/>
            <w:vAlign w:val="top"/>
          </w:tcPr>
          <w:p w14:paraId="7F643797">
            <w:pPr>
              <w:spacing w:line="360" w:lineRule="auto"/>
              <w:rPr>
                <w:rFonts w:hint="eastAsia" w:ascii="宋体" w:hAnsi="宋体" w:cs="宋体"/>
                <w:color w:val="auto"/>
                <w:sz w:val="21"/>
                <w:szCs w:val="21"/>
                <w:highlight w:val="none"/>
              </w:rPr>
            </w:pPr>
          </w:p>
        </w:tc>
      </w:tr>
      <w:tr w14:paraId="5BB1A0E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781" w:type="dxa"/>
            <w:noWrap w:val="0"/>
            <w:vAlign w:val="center"/>
          </w:tcPr>
          <w:p w14:paraId="4D28ADF9">
            <w:pPr>
              <w:widowControl/>
              <w:jc w:val="center"/>
              <w:rPr>
                <w:rFonts w:hint="eastAsia" w:ascii="仿宋_GB2312" w:hAnsi="宋体" w:eastAsia="仿宋_GB2312" w:cs="宋体"/>
                <w:color w:val="auto"/>
                <w:kern w:val="0"/>
                <w:sz w:val="21"/>
                <w:szCs w:val="21"/>
                <w:highlight w:val="none"/>
                <w:lang w:val="en-US" w:eastAsia="zh-CN" w:bidi="ar-SA"/>
              </w:rPr>
            </w:pPr>
            <w:r>
              <w:rPr>
                <w:rFonts w:hint="eastAsia" w:ascii="仿宋_GB2312" w:hAnsi="宋体" w:eastAsia="仿宋_GB2312" w:cs="宋体"/>
                <w:color w:val="auto"/>
                <w:kern w:val="0"/>
                <w:sz w:val="21"/>
                <w:szCs w:val="21"/>
                <w:highlight w:val="none"/>
              </w:rPr>
              <w:t>20</w:t>
            </w:r>
          </w:p>
        </w:tc>
        <w:tc>
          <w:tcPr>
            <w:tcW w:w="1549" w:type="dxa"/>
            <w:noWrap w:val="0"/>
            <w:vAlign w:val="center"/>
          </w:tcPr>
          <w:p w14:paraId="1F68C203">
            <w:pPr>
              <w:jc w:val="center"/>
              <w:rPr>
                <w:rFonts w:hint="eastAsia" w:ascii="仿宋_GB2312" w:eastAsia="仿宋_GB2312"/>
                <w:color w:val="auto"/>
                <w:kern w:val="2"/>
                <w:sz w:val="21"/>
                <w:szCs w:val="21"/>
                <w:highlight w:val="none"/>
                <w:lang w:val="en-US" w:eastAsia="zh-CN" w:bidi="ar-SA"/>
              </w:rPr>
            </w:pPr>
          </w:p>
        </w:tc>
        <w:tc>
          <w:tcPr>
            <w:tcW w:w="1001" w:type="dxa"/>
            <w:noWrap w:val="0"/>
            <w:vAlign w:val="center"/>
          </w:tcPr>
          <w:p w14:paraId="37065CB4">
            <w:pPr>
              <w:widowControl/>
              <w:jc w:val="center"/>
              <w:rPr>
                <w:rFonts w:hint="eastAsia" w:ascii="仿宋_GB2312" w:eastAsia="仿宋_GB2312"/>
                <w:color w:val="auto"/>
                <w:kern w:val="2"/>
                <w:sz w:val="21"/>
                <w:szCs w:val="21"/>
                <w:highlight w:val="none"/>
                <w:lang w:val="en-US" w:eastAsia="zh-CN" w:bidi="ar-SA"/>
              </w:rPr>
            </w:pPr>
          </w:p>
        </w:tc>
        <w:tc>
          <w:tcPr>
            <w:tcW w:w="718" w:type="dxa"/>
            <w:noWrap w:val="0"/>
            <w:vAlign w:val="bottom"/>
          </w:tcPr>
          <w:p w14:paraId="36E7A401">
            <w:pPr>
              <w:jc w:val="center"/>
              <w:rPr>
                <w:rFonts w:hint="eastAsia" w:ascii="仿宋_GB2312" w:eastAsia="仿宋_GB2312"/>
                <w:color w:val="auto"/>
                <w:kern w:val="2"/>
                <w:sz w:val="21"/>
                <w:szCs w:val="21"/>
                <w:highlight w:val="none"/>
                <w:lang w:val="en-US" w:eastAsia="zh-CN" w:bidi="ar-SA"/>
              </w:rPr>
            </w:pPr>
          </w:p>
        </w:tc>
        <w:tc>
          <w:tcPr>
            <w:tcW w:w="794" w:type="dxa"/>
            <w:noWrap w:val="0"/>
            <w:vAlign w:val="center"/>
          </w:tcPr>
          <w:p w14:paraId="3AD051B8">
            <w:pPr>
              <w:jc w:val="center"/>
              <w:rPr>
                <w:rFonts w:hint="eastAsia" w:ascii="仿宋_GB2312" w:eastAsia="仿宋_GB2312"/>
                <w:color w:val="auto"/>
                <w:kern w:val="2"/>
                <w:sz w:val="21"/>
                <w:szCs w:val="21"/>
                <w:highlight w:val="none"/>
                <w:lang w:val="en-US" w:eastAsia="zh-CN" w:bidi="ar-SA"/>
              </w:rPr>
            </w:pPr>
          </w:p>
        </w:tc>
        <w:tc>
          <w:tcPr>
            <w:tcW w:w="920" w:type="dxa"/>
            <w:noWrap w:val="0"/>
            <w:vAlign w:val="center"/>
          </w:tcPr>
          <w:p w14:paraId="01B78335">
            <w:pPr>
              <w:jc w:val="center"/>
              <w:rPr>
                <w:rFonts w:hint="eastAsia" w:ascii="仿宋_GB2312" w:eastAsia="仿宋_GB2312"/>
                <w:color w:val="auto"/>
                <w:kern w:val="2"/>
                <w:sz w:val="21"/>
                <w:szCs w:val="21"/>
                <w:highlight w:val="none"/>
                <w:lang w:val="en-US" w:eastAsia="zh-CN" w:bidi="ar-SA"/>
              </w:rPr>
            </w:pPr>
          </w:p>
        </w:tc>
        <w:tc>
          <w:tcPr>
            <w:tcW w:w="1334" w:type="dxa"/>
            <w:noWrap w:val="0"/>
            <w:vAlign w:val="bottom"/>
          </w:tcPr>
          <w:p w14:paraId="02CEA211">
            <w:pPr>
              <w:jc w:val="center"/>
              <w:rPr>
                <w:rFonts w:hint="eastAsia" w:ascii="仿宋_GB2312" w:eastAsia="仿宋_GB2312"/>
                <w:color w:val="auto"/>
                <w:kern w:val="2"/>
                <w:sz w:val="21"/>
                <w:szCs w:val="21"/>
                <w:highlight w:val="none"/>
                <w:lang w:val="en-US" w:eastAsia="zh-CN" w:bidi="ar-SA"/>
              </w:rPr>
            </w:pPr>
          </w:p>
        </w:tc>
        <w:tc>
          <w:tcPr>
            <w:tcW w:w="920" w:type="dxa"/>
            <w:noWrap w:val="0"/>
            <w:vAlign w:val="top"/>
          </w:tcPr>
          <w:p w14:paraId="3932FB32">
            <w:pPr>
              <w:spacing w:line="360" w:lineRule="auto"/>
              <w:rPr>
                <w:rFonts w:hint="eastAsia" w:ascii="宋体" w:hAnsi="宋体" w:cs="宋体"/>
                <w:color w:val="auto"/>
                <w:sz w:val="21"/>
                <w:szCs w:val="21"/>
                <w:highlight w:val="none"/>
              </w:rPr>
            </w:pPr>
          </w:p>
        </w:tc>
        <w:tc>
          <w:tcPr>
            <w:tcW w:w="828" w:type="dxa"/>
            <w:noWrap w:val="0"/>
            <w:vAlign w:val="top"/>
          </w:tcPr>
          <w:p w14:paraId="6710A986">
            <w:pPr>
              <w:spacing w:line="360" w:lineRule="auto"/>
              <w:rPr>
                <w:rFonts w:hint="eastAsia" w:ascii="宋体" w:hAnsi="宋体" w:cs="宋体"/>
                <w:color w:val="auto"/>
                <w:sz w:val="21"/>
                <w:szCs w:val="21"/>
                <w:highlight w:val="none"/>
              </w:rPr>
            </w:pPr>
          </w:p>
        </w:tc>
      </w:tr>
    </w:tbl>
    <w:p w14:paraId="40A0733C">
      <w:pPr>
        <w:spacing w:line="360" w:lineRule="auto"/>
        <w:rPr>
          <w:rFonts w:hint="eastAsia" w:ascii="宋体" w:hAnsi="宋体" w:cs="宋体"/>
          <w:b/>
          <w:color w:val="auto"/>
          <w:sz w:val="21"/>
          <w:szCs w:val="21"/>
          <w:highlight w:val="none"/>
        </w:rPr>
      </w:pPr>
      <w:r>
        <w:rPr>
          <w:rFonts w:hint="eastAsia" w:ascii="宋体" w:hAnsi="宋体" w:cs="宋体"/>
          <w:b/>
          <w:color w:val="auto"/>
          <w:sz w:val="21"/>
          <w:szCs w:val="21"/>
          <w:highlight w:val="none"/>
        </w:rPr>
        <w:t>附</w:t>
      </w:r>
      <w:bookmarkStart w:id="452" w:name="_Toc267261699"/>
      <w:bookmarkStart w:id="453" w:name="_Toc296346729"/>
      <w:bookmarkStart w:id="454" w:name="_Toc296891268"/>
      <w:bookmarkStart w:id="455" w:name="_Toc296503228"/>
      <w:bookmarkStart w:id="456" w:name="_Toc296347227"/>
      <w:bookmarkStart w:id="457" w:name="_Toc296944567"/>
      <w:bookmarkStart w:id="458" w:name="_Toc296891056"/>
      <w:r>
        <w:rPr>
          <w:rFonts w:hint="eastAsia" w:ascii="宋体" w:hAnsi="宋体" w:cs="宋体"/>
          <w:b/>
          <w:color w:val="auto"/>
          <w:sz w:val="21"/>
          <w:szCs w:val="21"/>
          <w:highlight w:val="none"/>
        </w:rPr>
        <w:t>件5：</w:t>
      </w:r>
    </w:p>
    <w:bookmarkEnd w:id="452"/>
    <w:bookmarkEnd w:id="453"/>
    <w:bookmarkEnd w:id="454"/>
    <w:bookmarkEnd w:id="455"/>
    <w:bookmarkEnd w:id="456"/>
    <w:bookmarkEnd w:id="457"/>
    <w:bookmarkEnd w:id="458"/>
    <w:p w14:paraId="62926CC2">
      <w:pPr>
        <w:spacing w:before="120" w:beforeLines="50" w:after="120" w:afterLines="50" w:line="360" w:lineRule="auto"/>
        <w:jc w:val="center"/>
        <w:rPr>
          <w:rFonts w:hint="eastAsia" w:ascii="宋体" w:hAnsi="宋体" w:cs="宋体"/>
          <w:b/>
          <w:color w:val="auto"/>
          <w:sz w:val="21"/>
          <w:szCs w:val="21"/>
          <w:highlight w:val="none"/>
        </w:rPr>
      </w:pPr>
      <w:r>
        <w:rPr>
          <w:rFonts w:hint="eastAsia" w:ascii="宋体" w:hAnsi="宋体" w:cs="宋体"/>
          <w:b/>
          <w:color w:val="auto"/>
          <w:sz w:val="21"/>
          <w:szCs w:val="21"/>
          <w:highlight w:val="none"/>
        </w:rPr>
        <w:t>承包人主要施工管理人员表</w:t>
      </w:r>
    </w:p>
    <w:tbl>
      <w:tblPr>
        <w:tblStyle w:val="24"/>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89"/>
        <w:gridCol w:w="1279"/>
        <w:gridCol w:w="1022"/>
        <w:gridCol w:w="1022"/>
        <w:gridCol w:w="3833"/>
      </w:tblGrid>
      <w:tr w14:paraId="28658F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12" w:space="0"/>
              <w:bottom w:val="double" w:color="auto" w:sz="6" w:space="0"/>
            </w:tcBorders>
            <w:noWrap w:val="0"/>
            <w:vAlign w:val="center"/>
          </w:tcPr>
          <w:p w14:paraId="110B04F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名    称</w:t>
            </w:r>
          </w:p>
        </w:tc>
        <w:tc>
          <w:tcPr>
            <w:tcW w:w="1279" w:type="dxa"/>
            <w:tcBorders>
              <w:top w:val="single" w:color="auto" w:sz="12" w:space="0"/>
              <w:bottom w:val="double" w:color="auto" w:sz="6" w:space="0"/>
            </w:tcBorders>
            <w:noWrap w:val="0"/>
            <w:vAlign w:val="center"/>
          </w:tcPr>
          <w:p w14:paraId="35A74918">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姓名</w:t>
            </w:r>
          </w:p>
        </w:tc>
        <w:tc>
          <w:tcPr>
            <w:tcW w:w="1022" w:type="dxa"/>
            <w:tcBorders>
              <w:top w:val="single" w:color="auto" w:sz="12" w:space="0"/>
              <w:bottom w:val="double" w:color="auto" w:sz="6" w:space="0"/>
            </w:tcBorders>
            <w:noWrap w:val="0"/>
            <w:vAlign w:val="center"/>
          </w:tcPr>
          <w:p w14:paraId="029069A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职务</w:t>
            </w:r>
          </w:p>
        </w:tc>
        <w:tc>
          <w:tcPr>
            <w:tcW w:w="1022" w:type="dxa"/>
            <w:tcBorders>
              <w:top w:val="single" w:color="auto" w:sz="12" w:space="0"/>
              <w:bottom w:val="double" w:color="auto" w:sz="6" w:space="0"/>
            </w:tcBorders>
            <w:noWrap w:val="0"/>
            <w:vAlign w:val="center"/>
          </w:tcPr>
          <w:p w14:paraId="32E1854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职称</w:t>
            </w:r>
          </w:p>
        </w:tc>
        <w:tc>
          <w:tcPr>
            <w:tcW w:w="3833" w:type="dxa"/>
            <w:tcBorders>
              <w:top w:val="single" w:color="auto" w:sz="12" w:space="0"/>
              <w:bottom w:val="double" w:color="auto" w:sz="6" w:space="0"/>
            </w:tcBorders>
            <w:noWrap w:val="0"/>
            <w:vAlign w:val="center"/>
          </w:tcPr>
          <w:p w14:paraId="25E664D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主要资历、经验及承担过的项目</w:t>
            </w:r>
          </w:p>
        </w:tc>
      </w:tr>
      <w:tr w14:paraId="4A3CBD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8845" w:type="dxa"/>
            <w:gridSpan w:val="5"/>
            <w:tcBorders>
              <w:top w:val="double" w:color="auto" w:sz="6" w:space="0"/>
              <w:bottom w:val="single" w:color="auto" w:sz="6" w:space="0"/>
            </w:tcBorders>
            <w:noWrap w:val="0"/>
            <w:vAlign w:val="center"/>
          </w:tcPr>
          <w:p w14:paraId="534B5DDA">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一、总部人员</w:t>
            </w:r>
          </w:p>
        </w:tc>
      </w:tr>
      <w:tr w14:paraId="6F0CFD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56B59011">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项目主管</w:t>
            </w:r>
          </w:p>
        </w:tc>
        <w:tc>
          <w:tcPr>
            <w:tcW w:w="1279" w:type="dxa"/>
            <w:tcBorders>
              <w:top w:val="nil"/>
            </w:tcBorders>
            <w:noWrap w:val="0"/>
            <w:vAlign w:val="center"/>
          </w:tcPr>
          <w:p w14:paraId="0D754950">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B0BDF0D">
            <w:pPr>
              <w:pStyle w:val="9"/>
              <w:keepNext/>
              <w:spacing w:after="0" w:line="360" w:lineRule="auto"/>
              <w:ind w:left="63" w:leftChars="30" w:right="63" w:rightChars="30"/>
              <w:rPr>
                <w:rFonts w:hint="eastAsia" w:ascii="宋体" w:hAnsi="宋体" w:cs="宋体"/>
                <w:color w:val="auto"/>
                <w:kern w:val="2"/>
                <w:sz w:val="21"/>
                <w:szCs w:val="21"/>
                <w:highlight w:val="none"/>
                <w:lang w:val="en-US" w:eastAsia="zh-CN" w:bidi="ar-SA"/>
              </w:rPr>
            </w:pPr>
          </w:p>
        </w:tc>
        <w:tc>
          <w:tcPr>
            <w:tcW w:w="1022" w:type="dxa"/>
            <w:tcBorders>
              <w:top w:val="nil"/>
            </w:tcBorders>
            <w:noWrap w:val="0"/>
            <w:vAlign w:val="center"/>
          </w:tcPr>
          <w:p w14:paraId="1AAA1F0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top w:val="nil"/>
            </w:tcBorders>
            <w:noWrap w:val="0"/>
            <w:vAlign w:val="center"/>
          </w:tcPr>
          <w:p w14:paraId="121AD60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1B4EB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nil"/>
            </w:tcBorders>
            <w:noWrap w:val="0"/>
            <w:vAlign w:val="center"/>
          </w:tcPr>
          <w:p w14:paraId="55160AC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22BB39F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1DAEF5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1B1AA6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3AA6DE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FD2A3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nil"/>
              <w:bottom w:val="nil"/>
            </w:tcBorders>
            <w:noWrap w:val="0"/>
            <w:vAlign w:val="center"/>
          </w:tcPr>
          <w:p w14:paraId="22CB3F2E">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0DC6901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1D7D3CF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F1A70A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3AD651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BF379D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nil"/>
              <w:bottom w:val="nil"/>
            </w:tcBorders>
            <w:noWrap w:val="0"/>
            <w:vAlign w:val="center"/>
          </w:tcPr>
          <w:p w14:paraId="0B2CAC0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05713CD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896CE6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520B9B1">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9AE10B4">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EEAB0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8845" w:type="dxa"/>
            <w:gridSpan w:val="5"/>
            <w:tcBorders>
              <w:top w:val="single" w:color="auto" w:sz="6" w:space="0"/>
              <w:bottom w:val="single" w:color="auto" w:sz="6" w:space="0"/>
            </w:tcBorders>
            <w:noWrap w:val="0"/>
            <w:vAlign w:val="center"/>
          </w:tcPr>
          <w:p w14:paraId="75BDAF4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二、现场人员</w:t>
            </w:r>
          </w:p>
        </w:tc>
      </w:tr>
      <w:tr w14:paraId="04ADE0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3C9EBA1D">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项目经理</w:t>
            </w:r>
          </w:p>
        </w:tc>
        <w:tc>
          <w:tcPr>
            <w:tcW w:w="1279" w:type="dxa"/>
            <w:noWrap w:val="0"/>
            <w:vAlign w:val="center"/>
          </w:tcPr>
          <w:p w14:paraId="01500428">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32E4AEA6">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57CCA97">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383F44A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56C09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1" w:hRule="atLeast"/>
          <w:jc w:val="center"/>
        </w:trPr>
        <w:tc>
          <w:tcPr>
            <w:tcW w:w="1689" w:type="dxa"/>
            <w:tcBorders>
              <w:top w:val="single" w:color="auto" w:sz="6" w:space="0"/>
              <w:bottom w:val="single" w:color="auto" w:sz="6" w:space="0"/>
            </w:tcBorders>
            <w:noWrap w:val="0"/>
            <w:vAlign w:val="center"/>
          </w:tcPr>
          <w:p w14:paraId="69DA3970">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技术负责人</w:t>
            </w:r>
          </w:p>
        </w:tc>
        <w:tc>
          <w:tcPr>
            <w:tcW w:w="1279" w:type="dxa"/>
            <w:noWrap w:val="0"/>
            <w:vAlign w:val="center"/>
          </w:tcPr>
          <w:p w14:paraId="6F0B680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697BF9A5">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326E404E">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A78C8D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0DE50E6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74E8BE6D">
            <w:pPr>
              <w:pStyle w:val="9"/>
              <w:keepNext/>
              <w:spacing w:after="0" w:line="360" w:lineRule="auto"/>
              <w:ind w:left="63" w:right="63"/>
              <w:rPr>
                <w:rFonts w:hint="default"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施工管理</w:t>
            </w:r>
          </w:p>
        </w:tc>
        <w:tc>
          <w:tcPr>
            <w:tcW w:w="1279" w:type="dxa"/>
            <w:noWrap w:val="0"/>
            <w:vAlign w:val="center"/>
          </w:tcPr>
          <w:p w14:paraId="2FE0A9B0">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7FAA26C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DE989FC">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45E72ED2">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1B12C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0942B252">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质量管理</w:t>
            </w:r>
          </w:p>
        </w:tc>
        <w:tc>
          <w:tcPr>
            <w:tcW w:w="1279" w:type="dxa"/>
            <w:noWrap w:val="0"/>
            <w:vAlign w:val="center"/>
          </w:tcPr>
          <w:p w14:paraId="1AC6247B">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1D811FD4">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DBEC767">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5411A1C1">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7EBF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1B100D6C">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安全管理</w:t>
            </w:r>
          </w:p>
        </w:tc>
        <w:tc>
          <w:tcPr>
            <w:tcW w:w="1279" w:type="dxa"/>
            <w:noWrap w:val="0"/>
            <w:vAlign w:val="center"/>
          </w:tcPr>
          <w:p w14:paraId="531EAEE2">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5C9D0DF3">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1022" w:type="dxa"/>
            <w:noWrap w:val="0"/>
            <w:vAlign w:val="center"/>
          </w:tcPr>
          <w:p w14:paraId="465DA569">
            <w:pPr>
              <w:pStyle w:val="9"/>
              <w:keepNext/>
              <w:spacing w:after="0" w:line="360" w:lineRule="auto"/>
              <w:ind w:left="63" w:leftChars="30" w:right="63" w:rightChars="30"/>
              <w:rPr>
                <w:rFonts w:hint="default" w:ascii="宋体" w:hAnsi="宋体" w:cs="宋体"/>
                <w:color w:val="auto"/>
                <w:kern w:val="2"/>
                <w:sz w:val="21"/>
                <w:szCs w:val="21"/>
                <w:highlight w:val="none"/>
                <w:lang w:val="en-US" w:eastAsia="zh-CN" w:bidi="ar-SA"/>
              </w:rPr>
            </w:pPr>
          </w:p>
        </w:tc>
        <w:tc>
          <w:tcPr>
            <w:tcW w:w="3833" w:type="dxa"/>
            <w:noWrap w:val="0"/>
            <w:vAlign w:val="center"/>
          </w:tcPr>
          <w:p w14:paraId="198E25C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4BA96C9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2611844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AD10A90">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3404C1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5E7161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EEBABD5">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78DF80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91" w:hRule="atLeast"/>
          <w:jc w:val="center"/>
        </w:trPr>
        <w:tc>
          <w:tcPr>
            <w:tcW w:w="1689" w:type="dxa"/>
            <w:tcBorders>
              <w:top w:val="single" w:color="auto" w:sz="6" w:space="0"/>
              <w:bottom w:val="single" w:color="auto" w:sz="6" w:space="0"/>
            </w:tcBorders>
            <w:noWrap w:val="0"/>
            <w:vAlign w:val="center"/>
          </w:tcPr>
          <w:p w14:paraId="13BF4378">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CD633C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7652FA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2AAA4ED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DC32AD7">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346911F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7" w:hRule="atLeast"/>
          <w:jc w:val="center"/>
        </w:trPr>
        <w:tc>
          <w:tcPr>
            <w:tcW w:w="1689" w:type="dxa"/>
            <w:tcBorders>
              <w:top w:val="single" w:color="auto" w:sz="6" w:space="0"/>
              <w:bottom w:val="single" w:color="auto" w:sz="6" w:space="0"/>
            </w:tcBorders>
            <w:noWrap w:val="0"/>
            <w:vAlign w:val="center"/>
          </w:tcPr>
          <w:p w14:paraId="1C8CDB1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767F605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06541DF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883E07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179E4B10">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119BEC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restart"/>
            <w:tcBorders>
              <w:top w:val="single" w:color="auto" w:sz="6" w:space="0"/>
            </w:tcBorders>
            <w:noWrap w:val="0"/>
            <w:vAlign w:val="center"/>
          </w:tcPr>
          <w:p w14:paraId="112457AF">
            <w:pPr>
              <w:pStyle w:val="9"/>
              <w:keepNext/>
              <w:spacing w:after="0" w:line="360" w:lineRule="auto"/>
              <w:ind w:left="63" w:right="63"/>
              <w:rPr>
                <w:rFonts w:hint="eastAsia" w:ascii="宋体" w:hAnsi="宋体" w:cs="宋体"/>
                <w:color w:val="auto"/>
                <w:kern w:val="2"/>
                <w:sz w:val="21"/>
                <w:szCs w:val="21"/>
                <w:highlight w:val="none"/>
                <w:lang w:val="en-US" w:eastAsia="zh-CN"/>
              </w:rPr>
            </w:pPr>
            <w:r>
              <w:rPr>
                <w:rFonts w:hint="eastAsia" w:ascii="宋体" w:hAnsi="宋体" w:cs="宋体"/>
                <w:color w:val="auto"/>
                <w:kern w:val="2"/>
                <w:sz w:val="21"/>
                <w:szCs w:val="21"/>
                <w:highlight w:val="none"/>
                <w:lang w:val="en-US" w:eastAsia="zh-CN"/>
              </w:rPr>
              <w:t>其他人员</w:t>
            </w:r>
          </w:p>
        </w:tc>
        <w:tc>
          <w:tcPr>
            <w:tcW w:w="1279" w:type="dxa"/>
            <w:noWrap w:val="0"/>
            <w:vAlign w:val="center"/>
          </w:tcPr>
          <w:p w14:paraId="0590D68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BE95DD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5D508A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874F5FC">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9740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ADABC79">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nil"/>
            </w:tcBorders>
            <w:noWrap w:val="0"/>
            <w:vAlign w:val="center"/>
          </w:tcPr>
          <w:p w14:paraId="6338D5B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43BD7B0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nil"/>
            </w:tcBorders>
            <w:noWrap w:val="0"/>
            <w:vAlign w:val="center"/>
          </w:tcPr>
          <w:p w14:paraId="1DB57E7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nil"/>
            </w:tcBorders>
            <w:noWrap w:val="0"/>
            <w:vAlign w:val="center"/>
          </w:tcPr>
          <w:p w14:paraId="7886E31F">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750D7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63FB565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5005BEE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9698A0E">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7D82F992">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EFBA096">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EB22A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783E1BA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6C4552D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6B84BD74">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37F6BBC">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2FF4D318">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577D9D9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noWrap w:val="0"/>
            <w:vAlign w:val="center"/>
          </w:tcPr>
          <w:p w14:paraId="01BC0CE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noWrap w:val="0"/>
            <w:vAlign w:val="center"/>
          </w:tcPr>
          <w:p w14:paraId="1DD4955F">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304D7A4B">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noWrap w:val="0"/>
            <w:vAlign w:val="center"/>
          </w:tcPr>
          <w:p w14:paraId="4445944D">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noWrap w:val="0"/>
            <w:vAlign w:val="center"/>
          </w:tcPr>
          <w:p w14:paraId="62880FDA">
            <w:pPr>
              <w:pStyle w:val="9"/>
              <w:keepNext/>
              <w:spacing w:after="0" w:line="360" w:lineRule="auto"/>
              <w:ind w:left="63" w:right="63"/>
              <w:rPr>
                <w:rFonts w:hint="eastAsia" w:ascii="宋体" w:hAnsi="宋体" w:cs="宋体"/>
                <w:color w:val="auto"/>
                <w:kern w:val="2"/>
                <w:sz w:val="21"/>
                <w:szCs w:val="21"/>
                <w:highlight w:val="none"/>
                <w:lang w:val="en-US" w:eastAsia="zh-CN"/>
              </w:rPr>
            </w:pPr>
          </w:p>
        </w:tc>
      </w:tr>
      <w:tr w14:paraId="6523351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7" w:hRule="atLeast"/>
          <w:jc w:val="center"/>
        </w:trPr>
        <w:tc>
          <w:tcPr>
            <w:tcW w:w="1689" w:type="dxa"/>
            <w:vMerge w:val="continue"/>
            <w:tcBorders>
              <w:bottom w:val="single" w:color="auto" w:sz="12" w:space="0"/>
            </w:tcBorders>
            <w:noWrap w:val="0"/>
            <w:vAlign w:val="center"/>
          </w:tcPr>
          <w:p w14:paraId="4671BE65">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279" w:type="dxa"/>
            <w:tcBorders>
              <w:bottom w:val="single" w:color="auto" w:sz="12" w:space="0"/>
            </w:tcBorders>
            <w:noWrap w:val="0"/>
            <w:vAlign w:val="center"/>
          </w:tcPr>
          <w:p w14:paraId="66BD8D66">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09339EAA">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1022" w:type="dxa"/>
            <w:tcBorders>
              <w:bottom w:val="single" w:color="auto" w:sz="12" w:space="0"/>
            </w:tcBorders>
            <w:noWrap w:val="0"/>
            <w:vAlign w:val="center"/>
          </w:tcPr>
          <w:p w14:paraId="346349D3">
            <w:pPr>
              <w:pStyle w:val="9"/>
              <w:keepNext/>
              <w:spacing w:after="0" w:line="360" w:lineRule="auto"/>
              <w:ind w:left="63" w:right="63"/>
              <w:rPr>
                <w:rFonts w:hint="eastAsia" w:ascii="宋体" w:hAnsi="宋体" w:cs="宋体"/>
                <w:color w:val="auto"/>
                <w:kern w:val="2"/>
                <w:sz w:val="21"/>
                <w:szCs w:val="21"/>
                <w:highlight w:val="none"/>
                <w:lang w:val="en-US" w:eastAsia="zh-CN"/>
              </w:rPr>
            </w:pPr>
          </w:p>
        </w:tc>
        <w:tc>
          <w:tcPr>
            <w:tcW w:w="3833" w:type="dxa"/>
            <w:tcBorders>
              <w:bottom w:val="single" w:color="auto" w:sz="12" w:space="0"/>
            </w:tcBorders>
            <w:noWrap w:val="0"/>
            <w:vAlign w:val="center"/>
          </w:tcPr>
          <w:p w14:paraId="376865AD">
            <w:pPr>
              <w:pStyle w:val="9"/>
              <w:keepNext/>
              <w:spacing w:after="0" w:line="360" w:lineRule="auto"/>
              <w:ind w:left="63" w:right="63"/>
              <w:rPr>
                <w:rFonts w:hint="eastAsia" w:ascii="宋体" w:hAnsi="宋体" w:cs="宋体"/>
                <w:color w:val="auto"/>
                <w:kern w:val="2"/>
                <w:sz w:val="21"/>
                <w:szCs w:val="21"/>
                <w:highlight w:val="none"/>
                <w:lang w:val="en-US" w:eastAsia="zh-CN"/>
              </w:rPr>
            </w:pPr>
          </w:p>
        </w:tc>
      </w:tr>
    </w:tbl>
    <w:p w14:paraId="5F9BC966">
      <w:pPr>
        <w:rPr>
          <w:rFonts w:asciiTheme="minorEastAsia" w:hAnsiTheme="minorEastAsia" w:eastAsiaTheme="minorEastAsia" w:cstheme="minorEastAsia"/>
          <w:b/>
          <w:color w:val="auto"/>
          <w:sz w:val="24"/>
          <w:highlight w:val="none"/>
        </w:rPr>
      </w:pPr>
    </w:p>
    <w:p w14:paraId="7E21E85B">
      <w:pPr>
        <w:spacing w:line="360" w:lineRule="auto"/>
        <w:jc w:val="center"/>
        <w:rPr>
          <w:rFonts w:asciiTheme="minorEastAsia" w:hAnsiTheme="minorEastAsia" w:eastAsiaTheme="minorEastAsia" w:cstheme="minorEastAsia"/>
          <w:b/>
          <w:color w:val="auto"/>
          <w:sz w:val="24"/>
          <w:highlight w:val="none"/>
        </w:rPr>
      </w:pPr>
    </w:p>
    <w:p w14:paraId="27CF10E5">
      <w:pPr>
        <w:spacing w:line="360" w:lineRule="auto"/>
        <w:ind w:left="720" w:firstLine="723" w:firstLineChars="200"/>
        <w:outlineLvl w:val="0"/>
        <w:rPr>
          <w:rFonts w:hint="eastAsia" w:asciiTheme="minorEastAsia" w:hAnsiTheme="minorEastAsia" w:eastAsiaTheme="minorEastAsia" w:cstheme="minorEastAsia"/>
          <w:b/>
          <w:color w:val="auto"/>
          <w:sz w:val="36"/>
          <w:szCs w:val="20"/>
          <w:highlight w:val="none"/>
        </w:rPr>
      </w:pPr>
    </w:p>
    <w:p w14:paraId="6840B0D4">
      <w:pPr>
        <w:spacing w:line="360" w:lineRule="auto"/>
        <w:ind w:left="720" w:firstLine="723" w:firstLineChars="200"/>
        <w:outlineLvl w:val="0"/>
        <w:rPr>
          <w:rFonts w:asciiTheme="minorEastAsia" w:hAnsiTheme="minorEastAsia" w:eastAsiaTheme="minorEastAsia" w:cstheme="minorEastAsia"/>
          <w:b/>
          <w:color w:val="auto"/>
          <w:sz w:val="36"/>
          <w:szCs w:val="20"/>
          <w:highlight w:val="none"/>
        </w:rPr>
      </w:pPr>
      <w:r>
        <w:rPr>
          <w:rFonts w:hint="eastAsia" w:asciiTheme="minorEastAsia" w:hAnsiTheme="minorEastAsia" w:eastAsiaTheme="minorEastAsia" w:cstheme="minorEastAsia"/>
          <w:b/>
          <w:color w:val="auto"/>
          <w:sz w:val="36"/>
          <w:szCs w:val="20"/>
          <w:highlight w:val="none"/>
        </w:rPr>
        <w:t>第六部分</w:t>
      </w:r>
      <w:bookmarkEnd w:id="393"/>
      <w:r>
        <w:rPr>
          <w:rFonts w:hint="eastAsia" w:asciiTheme="minorEastAsia" w:hAnsiTheme="minorEastAsia" w:eastAsiaTheme="minorEastAsia" w:cstheme="minorEastAsia"/>
          <w:b/>
          <w:color w:val="auto"/>
          <w:sz w:val="36"/>
          <w:szCs w:val="20"/>
          <w:highlight w:val="none"/>
        </w:rPr>
        <w:t xml:space="preserve"> </w:t>
      </w:r>
      <w:bookmarkEnd w:id="394"/>
      <w:r>
        <w:rPr>
          <w:rFonts w:hint="eastAsia" w:asciiTheme="minorEastAsia" w:hAnsiTheme="minorEastAsia" w:eastAsiaTheme="minorEastAsia" w:cstheme="minorEastAsia"/>
          <w:b/>
          <w:color w:val="auto"/>
          <w:sz w:val="36"/>
          <w:szCs w:val="20"/>
          <w:highlight w:val="none"/>
        </w:rPr>
        <w:t>应提交的有关格式范例</w:t>
      </w:r>
    </w:p>
    <w:p w14:paraId="575AB413">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7769E34">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资格文件部分</w:t>
      </w:r>
    </w:p>
    <w:p w14:paraId="72D7A2B3">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37A9AE2">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DDE7F33">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有效的企业法人营业执照（或事业法人登记证）、其他组织（个体工商户）的营业执照或者民办非企业单位登记证书；</w:t>
      </w:r>
    </w:p>
    <w:p w14:paraId="08A8FE5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符合参加政府采购活动应当具备的一般条件的承诺函；</w:t>
      </w:r>
    </w:p>
    <w:p w14:paraId="13772ACE">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落实政府采购政策需满足的资格要求</w:t>
      </w:r>
      <w:r>
        <w:rPr>
          <w:rFonts w:hint="eastAsia" w:asciiTheme="minorEastAsia" w:hAnsiTheme="minorEastAsia" w:eastAsiaTheme="minorEastAsia" w:cstheme="minorEastAsia"/>
          <w:color w:val="auto"/>
          <w:sz w:val="28"/>
          <w:szCs w:val="28"/>
          <w:highlight w:val="none"/>
          <w:lang w:eastAsia="zh-CN"/>
        </w:rPr>
        <w:t>（如有）</w:t>
      </w:r>
      <w:r>
        <w:rPr>
          <w:rFonts w:hint="eastAsia" w:asciiTheme="minorEastAsia" w:hAnsiTheme="minorEastAsia" w:eastAsiaTheme="minorEastAsia" w:cstheme="minorEastAsia"/>
          <w:color w:val="auto"/>
          <w:sz w:val="28"/>
          <w:szCs w:val="28"/>
          <w:highlight w:val="none"/>
        </w:rPr>
        <w:t>；</w:t>
      </w:r>
    </w:p>
    <w:p w14:paraId="0C66BE4B">
      <w:pPr>
        <w:adjustRightInd w:val="0"/>
        <w:snapToGrid w:val="0"/>
        <w:spacing w:line="360" w:lineRule="auto"/>
        <w:ind w:left="420" w:leftChars="200" w:firstLine="560" w:firstLineChars="2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本项目的特定资格要求。</w:t>
      </w:r>
    </w:p>
    <w:p w14:paraId="619B93FC">
      <w:pPr>
        <w:pStyle w:val="35"/>
        <w:spacing w:line="360" w:lineRule="auto"/>
        <w:ind w:firstLine="480"/>
        <w:rPr>
          <w:rFonts w:asciiTheme="minorEastAsia" w:hAnsiTheme="minorEastAsia" w:eastAsiaTheme="minorEastAsia" w:cstheme="minorEastAsia"/>
          <w:color w:val="auto"/>
          <w:sz w:val="24"/>
          <w:highlight w:val="none"/>
        </w:rPr>
      </w:pPr>
    </w:p>
    <w:p w14:paraId="1F6EFE72">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5E631B8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一、 符合参加政府采购活动应当具备的一般条件的承诺函</w:t>
      </w:r>
    </w:p>
    <w:p w14:paraId="7456290B">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471878C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我方参与</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lang w:eastAsia="zh-CN"/>
        </w:rPr>
        <w:t>】</w:t>
      </w:r>
      <w:r>
        <w:rPr>
          <w:rFonts w:hint="eastAsia" w:asciiTheme="minorEastAsia" w:hAnsiTheme="minorEastAsia" w:eastAsiaTheme="minorEastAsia" w:cstheme="minorEastAsia"/>
          <w:color w:val="auto"/>
          <w:sz w:val="24"/>
          <w:highlight w:val="none"/>
        </w:rPr>
        <w:t>政府采购活动，郑重承诺：</w:t>
      </w:r>
    </w:p>
    <w:p w14:paraId="0D30B77D">
      <w:pPr>
        <w:snapToGrid w:val="0"/>
        <w:spacing w:line="360" w:lineRule="auto"/>
        <w:ind w:firstLine="360" w:firstLineChars="1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（一）具备《中华人民共和国政府采购法》第二十二条第一款规定的条件：</w:t>
      </w:r>
    </w:p>
    <w:p w14:paraId="4DE2194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具有独立承担民事责任的能力；</w:t>
      </w:r>
    </w:p>
    <w:p w14:paraId="2092E9F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具有良好的商业信誉和健全的财务会计制度； </w:t>
      </w:r>
    </w:p>
    <w:p w14:paraId="430CDEFE">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具有履行合同所必需的设备和专业技术能力；</w:t>
      </w:r>
    </w:p>
    <w:p w14:paraId="72BE6E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有依法缴纳税收和社会保障资金的良好记录；</w:t>
      </w:r>
    </w:p>
    <w:p w14:paraId="68EACDD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参加政府采购活动前三年内，在经营活动中没有重大违法记录；</w:t>
      </w:r>
    </w:p>
    <w:p w14:paraId="6312BB3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6</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具有法律、行政法规规定的其他条件。</w:t>
      </w:r>
    </w:p>
    <w:p w14:paraId="36D1033C">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（二）未被信用中国（www.creditchina.gov.cn)、中国政府采购网（www.ccgp.gov.cn）列入失信被执行人、重大税收违法失信主体、政府采购严重违法失信行为记录名单。</w:t>
      </w:r>
    </w:p>
    <w:p w14:paraId="47BB883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（三）不存在以下情况：</w:t>
      </w:r>
    </w:p>
    <w:p w14:paraId="5BBA7C78">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单位负责人为同一人或者存在直接控股、管理关系的不同供应商参加同一合同项下的政府采购活动的；</w:t>
      </w:r>
    </w:p>
    <w:p w14:paraId="334CE30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为采购项目提供整体设计、规范编制或者项目管理、监理、检测等服务后再参加该采购项目的其他采购活动的。</w:t>
      </w:r>
    </w:p>
    <w:p w14:paraId="51A8F6C2">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1A804421">
      <w:pPr>
        <w:snapToGrid w:val="0"/>
        <w:spacing w:line="360" w:lineRule="auto"/>
        <w:ind w:firstLine="5520" w:firstLineChars="2300"/>
        <w:rPr>
          <w:rFonts w:asciiTheme="minorEastAsia" w:hAnsiTheme="minorEastAsia" w:eastAsiaTheme="minorEastAsia" w:cstheme="minorEastAsia"/>
          <w:color w:val="auto"/>
          <w:kern w:val="0"/>
          <w:sz w:val="24"/>
          <w:highlight w:val="none"/>
          <w:lang w:val="zh-CN"/>
        </w:rPr>
      </w:pPr>
    </w:p>
    <w:p w14:paraId="46FA89C9">
      <w:pPr>
        <w:spacing w:line="360" w:lineRule="auto"/>
        <w:ind w:right="420" w:firstLine="5250" w:firstLineChars="25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法定代表人（签名或印章）：     </w:t>
      </w:r>
    </w:p>
    <w:p w14:paraId="551F7A74">
      <w:pPr>
        <w:spacing w:line="360" w:lineRule="auto"/>
        <w:ind w:right="420" w:firstLine="5460" w:firstLineChars="2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供应商（盖章）：   </w:t>
      </w:r>
    </w:p>
    <w:p w14:paraId="7F088EFE">
      <w:pPr>
        <w:spacing w:line="360" w:lineRule="auto"/>
        <w:ind w:right="420" w:firstLine="5355" w:firstLineChars="255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年    月    日</w:t>
      </w:r>
    </w:p>
    <w:p w14:paraId="09E6F0E4">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D4F5C8C">
      <w:pPr>
        <w:spacing w:line="360" w:lineRule="auto"/>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br w:type="page"/>
      </w:r>
    </w:p>
    <w:p w14:paraId="270282BE">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rPr>
        <w:t>二、落实政府采购政策需满足的资格要求</w:t>
      </w:r>
    </w:p>
    <w:p w14:paraId="3BB9B39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（根据竞争性磋商公告落实政府采购政策需满足的资格要求选择提供相应的材料；未要求的，无需提供）</w:t>
      </w:r>
    </w:p>
    <w:p w14:paraId="4E1CB5FF">
      <w:pPr>
        <w:snapToGrid w:val="0"/>
        <w:spacing w:before="50" w:after="50"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A</w:t>
      </w:r>
      <w:r>
        <w:rPr>
          <w:rFonts w:hint="eastAsia" w:asciiTheme="minorEastAsia" w:hAnsiTheme="minorEastAsia" w:eastAsiaTheme="minorEastAsia" w:cstheme="minorEastAsia"/>
          <w:color w:val="auto"/>
          <w:sz w:val="24"/>
          <w:highlight w:val="none"/>
        </w:rPr>
        <w:t xml:space="preserve">.专门面向中小企业，货物全部由符合政策要求的中小企业（或小微企业）制造或者服务全部由符合政策要求的中小企业（或小微企业）承接的，提供相应的中小企业声明函。 </w:t>
      </w:r>
    </w:p>
    <w:p w14:paraId="22163EB5">
      <w:pPr>
        <w:widowControl/>
        <w:spacing w:line="360" w:lineRule="auto"/>
        <w:ind w:firstLine="480"/>
        <w:jc w:val="left"/>
        <w:rPr>
          <w:rFonts w:asciiTheme="minorEastAsia" w:hAnsiTheme="minorEastAsia" w:eastAsiaTheme="minorEastAsia" w:cstheme="minorEastAsia"/>
          <w:color w:val="auto"/>
          <w:sz w:val="24"/>
          <w:highlight w:val="none"/>
        </w:rPr>
      </w:pPr>
    </w:p>
    <w:p w14:paraId="08AE6D15">
      <w:pPr>
        <w:widowControl/>
        <w:spacing w:line="360" w:lineRule="auto"/>
        <w:ind w:firstLine="472" w:firstLineChars="196"/>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B.</w:t>
      </w:r>
      <w:r>
        <w:rPr>
          <w:rFonts w:hint="eastAsia" w:asciiTheme="minorEastAsia" w:hAnsiTheme="minorEastAsia" w:eastAsiaTheme="minorEastAsia" w:cstheme="minorEastAsia"/>
          <w:color w:val="auto"/>
          <w:sz w:val="24"/>
          <w:highlight w:val="none"/>
        </w:rPr>
        <w:t>要求以联合体形式参加的，提供联合协议和中小企业声明函，联合协议中中小企业合同金额应当达到竞争性磋商公告载明的比例；如果供应商本身提供所有标的均由中小企业制造或承接的，视同符合了资格条件，无需再与其他中小企业组成联合体参加政府采购活动，无需提供联合协议。</w:t>
      </w:r>
    </w:p>
    <w:p w14:paraId="40F7805A">
      <w:pPr>
        <w:spacing w:line="360" w:lineRule="auto"/>
        <w:jc w:val="center"/>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rPr>
        <w:t>三、本项目的特定资格要求</w:t>
      </w:r>
    </w:p>
    <w:p w14:paraId="064F0A3F">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（根据竞争性磋商公告本项目的特定资格要求提供相应的材料；未要求的，无需提供）</w:t>
      </w:r>
    </w:p>
    <w:p w14:paraId="117DF92A">
      <w:pPr>
        <w:spacing w:line="360" w:lineRule="auto"/>
        <w:rPr>
          <w:rFonts w:asciiTheme="minorEastAsia" w:hAnsiTheme="minorEastAsia" w:eastAsiaTheme="minorEastAsia" w:cstheme="minorEastAsia"/>
          <w:color w:val="auto"/>
          <w:highlight w:val="none"/>
        </w:rPr>
      </w:pPr>
    </w:p>
    <w:p w14:paraId="43B3CBD5">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24A5D7CD">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69AEBA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42DCE5EF">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B7EB332">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7BB5BDB9">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1E07E31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6CDC0A8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5EE151A9">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42D160DB">
      <w:pPr>
        <w:snapToGrid w:val="0"/>
        <w:spacing w:line="360" w:lineRule="auto"/>
        <w:ind w:right="480"/>
        <w:jc w:val="center"/>
        <w:rPr>
          <w:rFonts w:asciiTheme="minorEastAsia" w:hAnsiTheme="minorEastAsia" w:eastAsiaTheme="minorEastAsia" w:cstheme="minorEastAsia"/>
          <w:b/>
          <w:color w:val="auto"/>
          <w:kern w:val="0"/>
          <w:sz w:val="32"/>
          <w:szCs w:val="32"/>
          <w:highlight w:val="none"/>
        </w:rPr>
      </w:pPr>
    </w:p>
    <w:p w14:paraId="3AE2197B">
      <w:pPr>
        <w:spacing w:line="360" w:lineRule="auto"/>
        <w:jc w:val="center"/>
        <w:outlineLvl w:val="0"/>
        <w:rPr>
          <w:rFonts w:asciiTheme="minorEastAsia" w:hAnsiTheme="minorEastAsia" w:eastAsiaTheme="minorEastAsia" w:cstheme="minorEastAsia"/>
          <w:b/>
          <w:color w:val="auto"/>
          <w:kern w:val="0"/>
          <w:sz w:val="36"/>
          <w:szCs w:val="36"/>
          <w:highlight w:val="none"/>
        </w:rPr>
      </w:pPr>
    </w:p>
    <w:p w14:paraId="0BCE39E9">
      <w:pPr>
        <w:spacing w:line="360" w:lineRule="auto"/>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br w:type="page"/>
      </w:r>
    </w:p>
    <w:p w14:paraId="3532A4F6">
      <w:pPr>
        <w:spacing w:line="360" w:lineRule="auto"/>
        <w:ind w:right="420"/>
        <w:jc w:val="center"/>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商务技术文件部分</w:t>
      </w:r>
    </w:p>
    <w:p w14:paraId="21B2108F">
      <w:pPr>
        <w:spacing w:line="360" w:lineRule="auto"/>
        <w:jc w:val="center"/>
        <w:outlineLvl w:val="0"/>
        <w:rPr>
          <w:rFonts w:asciiTheme="minorEastAsia" w:hAnsiTheme="minorEastAsia" w:eastAsiaTheme="minorEastAsia" w:cstheme="minorEastAsia"/>
          <w:b/>
          <w:color w:val="auto"/>
          <w:kern w:val="0"/>
          <w:sz w:val="24"/>
          <w:highlight w:val="none"/>
        </w:rPr>
      </w:pPr>
    </w:p>
    <w:p w14:paraId="4584205F">
      <w:pPr>
        <w:spacing w:line="360" w:lineRule="auto"/>
        <w:ind w:left="3990" w:leftChars="1900"/>
        <w:outlineLvl w:val="0"/>
        <w:rPr>
          <w:rFonts w:asciiTheme="minorEastAsia" w:hAnsiTheme="minorEastAsia" w:eastAsiaTheme="minorEastAsia" w:cstheme="minorEastAsia"/>
          <w:b/>
          <w:color w:val="auto"/>
          <w:kern w:val="0"/>
          <w:sz w:val="28"/>
          <w:szCs w:val="28"/>
          <w:highlight w:val="none"/>
        </w:rPr>
      </w:pPr>
      <w:r>
        <w:rPr>
          <w:rFonts w:hint="eastAsia" w:asciiTheme="minorEastAsia" w:hAnsiTheme="minorEastAsia" w:eastAsiaTheme="minorEastAsia" w:cstheme="minorEastAsia"/>
          <w:b/>
          <w:color w:val="auto"/>
          <w:kern w:val="0"/>
          <w:sz w:val="28"/>
          <w:szCs w:val="28"/>
          <w:highlight w:val="none"/>
        </w:rPr>
        <w:t>目 录</w:t>
      </w:r>
    </w:p>
    <w:p w14:paraId="7515BFC1">
      <w:pPr>
        <w:snapToGrid w:val="0"/>
        <w:spacing w:line="360" w:lineRule="auto"/>
        <w:ind w:firstLine="960" w:firstLineChars="400"/>
        <w:rPr>
          <w:rFonts w:asciiTheme="minorEastAsia" w:hAnsiTheme="minorEastAsia" w:eastAsiaTheme="minorEastAsia" w:cstheme="minorEastAsia"/>
          <w:color w:val="auto"/>
          <w:sz w:val="24"/>
          <w:highlight w:val="none"/>
        </w:rPr>
      </w:pPr>
    </w:p>
    <w:p w14:paraId="7A099027">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符合性自查表；</w:t>
      </w:r>
    </w:p>
    <w:p w14:paraId="4652E54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2 磋商函；</w:t>
      </w:r>
      <w:r>
        <w:rPr>
          <w:rFonts w:hint="eastAsia" w:asciiTheme="minorEastAsia" w:hAnsiTheme="minorEastAsia" w:eastAsiaTheme="minorEastAsia" w:cstheme="minorEastAsia"/>
          <w:color w:val="auto"/>
          <w:sz w:val="28"/>
          <w:szCs w:val="28"/>
          <w:highlight w:val="none"/>
          <w:lang w:val="zh-CN"/>
        </w:rPr>
        <w:t xml:space="preserve"> </w:t>
      </w:r>
    </w:p>
    <w:p w14:paraId="3F04F826">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3 授权委托书；</w:t>
      </w:r>
    </w:p>
    <w:p w14:paraId="7F3A0133">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4 供应商情况表；</w:t>
      </w:r>
    </w:p>
    <w:p w14:paraId="4C776522">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5 距采购人最近或者能为本项目提供最优服务的网点情况表；</w:t>
      </w:r>
    </w:p>
    <w:p w14:paraId="3FDA460A">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6 评审标准相应的商务技术资料；</w:t>
      </w:r>
    </w:p>
    <w:p w14:paraId="3801F2DD">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7 商务偏离表；</w:t>
      </w:r>
    </w:p>
    <w:p w14:paraId="65FFD335">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8 技术偏离表；</w:t>
      </w:r>
    </w:p>
    <w:p w14:paraId="0AD558F4">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9 同类业绩情况一览表；</w:t>
      </w:r>
    </w:p>
    <w:p w14:paraId="3DDF9F00">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lang w:val="zh-CN"/>
        </w:rPr>
      </w:pPr>
      <w:r>
        <w:rPr>
          <w:rFonts w:hint="eastAsia" w:asciiTheme="minorEastAsia" w:hAnsiTheme="minorEastAsia" w:eastAsiaTheme="minorEastAsia" w:cstheme="minorEastAsia"/>
          <w:color w:val="auto"/>
          <w:sz w:val="28"/>
          <w:szCs w:val="28"/>
          <w:highlight w:val="none"/>
        </w:rPr>
        <w:t xml:space="preserve">10 </w:t>
      </w:r>
      <w:r>
        <w:rPr>
          <w:rFonts w:hint="eastAsia" w:asciiTheme="minorEastAsia" w:hAnsiTheme="minorEastAsia" w:eastAsiaTheme="minorEastAsia" w:cstheme="minorEastAsia"/>
          <w:color w:val="auto"/>
          <w:sz w:val="28"/>
          <w:szCs w:val="28"/>
          <w:highlight w:val="none"/>
          <w:lang w:val="zh-CN"/>
        </w:rPr>
        <w:t>政府采购供应商廉洁自律承诺书；</w:t>
      </w:r>
    </w:p>
    <w:p w14:paraId="41EC72C8">
      <w:pPr>
        <w:adjustRightInd w:val="0"/>
        <w:snapToGrid w:val="0"/>
        <w:spacing w:line="360" w:lineRule="auto"/>
        <w:ind w:firstLine="840" w:firstLineChars="3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11 其他资料。</w:t>
      </w:r>
    </w:p>
    <w:p w14:paraId="6B7C6638">
      <w:pPr>
        <w:snapToGrid w:val="0"/>
        <w:spacing w:line="360" w:lineRule="auto"/>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color w:val="auto"/>
          <w:kern w:val="0"/>
          <w:sz w:val="24"/>
          <w:highlight w:val="none"/>
        </w:rPr>
        <w:br w:type="page"/>
      </w:r>
    </w:p>
    <w:p w14:paraId="68C6F99F">
      <w:pPr>
        <w:numPr>
          <w:ilvl w:val="0"/>
          <w:numId w:val="0"/>
        </w:numPr>
        <w:snapToGrid w:val="0"/>
        <w:spacing w:line="360" w:lineRule="auto"/>
        <w:ind w:left="2730" w:leftChars="0" w:firstLine="0" w:firstLineChars="0"/>
        <w:jc w:val="left"/>
        <w:outlineLvl w:val="0"/>
        <w:rPr>
          <w:rFonts w:asciiTheme="minorEastAsia" w:hAnsiTheme="minorEastAsia" w:eastAsiaTheme="minorEastAsia" w:cstheme="minorEastAsia"/>
          <w:b/>
          <w:color w:val="auto"/>
          <w:kern w:val="0"/>
          <w:sz w:val="32"/>
          <w:szCs w:val="32"/>
          <w:highlight w:val="none"/>
        </w:rPr>
      </w:pPr>
      <w:r>
        <w:rPr>
          <w:rFonts w:hint="eastAsia" w:asciiTheme="minorEastAsia" w:hAnsiTheme="minorEastAsia" w:eastAsiaTheme="minorEastAsia" w:cstheme="minorEastAsia"/>
          <w:b/>
          <w:color w:val="auto"/>
          <w:kern w:val="0"/>
          <w:sz w:val="32"/>
          <w:szCs w:val="32"/>
          <w:highlight w:val="none"/>
          <w:lang w:val="en-US" w:eastAsia="zh-CN" w:bidi="ar-SA"/>
        </w:rPr>
        <w:t>一、</w:t>
      </w:r>
      <w:r>
        <w:rPr>
          <w:rFonts w:hint="eastAsia" w:asciiTheme="minorEastAsia" w:hAnsiTheme="minorEastAsia" w:eastAsiaTheme="minorEastAsia" w:cstheme="minorEastAsia"/>
          <w:b/>
          <w:color w:val="auto"/>
          <w:kern w:val="0"/>
          <w:sz w:val="32"/>
          <w:szCs w:val="32"/>
          <w:highlight w:val="none"/>
        </w:rPr>
        <w:t>符合性自查表</w:t>
      </w:r>
    </w:p>
    <w:tbl>
      <w:tblPr>
        <w:tblStyle w:val="24"/>
        <w:tblW w:w="1019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3544"/>
        <w:gridCol w:w="2693"/>
        <w:gridCol w:w="1276"/>
        <w:gridCol w:w="1979"/>
      </w:tblGrid>
      <w:tr w14:paraId="1828A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707" w:type="dxa"/>
            <w:vAlign w:val="center"/>
          </w:tcPr>
          <w:p w14:paraId="00F084E6">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序号</w:t>
            </w:r>
          </w:p>
        </w:tc>
        <w:tc>
          <w:tcPr>
            <w:tcW w:w="3544" w:type="dxa"/>
            <w:vAlign w:val="center"/>
          </w:tcPr>
          <w:p w14:paraId="2B764B03">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实质性要求</w:t>
            </w:r>
          </w:p>
        </w:tc>
        <w:tc>
          <w:tcPr>
            <w:tcW w:w="2693" w:type="dxa"/>
            <w:vAlign w:val="center"/>
          </w:tcPr>
          <w:p w14:paraId="25854E89">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需要提供的符合性审查资料</w:t>
            </w:r>
          </w:p>
        </w:tc>
        <w:tc>
          <w:tcPr>
            <w:tcW w:w="1276" w:type="dxa"/>
            <w:vAlign w:val="center"/>
          </w:tcPr>
          <w:p w14:paraId="728C30F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 w:val="24"/>
                <w:highlight w:val="none"/>
              </w:rPr>
              <w:t>自查结论</w:t>
            </w:r>
          </w:p>
        </w:tc>
        <w:tc>
          <w:tcPr>
            <w:tcW w:w="1979" w:type="dxa"/>
            <w:vAlign w:val="center"/>
          </w:tcPr>
          <w:p w14:paraId="1463EFC2">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响应文件中的</w:t>
            </w:r>
          </w:p>
          <w:p w14:paraId="7BCF738B">
            <w:pPr>
              <w:snapToGrid w:val="0"/>
              <w:spacing w:line="360" w:lineRule="auto"/>
              <w:jc w:val="center"/>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页码位置</w:t>
            </w:r>
          </w:p>
        </w:tc>
      </w:tr>
      <w:tr w14:paraId="70FB1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17223B9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p>
        </w:tc>
        <w:tc>
          <w:tcPr>
            <w:tcW w:w="3544" w:type="dxa"/>
            <w:vAlign w:val="center"/>
          </w:tcPr>
          <w:p w14:paraId="7C732890">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响应文件按照采购文件要求签署、盖章。</w:t>
            </w:r>
          </w:p>
        </w:tc>
        <w:tc>
          <w:tcPr>
            <w:tcW w:w="2693" w:type="dxa"/>
            <w:vAlign w:val="center"/>
          </w:tcPr>
          <w:p w14:paraId="77A9EF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需要使用电子签名或者签字盖章的响应文件的组成部分</w:t>
            </w:r>
          </w:p>
        </w:tc>
        <w:tc>
          <w:tcPr>
            <w:tcW w:w="1276" w:type="dxa"/>
            <w:vAlign w:val="center"/>
          </w:tcPr>
          <w:p w14:paraId="44B3C2D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13F8680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5F660686">
            <w:pPr>
              <w:spacing w:line="360" w:lineRule="auto"/>
              <w:rPr>
                <w:rFonts w:asciiTheme="minorEastAsia" w:hAnsiTheme="minorEastAsia" w:eastAsiaTheme="minorEastAsia" w:cstheme="minorEastAsia"/>
                <w:color w:val="auto"/>
                <w:sz w:val="24"/>
                <w:highlight w:val="none"/>
              </w:rPr>
            </w:pPr>
          </w:p>
          <w:p w14:paraId="7606AEB8">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w:t>
            </w:r>
          </w:p>
          <w:p w14:paraId="4CD7F840">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6FC8F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07" w:type="dxa"/>
            <w:vAlign w:val="center"/>
          </w:tcPr>
          <w:p w14:paraId="7778BEDD">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p>
        </w:tc>
        <w:tc>
          <w:tcPr>
            <w:tcW w:w="3544" w:type="dxa"/>
            <w:vAlign w:val="center"/>
          </w:tcPr>
          <w:p w14:paraId="75894603">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响应文件中承诺的响应有效期不少于采购文件中载明的响应有效期。</w:t>
            </w:r>
          </w:p>
        </w:tc>
        <w:tc>
          <w:tcPr>
            <w:tcW w:w="2693" w:type="dxa"/>
            <w:vAlign w:val="center"/>
          </w:tcPr>
          <w:p w14:paraId="4A9D3762">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磋商函</w:t>
            </w:r>
          </w:p>
        </w:tc>
        <w:tc>
          <w:tcPr>
            <w:tcW w:w="1276" w:type="dxa"/>
            <w:vAlign w:val="center"/>
          </w:tcPr>
          <w:p w14:paraId="1D0706FE">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0A2F09BC">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4D0B3C3F">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13BEC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1" w:hRule="atLeast"/>
          <w:jc w:val="center"/>
        </w:trPr>
        <w:tc>
          <w:tcPr>
            <w:tcW w:w="707" w:type="dxa"/>
            <w:vAlign w:val="center"/>
          </w:tcPr>
          <w:p w14:paraId="3BCC5E4A">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p>
        </w:tc>
        <w:tc>
          <w:tcPr>
            <w:tcW w:w="3544" w:type="dxa"/>
            <w:vAlign w:val="center"/>
          </w:tcPr>
          <w:p w14:paraId="61B68B4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响应文件满足采购文件的其它实质性要求。</w:t>
            </w:r>
          </w:p>
        </w:tc>
        <w:tc>
          <w:tcPr>
            <w:tcW w:w="2693" w:type="dxa"/>
            <w:vAlign w:val="center"/>
          </w:tcPr>
          <w:p w14:paraId="709B17B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kern w:val="0"/>
                <w:sz w:val="24"/>
                <w:highlight w:val="none"/>
              </w:rPr>
              <w:t>采购文件其它实质性要求相应的材料（“▲” 系指实质性要求条款，采购文件无其它实质性要求的，无需提供）</w:t>
            </w:r>
          </w:p>
        </w:tc>
        <w:tc>
          <w:tcPr>
            <w:tcW w:w="1276" w:type="dxa"/>
            <w:vAlign w:val="center"/>
          </w:tcPr>
          <w:p w14:paraId="295AAC96">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50C459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76176A55">
            <w:pPr>
              <w:spacing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5FA98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7300E0BB">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p>
        </w:tc>
        <w:tc>
          <w:tcPr>
            <w:tcW w:w="3544" w:type="dxa"/>
            <w:vAlign w:val="center"/>
          </w:tcPr>
          <w:p w14:paraId="48157626">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响应文件没有采购文件中规定的其它无效响应条款的。</w:t>
            </w:r>
          </w:p>
        </w:tc>
        <w:tc>
          <w:tcPr>
            <w:tcW w:w="2693" w:type="dxa"/>
            <w:vAlign w:val="center"/>
          </w:tcPr>
          <w:p w14:paraId="17375CF4">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32AFD5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1B232599">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0589D567">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r w14:paraId="784F73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jc w:val="center"/>
        </w:trPr>
        <w:tc>
          <w:tcPr>
            <w:tcW w:w="707" w:type="dxa"/>
            <w:vAlign w:val="center"/>
          </w:tcPr>
          <w:p w14:paraId="27765109">
            <w:pPr>
              <w:spacing w:line="360" w:lineRule="auto"/>
              <w:jc w:val="cente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p>
        </w:tc>
        <w:tc>
          <w:tcPr>
            <w:tcW w:w="3544" w:type="dxa"/>
            <w:vAlign w:val="center"/>
          </w:tcPr>
          <w:p w14:paraId="47C5D7F3">
            <w:pPr>
              <w:snapToGrid w:val="0"/>
              <w:spacing w:line="360" w:lineRule="auto"/>
              <w:jc w:val="left"/>
              <w:rPr>
                <w:rFonts w:asciiTheme="minorEastAsia" w:hAnsiTheme="minorEastAsia" w:eastAsiaTheme="minorEastAsia" w:cstheme="minorEastAsia"/>
                <w:bCs/>
                <w:color w:val="auto"/>
                <w:sz w:val="24"/>
                <w:highlight w:val="none"/>
              </w:rPr>
            </w:pPr>
            <w:r>
              <w:rPr>
                <w:rFonts w:hint="eastAsia" w:asciiTheme="minorEastAsia" w:hAnsiTheme="minorEastAsia" w:eastAsiaTheme="minorEastAsia" w:cstheme="minorEastAsia"/>
                <w:bCs/>
                <w:color w:val="auto"/>
                <w:sz w:val="24"/>
                <w:highlight w:val="none"/>
              </w:rPr>
              <w:t>按有关法律、法规、规章不属于响应无效的。</w:t>
            </w:r>
          </w:p>
        </w:tc>
        <w:tc>
          <w:tcPr>
            <w:tcW w:w="2693" w:type="dxa"/>
            <w:vAlign w:val="center"/>
          </w:tcPr>
          <w:p w14:paraId="5404DA7D">
            <w:pPr>
              <w:spacing w:line="360" w:lineRule="auto"/>
              <w:rPr>
                <w:rFonts w:asciiTheme="minorEastAsia" w:hAnsiTheme="minorEastAsia" w:eastAsiaTheme="minorEastAsia" w:cstheme="minorEastAsia"/>
                <w:color w:val="auto"/>
                <w:kern w:val="0"/>
                <w:sz w:val="24"/>
                <w:highlight w:val="none"/>
              </w:rPr>
            </w:pPr>
          </w:p>
        </w:tc>
        <w:tc>
          <w:tcPr>
            <w:tcW w:w="1276" w:type="dxa"/>
            <w:vAlign w:val="center"/>
          </w:tcPr>
          <w:p w14:paraId="21917CD1">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□通过 </w:t>
            </w:r>
          </w:p>
          <w:p w14:paraId="4252BA55">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□不通过</w:t>
            </w:r>
          </w:p>
        </w:tc>
        <w:tc>
          <w:tcPr>
            <w:tcW w:w="1979" w:type="dxa"/>
            <w:vAlign w:val="center"/>
          </w:tcPr>
          <w:p w14:paraId="6F723C1D">
            <w:pPr>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见响应文件第</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页</w:t>
            </w:r>
          </w:p>
        </w:tc>
      </w:tr>
    </w:tbl>
    <w:p w14:paraId="0E3E6CA2">
      <w:pPr>
        <w:snapToGrid w:val="0"/>
        <w:spacing w:line="360" w:lineRule="auto"/>
        <w:jc w:val="left"/>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24"/>
          <w:highlight w:val="none"/>
        </w:rPr>
        <w:t xml:space="preserve">备注：供应商自查表将作为供应商有效性审查的重要内容之一，供应商必须严格按照其内容及序列要求在响应文件中对应如实提供，对资格性证明文件的任何缺漏和不符合项将会直接导致响应无效！ </w:t>
      </w:r>
    </w:p>
    <w:p w14:paraId="34C702AF">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28941E03">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47A2ADE8">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14DCB5F3">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0FB54B1A">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36DDCB57">
      <w:pPr>
        <w:numPr>
          <w:ilvl w:val="0"/>
          <w:numId w:val="0"/>
        </w:numPr>
        <w:snapToGrid w:val="0"/>
        <w:spacing w:line="360" w:lineRule="auto"/>
        <w:ind w:left="2730" w:leftChars="0" w:firstLine="0" w:firstLineChars="0"/>
        <w:jc w:val="left"/>
        <w:outlineLvl w:val="0"/>
        <w:rPr>
          <w:rFonts w:hint="eastAsia" w:asciiTheme="minorEastAsia" w:hAnsiTheme="minorEastAsia" w:eastAsiaTheme="minorEastAsia" w:cstheme="minorEastAsia"/>
          <w:b/>
          <w:color w:val="auto"/>
          <w:kern w:val="2"/>
          <w:sz w:val="32"/>
          <w:szCs w:val="32"/>
          <w:highlight w:val="none"/>
          <w:lang w:val="en-US" w:eastAsia="zh-CN" w:bidi="ar-SA"/>
        </w:rPr>
      </w:pPr>
    </w:p>
    <w:p w14:paraId="67096FC3">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kern w:val="2"/>
          <w:sz w:val="32"/>
          <w:szCs w:val="32"/>
          <w:highlight w:val="none"/>
          <w:lang w:val="en-US" w:eastAsia="zh-CN" w:bidi="ar-SA"/>
        </w:rPr>
        <w:t>二、</w:t>
      </w:r>
      <w:r>
        <w:rPr>
          <w:rFonts w:hint="eastAsia" w:asciiTheme="minorEastAsia" w:hAnsiTheme="minorEastAsia" w:eastAsiaTheme="minorEastAsia" w:cstheme="minorEastAsia"/>
          <w:b/>
          <w:color w:val="auto"/>
          <w:kern w:val="0"/>
          <w:sz w:val="32"/>
          <w:szCs w:val="32"/>
          <w:highlight w:val="none"/>
          <w:lang w:val="en-US" w:eastAsia="zh-CN"/>
        </w:rPr>
        <w:t xml:space="preserve"> </w:t>
      </w:r>
      <w:r>
        <w:rPr>
          <w:rFonts w:hint="eastAsia" w:asciiTheme="minorEastAsia" w:hAnsiTheme="minorEastAsia" w:eastAsiaTheme="minorEastAsia" w:cstheme="minorEastAsia"/>
          <w:b/>
          <w:color w:val="auto"/>
          <w:kern w:val="0"/>
          <w:sz w:val="32"/>
          <w:szCs w:val="32"/>
          <w:highlight w:val="none"/>
        </w:rPr>
        <w:t>磋商</w:t>
      </w:r>
      <w:r>
        <w:rPr>
          <w:rFonts w:hint="eastAsia" w:asciiTheme="minorEastAsia" w:hAnsiTheme="minorEastAsia" w:eastAsiaTheme="minorEastAsia" w:cstheme="minorEastAsia"/>
          <w:b/>
          <w:color w:val="auto"/>
          <w:sz w:val="32"/>
          <w:szCs w:val="32"/>
          <w:highlight w:val="none"/>
        </w:rPr>
        <w:t>函</w:t>
      </w:r>
    </w:p>
    <w:p w14:paraId="45BC6E56">
      <w:pPr>
        <w:snapToGrid w:val="0"/>
        <w:spacing w:line="360" w:lineRule="auto"/>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sz w:val="24"/>
          <w:highlight w:val="none"/>
        </w:rPr>
        <w:t>：</w:t>
      </w:r>
    </w:p>
    <w:p w14:paraId="02E2779F">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我方参加你方组织的</w:t>
      </w:r>
      <w:r>
        <w:rPr>
          <w:rFonts w:hint="eastAsia" w:asciiTheme="minorEastAsia" w:hAnsiTheme="minorEastAsia" w:eastAsiaTheme="minorEastAsia" w:cstheme="minorEastAsia"/>
          <w:color w:val="auto"/>
          <w:sz w:val="24"/>
          <w:highlight w:val="none"/>
          <w:u w:val="single"/>
        </w:rPr>
        <w:t>（项目名称）【</w:t>
      </w:r>
      <w:r>
        <w:rPr>
          <w:rFonts w:hint="eastAsia" w:asciiTheme="minorEastAsia" w:hAnsiTheme="minorEastAsia" w:eastAsiaTheme="minorEastAsia" w:cstheme="minorEastAsia"/>
          <w:color w:val="auto"/>
          <w:sz w:val="24"/>
          <w:highlight w:val="none"/>
          <w:u w:val="single"/>
          <w:lang w:eastAsia="zh-CN"/>
        </w:rPr>
        <w:t>项目编号</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w:t>
      </w:r>
      <w:r>
        <w:rPr>
          <w:rFonts w:hint="eastAsia" w:asciiTheme="minorEastAsia" w:hAnsiTheme="minorEastAsia" w:eastAsiaTheme="minorEastAsia" w:cstheme="minorEastAsia"/>
          <w:color w:val="auto"/>
          <w:sz w:val="24"/>
          <w:highlight w:val="none"/>
        </w:rPr>
        <w:t>采购活动，并对此项目进行磋商响应。为此：</w:t>
      </w:r>
    </w:p>
    <w:p w14:paraId="00AAB754">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1</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我方承诺响应有效期从提交响应文件的截止之日起</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天（不少于90天）</w:t>
      </w:r>
      <w:r>
        <w:rPr>
          <w:rFonts w:hint="eastAsia" w:asciiTheme="minorEastAsia" w:hAnsiTheme="minorEastAsia" w:eastAsiaTheme="minorEastAsia" w:cstheme="minorEastAsia"/>
          <w:color w:val="auto"/>
          <w:highlight w:val="none"/>
        </w:rPr>
        <w:t>，</w:t>
      </w:r>
      <w:r>
        <w:rPr>
          <w:rFonts w:hint="eastAsia" w:asciiTheme="minorEastAsia" w:hAnsiTheme="minorEastAsia" w:eastAsiaTheme="minorEastAsia" w:cstheme="minorEastAsia"/>
          <w:color w:val="auto"/>
          <w:sz w:val="24"/>
          <w:highlight w:val="none"/>
        </w:rPr>
        <w:t>本响应文件在响应有效期满之前均具有约束力。</w:t>
      </w:r>
    </w:p>
    <w:p w14:paraId="129E7E26">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我方的响应文件包括以下内容：</w:t>
      </w:r>
    </w:p>
    <w:p w14:paraId="40904BB9">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2.1资格文件：</w:t>
      </w:r>
    </w:p>
    <w:p w14:paraId="03FE5CD6">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2.1.1有效的企业法人营业执照（或事业法人登记证）、其他组织（个体工商户）的营业执照或者民办非企业单位登记证书；</w:t>
      </w:r>
    </w:p>
    <w:p w14:paraId="5FDFF5C8">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2.1.2符合参加政府采购活动应当具备的一般条件的承诺函；</w:t>
      </w:r>
    </w:p>
    <w:p w14:paraId="493FAE12">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2.1.3落实政府采购政策需满足的资格要求（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2667BD3E">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2.1.4本项目的特定资格要求（</w:t>
      </w:r>
      <w:r>
        <w:rPr>
          <w:rFonts w:hint="eastAsia" w:asciiTheme="minorEastAsia" w:hAnsiTheme="minorEastAsia" w:eastAsiaTheme="minorEastAsia" w:cstheme="minorEastAsia"/>
          <w:color w:val="auto"/>
          <w:sz w:val="24"/>
          <w:highlight w:val="none"/>
          <w:lang w:eastAsia="zh-CN"/>
        </w:rPr>
        <w:t>如有</w:t>
      </w:r>
      <w:r>
        <w:rPr>
          <w:rFonts w:hint="eastAsia" w:asciiTheme="minorEastAsia" w:hAnsiTheme="minorEastAsia" w:eastAsiaTheme="minorEastAsia" w:cstheme="minorEastAsia"/>
          <w:color w:val="auto"/>
          <w:sz w:val="24"/>
          <w:highlight w:val="none"/>
        </w:rPr>
        <w:t>）。</w:t>
      </w:r>
    </w:p>
    <w:p w14:paraId="710DD750">
      <w:pPr>
        <w:snapToGrid w:val="0"/>
        <w:spacing w:line="360" w:lineRule="auto"/>
        <w:ind w:left="210" w:leftChars="1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 xml:space="preserve"> </w:t>
      </w:r>
      <w:r>
        <w:rPr>
          <w:rFonts w:hint="eastAsia" w:asciiTheme="minorEastAsia" w:hAnsiTheme="minorEastAsia" w:eastAsiaTheme="minorEastAsia" w:cstheme="minorEastAsia"/>
          <w:color w:val="auto"/>
          <w:sz w:val="24"/>
          <w:highlight w:val="none"/>
        </w:rPr>
        <w:t>商务技术</w:t>
      </w:r>
      <w:r>
        <w:rPr>
          <w:rFonts w:hint="eastAsia" w:asciiTheme="minorEastAsia" w:hAnsiTheme="minorEastAsia" w:eastAsiaTheme="minorEastAsia" w:cstheme="minorEastAsia"/>
          <w:color w:val="auto"/>
          <w:sz w:val="24"/>
          <w:highlight w:val="none"/>
          <w:lang w:val="zh-CN"/>
        </w:rPr>
        <w:t>文件：</w:t>
      </w:r>
    </w:p>
    <w:p w14:paraId="4FEDD9F5">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 符合性自查表；</w:t>
      </w:r>
    </w:p>
    <w:p w14:paraId="0FD93CE5">
      <w:pPr>
        <w:snapToGrid w:val="0"/>
        <w:spacing w:line="360" w:lineRule="auto"/>
        <w:ind w:left="420" w:leftChars="200" w:firstLine="480" w:firstLineChars="200"/>
        <w:rPr>
          <w:rFonts w:asciiTheme="minorEastAsia" w:hAnsiTheme="minorEastAsia" w:eastAsiaTheme="minorEastAsia" w:cstheme="minorEastAsia"/>
          <w:color w:val="auto"/>
          <w:highlight w:val="none"/>
          <w:lang w:val="zh-CN"/>
        </w:rPr>
      </w:pPr>
      <w:r>
        <w:rPr>
          <w:rFonts w:hint="eastAsia" w:asciiTheme="minorEastAsia" w:hAnsiTheme="minorEastAsia" w:eastAsiaTheme="minorEastAsia" w:cstheme="minorEastAsia"/>
          <w:color w:val="auto"/>
          <w:sz w:val="24"/>
          <w:highlight w:val="none"/>
        </w:rPr>
        <w:t>2.2.2 磋商函；</w:t>
      </w:r>
      <w:r>
        <w:rPr>
          <w:rFonts w:hint="eastAsia" w:asciiTheme="minorEastAsia" w:hAnsiTheme="minorEastAsia" w:eastAsiaTheme="minorEastAsia" w:cstheme="minorEastAsia"/>
          <w:color w:val="auto"/>
          <w:sz w:val="24"/>
          <w:highlight w:val="none"/>
          <w:lang w:val="zh-CN"/>
        </w:rPr>
        <w:t xml:space="preserve"> </w:t>
      </w:r>
    </w:p>
    <w:p w14:paraId="4C8EBBD5">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2.2.3 授权委托书；</w:t>
      </w:r>
    </w:p>
    <w:p w14:paraId="77E0F8AC">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2.2.4 供应商情况表；</w:t>
      </w:r>
    </w:p>
    <w:p w14:paraId="5E813371">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2.2.5 距采购人最近或者能为本项目提供最优服务的网点情况表；</w:t>
      </w:r>
    </w:p>
    <w:p w14:paraId="53B80293">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2.2.6 评审标准相应的商务技术资料；</w:t>
      </w:r>
    </w:p>
    <w:p w14:paraId="01FE4DB4">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7 商务</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03E7C9AA">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8 技术</w:t>
      </w:r>
      <w:r>
        <w:rPr>
          <w:rFonts w:hint="eastAsia" w:asciiTheme="minorEastAsia" w:hAnsiTheme="minorEastAsia" w:eastAsiaTheme="minorEastAsia" w:cstheme="minorEastAsia"/>
          <w:color w:val="auto"/>
          <w:sz w:val="24"/>
          <w:highlight w:val="none"/>
          <w:lang w:val="en-US" w:eastAsia="zh-CN"/>
        </w:rPr>
        <w:t>响应</w:t>
      </w:r>
      <w:r>
        <w:rPr>
          <w:rFonts w:hint="eastAsia" w:asciiTheme="minorEastAsia" w:hAnsiTheme="minorEastAsia" w:eastAsiaTheme="minorEastAsia" w:cstheme="minorEastAsia"/>
          <w:color w:val="auto"/>
          <w:sz w:val="24"/>
          <w:highlight w:val="none"/>
        </w:rPr>
        <w:t>表；</w:t>
      </w:r>
    </w:p>
    <w:p w14:paraId="773C689F">
      <w:pPr>
        <w:snapToGrid w:val="0"/>
        <w:spacing w:line="360" w:lineRule="auto"/>
        <w:ind w:left="420" w:leftChars="2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9 同类业绩情况一览表；</w:t>
      </w:r>
    </w:p>
    <w:p w14:paraId="35EACFB8">
      <w:pPr>
        <w:snapToGrid w:val="0"/>
        <w:spacing w:line="360" w:lineRule="auto"/>
        <w:ind w:left="420" w:leftChars="200" w:firstLine="480" w:firstLineChars="200"/>
        <w:rPr>
          <w:rFonts w:asciiTheme="minorEastAsia" w:hAnsiTheme="minorEastAsia" w:eastAsiaTheme="minorEastAsia" w:cstheme="minorEastAsia"/>
          <w:color w:val="auto"/>
          <w:sz w:val="24"/>
          <w:highlight w:val="none"/>
          <w:lang w:val="zh-CN"/>
        </w:rPr>
      </w:pPr>
      <w:r>
        <w:rPr>
          <w:rFonts w:hint="eastAsia" w:asciiTheme="minorEastAsia" w:hAnsiTheme="minorEastAsia" w:eastAsiaTheme="minorEastAsia" w:cstheme="minorEastAsia"/>
          <w:color w:val="auto"/>
          <w:sz w:val="24"/>
          <w:highlight w:val="none"/>
        </w:rPr>
        <w:t xml:space="preserve">2.2.10 </w:t>
      </w:r>
      <w:r>
        <w:rPr>
          <w:rFonts w:hint="eastAsia" w:asciiTheme="minorEastAsia" w:hAnsiTheme="minorEastAsia" w:eastAsiaTheme="minorEastAsia" w:cstheme="minorEastAsia"/>
          <w:color w:val="auto"/>
          <w:sz w:val="24"/>
          <w:highlight w:val="none"/>
          <w:lang w:val="zh-CN"/>
        </w:rPr>
        <w:t>政府采购供应商廉洁自律承诺书；</w:t>
      </w:r>
    </w:p>
    <w:p w14:paraId="2B38C0F8">
      <w:pPr>
        <w:snapToGrid w:val="0"/>
        <w:spacing w:line="360" w:lineRule="auto"/>
        <w:ind w:left="420" w:leftChars="200" w:firstLine="480" w:firstLineChars="2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2.2.11 其他资料。</w:t>
      </w:r>
    </w:p>
    <w:p w14:paraId="23ADC8C8">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w:t>
      </w:r>
      <w:r>
        <w:rPr>
          <w:rFonts w:hint="eastAsia" w:asciiTheme="minorEastAsia" w:hAnsiTheme="minorEastAsia" w:eastAsiaTheme="minorEastAsia" w:cstheme="minorEastAsia"/>
          <w:color w:val="auto"/>
          <w:sz w:val="24"/>
          <w:highlight w:val="none"/>
          <w:lang w:val="zh-CN"/>
        </w:rPr>
        <w:t>.</w:t>
      </w:r>
      <w:r>
        <w:rPr>
          <w:rFonts w:hint="eastAsia" w:asciiTheme="minorEastAsia" w:hAnsiTheme="minorEastAsia" w:eastAsiaTheme="minorEastAsia" w:cstheme="minorEastAsia"/>
          <w:color w:val="auto"/>
          <w:sz w:val="24"/>
          <w:highlight w:val="none"/>
        </w:rPr>
        <w:t>3报价文件</w:t>
      </w:r>
    </w:p>
    <w:p w14:paraId="7F11C926">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2.3.1 报价一览表；</w:t>
      </w:r>
    </w:p>
    <w:p w14:paraId="258A6A05">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2.3.2中小企业声明函（如有）；</w:t>
      </w:r>
    </w:p>
    <w:p w14:paraId="72BA4F1A">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2.3.3 残疾人福利性单位声明函（如有）；</w:t>
      </w:r>
    </w:p>
    <w:p w14:paraId="2DCBFF11">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2.3.4 监狱企业的证明文件（如有）；</w:t>
      </w:r>
    </w:p>
    <w:p w14:paraId="4112E72E">
      <w:pPr>
        <w:snapToGrid w:val="0"/>
        <w:spacing w:line="360" w:lineRule="auto"/>
        <w:ind w:firstLine="960" w:firstLineChars="4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2.3.5 政府采购统计基础信息表。</w:t>
      </w:r>
    </w:p>
    <w:p w14:paraId="7708E8E7">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3</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我方承诺除商务技术偏离表列出的偏离外，我方响应采购文件的全部要求。</w:t>
      </w:r>
    </w:p>
    <w:p w14:paraId="465C0D99">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4</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如我方成交，我方承诺：</w:t>
      </w:r>
    </w:p>
    <w:p w14:paraId="2F21DFDB">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4.1在收到成交通知书后，在成交通知书规定的期限内与你方签订合同； </w:t>
      </w:r>
    </w:p>
    <w:p w14:paraId="49122D2C">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4.2在签订合同时不向你方提出附加条件； </w:t>
      </w:r>
    </w:p>
    <w:p w14:paraId="022F161F">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4.3按照采购文件要求提交履约保证金； </w:t>
      </w:r>
    </w:p>
    <w:p w14:paraId="7ED8B1A9">
      <w:pPr>
        <w:snapToGrid w:val="0"/>
        <w:spacing w:line="360" w:lineRule="auto"/>
        <w:ind w:left="210" w:leftChars="100"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4.4在合同约定的期限内完成合同规定的全部义务。 </w:t>
      </w:r>
    </w:p>
    <w:p w14:paraId="1F5B8F72">
      <w:pPr>
        <w:snapToGrid w:val="0"/>
        <w:spacing w:line="360" w:lineRule="auto"/>
        <w:ind w:firstLine="480" w:firstLineChars="20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5</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其他补充说明</w:t>
      </w:r>
      <w:r>
        <w:rPr>
          <w:rFonts w:hint="eastAsia" w:asciiTheme="minorEastAsia" w:hAnsiTheme="minorEastAsia" w:eastAsiaTheme="minorEastAsia" w:cstheme="minorEastAsia"/>
          <w:color w:val="auto"/>
          <w:sz w:val="24"/>
          <w:highlight w:val="none"/>
          <w:lang w:eastAsia="zh-CN"/>
        </w:rPr>
        <w:t>：</w:t>
      </w:r>
      <w:r>
        <w:rPr>
          <w:rFonts w:hint="eastAsia" w:asciiTheme="minorEastAsia" w:hAnsiTheme="minorEastAsia" w:eastAsiaTheme="minorEastAsia" w:cstheme="minorEastAsia"/>
          <w:color w:val="auto"/>
          <w:sz w:val="24"/>
          <w:highlight w:val="none"/>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 xml:space="preserve"> 。</w:t>
      </w:r>
    </w:p>
    <w:p w14:paraId="4D156D5E">
      <w:pPr>
        <w:spacing w:line="360" w:lineRule="auto"/>
        <w:ind w:firstLine="3600" w:firstLineChars="1500"/>
        <w:rPr>
          <w:rFonts w:asciiTheme="minorEastAsia" w:hAnsiTheme="minorEastAsia" w:eastAsiaTheme="minorEastAsia" w:cstheme="minorEastAsia"/>
          <w:color w:val="auto"/>
          <w:sz w:val="24"/>
          <w:highlight w:val="none"/>
        </w:rPr>
      </w:pPr>
    </w:p>
    <w:p w14:paraId="1EDF1E5E">
      <w:pPr>
        <w:spacing w:line="360" w:lineRule="auto"/>
        <w:ind w:firstLine="3600" w:firstLineChars="1500"/>
        <w:rPr>
          <w:rFonts w:asciiTheme="minorEastAsia" w:hAnsiTheme="minorEastAsia" w:eastAsiaTheme="minorEastAsia" w:cstheme="minorEastAsia"/>
          <w:color w:val="auto"/>
          <w:sz w:val="24"/>
          <w:highlight w:val="none"/>
        </w:rPr>
      </w:pPr>
    </w:p>
    <w:p w14:paraId="305328E4">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法定代表人（签名或印章）：     </w:t>
      </w:r>
    </w:p>
    <w:p w14:paraId="673E631B">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供应商（盖章）：   </w:t>
      </w:r>
    </w:p>
    <w:p w14:paraId="02B7E4BA">
      <w:pPr>
        <w:snapToGrid w:val="0"/>
        <w:spacing w:line="360" w:lineRule="auto"/>
        <w:ind w:firstLine="960" w:firstLineChars="400"/>
        <w:rPr>
          <w:rFonts w:hint="eastAsia"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年    月    日</w:t>
      </w:r>
    </w:p>
    <w:p w14:paraId="2FB61B2E">
      <w:pPr>
        <w:spacing w:line="360" w:lineRule="auto"/>
        <w:jc w:val="center"/>
        <w:rPr>
          <w:rFonts w:asciiTheme="minorEastAsia" w:hAnsiTheme="minorEastAsia" w:eastAsiaTheme="minorEastAsia" w:cstheme="minorEastAsia"/>
          <w:b/>
          <w:color w:val="auto"/>
          <w:kern w:val="0"/>
          <w:sz w:val="32"/>
          <w:szCs w:val="32"/>
          <w:highlight w:val="none"/>
        </w:rPr>
      </w:pPr>
    </w:p>
    <w:p w14:paraId="4A3BDB99">
      <w:pPr>
        <w:spacing w:line="360" w:lineRule="auto"/>
        <w:jc w:val="center"/>
        <w:rPr>
          <w:rFonts w:asciiTheme="minorEastAsia" w:hAnsiTheme="minorEastAsia" w:eastAsiaTheme="minorEastAsia" w:cstheme="minorEastAsia"/>
          <w:b/>
          <w:color w:val="auto"/>
          <w:kern w:val="0"/>
          <w:sz w:val="32"/>
          <w:szCs w:val="32"/>
          <w:highlight w:val="none"/>
          <w:lang w:val="zh-CN"/>
        </w:rPr>
      </w:pPr>
    </w:p>
    <w:p w14:paraId="5FF4E21A">
      <w:pPr>
        <w:spacing w:line="360" w:lineRule="auto"/>
        <w:rPr>
          <w:rFonts w:asciiTheme="minorEastAsia" w:hAnsiTheme="minorEastAsia" w:eastAsiaTheme="minorEastAsia" w:cstheme="minorEastAsia"/>
          <w:b/>
          <w:color w:val="auto"/>
          <w:sz w:val="32"/>
          <w:szCs w:val="32"/>
          <w:highlight w:val="none"/>
        </w:rPr>
      </w:pPr>
      <w:bookmarkStart w:id="459" w:name="_Toc479927873"/>
      <w:bookmarkStart w:id="460" w:name="_Toc225223761"/>
      <w:bookmarkStart w:id="461" w:name="_Toc483379796"/>
      <w:bookmarkStart w:id="462" w:name="_Toc110393361"/>
      <w:bookmarkStart w:id="463" w:name="_Toc488936100"/>
      <w:bookmarkStart w:id="464" w:name="_Toc14746861"/>
    </w:p>
    <w:p w14:paraId="49DACBA2">
      <w:pPr>
        <w:numPr>
          <w:ilvl w:val="0"/>
          <w:numId w:val="0"/>
        </w:numPr>
        <w:snapToGrid w:val="0"/>
        <w:spacing w:line="360" w:lineRule="auto"/>
        <w:ind w:left="2730" w:leftChars="0" w:firstLine="0" w:firstLineChars="0"/>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 xml:space="preserve">   三、</w:t>
      </w:r>
      <w:r>
        <w:rPr>
          <w:rFonts w:hint="eastAsia" w:asciiTheme="minorEastAsia" w:hAnsiTheme="minorEastAsia" w:eastAsiaTheme="minorEastAsia" w:cstheme="minorEastAsia"/>
          <w:b/>
          <w:color w:val="auto"/>
          <w:kern w:val="0"/>
          <w:sz w:val="32"/>
          <w:szCs w:val="32"/>
          <w:highlight w:val="none"/>
          <w:lang w:val="zh-CN"/>
        </w:rPr>
        <w:t>授权委托书</w:t>
      </w:r>
    </w:p>
    <w:p w14:paraId="39D72E92">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法定代表人授权委托书</w:t>
      </w:r>
    </w:p>
    <w:p w14:paraId="0356C6B4">
      <w:pPr>
        <w:spacing w:line="440" w:lineRule="exact"/>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Cs/>
          <w:color w:val="auto"/>
          <w:sz w:val="24"/>
          <w:highlight w:val="none"/>
        </w:rPr>
        <w:t>（法定代表人来参加磋商采购活动的，此表不用）</w:t>
      </w:r>
    </w:p>
    <w:p w14:paraId="094A1980">
      <w:pPr>
        <w:snapToGrid w:val="0"/>
        <w:spacing w:line="360" w:lineRule="auto"/>
        <w:rPr>
          <w:rFonts w:asciiTheme="minorEastAsia" w:hAnsiTheme="minorEastAsia" w:eastAsiaTheme="minorEastAsia" w:cstheme="minorEastAsia"/>
          <w:bCs/>
          <w:color w:val="auto"/>
          <w:sz w:val="24"/>
          <w:highlight w:val="none"/>
        </w:rPr>
      </w:pPr>
    </w:p>
    <w:p w14:paraId="5AC1BB6F">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bCs/>
          <w:color w:val="auto"/>
          <w:szCs w:val="21"/>
          <w:highlight w:val="none"/>
        </w:rPr>
        <w:t>致：</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（采购单位名称）</w:t>
      </w:r>
      <w:r>
        <w:rPr>
          <w:rFonts w:hint="eastAsia" w:asciiTheme="minorEastAsia" w:hAnsiTheme="minorEastAsia" w:eastAsiaTheme="minorEastAsia" w:cstheme="minorEastAsia"/>
          <w:b/>
          <w:bCs/>
          <w:color w:val="auto"/>
          <w:szCs w:val="21"/>
          <w:highlight w:val="none"/>
        </w:rPr>
        <w:t xml:space="preserve"> </w:t>
      </w:r>
      <w:r>
        <w:rPr>
          <w:rFonts w:hint="eastAsia" w:asciiTheme="minorEastAsia" w:hAnsiTheme="minorEastAsia" w:eastAsiaTheme="minorEastAsia" w:cstheme="minorEastAsia"/>
          <w:color w:val="auto"/>
          <w:szCs w:val="21"/>
          <w:highlight w:val="none"/>
        </w:rPr>
        <w:t>：</w:t>
      </w:r>
    </w:p>
    <w:p w14:paraId="193779D0">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（姓名）系</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（供应商名称）的法定代表人，现授权委托本单位在职职工 </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（姓名）以我方的名义参加</w:t>
      </w:r>
      <w:r>
        <w:rPr>
          <w:rFonts w:hint="eastAsia" w:asciiTheme="minorEastAsia" w:hAnsiTheme="minorEastAsia" w:eastAsiaTheme="minorEastAsia" w:cstheme="minorEastAsia"/>
          <w:color w:val="auto"/>
          <w:szCs w:val="21"/>
          <w:highlight w:val="none"/>
          <w:u w:val="single"/>
        </w:rPr>
        <w:t xml:space="preserve">                       政府采购 </w:t>
      </w:r>
      <w:r>
        <w:rPr>
          <w:rFonts w:hint="eastAsia" w:asciiTheme="minorEastAsia" w:hAnsiTheme="minorEastAsia" w:eastAsiaTheme="minorEastAsia" w:cstheme="minorEastAsia"/>
          <w:color w:val="auto"/>
          <w:szCs w:val="21"/>
          <w:highlight w:val="none"/>
        </w:rPr>
        <w:t>项目的磋商采购活动，并代表我方全权办理针对上述项目的磋商、评审、签约等具体事务和签署相关文件。</w:t>
      </w:r>
    </w:p>
    <w:p w14:paraId="2D808FE1">
      <w:pPr>
        <w:snapToGrid w:val="0"/>
        <w:spacing w:line="360" w:lineRule="auto"/>
        <w:ind w:firstLine="420" w:firstLineChars="200"/>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我方对被授权人的签名事项负全部责任。</w:t>
      </w:r>
    </w:p>
    <w:p w14:paraId="0A4FBA84">
      <w:pPr>
        <w:snapToGrid w:val="0"/>
        <w:spacing w:line="360" w:lineRule="auto"/>
        <w:ind w:firstLine="420" w:firstLineChars="2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在撤销授权的书面通知以前，本授权书一直有效。被授权人在授权书有效期内签署的所有文件不因授权的撤销而失效。</w:t>
      </w:r>
    </w:p>
    <w:p w14:paraId="6114BECE">
      <w:pPr>
        <w:snapToGrid w:val="0"/>
        <w:spacing w:line="360" w:lineRule="auto"/>
        <w:ind w:firstLine="48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被授权人无转委托权，特此委托。</w:t>
      </w:r>
    </w:p>
    <w:p w14:paraId="49C495CB">
      <w:pPr>
        <w:snapToGrid w:val="0"/>
        <w:spacing w:line="360" w:lineRule="auto"/>
        <w:rPr>
          <w:rFonts w:asciiTheme="minorEastAsia" w:hAnsiTheme="minorEastAsia" w:eastAsiaTheme="minorEastAsia" w:cstheme="minorEastAsia"/>
          <w:color w:val="auto"/>
          <w:szCs w:val="21"/>
          <w:highlight w:val="none"/>
        </w:rPr>
      </w:pPr>
    </w:p>
    <w:p w14:paraId="385327CE">
      <w:pPr>
        <w:snapToGrid w:val="0"/>
        <w:spacing w:line="360" w:lineRule="auto"/>
        <w:rPr>
          <w:rFonts w:asciiTheme="minorEastAsia" w:hAnsiTheme="minorEastAsia" w:eastAsiaTheme="minorEastAsia" w:cstheme="minorEastAsia"/>
          <w:color w:val="auto"/>
          <w:szCs w:val="21"/>
          <w:highlight w:val="none"/>
        </w:rPr>
      </w:pPr>
    </w:p>
    <w:p w14:paraId="70EA289A">
      <w:pPr>
        <w:snapToGrid w:val="0"/>
        <w:spacing w:line="360" w:lineRule="auto"/>
        <w:rPr>
          <w:rFonts w:asciiTheme="minorEastAsia" w:hAnsiTheme="minorEastAsia" w:eastAsiaTheme="minorEastAsia" w:cstheme="minorEastAsia"/>
          <w:color w:val="auto"/>
          <w:szCs w:val="21"/>
          <w:highlight w:val="none"/>
          <w:u w:val="single"/>
        </w:rPr>
      </w:pPr>
      <w:r>
        <w:rPr>
          <w:rFonts w:hint="eastAsia" w:asciiTheme="minorEastAsia" w:hAnsiTheme="minorEastAsia" w:eastAsiaTheme="minorEastAsia" w:cstheme="minorEastAsia"/>
          <w:color w:val="auto"/>
          <w:szCs w:val="21"/>
          <w:highlight w:val="none"/>
        </w:rPr>
        <w:t>被授权人签名或印章：</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法定代表人签名或印章：</w:t>
      </w:r>
      <w:r>
        <w:rPr>
          <w:rFonts w:hint="eastAsia" w:asciiTheme="minorEastAsia" w:hAnsiTheme="minorEastAsia" w:eastAsiaTheme="minorEastAsia" w:cstheme="minorEastAsia"/>
          <w:color w:val="auto"/>
          <w:szCs w:val="21"/>
          <w:highlight w:val="none"/>
          <w:u w:val="single"/>
        </w:rPr>
        <w:t xml:space="preserve">          </w:t>
      </w:r>
    </w:p>
    <w:p w14:paraId="21CCE4A5">
      <w:pPr>
        <w:snapToGrid w:val="0"/>
        <w:spacing w:line="360" w:lineRule="auto"/>
        <w:ind w:firstLine="840" w:firstLineChars="400"/>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职务：</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职务：</w:t>
      </w:r>
      <w:r>
        <w:rPr>
          <w:rFonts w:hint="eastAsia" w:asciiTheme="minorEastAsia" w:hAnsiTheme="minorEastAsia" w:eastAsiaTheme="minorEastAsia" w:cstheme="minorEastAsia"/>
          <w:color w:val="auto"/>
          <w:szCs w:val="21"/>
          <w:highlight w:val="none"/>
          <w:u w:val="single"/>
        </w:rPr>
        <w:t xml:space="preserve">           </w:t>
      </w:r>
    </w:p>
    <w:p w14:paraId="052E4216">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被授权人身份证号码：</w:t>
      </w:r>
      <w:r>
        <w:rPr>
          <w:rFonts w:hint="eastAsia" w:asciiTheme="minorEastAsia" w:hAnsiTheme="minorEastAsia" w:eastAsiaTheme="minorEastAsia" w:cstheme="minorEastAsia"/>
          <w:color w:val="auto"/>
          <w:szCs w:val="21"/>
          <w:highlight w:val="none"/>
          <w:u w:val="single"/>
        </w:rPr>
        <w:t xml:space="preserve">                             </w:t>
      </w:r>
      <w:r>
        <w:rPr>
          <w:rFonts w:hint="eastAsia" w:asciiTheme="minorEastAsia" w:hAnsiTheme="minorEastAsia" w:eastAsiaTheme="minorEastAsia" w:cstheme="minorEastAsia"/>
          <w:color w:val="auto"/>
          <w:szCs w:val="21"/>
          <w:highlight w:val="none"/>
        </w:rPr>
        <w:t xml:space="preserve"> </w:t>
      </w:r>
    </w:p>
    <w:p w14:paraId="00DBFBD0">
      <w:pPr>
        <w:snapToGrid w:val="0"/>
        <w:spacing w:line="360" w:lineRule="auto"/>
        <w:rPr>
          <w:rFonts w:asciiTheme="minorEastAsia" w:hAnsiTheme="minorEastAsia" w:eastAsiaTheme="minorEastAsia" w:cstheme="minorEastAsia"/>
          <w:color w:val="auto"/>
          <w:szCs w:val="21"/>
          <w:highlight w:val="none"/>
        </w:rPr>
      </w:pPr>
      <w:r>
        <w:rPr>
          <w:rFonts w:hint="eastAsia" w:asciiTheme="minorEastAsia" w:hAnsiTheme="minorEastAsia" w:eastAsiaTheme="minorEastAsia" w:cstheme="minorEastAsia"/>
          <w:color w:val="auto"/>
          <w:szCs w:val="21"/>
          <w:highlight w:val="none"/>
        </w:rPr>
        <w:t xml:space="preserve">                                    </w:t>
      </w:r>
    </w:p>
    <w:p w14:paraId="5CEE7E07">
      <w:pPr>
        <w:snapToGrid w:val="0"/>
        <w:spacing w:line="360" w:lineRule="auto"/>
        <w:rPr>
          <w:rFonts w:asciiTheme="minorEastAsia" w:hAnsiTheme="minorEastAsia" w:eastAsiaTheme="minorEastAsia" w:cstheme="minorEastAsia"/>
          <w:color w:val="auto"/>
          <w:szCs w:val="21"/>
          <w:highlight w:val="none"/>
        </w:rPr>
      </w:pPr>
    </w:p>
    <w:p w14:paraId="75686600">
      <w:pPr>
        <w:spacing w:line="360" w:lineRule="auto"/>
        <w:ind w:firstLine="4830" w:firstLineChars="23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供应商（盖章）：</w:t>
      </w:r>
    </w:p>
    <w:p w14:paraId="0BDE44F3">
      <w:pPr>
        <w:spacing w:line="360" w:lineRule="auto"/>
        <w:ind w:firstLine="1260" w:firstLineChars="600"/>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 xml:space="preserve">                                  日期：</w:t>
      </w:r>
    </w:p>
    <w:p w14:paraId="7CBC4731">
      <w:pPr>
        <w:spacing w:line="360" w:lineRule="auto"/>
        <w:rPr>
          <w:rFonts w:asciiTheme="minorEastAsia" w:hAnsiTheme="minorEastAsia" w:eastAsiaTheme="minorEastAsia" w:cstheme="minorEastAsia"/>
          <w:b/>
          <w:color w:val="auto"/>
          <w:szCs w:val="21"/>
          <w:highlight w:val="none"/>
        </w:rPr>
      </w:pPr>
    </w:p>
    <w:p w14:paraId="21860620">
      <w:pPr>
        <w:spacing w:line="360" w:lineRule="auto"/>
        <w:rPr>
          <w:rFonts w:asciiTheme="minorEastAsia" w:hAnsiTheme="minorEastAsia" w:eastAsiaTheme="minorEastAsia" w:cstheme="minorEastAsia"/>
          <w:b/>
          <w:color w:val="auto"/>
          <w:szCs w:val="21"/>
          <w:highlight w:val="none"/>
        </w:rPr>
      </w:pPr>
    </w:p>
    <w:p w14:paraId="5AEAF6A8">
      <w:pPr>
        <w:spacing w:line="360" w:lineRule="auto"/>
        <w:rPr>
          <w:rFonts w:asciiTheme="minorEastAsia" w:hAnsiTheme="minorEastAsia" w:eastAsiaTheme="minorEastAsia" w:cstheme="minorEastAsia"/>
          <w:b/>
          <w:color w:val="auto"/>
          <w:szCs w:val="21"/>
          <w:highlight w:val="none"/>
        </w:rPr>
      </w:pPr>
      <w:r>
        <w:rPr>
          <w:rFonts w:hint="eastAsia" w:asciiTheme="minorEastAsia" w:hAnsiTheme="minorEastAsia" w:eastAsiaTheme="minorEastAsia" w:cstheme="minorEastAsia"/>
          <w:b/>
          <w:color w:val="auto"/>
          <w:szCs w:val="21"/>
          <w:highlight w:val="none"/>
        </w:rPr>
        <w:t>附：法定代表人身份证复印件（正反面）、授权代表身份证复印件（正反面）：</w:t>
      </w:r>
    </w:p>
    <w:p w14:paraId="71CBE9B1">
      <w:pPr>
        <w:snapToGrid w:val="0"/>
        <w:spacing w:line="360" w:lineRule="auto"/>
        <w:rPr>
          <w:rFonts w:asciiTheme="minorEastAsia" w:hAnsiTheme="minorEastAsia" w:eastAsiaTheme="minorEastAsia" w:cstheme="minorEastAsia"/>
          <w:color w:val="auto"/>
          <w:sz w:val="24"/>
          <w:highlight w:val="none"/>
        </w:rPr>
      </w:pPr>
    </w:p>
    <w:p w14:paraId="4FBE68F0">
      <w:pPr>
        <w:spacing w:line="360" w:lineRule="auto"/>
        <w:jc w:val="center"/>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32"/>
          <w:szCs w:val="32"/>
          <w:highlight w:val="none"/>
          <w:lang w:val="zh-CN"/>
        </w:rPr>
        <w:t xml:space="preserve">      </w:t>
      </w:r>
      <w:r>
        <w:rPr>
          <w:rFonts w:hint="eastAsia" w:asciiTheme="minorEastAsia" w:hAnsiTheme="minorEastAsia" w:eastAsiaTheme="minorEastAsia" w:cstheme="minorEastAsia"/>
          <w:b/>
          <w:color w:val="auto"/>
          <w:kern w:val="0"/>
          <w:sz w:val="32"/>
          <w:szCs w:val="32"/>
          <w:highlight w:val="none"/>
        </w:rPr>
        <w:t xml:space="preserve"> </w:t>
      </w:r>
    </w:p>
    <w:p w14:paraId="05D68C0E">
      <w:pPr>
        <w:spacing w:line="360" w:lineRule="auto"/>
        <w:jc w:val="center"/>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bookmarkEnd w:id="459"/>
      <w:bookmarkEnd w:id="460"/>
      <w:bookmarkEnd w:id="461"/>
      <w:bookmarkEnd w:id="462"/>
      <w:bookmarkEnd w:id="463"/>
      <w:bookmarkEnd w:id="464"/>
      <w:r>
        <w:rPr>
          <w:rFonts w:hint="eastAsia" w:asciiTheme="minorEastAsia" w:hAnsiTheme="minorEastAsia" w:eastAsiaTheme="minorEastAsia" w:cstheme="minorEastAsia"/>
          <w:b/>
          <w:color w:val="auto"/>
          <w:kern w:val="0"/>
          <w:sz w:val="32"/>
          <w:szCs w:val="32"/>
          <w:highlight w:val="none"/>
          <w:lang w:val="en-US" w:eastAsia="zh-CN"/>
        </w:rPr>
        <w:t>四、</w:t>
      </w:r>
      <w:r>
        <w:rPr>
          <w:rFonts w:hint="eastAsia" w:asciiTheme="minorEastAsia" w:hAnsiTheme="minorEastAsia" w:eastAsiaTheme="minorEastAsia" w:cstheme="minorEastAsia"/>
          <w:b/>
          <w:color w:val="auto"/>
          <w:kern w:val="0"/>
          <w:sz w:val="32"/>
          <w:szCs w:val="32"/>
          <w:highlight w:val="none"/>
          <w:lang w:val="zh-CN"/>
        </w:rPr>
        <w:t>供应商基本情况表</w:t>
      </w:r>
    </w:p>
    <w:tbl>
      <w:tblPr>
        <w:tblStyle w:val="24"/>
        <w:tblW w:w="98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0"/>
        <w:gridCol w:w="1936"/>
        <w:gridCol w:w="873"/>
        <w:gridCol w:w="1786"/>
        <w:gridCol w:w="1200"/>
        <w:gridCol w:w="1852"/>
      </w:tblGrid>
      <w:tr w14:paraId="01898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CA172DB">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供应商名称</w:t>
            </w:r>
          </w:p>
        </w:tc>
        <w:tc>
          <w:tcPr>
            <w:tcW w:w="7647" w:type="dxa"/>
            <w:gridSpan w:val="5"/>
            <w:vAlign w:val="center"/>
          </w:tcPr>
          <w:p w14:paraId="0E6C7C6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7C04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79BE9E5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注册地址</w:t>
            </w:r>
          </w:p>
        </w:tc>
        <w:tc>
          <w:tcPr>
            <w:tcW w:w="2809" w:type="dxa"/>
            <w:gridSpan w:val="2"/>
            <w:vAlign w:val="center"/>
          </w:tcPr>
          <w:p w14:paraId="7E1D93C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5607A1E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成立时间</w:t>
            </w:r>
          </w:p>
        </w:tc>
        <w:tc>
          <w:tcPr>
            <w:tcW w:w="3052" w:type="dxa"/>
            <w:gridSpan w:val="2"/>
            <w:vAlign w:val="center"/>
          </w:tcPr>
          <w:p w14:paraId="338A565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86C2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F3AE96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统一信用代码</w:t>
            </w:r>
          </w:p>
        </w:tc>
        <w:tc>
          <w:tcPr>
            <w:tcW w:w="2809" w:type="dxa"/>
            <w:gridSpan w:val="2"/>
            <w:vAlign w:val="center"/>
          </w:tcPr>
          <w:p w14:paraId="67FBC2B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635F4C1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注册资金</w:t>
            </w:r>
          </w:p>
        </w:tc>
        <w:tc>
          <w:tcPr>
            <w:tcW w:w="3052" w:type="dxa"/>
            <w:gridSpan w:val="2"/>
            <w:vAlign w:val="center"/>
          </w:tcPr>
          <w:p w14:paraId="6EA42D3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8E46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21FE3E6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供应商授权代表联系人姓名</w:t>
            </w:r>
          </w:p>
        </w:tc>
        <w:tc>
          <w:tcPr>
            <w:tcW w:w="1936" w:type="dxa"/>
            <w:vAlign w:val="center"/>
          </w:tcPr>
          <w:p w14:paraId="54B1C09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2B86174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487EFC6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1CB207B8">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5CC1E1B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E2A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4DF80B1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法定代表人姓名</w:t>
            </w:r>
          </w:p>
        </w:tc>
        <w:tc>
          <w:tcPr>
            <w:tcW w:w="1936" w:type="dxa"/>
            <w:vAlign w:val="center"/>
          </w:tcPr>
          <w:p w14:paraId="7042299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423A405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36973B0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5FFAB90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手机</w:t>
            </w:r>
          </w:p>
        </w:tc>
        <w:tc>
          <w:tcPr>
            <w:tcW w:w="1852" w:type="dxa"/>
            <w:vAlign w:val="center"/>
          </w:tcPr>
          <w:p w14:paraId="218979E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EDED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14279C7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项目负责人姓名</w:t>
            </w:r>
          </w:p>
        </w:tc>
        <w:tc>
          <w:tcPr>
            <w:tcW w:w="1936" w:type="dxa"/>
            <w:vAlign w:val="center"/>
          </w:tcPr>
          <w:p w14:paraId="77C7D52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Align w:val="center"/>
          </w:tcPr>
          <w:p w14:paraId="7823755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电话</w:t>
            </w:r>
          </w:p>
        </w:tc>
        <w:tc>
          <w:tcPr>
            <w:tcW w:w="1786" w:type="dxa"/>
            <w:vAlign w:val="center"/>
          </w:tcPr>
          <w:p w14:paraId="6488ECA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200" w:type="dxa"/>
            <w:vAlign w:val="center"/>
          </w:tcPr>
          <w:p w14:paraId="629ACE7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技术职称</w:t>
            </w:r>
          </w:p>
        </w:tc>
        <w:tc>
          <w:tcPr>
            <w:tcW w:w="1852" w:type="dxa"/>
            <w:vAlign w:val="center"/>
          </w:tcPr>
          <w:p w14:paraId="4ECB9BB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9820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restart"/>
            <w:vAlign w:val="center"/>
          </w:tcPr>
          <w:p w14:paraId="1D6C494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936" w:type="dxa"/>
            <w:vMerge w:val="restart"/>
            <w:vAlign w:val="center"/>
          </w:tcPr>
          <w:p w14:paraId="098285E2">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restart"/>
            <w:vAlign w:val="center"/>
          </w:tcPr>
          <w:p w14:paraId="5F0C48F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w:t>
            </w:r>
          </w:p>
        </w:tc>
        <w:tc>
          <w:tcPr>
            <w:tcW w:w="1786" w:type="dxa"/>
            <w:vAlign w:val="center"/>
          </w:tcPr>
          <w:p w14:paraId="023374A7">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高级职称</w:t>
            </w:r>
          </w:p>
        </w:tc>
        <w:tc>
          <w:tcPr>
            <w:tcW w:w="3052" w:type="dxa"/>
            <w:gridSpan w:val="2"/>
            <w:vAlign w:val="center"/>
          </w:tcPr>
          <w:p w14:paraId="1DD1695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5FD6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688B2AC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75CBA6CB">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18E1558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1C7BA7F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中级职称</w:t>
            </w:r>
          </w:p>
        </w:tc>
        <w:tc>
          <w:tcPr>
            <w:tcW w:w="3052" w:type="dxa"/>
            <w:gridSpan w:val="2"/>
            <w:vAlign w:val="center"/>
          </w:tcPr>
          <w:p w14:paraId="2F5F1FF1">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0273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Merge w:val="continue"/>
            <w:vAlign w:val="center"/>
          </w:tcPr>
          <w:p w14:paraId="323D9BA7">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936" w:type="dxa"/>
            <w:vMerge w:val="continue"/>
            <w:vAlign w:val="center"/>
          </w:tcPr>
          <w:p w14:paraId="555624D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873" w:type="dxa"/>
            <w:vMerge w:val="continue"/>
            <w:vAlign w:val="center"/>
          </w:tcPr>
          <w:p w14:paraId="25D08D3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786" w:type="dxa"/>
            <w:vAlign w:val="center"/>
          </w:tcPr>
          <w:p w14:paraId="431B068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各类注册人员</w:t>
            </w:r>
          </w:p>
        </w:tc>
        <w:tc>
          <w:tcPr>
            <w:tcW w:w="3052" w:type="dxa"/>
            <w:gridSpan w:val="2"/>
            <w:vAlign w:val="center"/>
          </w:tcPr>
          <w:p w14:paraId="133F2AFC">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71D9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A19AD44">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基本账户开户银行</w:t>
            </w:r>
          </w:p>
        </w:tc>
        <w:tc>
          <w:tcPr>
            <w:tcW w:w="7647" w:type="dxa"/>
            <w:gridSpan w:val="5"/>
            <w:vAlign w:val="center"/>
          </w:tcPr>
          <w:p w14:paraId="08525B8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8442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180" w:type="dxa"/>
            <w:vAlign w:val="center"/>
          </w:tcPr>
          <w:p w14:paraId="3BA87B52">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基本账户账号</w:t>
            </w:r>
          </w:p>
        </w:tc>
        <w:tc>
          <w:tcPr>
            <w:tcW w:w="7647" w:type="dxa"/>
            <w:gridSpan w:val="5"/>
            <w:vAlign w:val="center"/>
          </w:tcPr>
          <w:p w14:paraId="53BA46FA">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588C3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6" w:hRule="atLeast"/>
          <w:jc w:val="center"/>
        </w:trPr>
        <w:tc>
          <w:tcPr>
            <w:tcW w:w="2180" w:type="dxa"/>
            <w:vAlign w:val="center"/>
          </w:tcPr>
          <w:p w14:paraId="326CCE8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经营范围</w:t>
            </w:r>
          </w:p>
        </w:tc>
        <w:tc>
          <w:tcPr>
            <w:tcW w:w="7647" w:type="dxa"/>
            <w:gridSpan w:val="5"/>
            <w:vAlign w:val="center"/>
          </w:tcPr>
          <w:p w14:paraId="67D3B7B9">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1D37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jc w:val="center"/>
        </w:trPr>
        <w:tc>
          <w:tcPr>
            <w:tcW w:w="2180" w:type="dxa"/>
            <w:vAlign w:val="center"/>
          </w:tcPr>
          <w:p w14:paraId="6DF385E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w:t>
            </w:r>
          </w:p>
        </w:tc>
        <w:tc>
          <w:tcPr>
            <w:tcW w:w="7647" w:type="dxa"/>
            <w:gridSpan w:val="5"/>
            <w:vAlign w:val="center"/>
          </w:tcPr>
          <w:p w14:paraId="0A10992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46D94FE6">
      <w:pPr>
        <w:adjustRightInd w:val="0"/>
        <w:snapToGrid w:val="0"/>
        <w:spacing w:line="360" w:lineRule="auto"/>
        <w:ind w:firstLine="482" w:firstLineChars="200"/>
        <w:rPr>
          <w:rFonts w:asciiTheme="minorEastAsia" w:hAnsiTheme="minorEastAsia" w:eastAsiaTheme="minorEastAsia" w:cstheme="minorEastAsia"/>
          <w:b/>
          <w:bCs/>
          <w:color w:val="auto"/>
          <w:kern w:val="0"/>
          <w:sz w:val="24"/>
          <w:highlight w:val="none"/>
          <w:lang w:val="zh-CN"/>
        </w:rPr>
      </w:pPr>
      <w:r>
        <w:rPr>
          <w:rFonts w:hint="eastAsia" w:asciiTheme="minorEastAsia" w:hAnsiTheme="minorEastAsia" w:eastAsiaTheme="minorEastAsia" w:cstheme="minorEastAsia"/>
          <w:b/>
          <w:bCs/>
          <w:color w:val="auto"/>
          <w:kern w:val="0"/>
          <w:sz w:val="24"/>
          <w:highlight w:val="none"/>
          <w:lang w:val="zh-CN"/>
        </w:rPr>
        <w:t>兹证明上述声明是真实、正确的，并提供了全部能提供的资料和数据，我们同意遵照贵方要求出示有关证明文件。</w:t>
      </w:r>
    </w:p>
    <w:p w14:paraId="1937C5A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p w14:paraId="1453A541">
      <w:pPr>
        <w:pStyle w:val="35"/>
        <w:spacing w:line="360" w:lineRule="auto"/>
        <w:ind w:firstLine="560"/>
        <w:rPr>
          <w:rFonts w:asciiTheme="minorEastAsia" w:hAnsiTheme="minorEastAsia" w:eastAsiaTheme="minorEastAsia" w:cstheme="minorEastAsia"/>
          <w:color w:val="auto"/>
          <w:highlight w:val="none"/>
          <w:lang w:val="zh-CN"/>
        </w:rPr>
      </w:pPr>
    </w:p>
    <w:p w14:paraId="7C5B99F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18668C6">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C1029D4">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09A2B5D3">
      <w:pPr>
        <w:numPr>
          <w:ilvl w:val="0"/>
          <w:numId w:val="0"/>
        </w:numPr>
        <w:snapToGrid w:val="0"/>
        <w:spacing w:line="360" w:lineRule="auto"/>
        <w:jc w:val="both"/>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五、</w:t>
      </w:r>
      <w:r>
        <w:rPr>
          <w:rFonts w:hint="eastAsia" w:asciiTheme="minorEastAsia" w:hAnsiTheme="minorEastAsia" w:eastAsiaTheme="minorEastAsia" w:cstheme="minorEastAsia"/>
          <w:b/>
          <w:color w:val="auto"/>
          <w:kern w:val="0"/>
          <w:sz w:val="32"/>
          <w:szCs w:val="32"/>
          <w:highlight w:val="none"/>
          <w:lang w:val="zh-CN"/>
        </w:rPr>
        <w:t>距采购人最近或者能为本项目提供最优服务的网点情况表</w:t>
      </w:r>
    </w:p>
    <w:p w14:paraId="568DDB7B">
      <w:pPr>
        <w:spacing w:line="360" w:lineRule="auto"/>
        <w:rPr>
          <w:rFonts w:asciiTheme="minorEastAsia" w:hAnsiTheme="minorEastAsia" w:eastAsiaTheme="minorEastAsia" w:cstheme="minorEastAsia"/>
          <w:color w:val="auto"/>
          <w:highlight w:val="none"/>
        </w:rPr>
      </w:pPr>
    </w:p>
    <w:tbl>
      <w:tblPr>
        <w:tblStyle w:val="24"/>
        <w:tblW w:w="928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5"/>
        <w:gridCol w:w="1780"/>
        <w:gridCol w:w="209"/>
        <w:gridCol w:w="1581"/>
        <w:gridCol w:w="971"/>
        <w:gridCol w:w="2849"/>
      </w:tblGrid>
      <w:tr w14:paraId="1672AEC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020A46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服务网点名称</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CB0971F">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62E19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A72A79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地址</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DAB8AA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06EE625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7CDC948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注册资本金</w:t>
            </w:r>
          </w:p>
        </w:tc>
        <w:tc>
          <w:tcPr>
            <w:tcW w:w="1780" w:type="dxa"/>
            <w:tcBorders>
              <w:top w:val="single" w:color="auto" w:sz="4" w:space="0"/>
              <w:left w:val="single" w:color="auto" w:sz="4" w:space="0"/>
              <w:bottom w:val="single" w:color="auto" w:sz="4" w:space="0"/>
              <w:right w:val="single" w:color="auto" w:sz="4" w:space="0"/>
            </w:tcBorders>
            <w:vAlign w:val="center"/>
          </w:tcPr>
          <w:p w14:paraId="27C7CAB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4C0FE8D1">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其中：供应商出资比例</w:t>
            </w:r>
          </w:p>
        </w:tc>
        <w:tc>
          <w:tcPr>
            <w:tcW w:w="2849" w:type="dxa"/>
            <w:tcBorders>
              <w:top w:val="single" w:color="auto" w:sz="4" w:space="0"/>
              <w:left w:val="single" w:color="auto" w:sz="4" w:space="0"/>
              <w:bottom w:val="single" w:color="auto" w:sz="4" w:space="0"/>
              <w:right w:val="single" w:color="auto" w:sz="4" w:space="0"/>
            </w:tcBorders>
            <w:vAlign w:val="center"/>
          </w:tcPr>
          <w:p w14:paraId="78AB631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6D4409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158CFF1F">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员工总人数</w:t>
            </w:r>
          </w:p>
        </w:tc>
        <w:tc>
          <w:tcPr>
            <w:tcW w:w="1780" w:type="dxa"/>
            <w:tcBorders>
              <w:top w:val="single" w:color="auto" w:sz="4" w:space="0"/>
              <w:left w:val="single" w:color="auto" w:sz="4" w:space="0"/>
              <w:bottom w:val="single" w:color="auto" w:sz="4" w:space="0"/>
              <w:right w:val="single" w:color="auto" w:sz="4" w:space="0"/>
            </w:tcBorders>
            <w:vAlign w:val="center"/>
          </w:tcPr>
          <w:p w14:paraId="5593CAA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2761" w:type="dxa"/>
            <w:gridSpan w:val="3"/>
            <w:tcBorders>
              <w:top w:val="single" w:color="auto" w:sz="4" w:space="0"/>
              <w:left w:val="single" w:color="auto" w:sz="4" w:space="0"/>
              <w:bottom w:val="single" w:color="auto" w:sz="4" w:space="0"/>
              <w:right w:val="single" w:color="auto" w:sz="4" w:space="0"/>
            </w:tcBorders>
            <w:vAlign w:val="center"/>
          </w:tcPr>
          <w:p w14:paraId="1657FB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其中：技术人员数</w:t>
            </w:r>
          </w:p>
        </w:tc>
        <w:tc>
          <w:tcPr>
            <w:tcW w:w="2849" w:type="dxa"/>
            <w:tcBorders>
              <w:top w:val="single" w:color="auto" w:sz="4" w:space="0"/>
              <w:left w:val="single" w:color="auto" w:sz="4" w:space="0"/>
              <w:bottom w:val="single" w:color="auto" w:sz="4" w:space="0"/>
              <w:right w:val="single" w:color="auto" w:sz="4" w:space="0"/>
            </w:tcBorders>
            <w:vAlign w:val="center"/>
          </w:tcPr>
          <w:p w14:paraId="2D6272BD">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AA5D2D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3A97246">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经营期限</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66219FC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DBC72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CCD76D3">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售后服务协议</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129B02E8">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384FA87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D6BF740">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售后服务内容</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AE4A04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FD752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3E43C6D5">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工作业绩</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5144FA40">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7D2E1A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6B490D1D">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服务承诺</w:t>
            </w:r>
          </w:p>
        </w:tc>
        <w:tc>
          <w:tcPr>
            <w:tcW w:w="7390" w:type="dxa"/>
            <w:gridSpan w:val="5"/>
            <w:tcBorders>
              <w:top w:val="single" w:color="auto" w:sz="4" w:space="0"/>
              <w:left w:val="single" w:color="auto" w:sz="4" w:space="0"/>
              <w:bottom w:val="single" w:color="auto" w:sz="4" w:space="0"/>
              <w:right w:val="single" w:color="auto" w:sz="4" w:space="0"/>
            </w:tcBorders>
            <w:vAlign w:val="center"/>
          </w:tcPr>
          <w:p w14:paraId="722CCC85">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6AFD23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4703BC6A">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业务咨询电话</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15946443">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4BBFAFE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传 真</w:t>
            </w:r>
          </w:p>
        </w:tc>
        <w:tc>
          <w:tcPr>
            <w:tcW w:w="3820" w:type="dxa"/>
            <w:gridSpan w:val="2"/>
            <w:tcBorders>
              <w:top w:val="single" w:color="auto" w:sz="4" w:space="0"/>
              <w:left w:val="single" w:color="auto" w:sz="2" w:space="0"/>
              <w:bottom w:val="single" w:color="auto" w:sz="4" w:space="0"/>
              <w:right w:val="single" w:color="auto" w:sz="2" w:space="0"/>
            </w:tcBorders>
            <w:vAlign w:val="center"/>
          </w:tcPr>
          <w:p w14:paraId="375C6F16">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r w14:paraId="40E4132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1895" w:type="dxa"/>
            <w:tcBorders>
              <w:top w:val="single" w:color="auto" w:sz="4" w:space="0"/>
              <w:left w:val="single" w:color="auto" w:sz="4" w:space="0"/>
              <w:bottom w:val="single" w:color="auto" w:sz="4" w:space="0"/>
              <w:right w:val="single" w:color="auto" w:sz="4" w:space="0"/>
            </w:tcBorders>
            <w:vAlign w:val="center"/>
          </w:tcPr>
          <w:p w14:paraId="5CD90B9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负责人</w:t>
            </w:r>
          </w:p>
        </w:tc>
        <w:tc>
          <w:tcPr>
            <w:tcW w:w="1989" w:type="dxa"/>
            <w:gridSpan w:val="2"/>
            <w:tcBorders>
              <w:top w:val="single" w:color="auto" w:sz="4" w:space="0"/>
              <w:left w:val="single" w:color="auto" w:sz="4" w:space="0"/>
              <w:bottom w:val="single" w:color="auto" w:sz="4" w:space="0"/>
              <w:right w:val="single" w:color="auto" w:sz="2" w:space="0"/>
            </w:tcBorders>
            <w:vAlign w:val="center"/>
          </w:tcPr>
          <w:p w14:paraId="21B992B4">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c>
          <w:tcPr>
            <w:tcW w:w="1581" w:type="dxa"/>
            <w:tcBorders>
              <w:top w:val="single" w:color="auto" w:sz="4" w:space="0"/>
              <w:left w:val="single" w:color="auto" w:sz="2" w:space="0"/>
              <w:bottom w:val="single" w:color="auto" w:sz="4" w:space="0"/>
              <w:right w:val="single" w:color="auto" w:sz="2" w:space="0"/>
            </w:tcBorders>
            <w:vAlign w:val="center"/>
          </w:tcPr>
          <w:p w14:paraId="1C498D79">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联系电话</w:t>
            </w:r>
          </w:p>
        </w:tc>
        <w:tc>
          <w:tcPr>
            <w:tcW w:w="3820" w:type="dxa"/>
            <w:gridSpan w:val="2"/>
            <w:tcBorders>
              <w:top w:val="single" w:color="auto" w:sz="4" w:space="0"/>
              <w:left w:val="single" w:color="auto" w:sz="2" w:space="0"/>
              <w:bottom w:val="single" w:color="auto" w:sz="4" w:space="0"/>
              <w:right w:val="single" w:color="auto" w:sz="4" w:space="0"/>
            </w:tcBorders>
            <w:vAlign w:val="center"/>
          </w:tcPr>
          <w:p w14:paraId="665ED1EE">
            <w:pPr>
              <w:adjustRightInd w:val="0"/>
              <w:snapToGrid w:val="0"/>
              <w:spacing w:line="360" w:lineRule="auto"/>
              <w:rPr>
                <w:rFonts w:asciiTheme="minorEastAsia" w:hAnsiTheme="minorEastAsia" w:eastAsiaTheme="minorEastAsia" w:cstheme="minorEastAsia"/>
                <w:color w:val="auto"/>
                <w:kern w:val="0"/>
                <w:sz w:val="24"/>
                <w:highlight w:val="none"/>
                <w:lang w:val="zh-CN"/>
              </w:rPr>
            </w:pPr>
          </w:p>
        </w:tc>
      </w:tr>
    </w:tbl>
    <w:p w14:paraId="02D755EB">
      <w:pPr>
        <w:spacing w:line="360" w:lineRule="auto"/>
        <w:rPr>
          <w:rFonts w:asciiTheme="minorEastAsia" w:hAnsiTheme="minorEastAsia" w:eastAsiaTheme="minorEastAsia" w:cstheme="minorEastAsia"/>
          <w:color w:val="auto"/>
          <w:highlight w:val="none"/>
        </w:rPr>
      </w:pPr>
    </w:p>
    <w:p w14:paraId="4EEA9192">
      <w:pPr>
        <w:spacing w:line="360" w:lineRule="auto"/>
        <w:rPr>
          <w:rFonts w:asciiTheme="minorEastAsia" w:hAnsiTheme="minorEastAsia" w:eastAsiaTheme="minorEastAsia" w:cstheme="minorEastAsia"/>
          <w:color w:val="auto"/>
          <w:highlight w:val="none"/>
        </w:rPr>
      </w:pPr>
    </w:p>
    <w:p w14:paraId="77FCB60E">
      <w:pPr>
        <w:adjustRightInd w:val="0"/>
        <w:snapToGrid w:val="0"/>
        <w:spacing w:line="360" w:lineRule="auto"/>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highlight w:val="none"/>
        </w:rPr>
        <w:t xml:space="preserve">       </w:t>
      </w:r>
    </w:p>
    <w:p w14:paraId="2850432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316F175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1C02472">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439E7BAE">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六、</w:t>
      </w:r>
      <w:r>
        <w:rPr>
          <w:rFonts w:hint="eastAsia" w:asciiTheme="minorEastAsia" w:hAnsiTheme="minorEastAsia" w:eastAsiaTheme="minorEastAsia" w:cstheme="minorEastAsia"/>
          <w:b/>
          <w:color w:val="auto"/>
          <w:kern w:val="0"/>
          <w:sz w:val="32"/>
          <w:szCs w:val="32"/>
          <w:highlight w:val="none"/>
          <w:lang w:val="zh-CN"/>
        </w:rPr>
        <w:t>评审标准相应的商务技术资料</w:t>
      </w:r>
    </w:p>
    <w:p w14:paraId="4840B251">
      <w:pPr>
        <w:snapToGrid w:val="0"/>
        <w:spacing w:line="360" w:lineRule="auto"/>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（按采购文件第四部分评审办法前附表中“响应文件中评审标准相应的商务技术资料目录”提供资料）</w:t>
      </w:r>
    </w:p>
    <w:p w14:paraId="3817A0E0">
      <w:pPr>
        <w:pStyle w:val="35"/>
        <w:ind w:firstLine="560"/>
        <w:rPr>
          <w:rFonts w:asciiTheme="minorEastAsia" w:hAnsiTheme="minorEastAsia" w:eastAsiaTheme="minorEastAsia" w:cstheme="minorEastAsia"/>
          <w:color w:val="auto"/>
          <w:highlight w:val="none"/>
          <w:lang w:val="zh-CN"/>
        </w:rPr>
      </w:pPr>
    </w:p>
    <w:p w14:paraId="2B0D5EDB">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71794EE7">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335AF414">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32BC4A70">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70E053CD">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5B0C64CD">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2A8FA1B3">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29773448">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79444533">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2F761214">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30B6DD70">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57023521">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1FA009C6">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0E023738">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10D7483E">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579D8FAA">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673A2412">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08208D8C">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6B4BF085">
      <w:pPr>
        <w:numPr>
          <w:ilvl w:val="0"/>
          <w:numId w:val="0"/>
        </w:numPr>
        <w:snapToGrid w:val="0"/>
        <w:spacing w:line="360" w:lineRule="auto"/>
        <w:jc w:val="center"/>
        <w:outlineLvl w:val="0"/>
        <w:rPr>
          <w:rFonts w:hint="eastAsia" w:asciiTheme="minorEastAsia" w:hAnsiTheme="minorEastAsia" w:eastAsiaTheme="minorEastAsia" w:cstheme="minorEastAsia"/>
          <w:b/>
          <w:color w:val="auto"/>
          <w:kern w:val="0"/>
          <w:sz w:val="32"/>
          <w:szCs w:val="32"/>
          <w:highlight w:val="none"/>
          <w:lang w:val="en-US" w:eastAsia="zh-CN"/>
        </w:rPr>
      </w:pPr>
    </w:p>
    <w:p w14:paraId="4461DE20">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七、</w:t>
      </w:r>
      <w:r>
        <w:rPr>
          <w:rFonts w:hint="eastAsia" w:asciiTheme="minorEastAsia" w:hAnsiTheme="minorEastAsia" w:eastAsiaTheme="minorEastAsia" w:cstheme="minorEastAsia"/>
          <w:b/>
          <w:color w:val="auto"/>
          <w:kern w:val="0"/>
          <w:sz w:val="32"/>
          <w:szCs w:val="32"/>
          <w:highlight w:val="none"/>
          <w:lang w:val="zh-CN"/>
        </w:rPr>
        <w:t>商务</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tbl>
      <w:tblPr>
        <w:tblStyle w:val="25"/>
        <w:tblW w:w="93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6042"/>
        <w:gridCol w:w="1166"/>
        <w:gridCol w:w="1414"/>
      </w:tblGrid>
      <w:tr w14:paraId="55AD7B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05FD26C2">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序号</w:t>
            </w:r>
          </w:p>
        </w:tc>
        <w:tc>
          <w:tcPr>
            <w:tcW w:w="6042" w:type="dxa"/>
            <w:vAlign w:val="center"/>
          </w:tcPr>
          <w:p w14:paraId="05ABC094">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商务条款要求</w:t>
            </w:r>
          </w:p>
        </w:tc>
        <w:tc>
          <w:tcPr>
            <w:tcW w:w="1166" w:type="dxa"/>
            <w:vAlign w:val="center"/>
          </w:tcPr>
          <w:p w14:paraId="44AB8B66">
            <w:pPr>
              <w:spacing w:before="156" w:beforeLines="50" w:line="240" w:lineRule="auto"/>
              <w:jc w:val="center"/>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是否响应</w:t>
            </w:r>
          </w:p>
        </w:tc>
        <w:tc>
          <w:tcPr>
            <w:tcW w:w="1414" w:type="dxa"/>
            <w:vAlign w:val="center"/>
          </w:tcPr>
          <w:p w14:paraId="105DEF9A">
            <w:pPr>
              <w:spacing w:before="156" w:beforeLines="50" w:line="240" w:lineRule="auto"/>
              <w:jc w:val="center"/>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投标人承诺或说明</w:t>
            </w:r>
          </w:p>
        </w:tc>
      </w:tr>
      <w:tr w14:paraId="1599A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6F4939DF">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1</w:t>
            </w:r>
          </w:p>
        </w:tc>
        <w:tc>
          <w:tcPr>
            <w:tcW w:w="6042" w:type="dxa"/>
            <w:vAlign w:val="center"/>
          </w:tcPr>
          <w:p w14:paraId="727729CB">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履约保证金：签约合同金额的2%，电汇、银行支票、银行保函、保险公司担保等形式。于签订合同的同时缴纳给采购人，项目</w:t>
            </w:r>
            <w:r>
              <w:rPr>
                <w:rFonts w:hint="eastAsia" w:ascii="宋体" w:hAnsi="宋体" w:cs="宋体"/>
                <w:b w:val="0"/>
                <w:bCs/>
                <w:color w:val="auto"/>
                <w:sz w:val="21"/>
                <w:szCs w:val="21"/>
                <w:highlight w:val="none"/>
                <w:lang w:val="en-US" w:eastAsia="zh-CN"/>
              </w:rPr>
              <w:t>竣工</w:t>
            </w:r>
            <w:r>
              <w:rPr>
                <w:rFonts w:hint="eastAsia" w:ascii="宋体" w:hAnsi="宋体" w:eastAsia="宋体" w:cs="宋体"/>
                <w:b w:val="0"/>
                <w:bCs/>
                <w:color w:val="auto"/>
                <w:sz w:val="21"/>
                <w:szCs w:val="21"/>
                <w:highlight w:val="none"/>
                <w:lang w:val="en-US" w:eastAsia="zh-CN"/>
              </w:rPr>
              <w:t>验收后退回。</w:t>
            </w:r>
          </w:p>
        </w:tc>
        <w:tc>
          <w:tcPr>
            <w:tcW w:w="1166" w:type="dxa"/>
          </w:tcPr>
          <w:p w14:paraId="3EF3A79D">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1F32F382">
            <w:pPr>
              <w:spacing w:line="360" w:lineRule="auto"/>
              <w:jc w:val="center"/>
              <w:rPr>
                <w:rFonts w:asciiTheme="minorEastAsia" w:hAnsiTheme="minorEastAsia" w:eastAsiaTheme="minorEastAsia" w:cstheme="minorEastAsia"/>
                <w:b/>
                <w:color w:val="auto"/>
                <w:kern w:val="0"/>
                <w:sz w:val="32"/>
                <w:szCs w:val="32"/>
                <w:highlight w:val="none"/>
              </w:rPr>
            </w:pPr>
          </w:p>
        </w:tc>
      </w:tr>
      <w:tr w14:paraId="63BEF9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802AEE5">
            <w:pPr>
              <w:spacing w:before="156" w:beforeLines="50" w:line="240" w:lineRule="auto"/>
              <w:jc w:val="center"/>
              <w:rPr>
                <w:rFonts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2</w:t>
            </w:r>
          </w:p>
        </w:tc>
        <w:tc>
          <w:tcPr>
            <w:tcW w:w="6042" w:type="dxa"/>
            <w:vAlign w:val="center"/>
          </w:tcPr>
          <w:p w14:paraId="1A13B3F8">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质量等级要求：达到国家和行业施工验收规范一次性验收合格</w:t>
            </w:r>
          </w:p>
          <w:p w14:paraId="41D221CA">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安全等级要求：合格</w:t>
            </w:r>
          </w:p>
        </w:tc>
        <w:tc>
          <w:tcPr>
            <w:tcW w:w="1166" w:type="dxa"/>
          </w:tcPr>
          <w:p w14:paraId="0D84FA65">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0687E3EB">
            <w:pPr>
              <w:spacing w:line="360" w:lineRule="auto"/>
              <w:jc w:val="center"/>
              <w:rPr>
                <w:rFonts w:asciiTheme="minorEastAsia" w:hAnsiTheme="minorEastAsia" w:eastAsiaTheme="minorEastAsia" w:cstheme="minorEastAsia"/>
                <w:b/>
                <w:color w:val="auto"/>
                <w:kern w:val="0"/>
                <w:sz w:val="32"/>
                <w:szCs w:val="32"/>
                <w:highlight w:val="none"/>
              </w:rPr>
            </w:pPr>
          </w:p>
        </w:tc>
      </w:tr>
      <w:tr w14:paraId="4EA5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476F9A63">
            <w:pPr>
              <w:spacing w:before="156" w:beforeLines="50" w:line="240" w:lineRule="auto"/>
              <w:jc w:val="center"/>
              <w:rPr>
                <w:rFonts w:hint="eastAsia" w:asciiTheme="minorEastAsia" w:hAnsiTheme="minorEastAsia" w:eastAsiaTheme="minorEastAsia" w:cstheme="minorEastAsia"/>
                <w:color w:val="auto"/>
                <w:kern w:val="0"/>
                <w:sz w:val="24"/>
                <w:highlight w:val="none"/>
                <w:lang w:eastAsia="zh-CN"/>
              </w:rPr>
            </w:pPr>
            <w:r>
              <w:rPr>
                <w:rFonts w:hint="eastAsia" w:ascii="宋体" w:hAnsi="宋体" w:eastAsia="宋体" w:cs="宋体"/>
                <w:b w:val="0"/>
                <w:bCs/>
                <w:color w:val="auto"/>
                <w:sz w:val="21"/>
                <w:szCs w:val="21"/>
                <w:highlight w:val="none"/>
                <w:lang w:val="en-US" w:eastAsia="zh-CN"/>
              </w:rPr>
              <w:t>3</w:t>
            </w:r>
          </w:p>
        </w:tc>
        <w:tc>
          <w:tcPr>
            <w:tcW w:w="6042" w:type="dxa"/>
            <w:vAlign w:val="center"/>
          </w:tcPr>
          <w:p w14:paraId="73C03278">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eastAsia="宋体" w:cs="宋体"/>
                <w:b w:val="0"/>
                <w:bCs/>
                <w:color w:val="auto"/>
                <w:sz w:val="21"/>
                <w:szCs w:val="21"/>
                <w:highlight w:val="none"/>
                <w:lang w:val="en-US" w:eastAsia="zh-CN"/>
              </w:rPr>
              <w:t>缺陷责任期（工程质量保修期）：自工程接受证书中写明的全部工程完工日开始算起（发包人提前验收并签发接受证书的单位工程和部分工程，若未投入正常使用，其缺陷责任期亦按全部工程的完工日开始起算），本工程质量缺陷责任期为</w:t>
            </w:r>
            <w:r>
              <w:rPr>
                <w:rFonts w:hint="eastAsia" w:ascii="宋体" w:hAnsi="宋体" w:cs="宋体"/>
                <w:b w:val="0"/>
                <w:bCs/>
                <w:color w:val="auto"/>
                <w:sz w:val="21"/>
                <w:szCs w:val="21"/>
                <w:highlight w:val="none"/>
                <w:lang w:val="en-US" w:eastAsia="zh-CN"/>
              </w:rPr>
              <w:t>1</w:t>
            </w:r>
            <w:r>
              <w:rPr>
                <w:rFonts w:hint="eastAsia" w:ascii="宋体" w:hAnsi="宋体" w:eastAsia="宋体" w:cs="宋体"/>
                <w:b w:val="0"/>
                <w:bCs/>
                <w:color w:val="auto"/>
                <w:sz w:val="21"/>
                <w:szCs w:val="21"/>
                <w:highlight w:val="none"/>
                <w:lang w:val="en-US" w:eastAsia="zh-CN"/>
              </w:rPr>
              <w:t>年。</w:t>
            </w:r>
          </w:p>
        </w:tc>
        <w:tc>
          <w:tcPr>
            <w:tcW w:w="1166" w:type="dxa"/>
          </w:tcPr>
          <w:p w14:paraId="6A24A96E">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F7D698">
            <w:pPr>
              <w:spacing w:line="360" w:lineRule="auto"/>
              <w:jc w:val="center"/>
              <w:rPr>
                <w:rFonts w:asciiTheme="minorEastAsia" w:hAnsiTheme="minorEastAsia" w:eastAsiaTheme="minorEastAsia" w:cstheme="minorEastAsia"/>
                <w:b/>
                <w:color w:val="auto"/>
                <w:kern w:val="0"/>
                <w:sz w:val="32"/>
                <w:szCs w:val="32"/>
                <w:highlight w:val="none"/>
              </w:rPr>
            </w:pPr>
          </w:p>
        </w:tc>
      </w:tr>
      <w:tr w14:paraId="53DF3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7899C535">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5</w:t>
            </w:r>
          </w:p>
        </w:tc>
        <w:tc>
          <w:tcPr>
            <w:tcW w:w="6042" w:type="dxa"/>
            <w:vAlign w:val="center"/>
          </w:tcPr>
          <w:p w14:paraId="34ED1A69">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付款方式：在合同签订生效后一周内，支付合同价款的20%；（预付款扣回的方式：在前2次工程进度款支付时各扣回预付款的50%)在工程施工进度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至50%时支付合同价款的30%；工程施工进度</w:t>
            </w:r>
            <w:r>
              <w:rPr>
                <w:rFonts w:hint="eastAsia" w:ascii="宋体" w:hAnsi="宋体" w:cs="宋体"/>
                <w:b w:val="0"/>
                <w:bCs/>
                <w:color w:val="auto"/>
                <w:sz w:val="21"/>
                <w:szCs w:val="21"/>
                <w:highlight w:val="none"/>
                <w:lang w:val="en-US" w:eastAsia="zh-CN"/>
              </w:rPr>
              <w:t>（监理工程师、现场业主代表共同核定的已完合格的工程量）</w:t>
            </w:r>
            <w:r>
              <w:rPr>
                <w:rFonts w:hint="eastAsia" w:ascii="宋体" w:hAnsi="宋体" w:eastAsia="宋体" w:cs="宋体"/>
                <w:b w:val="0"/>
                <w:bCs/>
                <w:color w:val="auto"/>
                <w:sz w:val="21"/>
                <w:szCs w:val="21"/>
                <w:highlight w:val="none"/>
                <w:lang w:val="en-US" w:eastAsia="zh-CN"/>
              </w:rPr>
              <w:t>至80%时支付合同价款的30%；待工程竣工验收合格后支付至合同价款的80%；待竣工结算经甲方委托的造价咨询机构审核后支付至结算审核价款的</w:t>
            </w:r>
            <w:r>
              <w:rPr>
                <w:rFonts w:hint="eastAsia" w:ascii="宋体" w:hAnsi="宋体" w:cs="宋体"/>
                <w:b w:val="0"/>
                <w:bCs/>
                <w:color w:val="auto"/>
                <w:sz w:val="21"/>
                <w:szCs w:val="21"/>
                <w:highlight w:val="none"/>
                <w:lang w:val="en-US" w:eastAsia="zh-CN"/>
              </w:rPr>
              <w:t>98.5</w:t>
            </w:r>
            <w:r>
              <w:rPr>
                <w:rFonts w:hint="eastAsia" w:ascii="宋体" w:hAnsi="宋体" w:eastAsia="宋体" w:cs="宋体"/>
                <w:b w:val="0"/>
                <w:bCs/>
                <w:color w:val="auto"/>
                <w:sz w:val="21"/>
                <w:szCs w:val="21"/>
                <w:highlight w:val="none"/>
                <w:lang w:val="en-US" w:eastAsia="zh-CN"/>
              </w:rPr>
              <w:t>%，余款</w:t>
            </w:r>
            <w:r>
              <w:rPr>
                <w:rFonts w:hint="eastAsia" w:ascii="宋体" w:hAnsi="宋体" w:cs="宋体"/>
                <w:b w:val="0"/>
                <w:bCs/>
                <w:color w:val="auto"/>
                <w:sz w:val="21"/>
                <w:szCs w:val="21"/>
                <w:highlight w:val="none"/>
                <w:lang w:val="en-US" w:eastAsia="zh-CN"/>
              </w:rPr>
              <w:t>在质保期过后</w:t>
            </w:r>
            <w:r>
              <w:rPr>
                <w:rFonts w:hint="eastAsia" w:ascii="宋体" w:hAnsi="宋体" w:eastAsia="宋体" w:cs="宋体"/>
                <w:b w:val="0"/>
                <w:bCs/>
                <w:color w:val="auto"/>
                <w:sz w:val="21"/>
                <w:szCs w:val="21"/>
                <w:highlight w:val="none"/>
                <w:lang w:val="en-US" w:eastAsia="zh-CN"/>
              </w:rPr>
              <w:t>付清。</w:t>
            </w:r>
          </w:p>
          <w:p w14:paraId="1A35248C">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cs="宋体"/>
                <w:b/>
                <w:bCs/>
                <w:kern w:val="0"/>
                <w:sz w:val="21"/>
                <w:szCs w:val="21"/>
                <w:highlight w:val="none"/>
                <w:lang w:val="en-US" w:eastAsia="zh-CN"/>
              </w:rPr>
              <w:t>甲方支付对应款项前，乙方需向甲方开具合法足额的增值税专用发票</w:t>
            </w:r>
            <w:r>
              <w:rPr>
                <w:rFonts w:hint="eastAsia" w:ascii="宋体" w:hAnsi="宋体" w:cs="宋体"/>
                <w:b/>
                <w:bCs/>
                <w:kern w:val="0"/>
                <w:sz w:val="21"/>
                <w:szCs w:val="21"/>
                <w:highlight w:val="none"/>
                <w:lang w:eastAsia="zh-CN"/>
              </w:rPr>
              <w:t>。</w:t>
            </w:r>
          </w:p>
        </w:tc>
        <w:tc>
          <w:tcPr>
            <w:tcW w:w="1166" w:type="dxa"/>
          </w:tcPr>
          <w:p w14:paraId="78F74037">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2392384D">
            <w:pPr>
              <w:spacing w:line="360" w:lineRule="auto"/>
              <w:jc w:val="center"/>
              <w:rPr>
                <w:rFonts w:asciiTheme="minorEastAsia" w:hAnsiTheme="minorEastAsia" w:eastAsiaTheme="minorEastAsia" w:cstheme="minorEastAsia"/>
                <w:b/>
                <w:color w:val="auto"/>
                <w:kern w:val="0"/>
                <w:sz w:val="32"/>
                <w:szCs w:val="32"/>
                <w:highlight w:val="none"/>
              </w:rPr>
            </w:pPr>
          </w:p>
        </w:tc>
      </w:tr>
      <w:tr w14:paraId="01C1E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2DD604D0">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6</w:t>
            </w:r>
          </w:p>
        </w:tc>
        <w:tc>
          <w:tcPr>
            <w:tcW w:w="6042" w:type="dxa"/>
            <w:vAlign w:val="center"/>
          </w:tcPr>
          <w:p w14:paraId="0E42A7DF">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施工工期：合同签订后</w:t>
            </w:r>
            <w:r>
              <w:rPr>
                <w:rFonts w:hint="eastAsia" w:ascii="宋体" w:hAnsi="宋体" w:cs="宋体"/>
                <w:b w:val="0"/>
                <w:bCs/>
                <w:color w:val="auto"/>
                <w:sz w:val="21"/>
                <w:szCs w:val="21"/>
                <w:highlight w:val="none"/>
                <w:lang w:val="en-US" w:eastAsia="zh-CN"/>
              </w:rPr>
              <w:t>180</w:t>
            </w:r>
            <w:r>
              <w:rPr>
                <w:rFonts w:hint="eastAsia" w:ascii="宋体" w:hAnsi="宋体" w:eastAsia="宋体" w:cs="宋体"/>
                <w:b w:val="0"/>
                <w:bCs/>
                <w:color w:val="auto"/>
                <w:sz w:val="21"/>
                <w:szCs w:val="21"/>
                <w:highlight w:val="none"/>
                <w:lang w:val="en-US" w:eastAsia="zh-CN"/>
              </w:rPr>
              <w:t>日历天内完工</w:t>
            </w:r>
          </w:p>
          <w:p w14:paraId="00040EC1">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施工地点：业主指定地点。</w:t>
            </w:r>
          </w:p>
        </w:tc>
        <w:tc>
          <w:tcPr>
            <w:tcW w:w="1166" w:type="dxa"/>
          </w:tcPr>
          <w:p w14:paraId="229D361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E92F584">
            <w:pPr>
              <w:spacing w:line="360" w:lineRule="auto"/>
              <w:jc w:val="center"/>
              <w:rPr>
                <w:rFonts w:asciiTheme="minorEastAsia" w:hAnsiTheme="minorEastAsia" w:eastAsiaTheme="minorEastAsia" w:cstheme="minorEastAsia"/>
                <w:b/>
                <w:color w:val="auto"/>
                <w:kern w:val="0"/>
                <w:sz w:val="32"/>
                <w:szCs w:val="32"/>
                <w:highlight w:val="none"/>
              </w:rPr>
            </w:pPr>
          </w:p>
        </w:tc>
      </w:tr>
      <w:tr w14:paraId="6B2E6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159D8FDE">
            <w:pPr>
              <w:spacing w:before="156" w:beforeLines="50" w:line="240" w:lineRule="auto"/>
              <w:jc w:val="center"/>
              <w:rPr>
                <w:rFonts w:hint="eastAsia" w:asciiTheme="minorEastAsia" w:hAnsiTheme="minorEastAsia" w:eastAsiaTheme="minorEastAsia" w:cstheme="minorEastAsia"/>
                <w:color w:val="auto"/>
                <w:kern w:val="0"/>
                <w:sz w:val="24"/>
                <w:highlight w:val="none"/>
              </w:rPr>
            </w:pPr>
            <w:r>
              <w:rPr>
                <w:rFonts w:hint="eastAsia" w:ascii="宋体" w:hAnsi="宋体" w:eastAsia="宋体" w:cs="宋体"/>
                <w:b w:val="0"/>
                <w:bCs/>
                <w:color w:val="auto"/>
                <w:sz w:val="21"/>
                <w:szCs w:val="21"/>
                <w:highlight w:val="none"/>
                <w:lang w:val="en-US" w:eastAsia="zh-CN"/>
              </w:rPr>
              <w:t>7</w:t>
            </w:r>
          </w:p>
        </w:tc>
        <w:tc>
          <w:tcPr>
            <w:tcW w:w="6042" w:type="dxa"/>
            <w:vAlign w:val="center"/>
          </w:tcPr>
          <w:p w14:paraId="299DA8DC">
            <w:pPr>
              <w:spacing w:before="156" w:beforeLines="50" w:line="240" w:lineRule="auto"/>
              <w:rPr>
                <w:rFonts w:hint="eastAsia"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报价方式：按采购文件附件“工程量清单”的价格报统一综合折扣，折扣不得高于94%。</w:t>
            </w:r>
          </w:p>
          <w:p w14:paraId="748A1DD7">
            <w:pPr>
              <w:spacing w:before="156" w:beforeLines="50" w:line="240" w:lineRule="auto"/>
              <w:rPr>
                <w:rFonts w:asciiTheme="minorEastAsia" w:hAnsiTheme="minorEastAsia" w:eastAsiaTheme="minorEastAsia" w:cstheme="minorEastAsia"/>
                <w:b/>
                <w:color w:val="auto"/>
                <w:kern w:val="0"/>
                <w:sz w:val="32"/>
                <w:szCs w:val="32"/>
                <w:highlight w:val="none"/>
              </w:rPr>
            </w:pPr>
            <w:r>
              <w:rPr>
                <w:rFonts w:hint="eastAsia" w:ascii="宋体" w:hAnsi="宋体" w:cs="宋体"/>
                <w:bCs/>
                <w:color w:val="auto"/>
                <w:szCs w:val="21"/>
                <w:highlight w:val="none"/>
              </w:rPr>
              <w:t>本项目为单价合同，工程量按实结算。</w:t>
            </w:r>
          </w:p>
        </w:tc>
        <w:tc>
          <w:tcPr>
            <w:tcW w:w="1166" w:type="dxa"/>
          </w:tcPr>
          <w:p w14:paraId="340D27EB">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6CF14574">
            <w:pPr>
              <w:spacing w:line="360" w:lineRule="auto"/>
              <w:jc w:val="center"/>
              <w:rPr>
                <w:rFonts w:asciiTheme="minorEastAsia" w:hAnsiTheme="minorEastAsia" w:eastAsiaTheme="minorEastAsia" w:cstheme="minorEastAsia"/>
                <w:b/>
                <w:color w:val="auto"/>
                <w:kern w:val="0"/>
                <w:sz w:val="32"/>
                <w:szCs w:val="32"/>
                <w:highlight w:val="none"/>
              </w:rPr>
            </w:pPr>
          </w:p>
        </w:tc>
      </w:tr>
      <w:tr w14:paraId="422F4D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vAlign w:val="center"/>
          </w:tcPr>
          <w:p w14:paraId="5A490699">
            <w:pPr>
              <w:spacing w:before="156" w:beforeLines="50" w:line="240" w:lineRule="auto"/>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val="en-US" w:eastAsia="zh-CN"/>
              </w:rPr>
              <w:t>8</w:t>
            </w:r>
          </w:p>
        </w:tc>
        <w:tc>
          <w:tcPr>
            <w:tcW w:w="6042" w:type="dxa"/>
            <w:vAlign w:val="center"/>
          </w:tcPr>
          <w:p w14:paraId="3D33BD34">
            <w:pPr>
              <w:spacing w:before="156" w:beforeLines="50" w:line="240" w:lineRule="auto"/>
              <w:rPr>
                <w:rFonts w:hint="default" w:ascii="宋体" w:hAnsi="宋体" w:eastAsia="宋体" w:cs="宋体"/>
                <w:bCs/>
                <w:color w:val="auto"/>
                <w:szCs w:val="21"/>
                <w:highlight w:val="none"/>
                <w:lang w:val="en-US"/>
              </w:rPr>
            </w:pPr>
            <w:r>
              <w:rPr>
                <w:rFonts w:hint="eastAsia" w:ascii="宋体" w:hAnsi="宋体" w:eastAsia="宋体" w:cs="宋体"/>
                <w:bCs/>
                <w:color w:val="auto"/>
                <w:szCs w:val="21"/>
                <w:highlight w:val="none"/>
              </w:rPr>
              <w:t>本项目签约合同价计算公式：（预算金额-暂估价</w:t>
            </w:r>
            <w:r>
              <w:rPr>
                <w:rFonts w:hint="eastAsia" w:ascii="宋体" w:hAnsi="宋体" w:cs="宋体"/>
                <w:bCs/>
                <w:color w:val="auto"/>
                <w:szCs w:val="21"/>
                <w:highlight w:val="none"/>
                <w:lang w:val="en-US" w:eastAsia="zh-CN"/>
              </w:rPr>
              <w:t>549229</w:t>
            </w:r>
            <w:r>
              <w:rPr>
                <w:rFonts w:hint="eastAsia" w:ascii="宋体" w:hAnsi="宋体" w:eastAsia="宋体" w:cs="宋体"/>
                <w:bCs/>
                <w:color w:val="auto"/>
                <w:szCs w:val="21"/>
                <w:highlight w:val="none"/>
              </w:rPr>
              <w:t>元）*中标综合折扣+暂估价</w:t>
            </w:r>
            <w:r>
              <w:rPr>
                <w:rFonts w:hint="eastAsia" w:ascii="宋体" w:hAnsi="宋体" w:cs="宋体"/>
                <w:bCs/>
                <w:color w:val="auto"/>
                <w:szCs w:val="21"/>
                <w:highlight w:val="none"/>
                <w:lang w:val="en-US" w:eastAsia="zh-CN"/>
              </w:rPr>
              <w:t>549229</w:t>
            </w:r>
            <w:r>
              <w:rPr>
                <w:rFonts w:hint="eastAsia" w:ascii="宋体" w:hAnsi="宋体" w:eastAsia="宋体" w:cs="宋体"/>
                <w:bCs/>
                <w:color w:val="auto"/>
                <w:szCs w:val="21"/>
                <w:highlight w:val="none"/>
              </w:rPr>
              <w:t>元。</w:t>
            </w:r>
          </w:p>
        </w:tc>
        <w:tc>
          <w:tcPr>
            <w:tcW w:w="1166" w:type="dxa"/>
          </w:tcPr>
          <w:p w14:paraId="6C77537E">
            <w:pPr>
              <w:spacing w:line="360" w:lineRule="auto"/>
              <w:jc w:val="center"/>
              <w:rPr>
                <w:rFonts w:asciiTheme="minorEastAsia" w:hAnsiTheme="minorEastAsia" w:eastAsiaTheme="minorEastAsia" w:cstheme="minorEastAsia"/>
                <w:b/>
                <w:color w:val="auto"/>
                <w:kern w:val="0"/>
                <w:sz w:val="32"/>
                <w:szCs w:val="32"/>
                <w:highlight w:val="none"/>
              </w:rPr>
            </w:pPr>
          </w:p>
        </w:tc>
        <w:tc>
          <w:tcPr>
            <w:tcW w:w="1414" w:type="dxa"/>
          </w:tcPr>
          <w:p w14:paraId="5B12CF95">
            <w:pPr>
              <w:spacing w:line="360" w:lineRule="auto"/>
              <w:jc w:val="center"/>
              <w:rPr>
                <w:rFonts w:asciiTheme="minorEastAsia" w:hAnsiTheme="minorEastAsia" w:eastAsiaTheme="minorEastAsia" w:cstheme="minorEastAsia"/>
                <w:b/>
                <w:color w:val="auto"/>
                <w:kern w:val="0"/>
                <w:sz w:val="32"/>
                <w:szCs w:val="32"/>
                <w:highlight w:val="none"/>
              </w:rPr>
            </w:pPr>
          </w:p>
        </w:tc>
      </w:tr>
    </w:tbl>
    <w:p w14:paraId="3B7E5982">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en-US" w:eastAsia="zh-CN"/>
        </w:rPr>
      </w:pPr>
      <w:r>
        <w:rPr>
          <w:rFonts w:hint="eastAsia" w:asciiTheme="minorEastAsia" w:hAnsiTheme="minorEastAsia" w:eastAsiaTheme="minorEastAsia" w:cstheme="minorEastAsia"/>
          <w:b/>
          <w:bCs/>
          <w:color w:val="auto"/>
          <w:kern w:val="0"/>
          <w:sz w:val="21"/>
          <w:szCs w:val="21"/>
          <w:highlight w:val="none"/>
          <w:lang w:val="en-US" w:eastAsia="zh-CN"/>
        </w:rPr>
        <w:t>供应商保证：除商务响应表列出的偏离外，供应商响应采购文件的全部商务要求。供应商需完全响应以上商务条款要求并在“是否响应”一栏里明确，未明确响应的作无效标处理。如有优于的，可以在“投标人承诺或说明”一栏里详细说明。</w:t>
      </w:r>
    </w:p>
    <w:p w14:paraId="517A092B">
      <w:pPr>
        <w:spacing w:line="240" w:lineRule="auto"/>
        <w:ind w:firstLine="422" w:firstLineChars="200"/>
        <w:jc w:val="left"/>
        <w:rPr>
          <w:rFonts w:hint="eastAsia" w:asciiTheme="minorEastAsia" w:hAnsiTheme="minorEastAsia" w:eastAsiaTheme="minorEastAsia" w:cstheme="minorEastAsia"/>
          <w:b/>
          <w:bCs/>
          <w:color w:val="auto"/>
          <w:kern w:val="0"/>
          <w:sz w:val="21"/>
          <w:szCs w:val="21"/>
          <w:highlight w:val="none"/>
          <w:lang w:val="zh-CN" w:eastAsia="zh-CN"/>
        </w:rPr>
      </w:pPr>
    </w:p>
    <w:p w14:paraId="479429C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9CAF707">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020F8A29">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032379C7">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en-US" w:eastAsia="zh-CN"/>
        </w:rPr>
      </w:pPr>
    </w:p>
    <w:p w14:paraId="2A24C017">
      <w:pPr>
        <w:autoSpaceDE w:val="0"/>
        <w:autoSpaceDN w:val="0"/>
        <w:spacing w:line="360" w:lineRule="auto"/>
        <w:ind w:firstLine="3534" w:firstLineChars="1100"/>
        <w:jc w:val="left"/>
        <w:rPr>
          <w:rFonts w:hint="eastAsia" w:asciiTheme="minorEastAsia" w:hAnsiTheme="minorEastAsia" w:eastAsiaTheme="minorEastAsia" w:cstheme="minorEastAsia"/>
          <w:b/>
          <w:color w:val="auto"/>
          <w:kern w:val="0"/>
          <w:sz w:val="32"/>
          <w:szCs w:val="32"/>
          <w:highlight w:val="none"/>
          <w:lang w:val="en-US" w:eastAsia="zh-CN"/>
        </w:rPr>
      </w:pPr>
    </w:p>
    <w:p w14:paraId="1B2C7154">
      <w:pPr>
        <w:autoSpaceDE w:val="0"/>
        <w:autoSpaceDN w:val="0"/>
        <w:spacing w:line="360" w:lineRule="auto"/>
        <w:jc w:val="center"/>
        <w:rPr>
          <w:rFonts w:hint="eastAsia"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八、</w:t>
      </w:r>
      <w:r>
        <w:rPr>
          <w:rFonts w:hint="eastAsia" w:asciiTheme="minorEastAsia" w:hAnsiTheme="minorEastAsia" w:eastAsiaTheme="minorEastAsia" w:cstheme="minorEastAsia"/>
          <w:b/>
          <w:color w:val="auto"/>
          <w:kern w:val="0"/>
          <w:sz w:val="32"/>
          <w:szCs w:val="32"/>
          <w:highlight w:val="none"/>
          <w:lang w:val="zh-CN"/>
        </w:rPr>
        <w:t>技术</w:t>
      </w:r>
      <w:r>
        <w:rPr>
          <w:rFonts w:hint="eastAsia" w:asciiTheme="minorEastAsia" w:hAnsiTheme="minorEastAsia" w:eastAsiaTheme="minorEastAsia" w:cstheme="minorEastAsia"/>
          <w:b/>
          <w:color w:val="auto"/>
          <w:kern w:val="0"/>
          <w:sz w:val="32"/>
          <w:szCs w:val="32"/>
          <w:highlight w:val="none"/>
        </w:rPr>
        <w:t>响应</w:t>
      </w:r>
      <w:r>
        <w:rPr>
          <w:rFonts w:hint="eastAsia" w:asciiTheme="minorEastAsia" w:hAnsiTheme="minorEastAsia" w:eastAsiaTheme="minorEastAsia" w:cstheme="minorEastAsia"/>
          <w:b/>
          <w:color w:val="auto"/>
          <w:kern w:val="0"/>
          <w:sz w:val="32"/>
          <w:szCs w:val="32"/>
          <w:highlight w:val="none"/>
          <w:lang w:val="zh-CN"/>
        </w:rPr>
        <w:t>表</w:t>
      </w:r>
    </w:p>
    <w:p w14:paraId="6B493453">
      <w:pPr>
        <w:pStyle w:val="33"/>
        <w:rPr>
          <w:rFonts w:hint="default"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1、技术响应表</w:t>
      </w:r>
    </w:p>
    <w:tbl>
      <w:tblPr>
        <w:tblStyle w:val="25"/>
        <w:tblW w:w="98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3"/>
        <w:gridCol w:w="6193"/>
        <w:gridCol w:w="1424"/>
        <w:gridCol w:w="1235"/>
      </w:tblGrid>
      <w:tr w14:paraId="78835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983" w:type="dxa"/>
            <w:vAlign w:val="center"/>
          </w:tcPr>
          <w:p w14:paraId="5D6BAF5A">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193" w:type="dxa"/>
            <w:vAlign w:val="center"/>
          </w:tcPr>
          <w:p w14:paraId="3E55A129">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24" w:type="dxa"/>
            <w:vAlign w:val="center"/>
          </w:tcPr>
          <w:p w14:paraId="3FD9BDF3">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235" w:type="dxa"/>
            <w:vAlign w:val="center"/>
          </w:tcPr>
          <w:p w14:paraId="19FC9707">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6EC12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trPr>
        <w:tc>
          <w:tcPr>
            <w:tcW w:w="983" w:type="dxa"/>
            <w:vAlign w:val="center"/>
          </w:tcPr>
          <w:p w14:paraId="45571B0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193" w:type="dxa"/>
            <w:vAlign w:val="center"/>
          </w:tcPr>
          <w:p w14:paraId="6D0C07DF">
            <w:pPr>
              <w:keepNext w:val="0"/>
              <w:keepLines w:val="0"/>
              <w:pageBreakBefore w:val="0"/>
              <w:widowControl w:val="0"/>
              <w:shd w:val="clear"/>
              <w:kinsoku/>
              <w:wordWrap/>
              <w:overflowPunct/>
              <w:topLinePunct w:val="0"/>
              <w:autoSpaceDE/>
              <w:autoSpaceDN/>
              <w:bidi w:val="0"/>
              <w:adjustRightInd/>
              <w:snapToGrid/>
              <w:spacing w:beforeLines="50" w:line="360" w:lineRule="auto"/>
              <w:ind w:firstLine="422" w:firstLineChars="200"/>
              <w:textAlignment w:val="auto"/>
              <w:rPr>
                <w:rFonts w:ascii="宋体" w:hAnsi="宋体" w:cs="宋体"/>
                <w:b/>
                <w:color w:val="auto"/>
                <w:szCs w:val="21"/>
                <w:highlight w:val="none"/>
              </w:rPr>
            </w:pPr>
            <w:r>
              <w:rPr>
                <w:rFonts w:hint="eastAsia" w:ascii="宋体" w:hAnsi="宋体" w:cs="宋体"/>
                <w:b/>
                <w:color w:val="auto"/>
                <w:szCs w:val="21"/>
                <w:highlight w:val="none"/>
              </w:rPr>
              <w:t>（一）采购范围</w:t>
            </w:r>
          </w:p>
          <w:p w14:paraId="5B9E4D0C">
            <w:pPr>
              <w:keepNext w:val="0"/>
              <w:keepLines w:val="0"/>
              <w:pageBreakBefore w:val="0"/>
              <w:widowControl w:val="0"/>
              <w:shd w:val="clear"/>
              <w:kinsoku/>
              <w:wordWrap/>
              <w:overflowPunct/>
              <w:topLinePunct w:val="0"/>
              <w:autoSpaceDE/>
              <w:autoSpaceDN/>
              <w:bidi w:val="0"/>
              <w:adjustRightInd/>
              <w:snapToGrid/>
              <w:spacing w:beforeLines="50" w:line="360" w:lineRule="auto"/>
              <w:ind w:firstLine="420" w:firstLineChars="200"/>
              <w:textAlignment w:val="auto"/>
              <w:rPr>
                <w:rFonts w:hint="eastAsia" w:ascii="宋体" w:hAnsi="宋体" w:cs="宋体"/>
                <w:bCs/>
                <w:color w:val="auto"/>
                <w:szCs w:val="21"/>
                <w:highlight w:val="none"/>
                <w:lang w:val="en-US" w:eastAsia="zh-CN"/>
              </w:rPr>
            </w:pPr>
            <w:r>
              <w:rPr>
                <w:rFonts w:hint="eastAsia" w:ascii="宋体" w:hAnsi="宋体" w:cs="宋体"/>
                <w:bCs/>
                <w:color w:val="auto"/>
                <w:szCs w:val="21"/>
                <w:highlight w:val="none"/>
                <w:lang w:val="en-US" w:eastAsia="zh-CN"/>
              </w:rPr>
              <w:t>施工图范围内的低压电力排管、低压分接箱及配套基础、绿化迁移、电缆敷设等。</w:t>
            </w:r>
          </w:p>
          <w:p w14:paraId="293BEC50">
            <w:pPr>
              <w:keepNext w:val="0"/>
              <w:keepLines w:val="0"/>
              <w:pageBreakBefore w:val="0"/>
              <w:widowControl w:val="0"/>
              <w:shd w:val="clear"/>
              <w:kinsoku/>
              <w:wordWrap/>
              <w:overflowPunct/>
              <w:topLinePunct w:val="0"/>
              <w:autoSpaceDE/>
              <w:autoSpaceDN/>
              <w:bidi w:val="0"/>
              <w:adjustRightInd/>
              <w:snapToGrid/>
              <w:spacing w:beforeLines="50" w:line="360" w:lineRule="auto"/>
              <w:ind w:firstLine="422" w:firstLineChars="200"/>
              <w:textAlignment w:val="auto"/>
              <w:rPr>
                <w:rFonts w:hint="eastAsia" w:ascii="宋体" w:hAnsi="宋体" w:eastAsia="宋体" w:cs="宋体"/>
                <w:b/>
                <w:color w:val="auto"/>
                <w:szCs w:val="21"/>
                <w:highlight w:val="none"/>
                <w:lang w:val="en-US" w:eastAsia="zh-CN"/>
              </w:rPr>
            </w:pPr>
            <w:r>
              <w:rPr>
                <w:rFonts w:hint="eastAsia" w:ascii="宋体" w:hAnsi="宋体" w:eastAsia="宋体" w:cs="宋体"/>
                <w:b/>
                <w:color w:val="auto"/>
                <w:szCs w:val="21"/>
                <w:highlight w:val="none"/>
                <w:lang w:val="en-US" w:eastAsia="zh-CN"/>
              </w:rPr>
              <w:t>（二）施工图设计内容：</w:t>
            </w:r>
          </w:p>
          <w:p w14:paraId="6B198060">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eastAsia="宋体" w:cs="宋体"/>
                <w:bCs/>
                <w:color w:val="auto"/>
                <w:szCs w:val="21"/>
                <w:highlight w:val="none"/>
                <w:lang w:val="en-US" w:eastAsia="zh-CN"/>
              </w:rPr>
            </w:pPr>
            <w:r>
              <w:rPr>
                <w:rFonts w:hint="eastAsia" w:ascii="宋体" w:hAnsi="宋体" w:cs="宋体"/>
                <w:bCs/>
                <w:color w:val="auto"/>
                <w:szCs w:val="21"/>
                <w:highlight w:val="none"/>
                <w:lang w:val="en-US" w:eastAsia="zh-CN"/>
              </w:rPr>
              <w:t>详见图纸</w:t>
            </w:r>
            <w:r>
              <w:rPr>
                <w:rFonts w:hint="eastAsia" w:ascii="宋体" w:hAnsi="宋体" w:eastAsia="宋体" w:cs="宋体"/>
                <w:bCs/>
                <w:color w:val="auto"/>
                <w:szCs w:val="21"/>
                <w:highlight w:val="none"/>
                <w:lang w:val="en-US" w:eastAsia="zh-CN"/>
              </w:rPr>
              <w:t>。</w:t>
            </w:r>
          </w:p>
          <w:p w14:paraId="765EA09B">
            <w:pPr>
              <w:keepNext w:val="0"/>
              <w:keepLines w:val="0"/>
              <w:pageBreakBefore w:val="0"/>
              <w:widowControl w:val="0"/>
              <w:kinsoku/>
              <w:wordWrap/>
              <w:overflowPunct/>
              <w:topLinePunct w:val="0"/>
              <w:autoSpaceDE/>
              <w:autoSpaceDN/>
              <w:bidi w:val="0"/>
              <w:adjustRightInd/>
              <w:snapToGrid/>
              <w:spacing w:before="156" w:beforeLines="50" w:line="360" w:lineRule="auto"/>
              <w:ind w:firstLine="422" w:firstLineChars="20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lang w:val="en-US" w:eastAsia="zh-CN"/>
              </w:rPr>
              <w:t>(四）工程量清单、图纸</w:t>
            </w:r>
          </w:p>
          <w:p w14:paraId="0AC73C93">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详见采购文件附件：工程造价咨询报告书、图纸</w:t>
            </w:r>
          </w:p>
          <w:p w14:paraId="15C921C9">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1、工程量清单说明</w:t>
            </w:r>
          </w:p>
          <w:p w14:paraId="3F91531D">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1.1本工程量清单应与采购文件中的竞争性磋商须知、合同条款、技术标准和要求及图纸（如有）等一起阅读和理解。</w:t>
            </w:r>
          </w:p>
          <w:p w14:paraId="0B8F3CFD">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1.2各供应商应仔细阅读理解竞争性磋商文件，了解拟本项目的全部工作内容及招标范围，现场条件、施工现场的位置、周边环境、道路、装卸、施工作业时段等可能影响报价的其他因素，并充分考虑到竞争性磋商文件中包括工程工期要求、付款方式、合同价款方式及调整范围、其他主要合同条款等在内的各项相关条款，按照竞争性磋商文件相关要求，结合企业自身实力，自主优惠报价。任何因忽视或误解工地情况而导致的索赔或工期延误申请将不被批准。采购人对供应商自主做出的推论、解释和结论概不负责。</w:t>
            </w:r>
          </w:p>
          <w:p w14:paraId="1DA4A8C8">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1.3供应商不得擅自改动采购人提供的工程量清单内容（计量单位、工程数量等），磋商综合折扣报价应以采购人提供的工程量清单为基础，结合施工图纸进行报价，磋商采购文件（或补充说明）或工程量清单编制说明中出现对施工图修改调整时，以磋商采购文件（或补充说明）或工程量清单编制说明的修改调整为准；若工程量清单中分部分项工程量清单项目与施工图纸相对应的项目就具体构造、作法、用材等出现矛盾时，磋商报价时以采购人提供的工程量清单为准，结算时按实际工程量调整。</w:t>
            </w:r>
          </w:p>
          <w:p w14:paraId="6C8E8726">
            <w:pPr>
              <w:keepNext w:val="0"/>
              <w:keepLines w:val="0"/>
              <w:pageBreakBefore w:val="0"/>
              <w:widowControl w:val="0"/>
              <w:tabs>
                <w:tab w:val="left" w:pos="4915"/>
              </w:tabs>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color w:val="auto"/>
                <w:sz w:val="21"/>
                <w:szCs w:val="21"/>
                <w:highlight w:val="none"/>
                <w:lang w:val="en-US" w:eastAsia="zh-CN"/>
              </w:rPr>
            </w:pPr>
            <w:r>
              <w:rPr>
                <w:rFonts w:hint="eastAsia" w:asciiTheme="minorEastAsia" w:hAnsiTheme="minorEastAsia" w:eastAsiaTheme="minorEastAsia" w:cstheme="minorEastAsia"/>
                <w:b/>
                <w:color w:val="auto"/>
                <w:sz w:val="21"/>
                <w:szCs w:val="21"/>
                <w:highlight w:val="none"/>
                <w:lang w:val="en-US" w:eastAsia="zh-CN"/>
              </w:rPr>
              <w:t>（五）主要人员要求</w:t>
            </w:r>
          </w:p>
          <w:p w14:paraId="6B0DBAC1">
            <w:pPr>
              <w:keepNext w:val="0"/>
              <w:keepLines w:val="0"/>
              <w:pageBreakBefore w:val="0"/>
              <w:widowControl w:val="0"/>
              <w:kinsoku/>
              <w:wordWrap/>
              <w:overflowPunct/>
              <w:topLinePunct w:val="0"/>
              <w:autoSpaceDE/>
              <w:autoSpaceDN/>
              <w:bidi w:val="0"/>
              <w:adjustRightInd/>
              <w:snapToGrid/>
              <w:spacing w:before="156" w:beforeLines="50" w:line="360" w:lineRule="auto"/>
              <w:ind w:firstLine="420" w:firstLineChars="200"/>
              <w:textAlignment w:val="auto"/>
              <w:rPr>
                <w:rFonts w:hint="eastAsia" w:ascii="宋体" w:hAnsi="宋体" w:cs="宋体"/>
                <w:b w:val="0"/>
                <w:bCs/>
                <w:color w:val="auto"/>
                <w:sz w:val="21"/>
                <w:szCs w:val="21"/>
                <w:highlight w:val="none"/>
                <w:lang w:val="en-US" w:eastAsia="zh-CN"/>
              </w:rPr>
            </w:pPr>
            <w:r>
              <w:rPr>
                <w:rFonts w:hint="eastAsia" w:ascii="宋体" w:hAnsi="宋体" w:cs="宋体"/>
                <w:b w:val="0"/>
                <w:bCs/>
                <w:color w:val="auto"/>
                <w:sz w:val="21"/>
                <w:szCs w:val="21"/>
                <w:highlight w:val="none"/>
                <w:lang w:val="en-US" w:eastAsia="zh-CN"/>
              </w:rPr>
              <w:t>3、其它人员：提供针对本项目拟配备的其它人员（如施工员、质量员、安全员等）。（投标文件中提供相关证书证明材料）</w:t>
            </w:r>
          </w:p>
          <w:p w14:paraId="5015FDD9">
            <w:pPr>
              <w:keepNext w:val="0"/>
              <w:keepLines w:val="0"/>
              <w:pageBreakBefore w:val="0"/>
              <w:widowControl w:val="0"/>
              <w:kinsoku/>
              <w:wordWrap/>
              <w:overflowPunct/>
              <w:topLinePunct w:val="0"/>
              <w:autoSpaceDE/>
              <w:autoSpaceDN/>
              <w:bidi w:val="0"/>
              <w:adjustRightInd/>
              <w:snapToGrid/>
              <w:spacing w:before="156" w:beforeLines="50" w:line="360" w:lineRule="auto"/>
              <w:ind w:firstLine="422" w:firstLineChars="200"/>
              <w:jc w:val="both"/>
              <w:textAlignment w:val="auto"/>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 w:val="21"/>
                <w:szCs w:val="21"/>
                <w:highlight w:val="none"/>
                <w:lang w:val="en-US" w:eastAsia="zh-CN"/>
              </w:rPr>
              <w:t>（六）系统设计说明：详见图纸</w:t>
            </w:r>
          </w:p>
        </w:tc>
        <w:tc>
          <w:tcPr>
            <w:tcW w:w="1424" w:type="dxa"/>
            <w:vAlign w:val="center"/>
          </w:tcPr>
          <w:p w14:paraId="6516C0BF">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c>
          <w:tcPr>
            <w:tcW w:w="1235" w:type="dxa"/>
            <w:vAlign w:val="center"/>
          </w:tcPr>
          <w:p w14:paraId="5D6E67D6">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p>
        </w:tc>
      </w:tr>
    </w:tbl>
    <w:p w14:paraId="5335EBE0">
      <w:pPr>
        <w:spacing w:line="360" w:lineRule="auto"/>
        <w:ind w:firstLine="211" w:firstLineChars="100"/>
        <w:jc w:val="left"/>
        <w:rPr>
          <w:rFonts w:hint="eastAsia" w:ascii="Calibri" w:hAnsi="Calibri" w:eastAsia="宋体" w:cs="宋体"/>
          <w:color w:val="auto"/>
          <w:kern w:val="2"/>
          <w:sz w:val="24"/>
          <w:szCs w:val="24"/>
          <w:highlight w:val="none"/>
          <w:lang w:val="en-US" w:eastAsia="zh-CN" w:bidi="ar-SA"/>
        </w:rPr>
      </w:pPr>
      <w:r>
        <w:rPr>
          <w:rFonts w:hint="eastAsia" w:ascii="宋体" w:hAnsi="宋体" w:cs="宋体"/>
          <w:b/>
          <w:bCs/>
          <w:color w:val="auto"/>
          <w:highlight w:val="none"/>
          <w:lang w:val="en-US" w:eastAsia="zh-CN"/>
        </w:rPr>
        <w:t>注：供应商需完全响应“技术响应表 具体内容”并在“响应或偏离说明”一栏里明确，未明确响应的作扣分处理。如有优于的，可以在“投标人响应描述”一栏里详细说明。</w:t>
      </w:r>
    </w:p>
    <w:p w14:paraId="442A43E1">
      <w:pPr>
        <w:spacing w:line="360" w:lineRule="auto"/>
        <w:jc w:val="left"/>
        <w:rPr>
          <w:rFonts w:hint="eastAsia" w:ascii="Calibri" w:hAnsi="Calibri" w:eastAsia="宋体" w:cs="宋体"/>
          <w:color w:val="auto"/>
          <w:kern w:val="2"/>
          <w:sz w:val="24"/>
          <w:szCs w:val="24"/>
          <w:highlight w:val="none"/>
          <w:lang w:val="en-US" w:eastAsia="zh-CN" w:bidi="ar-SA"/>
        </w:rPr>
      </w:pPr>
    </w:p>
    <w:p w14:paraId="79DBFACA">
      <w:pPr>
        <w:spacing w:line="360" w:lineRule="auto"/>
        <w:ind w:firstLine="720" w:firstLineChars="300"/>
        <w:jc w:val="left"/>
        <w:rPr>
          <w:rFonts w:hint="eastAsia" w:ascii="Calibri" w:hAnsi="Calibri" w:eastAsia="宋体" w:cs="宋体"/>
          <w:color w:val="auto"/>
          <w:kern w:val="2"/>
          <w:sz w:val="24"/>
          <w:szCs w:val="24"/>
          <w:highlight w:val="none"/>
          <w:lang w:val="en-US" w:eastAsia="zh-CN" w:bidi="ar-SA"/>
        </w:rPr>
      </w:pPr>
      <w:r>
        <w:rPr>
          <w:rFonts w:hint="eastAsia" w:ascii="Calibri" w:hAnsi="Calibri" w:eastAsia="宋体" w:cs="宋体"/>
          <w:color w:val="auto"/>
          <w:kern w:val="2"/>
          <w:sz w:val="24"/>
          <w:szCs w:val="24"/>
          <w:highlight w:val="none"/>
          <w:lang w:val="en-US" w:eastAsia="zh-CN" w:bidi="ar-SA"/>
        </w:rPr>
        <w:t>2、带▲条款技术响应表</w:t>
      </w:r>
    </w:p>
    <w:tbl>
      <w:tblPr>
        <w:tblStyle w:val="24"/>
        <w:tblW w:w="958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6320"/>
        <w:gridCol w:w="1407"/>
        <w:gridCol w:w="1126"/>
      </w:tblGrid>
      <w:tr w14:paraId="73B68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731" w:type="dxa"/>
            <w:noWrap w:val="0"/>
            <w:vAlign w:val="center"/>
          </w:tcPr>
          <w:p w14:paraId="71DD80D4">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序号</w:t>
            </w:r>
          </w:p>
        </w:tc>
        <w:tc>
          <w:tcPr>
            <w:tcW w:w="6320" w:type="dxa"/>
            <w:noWrap w:val="0"/>
            <w:vAlign w:val="center"/>
          </w:tcPr>
          <w:p w14:paraId="643AFDB3">
            <w:pPr>
              <w:spacing w:line="240" w:lineRule="auto"/>
              <w:jc w:val="both"/>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具体内容</w:t>
            </w:r>
          </w:p>
        </w:tc>
        <w:tc>
          <w:tcPr>
            <w:tcW w:w="1407" w:type="dxa"/>
            <w:noWrap w:val="0"/>
            <w:vAlign w:val="center"/>
          </w:tcPr>
          <w:p w14:paraId="58D9016F">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cs="宋体"/>
                <w:color w:val="auto"/>
                <w:kern w:val="2"/>
                <w:sz w:val="21"/>
                <w:szCs w:val="21"/>
                <w:highlight w:val="none"/>
                <w:lang w:val="en-US" w:eastAsia="zh-CN" w:bidi="ar-SA"/>
              </w:rPr>
              <w:t>投标人响应描述</w:t>
            </w:r>
          </w:p>
        </w:tc>
        <w:tc>
          <w:tcPr>
            <w:tcW w:w="1126" w:type="dxa"/>
            <w:noWrap w:val="0"/>
            <w:vAlign w:val="center"/>
          </w:tcPr>
          <w:p w14:paraId="79F7BE2B">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响应或偏离说明</w:t>
            </w:r>
          </w:p>
        </w:tc>
      </w:tr>
      <w:tr w14:paraId="2809BE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trPr>
        <w:tc>
          <w:tcPr>
            <w:tcW w:w="731" w:type="dxa"/>
            <w:noWrap w:val="0"/>
            <w:vAlign w:val="center"/>
          </w:tcPr>
          <w:p w14:paraId="76E8A870">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1</w:t>
            </w:r>
          </w:p>
        </w:tc>
        <w:tc>
          <w:tcPr>
            <w:tcW w:w="6320" w:type="dxa"/>
            <w:noWrap w:val="0"/>
            <w:vAlign w:val="center"/>
          </w:tcPr>
          <w:p w14:paraId="59BA7055">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highlight w:val="none"/>
              </w:rPr>
              <w:t>▲</w:t>
            </w:r>
            <w:r>
              <w:rPr>
                <w:rFonts w:hint="eastAsia" w:cs="宋体"/>
                <w:color w:val="auto"/>
                <w:szCs w:val="21"/>
                <w:highlight w:val="none"/>
              </w:rPr>
              <w:t>1、项目经理：具有市政公用工程专业注册建造师贰级及以上证书，并具有有效的《安全生产考核合格证书》（B证）；（投标文件中提供相关证书证明材料）</w:t>
            </w:r>
          </w:p>
        </w:tc>
        <w:tc>
          <w:tcPr>
            <w:tcW w:w="1407" w:type="dxa"/>
            <w:noWrap w:val="0"/>
            <w:vAlign w:val="center"/>
          </w:tcPr>
          <w:p w14:paraId="77A1D1EB">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7B086A07">
            <w:pPr>
              <w:spacing w:line="240" w:lineRule="auto"/>
              <w:jc w:val="both"/>
              <w:rPr>
                <w:rFonts w:hint="eastAsia" w:ascii="Calibri" w:hAnsi="Calibri" w:eastAsia="宋体" w:cs="宋体"/>
                <w:color w:val="auto"/>
                <w:kern w:val="2"/>
                <w:sz w:val="21"/>
                <w:szCs w:val="21"/>
                <w:highlight w:val="none"/>
                <w:lang w:val="en-US" w:eastAsia="zh-CN" w:bidi="ar-SA"/>
              </w:rPr>
            </w:pPr>
          </w:p>
        </w:tc>
      </w:tr>
      <w:tr w14:paraId="4A66E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731" w:type="dxa"/>
            <w:noWrap w:val="0"/>
            <w:vAlign w:val="center"/>
          </w:tcPr>
          <w:p w14:paraId="41DB8CC9">
            <w:pPr>
              <w:spacing w:line="240" w:lineRule="auto"/>
              <w:jc w:val="center"/>
              <w:rPr>
                <w:rFonts w:hint="eastAsia" w:ascii="Calibri" w:hAnsi="Calibri" w:eastAsia="宋体" w:cs="宋体"/>
                <w:color w:val="auto"/>
                <w:kern w:val="2"/>
                <w:sz w:val="21"/>
                <w:szCs w:val="21"/>
                <w:highlight w:val="none"/>
                <w:lang w:val="en-US" w:eastAsia="zh-CN" w:bidi="ar-SA"/>
              </w:rPr>
            </w:pPr>
            <w:r>
              <w:rPr>
                <w:rFonts w:hint="eastAsia" w:ascii="Calibri" w:hAnsi="Calibri" w:eastAsia="宋体" w:cs="宋体"/>
                <w:color w:val="auto"/>
                <w:kern w:val="2"/>
                <w:sz w:val="21"/>
                <w:szCs w:val="21"/>
                <w:highlight w:val="none"/>
                <w:lang w:val="en-US" w:eastAsia="zh-CN" w:bidi="ar-SA"/>
              </w:rPr>
              <w:t>2</w:t>
            </w:r>
          </w:p>
        </w:tc>
        <w:tc>
          <w:tcPr>
            <w:tcW w:w="6320" w:type="dxa"/>
            <w:noWrap w:val="0"/>
            <w:vAlign w:val="center"/>
          </w:tcPr>
          <w:p w14:paraId="525AA581">
            <w:pPr>
              <w:shd w:val="clear"/>
              <w:tabs>
                <w:tab w:val="left" w:pos="4915"/>
              </w:tabs>
              <w:spacing w:line="360" w:lineRule="auto"/>
              <w:ind w:firstLine="422" w:firstLineChars="200"/>
              <w:rPr>
                <w:rFonts w:hint="eastAsia" w:ascii="Calibri" w:hAnsi="Calibri" w:eastAsia="宋体" w:cs="宋体"/>
                <w:color w:val="auto"/>
                <w:kern w:val="2"/>
                <w:sz w:val="21"/>
                <w:szCs w:val="21"/>
                <w:highlight w:val="none"/>
                <w:lang w:val="en-US" w:eastAsia="zh-CN" w:bidi="ar-SA"/>
              </w:rPr>
            </w:pPr>
            <w:r>
              <w:rPr>
                <w:rFonts w:hint="eastAsia" w:ascii="宋体" w:hAnsi="宋体" w:cs="宋体"/>
                <w:b/>
                <w:color w:val="auto"/>
                <w:szCs w:val="21"/>
              </w:rPr>
              <w:t>▲</w:t>
            </w:r>
            <w:r>
              <w:rPr>
                <w:rFonts w:hint="eastAsia" w:cs="宋体"/>
                <w:color w:val="auto"/>
                <w:szCs w:val="21"/>
              </w:rPr>
              <w:t>2</w:t>
            </w:r>
            <w:r>
              <w:rPr>
                <w:rFonts w:cs="宋体"/>
                <w:color w:val="auto"/>
                <w:szCs w:val="21"/>
              </w:rPr>
              <w:t>、</w:t>
            </w:r>
            <w:r>
              <w:rPr>
                <w:rFonts w:hint="eastAsia" w:cs="宋体"/>
                <w:color w:val="auto"/>
                <w:szCs w:val="21"/>
              </w:rPr>
              <w:t>项目专职安全员1名，具备有效的《安全生产考核合格证书》（C类）；（投标文件中提供相关证书证明资料）</w:t>
            </w:r>
          </w:p>
        </w:tc>
        <w:tc>
          <w:tcPr>
            <w:tcW w:w="1407" w:type="dxa"/>
            <w:noWrap w:val="0"/>
            <w:vAlign w:val="center"/>
          </w:tcPr>
          <w:p w14:paraId="588246DD">
            <w:pPr>
              <w:spacing w:line="240" w:lineRule="auto"/>
              <w:jc w:val="both"/>
              <w:rPr>
                <w:rFonts w:hint="eastAsia" w:ascii="Calibri" w:hAnsi="Calibri" w:eastAsia="宋体" w:cs="宋体"/>
                <w:color w:val="auto"/>
                <w:kern w:val="2"/>
                <w:sz w:val="21"/>
                <w:szCs w:val="21"/>
                <w:highlight w:val="none"/>
                <w:lang w:val="en-US" w:eastAsia="zh-CN" w:bidi="ar-SA"/>
              </w:rPr>
            </w:pPr>
          </w:p>
        </w:tc>
        <w:tc>
          <w:tcPr>
            <w:tcW w:w="1126" w:type="dxa"/>
            <w:noWrap w:val="0"/>
            <w:vAlign w:val="center"/>
          </w:tcPr>
          <w:p w14:paraId="518809D2">
            <w:pPr>
              <w:spacing w:line="240" w:lineRule="auto"/>
              <w:jc w:val="both"/>
              <w:rPr>
                <w:rFonts w:hint="eastAsia" w:ascii="Calibri" w:hAnsi="Calibri" w:eastAsia="宋体" w:cs="宋体"/>
                <w:color w:val="auto"/>
                <w:kern w:val="2"/>
                <w:sz w:val="21"/>
                <w:szCs w:val="21"/>
                <w:highlight w:val="none"/>
                <w:lang w:val="en-US" w:eastAsia="zh-CN" w:bidi="ar-SA"/>
              </w:rPr>
            </w:pPr>
          </w:p>
        </w:tc>
      </w:tr>
    </w:tbl>
    <w:p w14:paraId="1CE8A0FD">
      <w:pPr>
        <w:spacing w:line="360" w:lineRule="auto"/>
        <w:ind w:firstLine="210" w:firstLineChars="100"/>
        <w:jc w:val="left"/>
        <w:rPr>
          <w:rFonts w:hint="eastAsia" w:ascii="宋体" w:hAnsi="宋体" w:cs="宋体"/>
          <w:color w:val="auto"/>
          <w:highlight w:val="none"/>
        </w:rPr>
      </w:pPr>
      <w:r>
        <w:rPr>
          <w:rFonts w:hint="eastAsia" w:ascii="宋体" w:hAnsi="宋体" w:cs="宋体"/>
          <w:color w:val="auto"/>
          <w:highlight w:val="none"/>
        </w:rPr>
        <w:t>说明：</w:t>
      </w:r>
      <w:r>
        <w:rPr>
          <w:rFonts w:hint="eastAsia" w:ascii="宋体" w:hAnsi="宋体" w:cs="宋体"/>
          <w:color w:val="auto"/>
          <w:highlight w:val="none"/>
          <w:lang w:val="en-US" w:eastAsia="zh-CN"/>
        </w:rPr>
        <w:t>采购文件中</w:t>
      </w:r>
      <w:r>
        <w:rPr>
          <w:rFonts w:hint="eastAsia" w:ascii="宋体" w:hAnsi="宋体" w:cs="宋体"/>
          <w:color w:val="auto"/>
          <w:highlight w:val="none"/>
          <w:lang w:eastAsia="zh-CN"/>
        </w:rPr>
        <w:t>“</w:t>
      </w:r>
      <w:r>
        <w:rPr>
          <w:rFonts w:hint="eastAsia" w:ascii="宋体" w:hAnsi="宋体" w:cs="宋体"/>
          <w:color w:val="auto"/>
          <w:highlight w:val="none"/>
          <w:lang w:val="en-US" w:eastAsia="zh-CN"/>
        </w:rPr>
        <w:t>第三部分 采购需求</w:t>
      </w:r>
      <w:r>
        <w:rPr>
          <w:rFonts w:hint="eastAsia" w:ascii="宋体" w:hAnsi="宋体" w:cs="宋体"/>
          <w:color w:val="auto"/>
          <w:highlight w:val="none"/>
          <w:lang w:eastAsia="zh-CN"/>
        </w:rPr>
        <w:t>”</w:t>
      </w:r>
      <w:r>
        <w:rPr>
          <w:rFonts w:hint="eastAsia" w:ascii="宋体" w:hAnsi="宋体" w:cs="宋体"/>
          <w:color w:val="auto"/>
          <w:highlight w:val="none"/>
        </w:rPr>
        <w:t>带“</w:t>
      </w:r>
      <w:r>
        <w:rPr>
          <w:rFonts w:hint="eastAsia" w:ascii="宋体" w:hAnsi="宋体" w:eastAsia="宋体" w:cs="宋体"/>
          <w:color w:val="auto"/>
          <w:szCs w:val="21"/>
          <w:highlight w:val="none"/>
        </w:rPr>
        <w:t>▲</w:t>
      </w:r>
      <w:r>
        <w:rPr>
          <w:rFonts w:hint="eastAsia" w:ascii="宋体" w:hAnsi="宋体" w:cs="宋体"/>
          <w:color w:val="auto"/>
          <w:highlight w:val="none"/>
        </w:rPr>
        <w:t>”的条款要求提供相关证明资料</w:t>
      </w:r>
      <w:r>
        <w:rPr>
          <w:rFonts w:hint="eastAsia" w:ascii="宋体" w:hAnsi="宋体" w:cs="宋体"/>
          <w:color w:val="auto"/>
          <w:highlight w:val="none"/>
          <w:lang w:eastAsia="zh-CN"/>
        </w:rPr>
        <w:t>的</w:t>
      </w:r>
      <w:r>
        <w:rPr>
          <w:rFonts w:hint="eastAsia" w:ascii="宋体" w:hAnsi="宋体" w:cs="宋体"/>
          <w:color w:val="auto"/>
          <w:highlight w:val="none"/>
        </w:rPr>
        <w:t>必须一并提供，否则视为</w:t>
      </w:r>
      <w:r>
        <w:rPr>
          <w:rFonts w:hint="eastAsia" w:ascii="宋体" w:hAnsi="宋体" w:cs="宋体"/>
          <w:color w:val="auto"/>
          <w:highlight w:val="none"/>
          <w:lang w:val="en-US" w:eastAsia="zh-CN"/>
        </w:rPr>
        <w:t>未实质性响应</w:t>
      </w:r>
      <w:r>
        <w:rPr>
          <w:rFonts w:hint="eastAsia" w:ascii="宋体" w:hAnsi="宋体" w:cs="宋体"/>
          <w:color w:val="auto"/>
          <w:highlight w:val="none"/>
        </w:rPr>
        <w:t>。</w:t>
      </w:r>
    </w:p>
    <w:p w14:paraId="5DB7E728">
      <w:pPr>
        <w:spacing w:before="156" w:beforeLines="50" w:line="360" w:lineRule="auto"/>
        <w:ind w:firstLine="422" w:firstLineChars="200"/>
        <w:rPr>
          <w:rFonts w:hint="eastAsia" w:ascii="宋体" w:hAnsi="宋体" w:cs="宋体"/>
          <w:b/>
          <w:bCs w:val="0"/>
          <w:color w:val="auto"/>
          <w:sz w:val="21"/>
          <w:szCs w:val="21"/>
          <w:highlight w:val="none"/>
          <w:lang w:val="en-US" w:eastAsia="zh-CN"/>
        </w:rPr>
      </w:pPr>
    </w:p>
    <w:p w14:paraId="3D9B7998">
      <w:pPr>
        <w:spacing w:before="156" w:beforeLines="50" w:line="360" w:lineRule="auto"/>
        <w:ind w:firstLine="422" w:firstLineChars="200"/>
        <w:rPr>
          <w:rFonts w:hint="eastAsia" w:ascii="宋体" w:hAnsi="宋体" w:cs="宋体"/>
          <w:b/>
          <w:bCs w:val="0"/>
          <w:color w:val="auto"/>
          <w:sz w:val="21"/>
          <w:szCs w:val="21"/>
          <w:highlight w:val="none"/>
          <w:lang w:val="en-US" w:eastAsia="zh-CN"/>
        </w:rPr>
      </w:pPr>
    </w:p>
    <w:p w14:paraId="65C2CEE9">
      <w:pPr>
        <w:spacing w:before="156" w:beforeLines="50" w:line="360" w:lineRule="auto"/>
        <w:ind w:firstLine="422" w:firstLineChars="200"/>
        <w:rPr>
          <w:rFonts w:hint="eastAsia" w:ascii="宋体" w:hAnsi="宋体" w:cs="宋体"/>
          <w:b/>
          <w:bCs w:val="0"/>
          <w:color w:val="auto"/>
          <w:sz w:val="21"/>
          <w:szCs w:val="21"/>
          <w:highlight w:val="none"/>
          <w:lang w:val="en-US" w:eastAsia="zh-CN"/>
        </w:rPr>
      </w:pPr>
      <w:r>
        <w:rPr>
          <w:rFonts w:hint="eastAsia" w:ascii="宋体" w:hAnsi="宋体" w:cs="宋体"/>
          <w:b/>
          <w:bCs w:val="0"/>
          <w:color w:val="auto"/>
          <w:sz w:val="21"/>
          <w:szCs w:val="21"/>
          <w:highlight w:val="none"/>
          <w:lang w:val="en-US" w:eastAsia="zh-CN"/>
        </w:rPr>
        <w:t>（三）项目部分要求前附表（前附表要求如与采购文件其他内容有出入的，以本表为准）</w:t>
      </w:r>
    </w:p>
    <w:tbl>
      <w:tblPr>
        <w:tblStyle w:val="25"/>
        <w:tblW w:w="928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3669"/>
        <w:gridCol w:w="3103"/>
        <w:gridCol w:w="1541"/>
      </w:tblGrid>
      <w:tr w14:paraId="38A9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7987840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序号</w:t>
            </w:r>
          </w:p>
        </w:tc>
        <w:tc>
          <w:tcPr>
            <w:tcW w:w="3669" w:type="dxa"/>
            <w:vAlign w:val="center"/>
          </w:tcPr>
          <w:p w14:paraId="1013B946">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项目内容</w:t>
            </w:r>
          </w:p>
        </w:tc>
        <w:tc>
          <w:tcPr>
            <w:tcW w:w="3103" w:type="dxa"/>
            <w:vAlign w:val="center"/>
          </w:tcPr>
          <w:p w14:paraId="531DFAB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说明与要求</w:t>
            </w:r>
          </w:p>
        </w:tc>
        <w:tc>
          <w:tcPr>
            <w:tcW w:w="1541" w:type="dxa"/>
            <w:vAlign w:val="center"/>
          </w:tcPr>
          <w:p w14:paraId="3E9E63D8">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eastAsia="宋体" w:cs="Times New Roman"/>
                <w:b w:val="0"/>
                <w:bCs w:val="0"/>
                <w:color w:val="auto"/>
                <w:szCs w:val="21"/>
                <w:highlight w:val="none"/>
                <w:lang w:val="en-US" w:eastAsia="zh-CN"/>
              </w:rPr>
              <w:t>供应商响应</w:t>
            </w:r>
          </w:p>
        </w:tc>
      </w:tr>
      <w:tr w14:paraId="2BE9B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3C1E578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1</w:t>
            </w:r>
          </w:p>
        </w:tc>
        <w:tc>
          <w:tcPr>
            <w:tcW w:w="3669" w:type="dxa"/>
            <w:vAlign w:val="center"/>
          </w:tcPr>
          <w:p w14:paraId="6B09C6E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施工准备时间</w:t>
            </w:r>
          </w:p>
        </w:tc>
        <w:tc>
          <w:tcPr>
            <w:tcW w:w="3103" w:type="dxa"/>
            <w:vAlign w:val="center"/>
          </w:tcPr>
          <w:p w14:paraId="24B1E312">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签订合同后 7 天</w:t>
            </w:r>
          </w:p>
        </w:tc>
        <w:tc>
          <w:tcPr>
            <w:tcW w:w="1541" w:type="dxa"/>
            <w:vAlign w:val="center"/>
          </w:tcPr>
          <w:p w14:paraId="6A53B971">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762D1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0FC6B0BF">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2</w:t>
            </w:r>
          </w:p>
        </w:tc>
        <w:tc>
          <w:tcPr>
            <w:tcW w:w="3669" w:type="dxa"/>
            <w:vAlign w:val="center"/>
          </w:tcPr>
          <w:p w14:paraId="71DE9CA9">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b w:val="0"/>
                <w:bCs w:val="0"/>
                <w:color w:val="auto"/>
                <w:szCs w:val="21"/>
                <w:highlight w:val="none"/>
              </w:rPr>
              <w:t>延误合同工期赔偿标准</w:t>
            </w:r>
          </w:p>
        </w:tc>
        <w:tc>
          <w:tcPr>
            <w:tcW w:w="3103" w:type="dxa"/>
            <w:vAlign w:val="center"/>
          </w:tcPr>
          <w:p w14:paraId="779969E3">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val="en-US" w:eastAsia="zh-CN"/>
              </w:rPr>
              <w:t>1</w:t>
            </w:r>
            <w:r>
              <w:rPr>
                <w:rFonts w:hint="eastAsia" w:ascii="宋体" w:hAnsi="Calibri" w:eastAsia="宋体" w:cs="Times New Roman"/>
                <w:b w:val="0"/>
                <w:bCs w:val="0"/>
                <w:color w:val="auto"/>
                <w:szCs w:val="21"/>
                <w:highlight w:val="none"/>
                <w:lang w:eastAsia="zh-CN"/>
              </w:rPr>
              <w:t>000 元/天</w:t>
            </w:r>
          </w:p>
        </w:tc>
        <w:tc>
          <w:tcPr>
            <w:tcW w:w="1541" w:type="dxa"/>
            <w:vAlign w:val="center"/>
          </w:tcPr>
          <w:p w14:paraId="17994BFC">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0E6E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69701C40">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hAnsi="Times New Roman" w:eastAsia="宋体" w:cs="Times New Roman"/>
                <w:b w:val="0"/>
                <w:bCs w:val="0"/>
                <w:color w:val="auto"/>
                <w:szCs w:val="21"/>
                <w:highlight w:val="none"/>
              </w:rPr>
              <w:t>3</w:t>
            </w:r>
          </w:p>
        </w:tc>
        <w:tc>
          <w:tcPr>
            <w:tcW w:w="3669" w:type="dxa"/>
            <w:vAlign w:val="center"/>
          </w:tcPr>
          <w:p w14:paraId="2B33F02D">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未达到工程工期违约金限额</w:t>
            </w:r>
          </w:p>
        </w:tc>
        <w:tc>
          <w:tcPr>
            <w:tcW w:w="3103" w:type="dxa"/>
            <w:vAlign w:val="center"/>
          </w:tcPr>
          <w:p w14:paraId="5DA33A1A">
            <w:pPr>
              <w:pageBreakBefore w:val="0"/>
              <w:kinsoku/>
              <w:wordWrap/>
              <w:overflowPunct/>
              <w:topLinePunct w:val="0"/>
              <w:bidi w:val="0"/>
              <w:snapToGrid w:val="0"/>
              <w:spacing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2</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2EF3C3B5">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FA2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C381F0">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4</w:t>
            </w:r>
          </w:p>
        </w:tc>
        <w:tc>
          <w:tcPr>
            <w:tcW w:w="3669" w:type="dxa"/>
            <w:vAlign w:val="center"/>
          </w:tcPr>
          <w:p w14:paraId="070ED495">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未达到工程质量验收标准违约金限额</w:t>
            </w:r>
          </w:p>
        </w:tc>
        <w:tc>
          <w:tcPr>
            <w:tcW w:w="3103" w:type="dxa"/>
            <w:vAlign w:val="center"/>
          </w:tcPr>
          <w:p w14:paraId="2AF9FE7C">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698EA5BA">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1B34A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0EC52DA">
            <w:pPr>
              <w:pageBreakBefore w:val="0"/>
              <w:kinsoku/>
              <w:wordWrap/>
              <w:overflowPunct/>
              <w:topLinePunct w:val="0"/>
              <w:bidi w:val="0"/>
              <w:spacing w:line="360" w:lineRule="auto"/>
              <w:jc w:val="center"/>
              <w:rPr>
                <w:rFonts w:hint="eastAsia" w:ascii="Times New Roman" w:hAnsi="Times New Roman" w:eastAsia="宋体" w:cs="Times New Roman"/>
                <w:b w:val="0"/>
                <w:bCs w:val="0"/>
                <w:color w:val="auto"/>
                <w:szCs w:val="21"/>
                <w:highlight w:val="none"/>
                <w:lang w:val="en-US" w:eastAsia="zh-CN"/>
              </w:rPr>
            </w:pPr>
            <w:r>
              <w:rPr>
                <w:rFonts w:hint="eastAsia" w:ascii="Times New Roman" w:hAnsi="Times New Roman" w:cs="Times New Roman"/>
                <w:b w:val="0"/>
                <w:bCs w:val="0"/>
                <w:color w:val="auto"/>
                <w:szCs w:val="21"/>
                <w:highlight w:val="none"/>
                <w:lang w:val="en-US" w:eastAsia="zh-CN"/>
              </w:rPr>
              <w:t>5</w:t>
            </w:r>
          </w:p>
        </w:tc>
        <w:tc>
          <w:tcPr>
            <w:tcW w:w="3669" w:type="dxa"/>
            <w:vAlign w:val="center"/>
          </w:tcPr>
          <w:p w14:paraId="2CF3A5B7">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未履行安全文明施工承诺违约金限额</w:t>
            </w:r>
          </w:p>
        </w:tc>
        <w:tc>
          <w:tcPr>
            <w:tcW w:w="3103" w:type="dxa"/>
            <w:vAlign w:val="center"/>
          </w:tcPr>
          <w:p w14:paraId="44FFD396">
            <w:pPr>
              <w:spacing w:line="350" w:lineRule="exact"/>
              <w:jc w:val="center"/>
              <w:rPr>
                <w:rFonts w:hint="eastAsia" w:ascii="宋体" w:hAnsi="Calibri" w:eastAsia="宋体" w:cs="Times New Roman"/>
                <w:b w:val="0"/>
                <w:bCs w:val="0"/>
                <w:color w:val="auto"/>
                <w:szCs w:val="21"/>
                <w:highlight w:val="none"/>
                <w:lang w:eastAsia="zh-CN"/>
              </w:rPr>
            </w:pPr>
            <w:r>
              <w:rPr>
                <w:rFonts w:hint="eastAsia" w:ascii="宋体"/>
                <w:color w:val="auto"/>
                <w:szCs w:val="21"/>
                <w:highlight w:val="none"/>
              </w:rPr>
              <w:t>合同价款的</w:t>
            </w:r>
            <w:r>
              <w:rPr>
                <w:rFonts w:hint="eastAsia" w:ascii="宋体"/>
                <w:color w:val="auto"/>
                <w:szCs w:val="21"/>
                <w:highlight w:val="none"/>
                <w:u w:val="single"/>
              </w:rPr>
              <w:t xml:space="preserve"> 1 </w:t>
            </w:r>
            <w:r>
              <w:rPr>
                <w:rFonts w:hint="eastAsia" w:ascii="宋体"/>
                <w:color w:val="auto"/>
                <w:szCs w:val="21"/>
                <w:highlight w:val="none"/>
              </w:rPr>
              <w:t>%</w:t>
            </w:r>
          </w:p>
        </w:tc>
        <w:tc>
          <w:tcPr>
            <w:tcW w:w="1541" w:type="dxa"/>
            <w:vAlign w:val="center"/>
          </w:tcPr>
          <w:p w14:paraId="2611E1D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48CFC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center"/>
          </w:tcPr>
          <w:p w14:paraId="1FD60D27">
            <w:pPr>
              <w:pageBreakBefore w:val="0"/>
              <w:kinsoku/>
              <w:wordWrap/>
              <w:overflowPunct/>
              <w:topLinePunct w:val="0"/>
              <w:bidi w:val="0"/>
              <w:spacing w:line="360" w:lineRule="auto"/>
              <w:jc w:val="center"/>
              <w:rPr>
                <w:rFonts w:hint="default" w:ascii="宋体" w:hAnsi="宋体" w:eastAsia="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6</w:t>
            </w:r>
          </w:p>
        </w:tc>
        <w:tc>
          <w:tcPr>
            <w:tcW w:w="3669" w:type="dxa"/>
            <w:vAlign w:val="center"/>
          </w:tcPr>
          <w:p w14:paraId="72DB5682">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未履行项目经理及主要施工管理人员到场承诺违约金限额（项目经理到场率80%以上）</w:t>
            </w:r>
          </w:p>
        </w:tc>
        <w:tc>
          <w:tcPr>
            <w:tcW w:w="3103" w:type="dxa"/>
            <w:vAlign w:val="center"/>
          </w:tcPr>
          <w:p w14:paraId="191C5E33">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宋体" w:cs="宋体"/>
                <w:b w:val="0"/>
                <w:bCs w:val="0"/>
                <w:color w:val="auto"/>
                <w:sz w:val="21"/>
                <w:szCs w:val="21"/>
                <w:highlight w:val="none"/>
                <w:vertAlign w:val="baseline"/>
                <w:lang w:val="en-US" w:eastAsia="zh-CN"/>
              </w:rPr>
            </w:pPr>
            <w:r>
              <w:rPr>
                <w:rFonts w:hint="eastAsia" w:ascii="宋体" w:hAnsi="Calibri" w:eastAsia="宋体" w:cs="Times New Roman"/>
                <w:b w:val="0"/>
                <w:bCs w:val="0"/>
                <w:color w:val="auto"/>
                <w:szCs w:val="21"/>
                <w:highlight w:val="none"/>
                <w:lang w:eastAsia="zh-CN"/>
              </w:rPr>
              <w:t>合同价款的</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u w:val="single"/>
                <w:lang w:val="en-US" w:eastAsia="zh-CN"/>
              </w:rPr>
              <w:t>1</w:t>
            </w:r>
            <w:r>
              <w:rPr>
                <w:rFonts w:hint="eastAsia" w:ascii="宋体" w:hAnsi="Calibri" w:eastAsia="宋体" w:cs="Times New Roman"/>
                <w:b w:val="0"/>
                <w:bCs w:val="0"/>
                <w:color w:val="auto"/>
                <w:szCs w:val="21"/>
                <w:highlight w:val="none"/>
                <w:u w:val="single"/>
                <w:lang w:eastAsia="zh-CN"/>
              </w:rPr>
              <w:t xml:space="preserve"> </w:t>
            </w:r>
            <w:r>
              <w:rPr>
                <w:rFonts w:hint="eastAsia" w:ascii="宋体" w:hAnsi="Calibri" w:eastAsia="宋体" w:cs="Times New Roman"/>
                <w:b w:val="0"/>
                <w:bCs w:val="0"/>
                <w:color w:val="auto"/>
                <w:szCs w:val="21"/>
                <w:highlight w:val="none"/>
                <w:lang w:eastAsia="zh-CN"/>
              </w:rPr>
              <w:t>%</w:t>
            </w:r>
          </w:p>
        </w:tc>
        <w:tc>
          <w:tcPr>
            <w:tcW w:w="1541" w:type="dxa"/>
            <w:vAlign w:val="center"/>
          </w:tcPr>
          <w:p w14:paraId="04480234">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AF76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1D0CDCAC">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7</w:t>
            </w:r>
          </w:p>
        </w:tc>
        <w:tc>
          <w:tcPr>
            <w:tcW w:w="3669" w:type="dxa"/>
            <w:vAlign w:val="center"/>
          </w:tcPr>
          <w:p w14:paraId="37A9DDF6">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Calibri" w:eastAsia="宋体" w:cs="Times New Roman"/>
                <w:b w:val="0"/>
                <w:bCs w:val="0"/>
                <w:color w:val="auto"/>
                <w:szCs w:val="21"/>
                <w:highlight w:val="none"/>
                <w:lang w:eastAsia="zh-CN"/>
              </w:rPr>
            </w:pPr>
            <w:r>
              <w:rPr>
                <w:rFonts w:hint="eastAsia" w:ascii="宋体"/>
                <w:szCs w:val="21"/>
              </w:rPr>
              <w:t>安全文明费、提前竣工增加费、其它施工组织措施费</w:t>
            </w:r>
          </w:p>
        </w:tc>
        <w:tc>
          <w:tcPr>
            <w:tcW w:w="3103" w:type="dxa"/>
            <w:vAlign w:val="center"/>
          </w:tcPr>
          <w:p w14:paraId="1A5C61DA">
            <w:pPr>
              <w:keepNext w:val="0"/>
              <w:keepLines w:val="0"/>
              <w:pageBreakBefore w:val="0"/>
              <w:widowControl w:val="0"/>
              <w:kinsoku/>
              <w:wordWrap/>
              <w:overflowPunct/>
              <w:topLinePunct w:val="0"/>
              <w:autoSpaceDE/>
              <w:autoSpaceDN/>
              <w:bidi w:val="0"/>
              <w:adjustRightInd/>
              <w:snapToGrid/>
              <w:spacing w:line="350" w:lineRule="exact"/>
              <w:jc w:val="center"/>
              <w:textAlignment w:val="auto"/>
              <w:rPr>
                <w:rFonts w:hint="eastAsia" w:ascii="宋体" w:hAnsi="Calibri" w:eastAsia="宋体" w:cs="Times New Roman"/>
                <w:b w:val="0"/>
                <w:bCs w:val="0"/>
                <w:color w:val="auto"/>
                <w:szCs w:val="21"/>
                <w:highlight w:val="none"/>
                <w:lang w:eastAsia="zh-CN"/>
              </w:rPr>
            </w:pPr>
            <w:r>
              <w:rPr>
                <w:rFonts w:hint="eastAsia" w:asciiTheme="minorEastAsia" w:hAnsiTheme="minorEastAsia" w:eastAsiaTheme="minorEastAsia" w:cstheme="minorEastAsia"/>
                <w:b w:val="0"/>
                <w:bCs w:val="0"/>
                <w:color w:val="auto"/>
                <w:szCs w:val="21"/>
                <w:highlight w:val="none"/>
                <w:lang w:eastAsia="zh-CN"/>
              </w:rPr>
              <w:t>施工组织措施项目费计取安全文明施工基本费（非市区工程）、冬雨季施工增加费两项，费率按中值计取，其他施工组织项目费均不计取</w:t>
            </w:r>
          </w:p>
        </w:tc>
        <w:tc>
          <w:tcPr>
            <w:tcW w:w="1541" w:type="dxa"/>
            <w:vAlign w:val="center"/>
          </w:tcPr>
          <w:p w14:paraId="4EB25EFB">
            <w:pPr>
              <w:pageBreakBefore w:val="0"/>
              <w:kinsoku/>
              <w:wordWrap/>
              <w:overflowPunct/>
              <w:topLinePunct w:val="0"/>
              <w:bidi w:val="0"/>
              <w:spacing w:line="360" w:lineRule="auto"/>
              <w:jc w:val="center"/>
              <w:rPr>
                <w:rFonts w:hint="eastAsia" w:ascii="宋体" w:hAnsi="宋体" w:cs="宋体"/>
                <w:b w:val="0"/>
                <w:bCs w:val="0"/>
                <w:color w:val="auto"/>
                <w:sz w:val="21"/>
                <w:szCs w:val="21"/>
                <w:highlight w:val="none"/>
                <w:vertAlign w:val="baseline"/>
                <w:lang w:val="en-US" w:eastAsia="zh-CN"/>
              </w:rPr>
            </w:pPr>
          </w:p>
        </w:tc>
      </w:tr>
      <w:tr w14:paraId="3784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70D16194">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8</w:t>
            </w:r>
          </w:p>
        </w:tc>
        <w:tc>
          <w:tcPr>
            <w:tcW w:w="3669" w:type="dxa"/>
            <w:vAlign w:val="top"/>
          </w:tcPr>
          <w:p w14:paraId="35122E71">
            <w:pPr>
              <w:spacing w:before="156" w:beforeLines="50" w:line="360" w:lineRule="auto"/>
              <w:jc w:val="center"/>
              <w:rPr>
                <w:rFonts w:hint="eastAsia" w:ascii="宋体" w:hAnsi="宋体" w:cs="宋体"/>
                <w:b w:val="0"/>
                <w:bCs w:val="0"/>
                <w:color w:val="auto"/>
                <w:sz w:val="21"/>
                <w:szCs w:val="21"/>
                <w:highlight w:val="none"/>
                <w:vertAlign w:val="baseline"/>
                <w:lang w:val="en-US" w:eastAsia="zh-CN"/>
              </w:rPr>
            </w:pPr>
            <w:r>
              <w:rPr>
                <w:rFonts w:ascii="Times New Roman"/>
                <w:b w:val="0"/>
                <w:bCs w:val="0"/>
                <w:color w:val="auto"/>
                <w:kern w:val="2"/>
                <w:sz w:val="21"/>
                <w:szCs w:val="21"/>
                <w:highlight w:val="none"/>
              </w:rPr>
              <w:t>是否同意</w:t>
            </w:r>
            <w:r>
              <w:rPr>
                <w:rFonts w:hint="eastAsia" w:ascii="Times New Roman"/>
                <w:b w:val="0"/>
                <w:bCs w:val="0"/>
                <w:color w:val="auto"/>
                <w:kern w:val="2"/>
                <w:sz w:val="21"/>
                <w:szCs w:val="21"/>
                <w:highlight w:val="none"/>
              </w:rPr>
              <w:t>采购文件</w:t>
            </w:r>
            <w:r>
              <w:rPr>
                <w:rFonts w:ascii="Times New Roman"/>
                <w:b w:val="0"/>
                <w:bCs w:val="0"/>
                <w:color w:val="auto"/>
                <w:kern w:val="2"/>
                <w:sz w:val="21"/>
                <w:szCs w:val="21"/>
                <w:highlight w:val="none"/>
              </w:rPr>
              <w:t>其它内容</w:t>
            </w:r>
          </w:p>
        </w:tc>
        <w:tc>
          <w:tcPr>
            <w:tcW w:w="3103" w:type="dxa"/>
            <w:vAlign w:val="top"/>
          </w:tcPr>
          <w:p w14:paraId="7EB052CA">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48DD758D">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r w14:paraId="61E0F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3" w:type="dxa"/>
            <w:vAlign w:val="top"/>
          </w:tcPr>
          <w:p w14:paraId="2B24DD39">
            <w:pPr>
              <w:spacing w:before="156" w:beforeLines="50" w:line="360" w:lineRule="auto"/>
              <w:jc w:val="center"/>
              <w:rPr>
                <w:rFonts w:hint="default" w:ascii="宋体" w:hAnsi="宋体" w:cs="宋体"/>
                <w:b w:val="0"/>
                <w:bCs w:val="0"/>
                <w:color w:val="auto"/>
                <w:sz w:val="21"/>
                <w:szCs w:val="21"/>
                <w:highlight w:val="none"/>
                <w:vertAlign w:val="baseline"/>
                <w:lang w:val="en-US" w:eastAsia="zh-CN"/>
              </w:rPr>
            </w:pPr>
            <w:r>
              <w:rPr>
                <w:rFonts w:hint="eastAsia" w:ascii="宋体" w:hAnsi="宋体" w:cs="宋体"/>
                <w:b w:val="0"/>
                <w:bCs w:val="0"/>
                <w:color w:val="auto"/>
                <w:sz w:val="21"/>
                <w:szCs w:val="21"/>
                <w:highlight w:val="none"/>
                <w:vertAlign w:val="baseline"/>
                <w:lang w:val="en-US" w:eastAsia="zh-CN"/>
              </w:rPr>
              <w:t>9</w:t>
            </w:r>
          </w:p>
        </w:tc>
        <w:tc>
          <w:tcPr>
            <w:tcW w:w="3669" w:type="dxa"/>
            <w:vAlign w:val="top"/>
          </w:tcPr>
          <w:p w14:paraId="050B4BA7">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是否同意合同条款及合同附件格式</w:t>
            </w:r>
          </w:p>
        </w:tc>
        <w:tc>
          <w:tcPr>
            <w:tcW w:w="3103" w:type="dxa"/>
            <w:vAlign w:val="top"/>
          </w:tcPr>
          <w:p w14:paraId="7012CF59">
            <w:pPr>
              <w:spacing w:before="156" w:beforeLines="50" w:line="360" w:lineRule="auto"/>
              <w:jc w:val="center"/>
              <w:rPr>
                <w:rFonts w:ascii="Times New Roman"/>
                <w:b w:val="0"/>
                <w:bCs w:val="0"/>
                <w:color w:val="auto"/>
                <w:kern w:val="2"/>
                <w:sz w:val="21"/>
                <w:szCs w:val="21"/>
                <w:highlight w:val="none"/>
              </w:rPr>
            </w:pPr>
            <w:r>
              <w:rPr>
                <w:rFonts w:ascii="Times New Roman"/>
                <w:b w:val="0"/>
                <w:bCs w:val="0"/>
                <w:color w:val="auto"/>
                <w:kern w:val="2"/>
                <w:sz w:val="21"/>
                <w:szCs w:val="21"/>
                <w:highlight w:val="none"/>
              </w:rPr>
              <w:t>要求</w:t>
            </w:r>
            <w:r>
              <w:rPr>
                <w:rFonts w:hint="eastAsia" w:ascii="Times New Roman"/>
                <w:b w:val="0"/>
                <w:bCs w:val="0"/>
                <w:color w:val="auto"/>
                <w:kern w:val="2"/>
                <w:sz w:val="21"/>
                <w:szCs w:val="21"/>
                <w:highlight w:val="none"/>
              </w:rPr>
              <w:t>供应商</w:t>
            </w:r>
            <w:r>
              <w:rPr>
                <w:rFonts w:ascii="Times New Roman"/>
                <w:b w:val="0"/>
                <w:bCs w:val="0"/>
                <w:color w:val="auto"/>
                <w:kern w:val="2"/>
                <w:sz w:val="21"/>
                <w:szCs w:val="21"/>
                <w:highlight w:val="none"/>
              </w:rPr>
              <w:t>承诺“同意”</w:t>
            </w:r>
          </w:p>
        </w:tc>
        <w:tc>
          <w:tcPr>
            <w:tcW w:w="1541" w:type="dxa"/>
            <w:vAlign w:val="top"/>
          </w:tcPr>
          <w:p w14:paraId="23B1EC05">
            <w:pPr>
              <w:spacing w:before="156" w:beforeLines="50" w:line="360" w:lineRule="auto"/>
              <w:jc w:val="center"/>
              <w:rPr>
                <w:rFonts w:hint="eastAsia" w:ascii="宋体" w:hAnsi="宋体" w:eastAsia="宋体" w:cs="宋体"/>
                <w:b w:val="0"/>
                <w:bCs w:val="0"/>
                <w:color w:val="auto"/>
                <w:kern w:val="2"/>
                <w:sz w:val="21"/>
                <w:szCs w:val="21"/>
                <w:highlight w:val="none"/>
                <w:vertAlign w:val="baseline"/>
                <w:lang w:val="en-US" w:eastAsia="zh-CN" w:bidi="ar-SA"/>
              </w:rPr>
            </w:pPr>
          </w:p>
        </w:tc>
      </w:tr>
    </w:tbl>
    <w:p w14:paraId="5C33E6A0">
      <w:pPr>
        <w:spacing w:before="156" w:beforeLines="50" w:line="360" w:lineRule="auto"/>
        <w:ind w:firstLine="422" w:firstLineChars="200"/>
        <w:rPr>
          <w:rFonts w:hint="eastAsia" w:asciiTheme="minorEastAsia" w:hAnsiTheme="minorEastAsia" w:eastAsiaTheme="minorEastAsia" w:cstheme="minorEastAsia"/>
          <w:color w:val="auto"/>
          <w:kern w:val="0"/>
          <w:sz w:val="24"/>
          <w:highlight w:val="none"/>
          <w:lang w:val="zh-CN"/>
        </w:rPr>
      </w:pPr>
      <w:r>
        <w:rPr>
          <w:rFonts w:hint="eastAsia" w:ascii="宋体" w:hAnsi="宋体" w:eastAsia="宋体" w:cs="宋体"/>
          <w:b/>
          <w:bCs w:val="0"/>
          <w:color w:val="auto"/>
          <w:sz w:val="21"/>
          <w:szCs w:val="21"/>
          <w:highlight w:val="none"/>
          <w:lang w:val="en-US" w:eastAsia="zh-CN"/>
        </w:rPr>
        <w:t>▲注：“供应商响应”一栏中必须填写“同意”，否则其响应文件将被否决。</w:t>
      </w:r>
    </w:p>
    <w:p w14:paraId="560CEB2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p>
    <w:p w14:paraId="5BD54627">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684260D">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5CD0987A">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25360E55">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36EDA9EE">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0786A16E">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04261D72">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1DE0616D">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58E73D2C">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02102F52">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33BDBA09">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811A17B">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50D2A28">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EE911CA">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5BD9B586">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1EE07381">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63AB9824">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7AF127E4">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13C7171C">
      <w:pPr>
        <w:numPr>
          <w:ilvl w:val="0"/>
          <w:numId w:val="0"/>
        </w:numPr>
        <w:snapToGrid w:val="0"/>
        <w:spacing w:line="360" w:lineRule="auto"/>
        <w:ind w:firstLine="2891" w:firstLineChars="900"/>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741AC146">
      <w:pPr>
        <w:numPr>
          <w:ilvl w:val="0"/>
          <w:numId w:val="0"/>
        </w:numPr>
        <w:snapToGrid w:val="0"/>
        <w:spacing w:line="360" w:lineRule="auto"/>
        <w:jc w:val="both"/>
        <w:outlineLvl w:val="0"/>
        <w:rPr>
          <w:rFonts w:hint="eastAsia" w:asciiTheme="minorEastAsia" w:hAnsiTheme="minorEastAsia" w:eastAsiaTheme="minorEastAsia" w:cstheme="minorEastAsia"/>
          <w:b/>
          <w:color w:val="auto"/>
          <w:kern w:val="0"/>
          <w:sz w:val="32"/>
          <w:szCs w:val="32"/>
          <w:highlight w:val="none"/>
          <w:lang w:val="en-US" w:eastAsia="zh-CN"/>
        </w:rPr>
      </w:pPr>
    </w:p>
    <w:p w14:paraId="332FD0B3">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en-US" w:eastAsia="zh-CN"/>
        </w:rPr>
        <w:t xml:space="preserve"> 九、</w:t>
      </w:r>
      <w:r>
        <w:rPr>
          <w:rFonts w:hint="eastAsia" w:asciiTheme="minorEastAsia" w:hAnsiTheme="minorEastAsia" w:eastAsiaTheme="minorEastAsia" w:cstheme="minorEastAsia"/>
          <w:b/>
          <w:color w:val="auto"/>
          <w:kern w:val="0"/>
          <w:sz w:val="32"/>
          <w:szCs w:val="32"/>
          <w:highlight w:val="none"/>
        </w:rPr>
        <w:t>同类业绩情况一览表</w:t>
      </w:r>
    </w:p>
    <w:p w14:paraId="2744BB54">
      <w:pPr>
        <w:spacing w:line="360" w:lineRule="auto"/>
        <w:jc w:val="center"/>
        <w:rPr>
          <w:rFonts w:asciiTheme="minorEastAsia" w:hAnsiTheme="minorEastAsia" w:eastAsiaTheme="minorEastAsia" w:cstheme="minorEastAsia"/>
          <w:color w:val="auto"/>
          <w:highlight w:val="none"/>
        </w:rPr>
      </w:pPr>
    </w:p>
    <w:tbl>
      <w:tblPr>
        <w:tblStyle w:val="24"/>
        <w:tblW w:w="9796"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31"/>
        <w:gridCol w:w="1829"/>
        <w:gridCol w:w="1701"/>
        <w:gridCol w:w="1693"/>
        <w:gridCol w:w="1950"/>
        <w:gridCol w:w="1792"/>
      </w:tblGrid>
      <w:tr w14:paraId="280784F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5" w:hRule="atLeast"/>
        </w:trPr>
        <w:tc>
          <w:tcPr>
            <w:tcW w:w="831" w:type="dxa"/>
            <w:tcBorders>
              <w:top w:val="single" w:color="auto" w:sz="4" w:space="0"/>
              <w:left w:val="single" w:color="auto" w:sz="4" w:space="0"/>
              <w:bottom w:val="single" w:color="auto" w:sz="4" w:space="0"/>
              <w:right w:val="single" w:color="auto" w:sz="4" w:space="0"/>
            </w:tcBorders>
            <w:vAlign w:val="center"/>
          </w:tcPr>
          <w:p w14:paraId="7547022C">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序号</w:t>
            </w:r>
          </w:p>
        </w:tc>
        <w:tc>
          <w:tcPr>
            <w:tcW w:w="1829" w:type="dxa"/>
            <w:tcBorders>
              <w:top w:val="single" w:color="auto" w:sz="4" w:space="0"/>
              <w:left w:val="single" w:color="auto" w:sz="4" w:space="0"/>
              <w:bottom w:val="single" w:color="auto" w:sz="4" w:space="0"/>
              <w:right w:val="single" w:color="auto" w:sz="4" w:space="0"/>
            </w:tcBorders>
            <w:vAlign w:val="center"/>
          </w:tcPr>
          <w:p w14:paraId="36B36A64">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采购单位名称</w:t>
            </w:r>
          </w:p>
        </w:tc>
        <w:tc>
          <w:tcPr>
            <w:tcW w:w="1701" w:type="dxa"/>
            <w:tcBorders>
              <w:top w:val="single" w:color="auto" w:sz="4" w:space="0"/>
              <w:left w:val="single" w:color="auto" w:sz="4" w:space="0"/>
              <w:right w:val="single" w:color="auto" w:sz="4" w:space="0"/>
            </w:tcBorders>
            <w:vAlign w:val="center"/>
          </w:tcPr>
          <w:p w14:paraId="3E78BECD">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项目名称</w:t>
            </w:r>
          </w:p>
        </w:tc>
        <w:tc>
          <w:tcPr>
            <w:tcW w:w="1693" w:type="dxa"/>
            <w:tcBorders>
              <w:top w:val="single" w:color="auto" w:sz="4" w:space="0"/>
              <w:left w:val="single" w:color="auto" w:sz="4" w:space="0"/>
              <w:bottom w:val="single" w:color="auto" w:sz="4" w:space="0"/>
              <w:right w:val="single" w:color="auto" w:sz="4" w:space="0"/>
            </w:tcBorders>
            <w:vAlign w:val="center"/>
          </w:tcPr>
          <w:p w14:paraId="315B7BDB">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合同金额</w:t>
            </w:r>
          </w:p>
          <w:p w14:paraId="22FBDC62">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（万元）</w:t>
            </w:r>
          </w:p>
        </w:tc>
        <w:tc>
          <w:tcPr>
            <w:tcW w:w="1950" w:type="dxa"/>
            <w:tcBorders>
              <w:top w:val="single" w:color="auto" w:sz="4" w:space="0"/>
              <w:left w:val="single" w:color="auto" w:sz="4" w:space="0"/>
              <w:bottom w:val="single" w:color="auto" w:sz="4" w:space="0"/>
              <w:right w:val="single" w:color="auto" w:sz="4" w:space="0"/>
            </w:tcBorders>
            <w:vAlign w:val="center"/>
          </w:tcPr>
          <w:p w14:paraId="60ABB3E6">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采购单位联系人及联系电话</w:t>
            </w:r>
          </w:p>
        </w:tc>
        <w:tc>
          <w:tcPr>
            <w:tcW w:w="1792" w:type="dxa"/>
            <w:tcBorders>
              <w:top w:val="single" w:color="auto" w:sz="4" w:space="0"/>
              <w:left w:val="single" w:color="auto" w:sz="4" w:space="0"/>
              <w:bottom w:val="single" w:color="auto" w:sz="4" w:space="0"/>
              <w:right w:val="single" w:color="auto" w:sz="4" w:space="0"/>
            </w:tcBorders>
            <w:vAlign w:val="center"/>
          </w:tcPr>
          <w:p w14:paraId="28DFFDDE">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合同签订时间</w:t>
            </w:r>
          </w:p>
        </w:tc>
      </w:tr>
      <w:tr w14:paraId="1B6000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45E3E45">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1</w:t>
            </w:r>
          </w:p>
        </w:tc>
        <w:tc>
          <w:tcPr>
            <w:tcW w:w="1829" w:type="dxa"/>
            <w:tcBorders>
              <w:top w:val="single" w:color="auto" w:sz="4" w:space="0"/>
              <w:left w:val="single" w:color="auto" w:sz="4" w:space="0"/>
              <w:bottom w:val="single" w:color="auto" w:sz="4" w:space="0"/>
              <w:right w:val="single" w:color="auto" w:sz="4" w:space="0"/>
            </w:tcBorders>
            <w:vAlign w:val="center"/>
          </w:tcPr>
          <w:p w14:paraId="7CF12217">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F539F1B">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4D95151">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F818E9B">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23D0041">
            <w:pPr>
              <w:spacing w:line="360" w:lineRule="auto"/>
              <w:jc w:val="left"/>
              <w:rPr>
                <w:rFonts w:asciiTheme="minorEastAsia" w:hAnsiTheme="minorEastAsia" w:eastAsiaTheme="minorEastAsia" w:cstheme="minorEastAsia"/>
                <w:color w:val="auto"/>
                <w:kern w:val="0"/>
                <w:sz w:val="24"/>
                <w:highlight w:val="none"/>
              </w:rPr>
            </w:pPr>
          </w:p>
        </w:tc>
      </w:tr>
      <w:tr w14:paraId="1C9AC3E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106251CD">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2</w:t>
            </w:r>
          </w:p>
        </w:tc>
        <w:tc>
          <w:tcPr>
            <w:tcW w:w="1829" w:type="dxa"/>
            <w:tcBorders>
              <w:top w:val="single" w:color="auto" w:sz="4" w:space="0"/>
              <w:left w:val="single" w:color="auto" w:sz="4" w:space="0"/>
              <w:bottom w:val="single" w:color="auto" w:sz="4" w:space="0"/>
              <w:right w:val="single" w:color="auto" w:sz="4" w:space="0"/>
            </w:tcBorders>
            <w:vAlign w:val="center"/>
          </w:tcPr>
          <w:p w14:paraId="6FCB997D">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0D8AED8">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8550113">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7F22E2A3">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096B3F7E">
            <w:pPr>
              <w:spacing w:line="360" w:lineRule="auto"/>
              <w:jc w:val="left"/>
              <w:rPr>
                <w:rFonts w:asciiTheme="minorEastAsia" w:hAnsiTheme="minorEastAsia" w:eastAsiaTheme="minorEastAsia" w:cstheme="minorEastAsia"/>
                <w:color w:val="auto"/>
                <w:kern w:val="0"/>
                <w:sz w:val="24"/>
                <w:highlight w:val="none"/>
              </w:rPr>
            </w:pPr>
          </w:p>
        </w:tc>
      </w:tr>
      <w:tr w14:paraId="205353B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47A97680">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3</w:t>
            </w:r>
          </w:p>
        </w:tc>
        <w:tc>
          <w:tcPr>
            <w:tcW w:w="1829" w:type="dxa"/>
            <w:tcBorders>
              <w:top w:val="single" w:color="auto" w:sz="4" w:space="0"/>
              <w:left w:val="single" w:color="auto" w:sz="4" w:space="0"/>
              <w:bottom w:val="single" w:color="auto" w:sz="4" w:space="0"/>
              <w:right w:val="single" w:color="auto" w:sz="4" w:space="0"/>
            </w:tcBorders>
            <w:vAlign w:val="center"/>
          </w:tcPr>
          <w:p w14:paraId="5FBEDF50">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206A352F">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3306EC77">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4079396">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11DA2B7A">
            <w:pPr>
              <w:spacing w:line="360" w:lineRule="auto"/>
              <w:jc w:val="left"/>
              <w:rPr>
                <w:rFonts w:asciiTheme="minorEastAsia" w:hAnsiTheme="minorEastAsia" w:eastAsiaTheme="minorEastAsia" w:cstheme="minorEastAsia"/>
                <w:color w:val="auto"/>
                <w:kern w:val="0"/>
                <w:sz w:val="24"/>
                <w:highlight w:val="none"/>
              </w:rPr>
            </w:pPr>
          </w:p>
        </w:tc>
      </w:tr>
      <w:tr w14:paraId="35F548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1" w:hRule="atLeast"/>
        </w:trPr>
        <w:tc>
          <w:tcPr>
            <w:tcW w:w="831" w:type="dxa"/>
            <w:tcBorders>
              <w:top w:val="single" w:color="auto" w:sz="4" w:space="0"/>
              <w:left w:val="single" w:color="auto" w:sz="4" w:space="0"/>
              <w:bottom w:val="single" w:color="auto" w:sz="4" w:space="0"/>
              <w:right w:val="single" w:color="auto" w:sz="4" w:space="0"/>
            </w:tcBorders>
            <w:vAlign w:val="center"/>
          </w:tcPr>
          <w:p w14:paraId="794768A0">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4</w:t>
            </w:r>
          </w:p>
        </w:tc>
        <w:tc>
          <w:tcPr>
            <w:tcW w:w="1829" w:type="dxa"/>
            <w:tcBorders>
              <w:top w:val="single" w:color="auto" w:sz="4" w:space="0"/>
              <w:left w:val="single" w:color="auto" w:sz="4" w:space="0"/>
              <w:bottom w:val="single" w:color="auto" w:sz="4" w:space="0"/>
              <w:right w:val="single" w:color="auto" w:sz="4" w:space="0"/>
            </w:tcBorders>
            <w:vAlign w:val="center"/>
          </w:tcPr>
          <w:p w14:paraId="31558880">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37E52D27">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0B83201F">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3E7735D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B3ECD52">
            <w:pPr>
              <w:spacing w:line="360" w:lineRule="auto"/>
              <w:jc w:val="left"/>
              <w:rPr>
                <w:rFonts w:asciiTheme="minorEastAsia" w:hAnsiTheme="minorEastAsia" w:eastAsiaTheme="minorEastAsia" w:cstheme="minorEastAsia"/>
                <w:color w:val="auto"/>
                <w:kern w:val="0"/>
                <w:sz w:val="24"/>
                <w:highlight w:val="none"/>
              </w:rPr>
            </w:pPr>
          </w:p>
        </w:tc>
      </w:tr>
      <w:tr w14:paraId="34B671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1" w:hRule="atLeast"/>
        </w:trPr>
        <w:tc>
          <w:tcPr>
            <w:tcW w:w="831" w:type="dxa"/>
            <w:tcBorders>
              <w:top w:val="single" w:color="auto" w:sz="4" w:space="0"/>
              <w:left w:val="single" w:color="auto" w:sz="4" w:space="0"/>
              <w:bottom w:val="single" w:color="auto" w:sz="4" w:space="0"/>
              <w:right w:val="single" w:color="auto" w:sz="4" w:space="0"/>
            </w:tcBorders>
            <w:vAlign w:val="center"/>
          </w:tcPr>
          <w:p w14:paraId="3A26404E">
            <w:pPr>
              <w:spacing w:line="360" w:lineRule="auto"/>
              <w:jc w:val="center"/>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5</w:t>
            </w:r>
          </w:p>
        </w:tc>
        <w:tc>
          <w:tcPr>
            <w:tcW w:w="1829" w:type="dxa"/>
            <w:tcBorders>
              <w:top w:val="single" w:color="auto" w:sz="4" w:space="0"/>
              <w:left w:val="single" w:color="auto" w:sz="4" w:space="0"/>
              <w:bottom w:val="single" w:color="auto" w:sz="4" w:space="0"/>
              <w:right w:val="single" w:color="auto" w:sz="4" w:space="0"/>
            </w:tcBorders>
            <w:vAlign w:val="center"/>
          </w:tcPr>
          <w:p w14:paraId="59F04FA8">
            <w:pPr>
              <w:spacing w:line="360" w:lineRule="auto"/>
              <w:jc w:val="left"/>
              <w:rPr>
                <w:rFonts w:asciiTheme="minorEastAsia" w:hAnsiTheme="minorEastAsia" w:eastAsiaTheme="minorEastAsia" w:cstheme="minorEastAsia"/>
                <w:color w:val="auto"/>
                <w:kern w:val="0"/>
                <w:sz w:val="24"/>
                <w:highlight w:val="none"/>
              </w:rPr>
            </w:pPr>
          </w:p>
        </w:tc>
        <w:tc>
          <w:tcPr>
            <w:tcW w:w="1701" w:type="dxa"/>
            <w:tcBorders>
              <w:top w:val="single" w:color="auto" w:sz="4" w:space="0"/>
              <w:left w:val="single" w:color="auto" w:sz="4" w:space="0"/>
              <w:bottom w:val="single" w:color="auto" w:sz="4" w:space="0"/>
              <w:right w:val="single" w:color="auto" w:sz="4" w:space="0"/>
            </w:tcBorders>
            <w:vAlign w:val="center"/>
          </w:tcPr>
          <w:p w14:paraId="7A1CBED9">
            <w:pPr>
              <w:spacing w:line="360" w:lineRule="auto"/>
              <w:jc w:val="left"/>
              <w:rPr>
                <w:rFonts w:asciiTheme="minorEastAsia" w:hAnsiTheme="minorEastAsia" w:eastAsiaTheme="minorEastAsia" w:cstheme="minorEastAsia"/>
                <w:color w:val="auto"/>
                <w:kern w:val="0"/>
                <w:sz w:val="24"/>
                <w:highlight w:val="none"/>
              </w:rPr>
            </w:pPr>
          </w:p>
        </w:tc>
        <w:tc>
          <w:tcPr>
            <w:tcW w:w="1693" w:type="dxa"/>
            <w:tcBorders>
              <w:top w:val="single" w:color="auto" w:sz="4" w:space="0"/>
              <w:left w:val="single" w:color="auto" w:sz="4" w:space="0"/>
              <w:bottom w:val="single" w:color="auto" w:sz="4" w:space="0"/>
              <w:right w:val="single" w:color="auto" w:sz="4" w:space="0"/>
            </w:tcBorders>
            <w:vAlign w:val="center"/>
          </w:tcPr>
          <w:p w14:paraId="2D1E7C66">
            <w:pPr>
              <w:spacing w:line="360" w:lineRule="auto"/>
              <w:jc w:val="left"/>
              <w:rPr>
                <w:rFonts w:asciiTheme="minorEastAsia" w:hAnsiTheme="minorEastAsia" w:eastAsiaTheme="minorEastAsia" w:cstheme="minorEastAsia"/>
                <w:color w:val="auto"/>
                <w:kern w:val="0"/>
                <w:sz w:val="24"/>
                <w:highlight w:val="none"/>
              </w:rPr>
            </w:pPr>
          </w:p>
        </w:tc>
        <w:tc>
          <w:tcPr>
            <w:tcW w:w="1950" w:type="dxa"/>
            <w:tcBorders>
              <w:top w:val="single" w:color="auto" w:sz="4" w:space="0"/>
              <w:left w:val="single" w:color="auto" w:sz="4" w:space="0"/>
              <w:bottom w:val="single" w:color="auto" w:sz="4" w:space="0"/>
              <w:right w:val="single" w:color="auto" w:sz="4" w:space="0"/>
            </w:tcBorders>
            <w:vAlign w:val="center"/>
          </w:tcPr>
          <w:p w14:paraId="2B421FD4">
            <w:pPr>
              <w:spacing w:line="360" w:lineRule="auto"/>
              <w:jc w:val="left"/>
              <w:rPr>
                <w:rFonts w:asciiTheme="minorEastAsia" w:hAnsiTheme="minorEastAsia" w:eastAsiaTheme="minorEastAsia" w:cstheme="minorEastAsia"/>
                <w:color w:val="auto"/>
                <w:kern w:val="0"/>
                <w:sz w:val="24"/>
                <w:highlight w:val="none"/>
              </w:rPr>
            </w:pPr>
          </w:p>
        </w:tc>
        <w:tc>
          <w:tcPr>
            <w:tcW w:w="1792" w:type="dxa"/>
            <w:tcBorders>
              <w:top w:val="single" w:color="auto" w:sz="4" w:space="0"/>
              <w:left w:val="single" w:color="auto" w:sz="4" w:space="0"/>
              <w:bottom w:val="single" w:color="auto" w:sz="4" w:space="0"/>
              <w:right w:val="single" w:color="auto" w:sz="4" w:space="0"/>
            </w:tcBorders>
            <w:vAlign w:val="center"/>
          </w:tcPr>
          <w:p w14:paraId="224D1D72">
            <w:pPr>
              <w:spacing w:line="360" w:lineRule="auto"/>
              <w:jc w:val="left"/>
              <w:rPr>
                <w:rFonts w:asciiTheme="minorEastAsia" w:hAnsiTheme="minorEastAsia" w:eastAsiaTheme="minorEastAsia" w:cstheme="minorEastAsia"/>
                <w:color w:val="auto"/>
                <w:kern w:val="0"/>
                <w:sz w:val="24"/>
                <w:highlight w:val="none"/>
              </w:rPr>
            </w:pPr>
          </w:p>
        </w:tc>
      </w:tr>
    </w:tbl>
    <w:p w14:paraId="36AF73D0">
      <w:pPr>
        <w:spacing w:line="360" w:lineRule="auto"/>
        <w:jc w:val="left"/>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kern w:val="0"/>
          <w:sz w:val="24"/>
          <w:highlight w:val="none"/>
        </w:rPr>
        <w:t>附：评分标准要求的证明材料</w:t>
      </w:r>
    </w:p>
    <w:p w14:paraId="4FF225F9">
      <w:pPr>
        <w:spacing w:line="360" w:lineRule="auto"/>
        <w:jc w:val="left"/>
        <w:rPr>
          <w:rFonts w:asciiTheme="minorEastAsia" w:hAnsiTheme="minorEastAsia" w:eastAsiaTheme="minorEastAsia" w:cstheme="minorEastAsia"/>
          <w:color w:val="auto"/>
          <w:kern w:val="0"/>
          <w:sz w:val="24"/>
          <w:highlight w:val="none"/>
        </w:rPr>
      </w:pPr>
    </w:p>
    <w:p w14:paraId="16980417">
      <w:pPr>
        <w:spacing w:line="360" w:lineRule="auto"/>
        <w:jc w:val="left"/>
        <w:rPr>
          <w:rFonts w:asciiTheme="minorEastAsia" w:hAnsiTheme="minorEastAsia" w:eastAsiaTheme="minorEastAsia" w:cstheme="minorEastAsia"/>
          <w:color w:val="auto"/>
          <w:kern w:val="0"/>
          <w:sz w:val="24"/>
          <w:highlight w:val="none"/>
        </w:rPr>
      </w:pPr>
    </w:p>
    <w:p w14:paraId="3F54123C">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264E301F">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4AFF251">
      <w:pPr>
        <w:autoSpaceDE w:val="0"/>
        <w:autoSpaceDN w:val="0"/>
        <w:spacing w:line="360" w:lineRule="auto"/>
        <w:jc w:val="left"/>
        <w:rPr>
          <w:rFonts w:hint="eastAsia" w:asciiTheme="minorEastAsia" w:hAnsiTheme="minorEastAsia" w:eastAsiaTheme="minorEastAsia" w:cstheme="minorEastAsia"/>
          <w:color w:val="auto"/>
          <w:kern w:val="0"/>
          <w:sz w:val="24"/>
          <w:highlight w:val="none"/>
          <w:lang w:val="zh-CN" w:eastAsia="zh-CN"/>
        </w:rPr>
      </w:pPr>
      <w:r>
        <w:rPr>
          <w:rFonts w:hint="eastAsia" w:asciiTheme="minorEastAsia" w:hAnsiTheme="minorEastAsia" w:eastAsiaTheme="minorEastAsia" w:cstheme="minorEastAsia"/>
          <w:color w:val="auto"/>
          <w:kern w:val="0"/>
          <w:sz w:val="24"/>
          <w:highlight w:val="none"/>
          <w:lang w:val="zh-CN"/>
        </w:rPr>
        <w:t>日期</w:t>
      </w:r>
      <w:r>
        <w:rPr>
          <w:rFonts w:hint="eastAsia" w:asciiTheme="minorEastAsia" w:hAnsiTheme="minorEastAsia" w:eastAsiaTheme="minorEastAsia" w:cstheme="minorEastAsia"/>
          <w:color w:val="auto"/>
          <w:kern w:val="0"/>
          <w:sz w:val="24"/>
          <w:highlight w:val="none"/>
          <w:lang w:val="zh-CN" w:eastAsia="zh-CN"/>
        </w:rPr>
        <w:t>：</w:t>
      </w:r>
    </w:p>
    <w:p w14:paraId="004050A2">
      <w:pPr>
        <w:spacing w:line="360" w:lineRule="auto"/>
        <w:ind w:left="4620" w:leftChars="2200"/>
        <w:jc w:val="left"/>
        <w:rPr>
          <w:rFonts w:asciiTheme="minorEastAsia" w:hAnsiTheme="minorEastAsia" w:eastAsiaTheme="minorEastAsia" w:cstheme="minorEastAsia"/>
          <w:b/>
          <w:color w:val="auto"/>
          <w:kern w:val="0"/>
          <w:sz w:val="32"/>
          <w:szCs w:val="32"/>
          <w:highlight w:val="none"/>
          <w:lang w:val="zh-CN"/>
        </w:rPr>
      </w:pPr>
    </w:p>
    <w:p w14:paraId="05EB2099">
      <w:pPr>
        <w:numPr>
          <w:ilvl w:val="0"/>
          <w:numId w:val="0"/>
        </w:numPr>
        <w:snapToGrid w:val="0"/>
        <w:spacing w:line="360" w:lineRule="auto"/>
        <w:jc w:val="center"/>
        <w:outlineLvl w:val="0"/>
        <w:rPr>
          <w:rFonts w:asciiTheme="minorEastAsia" w:hAnsiTheme="minorEastAsia" w:eastAsiaTheme="minorEastAsia" w:cstheme="minorEastAsia"/>
          <w:b/>
          <w:color w:val="auto"/>
          <w:kern w:val="0"/>
          <w:sz w:val="32"/>
          <w:szCs w:val="32"/>
          <w:highlight w:val="none"/>
          <w:lang w:val="zh-CN"/>
        </w:rPr>
      </w:pPr>
      <w:r>
        <w:rPr>
          <w:rFonts w:hint="eastAsia" w:asciiTheme="minorEastAsia" w:hAnsiTheme="minorEastAsia" w:eastAsiaTheme="minorEastAsia" w:cstheme="minorEastAsia"/>
          <w:b/>
          <w:color w:val="auto"/>
          <w:kern w:val="0"/>
          <w:sz w:val="32"/>
          <w:szCs w:val="32"/>
          <w:highlight w:val="none"/>
          <w:lang w:val="zh-CN"/>
        </w:rPr>
        <w:br w:type="page"/>
      </w:r>
      <w:r>
        <w:rPr>
          <w:rFonts w:hint="eastAsia" w:asciiTheme="minorEastAsia" w:hAnsiTheme="minorEastAsia" w:eastAsiaTheme="minorEastAsia" w:cstheme="minorEastAsia"/>
          <w:b/>
          <w:color w:val="auto"/>
          <w:kern w:val="0"/>
          <w:sz w:val="32"/>
          <w:szCs w:val="32"/>
          <w:highlight w:val="none"/>
          <w:lang w:val="en-US" w:eastAsia="zh-CN"/>
        </w:rPr>
        <w:t>十、</w:t>
      </w:r>
      <w:r>
        <w:rPr>
          <w:rFonts w:hint="eastAsia" w:asciiTheme="minorEastAsia" w:hAnsiTheme="minorEastAsia" w:eastAsiaTheme="minorEastAsia" w:cstheme="minorEastAsia"/>
          <w:b/>
          <w:color w:val="auto"/>
          <w:kern w:val="0"/>
          <w:sz w:val="32"/>
          <w:szCs w:val="32"/>
          <w:highlight w:val="none"/>
          <w:lang w:val="zh-CN"/>
        </w:rPr>
        <w:t>政府采购供应商廉洁自律承诺书</w:t>
      </w:r>
    </w:p>
    <w:p w14:paraId="11B1CDBE">
      <w:pPr>
        <w:snapToGrid w:val="0"/>
        <w:spacing w:line="360" w:lineRule="auto"/>
        <w:rPr>
          <w:rFonts w:asciiTheme="minorEastAsia" w:hAnsiTheme="minorEastAsia" w:eastAsiaTheme="minorEastAsia" w:cstheme="minorEastAsia"/>
          <w:color w:val="auto"/>
          <w:sz w:val="24"/>
          <w:highlight w:val="none"/>
        </w:rPr>
      </w:pPr>
    </w:p>
    <w:p w14:paraId="375558C6">
      <w:pPr>
        <w:snapToGrid w:val="0"/>
        <w:spacing w:line="360" w:lineRule="auto"/>
        <w:rPr>
          <w:rFonts w:asciiTheme="minorEastAsia" w:hAnsiTheme="minorEastAsia" w:eastAsiaTheme="minorEastAsia" w:cstheme="minorEastAsia"/>
          <w:color w:val="auto"/>
          <w:kern w:val="0"/>
          <w:sz w:val="24"/>
          <w:highlight w:val="none"/>
        </w:rPr>
      </w:pPr>
      <w:r>
        <w:rPr>
          <w:rFonts w:hint="eastAsia" w:asciiTheme="minorEastAsia" w:hAnsiTheme="minorEastAsia" w:eastAsiaTheme="minorEastAsia" w:cstheme="minorEastAsia"/>
          <w:color w:val="auto"/>
          <w:sz w:val="24"/>
          <w:highlight w:val="none"/>
          <w:u w:val="single"/>
        </w:rPr>
        <w:t>（采购人）、（采购代理机构）</w:t>
      </w:r>
      <w:r>
        <w:rPr>
          <w:rFonts w:hint="eastAsia" w:asciiTheme="minorEastAsia" w:hAnsiTheme="minorEastAsia" w:eastAsiaTheme="minorEastAsia" w:cstheme="minorEastAsia"/>
          <w:color w:val="auto"/>
          <w:kern w:val="0"/>
          <w:sz w:val="24"/>
          <w:highlight w:val="none"/>
          <w:lang w:val="zh-CN"/>
        </w:rPr>
        <w:t>：</w:t>
      </w:r>
    </w:p>
    <w:p w14:paraId="22016E8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我单位响应你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项目磋商要求参加磋商采购活动。在这次采购过程中和成交后，我们将严格遵守国家法律法规要求，并郑重承诺：</w:t>
      </w:r>
    </w:p>
    <w:p w14:paraId="2E972AB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一、不向项目有关人员及部门赠送礼金礼物、有价证券、回扣以及中介费、介绍费、咨询费等好处费； </w:t>
      </w:r>
    </w:p>
    <w:p w14:paraId="5005C674">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二、不为项目有关人员及部门报销应由你方单位或个人支付的费用； </w:t>
      </w:r>
    </w:p>
    <w:p w14:paraId="664C635D">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三、不向项目有关人员及部门提供有可能影响公正的宴请和健身娱乐等活动； </w:t>
      </w:r>
    </w:p>
    <w:p w14:paraId="11F711EA">
      <w:pPr>
        <w:autoSpaceDE w:val="0"/>
        <w:autoSpaceDN w:val="0"/>
        <w:spacing w:line="360" w:lineRule="auto"/>
        <w:ind w:left="2" w:leftChars="1"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四、不为项目有关人员及部门出国（境）、旅游等提供方便；</w:t>
      </w:r>
    </w:p>
    <w:p w14:paraId="7D7AD3D4">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五、不为项目有关人员个人装修住房、婚丧嫁娶、配偶子女工作安排等提供</w:t>
      </w:r>
    </w:p>
    <w:p w14:paraId="51F4164E">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好处；</w:t>
      </w:r>
    </w:p>
    <w:p w14:paraId="226638C3">
      <w:pPr>
        <w:autoSpaceDE w:val="0"/>
        <w:autoSpaceDN w:val="0"/>
        <w:spacing w:line="360" w:lineRule="auto"/>
        <w:ind w:left="481" w:leftChars="229"/>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六、严格遵守《</w:t>
      </w:r>
      <w:r>
        <w:rPr>
          <w:rFonts w:hint="eastAsia" w:asciiTheme="minorEastAsia" w:hAnsiTheme="minorEastAsia" w:eastAsiaTheme="minorEastAsia" w:cstheme="minorEastAsia"/>
          <w:color w:val="auto"/>
          <w:sz w:val="24"/>
          <w:highlight w:val="none"/>
          <w:lang w:val="zh-CN"/>
        </w:rPr>
        <w:t>中华人民共和国</w:t>
      </w:r>
      <w:r>
        <w:rPr>
          <w:rFonts w:hint="eastAsia" w:asciiTheme="minorEastAsia" w:hAnsiTheme="minorEastAsia" w:eastAsiaTheme="minorEastAsia" w:cstheme="minorEastAsia"/>
          <w:color w:val="auto"/>
          <w:kern w:val="0"/>
          <w:sz w:val="24"/>
          <w:highlight w:val="none"/>
          <w:lang w:val="zh-CN"/>
        </w:rPr>
        <w:t>政府采购法》</w:t>
      </w:r>
      <w:r>
        <w:rPr>
          <w:rFonts w:hint="eastAsia" w:asciiTheme="minorEastAsia" w:hAnsiTheme="minorEastAsia" w:eastAsiaTheme="minorEastAsia" w:cstheme="minorEastAsia"/>
          <w:color w:val="auto"/>
          <w:sz w:val="24"/>
          <w:highlight w:val="none"/>
          <w:lang w:val="zh-CN"/>
        </w:rPr>
        <w:t>《中华人民共和国民法典》</w:t>
      </w:r>
      <w:r>
        <w:rPr>
          <w:rFonts w:hint="eastAsia" w:asciiTheme="minorEastAsia" w:hAnsiTheme="minorEastAsia" w:eastAsiaTheme="minorEastAsia" w:cstheme="minorEastAsia"/>
          <w:color w:val="auto"/>
          <w:kern w:val="0"/>
          <w:sz w:val="24"/>
          <w:highlight w:val="none"/>
          <w:lang w:val="zh-CN"/>
        </w:rPr>
        <w:t xml:space="preserve">等法律法规，诚实守信，合法经营，坚决抵制各种违法违纪行为。 </w:t>
      </w:r>
    </w:p>
    <w:p w14:paraId="4102FD82">
      <w:pPr>
        <w:autoSpaceDE w:val="0"/>
        <w:autoSpaceDN w:val="0"/>
        <w:spacing w:line="360" w:lineRule="auto"/>
        <w:ind w:firstLine="480" w:firstLineChars="200"/>
        <w:jc w:val="left"/>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如违反上述承诺，你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有权立即取消我单位响应、成交或在建项目的建设资格，有权拒绝我单位在一定时期内进入你</w:t>
      </w:r>
      <w:r>
        <w:rPr>
          <w:rFonts w:hint="eastAsia" w:asciiTheme="minorEastAsia" w:hAnsiTheme="minorEastAsia" w:eastAsiaTheme="minorEastAsia" w:cstheme="minorEastAsia"/>
          <w:color w:val="auto"/>
          <w:sz w:val="24"/>
          <w:highlight w:val="none"/>
        </w:rPr>
        <w:t>单位</w:t>
      </w:r>
      <w:r>
        <w:rPr>
          <w:rFonts w:hint="eastAsia" w:asciiTheme="minorEastAsia" w:hAnsiTheme="minorEastAsia" w:eastAsiaTheme="minorEastAsia" w:cstheme="minorEastAsia"/>
          <w:color w:val="auto"/>
          <w:kern w:val="0"/>
          <w:sz w:val="24"/>
          <w:highlight w:val="none"/>
          <w:lang w:val="zh-CN"/>
        </w:rPr>
        <w:t>进行项目建设或其他经营活动，并通报市财政局。由此引起的相应损失均由我单位承担。</w:t>
      </w:r>
    </w:p>
    <w:p w14:paraId="59C54F5D">
      <w:pPr>
        <w:autoSpaceDE w:val="0"/>
        <w:autoSpaceDN w:val="0"/>
        <w:spacing w:line="360" w:lineRule="auto"/>
        <w:jc w:val="left"/>
        <w:rPr>
          <w:rFonts w:asciiTheme="minorEastAsia" w:hAnsiTheme="minorEastAsia" w:eastAsiaTheme="minorEastAsia" w:cstheme="minorEastAsia"/>
          <w:color w:val="auto"/>
          <w:kern w:val="0"/>
          <w:sz w:val="24"/>
          <w:highlight w:val="none"/>
          <w:lang w:val="zh-CN"/>
        </w:rPr>
      </w:pPr>
    </w:p>
    <w:p w14:paraId="075BA545">
      <w:pPr>
        <w:autoSpaceDE w:val="0"/>
        <w:autoSpaceDN w:val="0"/>
        <w:spacing w:line="360" w:lineRule="auto"/>
        <w:ind w:left="2"/>
        <w:jc w:val="left"/>
        <w:rPr>
          <w:rFonts w:asciiTheme="minorEastAsia" w:hAnsiTheme="minorEastAsia" w:eastAsiaTheme="minorEastAsia" w:cstheme="minorEastAsia"/>
          <w:color w:val="auto"/>
          <w:kern w:val="0"/>
          <w:sz w:val="24"/>
          <w:highlight w:val="none"/>
          <w:lang w:val="zh-CN"/>
        </w:rPr>
      </w:pPr>
    </w:p>
    <w:p w14:paraId="3E53BE18">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0AA567F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7510CEC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5F065D7C">
      <w:pPr>
        <w:spacing w:line="360" w:lineRule="auto"/>
        <w:ind w:left="4620" w:leftChars="2200"/>
        <w:rPr>
          <w:rFonts w:asciiTheme="minorEastAsia" w:hAnsiTheme="minorEastAsia" w:eastAsiaTheme="minorEastAsia" w:cstheme="minorEastAsia"/>
          <w:color w:val="auto"/>
          <w:sz w:val="24"/>
          <w:highlight w:val="none"/>
        </w:rPr>
      </w:pPr>
    </w:p>
    <w:p w14:paraId="40BECE48">
      <w:pPr>
        <w:spacing w:line="360" w:lineRule="auto"/>
        <w:jc w:val="center"/>
        <w:rPr>
          <w:rFonts w:asciiTheme="minorEastAsia" w:hAnsiTheme="minorEastAsia" w:eastAsiaTheme="minorEastAsia" w:cstheme="minorEastAsia"/>
          <w:b/>
          <w:bCs/>
          <w:color w:val="auto"/>
          <w:sz w:val="24"/>
          <w:highlight w:val="none"/>
        </w:rPr>
        <w:sectPr>
          <w:headerReference r:id="rId4" w:type="first"/>
          <w:footerReference r:id="rId6" w:type="first"/>
          <w:headerReference r:id="rId3" w:type="default"/>
          <w:footerReference r:id="rId5" w:type="default"/>
          <w:pgSz w:w="11906" w:h="16838"/>
          <w:pgMar w:top="1276" w:right="1134" w:bottom="1247" w:left="1134" w:header="851" w:footer="992" w:gutter="0"/>
          <w:pgBorders>
            <w:top w:val="none" w:sz="0" w:space="0"/>
            <w:left w:val="none" w:sz="0" w:space="0"/>
            <w:bottom w:val="none" w:sz="0" w:space="0"/>
            <w:right w:val="none" w:sz="0" w:space="0"/>
          </w:pgBorders>
          <w:cols w:space="720" w:num="1"/>
          <w:titlePg/>
          <w:docGrid w:linePitch="312" w:charSpace="0"/>
        </w:sectPr>
      </w:pPr>
    </w:p>
    <w:p w14:paraId="2EB0A9E0">
      <w:pPr>
        <w:spacing w:line="360" w:lineRule="auto"/>
        <w:jc w:val="both"/>
        <w:outlineLvl w:val="0"/>
        <w:rPr>
          <w:rFonts w:asciiTheme="minorEastAsia" w:hAnsiTheme="minorEastAsia" w:eastAsiaTheme="minorEastAsia" w:cstheme="minorEastAsia"/>
          <w:b/>
          <w:color w:val="auto"/>
          <w:kern w:val="0"/>
          <w:sz w:val="36"/>
          <w:szCs w:val="36"/>
          <w:highlight w:val="none"/>
        </w:rPr>
      </w:pPr>
    </w:p>
    <w:p w14:paraId="1C63EAAD">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报价文件部分</w:t>
      </w:r>
    </w:p>
    <w:p w14:paraId="30BD9167">
      <w:pPr>
        <w:spacing w:line="360" w:lineRule="auto"/>
        <w:jc w:val="center"/>
        <w:outlineLvl w:val="0"/>
        <w:rPr>
          <w:rFonts w:asciiTheme="minorEastAsia" w:hAnsiTheme="minorEastAsia" w:eastAsiaTheme="minorEastAsia" w:cstheme="minorEastAsia"/>
          <w:b/>
          <w:color w:val="auto"/>
          <w:kern w:val="0"/>
          <w:sz w:val="36"/>
          <w:szCs w:val="36"/>
          <w:highlight w:val="none"/>
        </w:rPr>
      </w:pPr>
      <w:r>
        <w:rPr>
          <w:rFonts w:hint="eastAsia" w:asciiTheme="minorEastAsia" w:hAnsiTheme="minorEastAsia" w:eastAsiaTheme="minorEastAsia" w:cstheme="minorEastAsia"/>
          <w:b/>
          <w:color w:val="auto"/>
          <w:kern w:val="0"/>
          <w:sz w:val="36"/>
          <w:szCs w:val="36"/>
          <w:highlight w:val="none"/>
        </w:rPr>
        <w:t>目录</w:t>
      </w:r>
    </w:p>
    <w:p w14:paraId="0DF4C29D">
      <w:pPr>
        <w:snapToGrid w:val="0"/>
        <w:spacing w:line="360" w:lineRule="auto"/>
        <w:ind w:firstLine="480" w:firstLineChars="200"/>
        <w:rPr>
          <w:rFonts w:asciiTheme="minorEastAsia" w:hAnsiTheme="minorEastAsia" w:eastAsiaTheme="minorEastAsia" w:cstheme="minorEastAsia"/>
          <w:color w:val="auto"/>
          <w:sz w:val="24"/>
          <w:highlight w:val="none"/>
          <w:u w:val="single"/>
          <w:lang w:val="zh-CN"/>
        </w:rPr>
      </w:pPr>
      <w:r>
        <w:rPr>
          <w:rFonts w:hint="eastAsia" w:asciiTheme="minorEastAsia" w:hAnsiTheme="minorEastAsia" w:eastAsiaTheme="minorEastAsia" w:cstheme="minorEastAsia"/>
          <w:color w:val="auto"/>
          <w:sz w:val="24"/>
          <w:highlight w:val="none"/>
        </w:rPr>
        <w:t xml:space="preserve"> </w:t>
      </w:r>
    </w:p>
    <w:p w14:paraId="4B17EEA4">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rPr>
        <w:t>1 报价一览表；</w:t>
      </w:r>
    </w:p>
    <w:p w14:paraId="08C209A8">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2</w:t>
      </w:r>
      <w:r>
        <w:rPr>
          <w:rFonts w:hint="eastAsia" w:asciiTheme="minorEastAsia" w:hAnsiTheme="minorEastAsia" w:eastAsiaTheme="minorEastAsia" w:cstheme="minorEastAsia"/>
          <w:color w:val="auto"/>
          <w:sz w:val="28"/>
          <w:szCs w:val="28"/>
          <w:highlight w:val="none"/>
        </w:rPr>
        <w:t xml:space="preserve"> 中小企业声明函（如有）；</w:t>
      </w:r>
    </w:p>
    <w:p w14:paraId="2DFD55FB">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3</w:t>
      </w:r>
      <w:r>
        <w:rPr>
          <w:rFonts w:hint="eastAsia" w:asciiTheme="minorEastAsia" w:hAnsiTheme="minorEastAsia" w:eastAsiaTheme="minorEastAsia" w:cstheme="minorEastAsia"/>
          <w:color w:val="auto"/>
          <w:sz w:val="28"/>
          <w:szCs w:val="28"/>
          <w:highlight w:val="none"/>
        </w:rPr>
        <w:t xml:space="preserve"> 残疾人福利性单位声明函（如有）；</w:t>
      </w:r>
    </w:p>
    <w:p w14:paraId="47BD8E27">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4</w:t>
      </w:r>
      <w:r>
        <w:rPr>
          <w:rFonts w:hint="eastAsia" w:asciiTheme="minorEastAsia" w:hAnsiTheme="minorEastAsia" w:eastAsiaTheme="minorEastAsia" w:cstheme="minorEastAsia"/>
          <w:color w:val="auto"/>
          <w:sz w:val="28"/>
          <w:szCs w:val="28"/>
          <w:highlight w:val="none"/>
        </w:rPr>
        <w:t xml:space="preserve"> 监狱企业的证明文件（如有）；</w:t>
      </w:r>
    </w:p>
    <w:p w14:paraId="3333FAF9">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5</w:t>
      </w:r>
      <w:r>
        <w:rPr>
          <w:rFonts w:hint="eastAsia" w:asciiTheme="minorEastAsia" w:hAnsiTheme="minorEastAsia" w:eastAsiaTheme="minorEastAsia" w:cstheme="minorEastAsia"/>
          <w:color w:val="auto"/>
          <w:sz w:val="28"/>
          <w:szCs w:val="28"/>
          <w:highlight w:val="none"/>
        </w:rPr>
        <w:t xml:space="preserve"> 政府采购统计基础信息表；</w:t>
      </w:r>
    </w:p>
    <w:p w14:paraId="58D51589">
      <w:pPr>
        <w:snapToGrid w:val="0"/>
        <w:spacing w:line="360" w:lineRule="auto"/>
        <w:ind w:firstLine="1120" w:firstLineChars="400"/>
        <w:rPr>
          <w:rFonts w:asciiTheme="minorEastAsia" w:hAnsiTheme="minorEastAsia" w:eastAsiaTheme="minorEastAsia" w:cstheme="minorEastAsia"/>
          <w:color w:val="auto"/>
          <w:sz w:val="28"/>
          <w:szCs w:val="28"/>
          <w:highlight w:val="none"/>
        </w:rPr>
      </w:pPr>
      <w:r>
        <w:rPr>
          <w:rFonts w:hint="eastAsia" w:asciiTheme="minorEastAsia" w:hAnsiTheme="minorEastAsia" w:eastAsiaTheme="minorEastAsia" w:cstheme="minorEastAsia"/>
          <w:color w:val="auto"/>
          <w:sz w:val="28"/>
          <w:szCs w:val="28"/>
          <w:highlight w:val="none"/>
          <w:lang w:val="en-US" w:eastAsia="zh-CN"/>
        </w:rPr>
        <w:t>6</w:t>
      </w:r>
      <w:r>
        <w:rPr>
          <w:rFonts w:hint="eastAsia" w:asciiTheme="minorEastAsia" w:hAnsiTheme="minorEastAsia" w:eastAsiaTheme="minorEastAsia" w:cstheme="minorEastAsia"/>
          <w:color w:val="auto"/>
          <w:sz w:val="28"/>
          <w:szCs w:val="28"/>
          <w:highlight w:val="none"/>
        </w:rPr>
        <w:t xml:space="preserve"> 其他资料（如有）。</w:t>
      </w:r>
    </w:p>
    <w:p w14:paraId="5419FB32">
      <w:pPr>
        <w:snapToGrid w:val="0"/>
        <w:spacing w:line="360" w:lineRule="auto"/>
        <w:ind w:right="480"/>
        <w:rPr>
          <w:rFonts w:asciiTheme="minorEastAsia" w:hAnsiTheme="minorEastAsia" w:eastAsiaTheme="minorEastAsia" w:cstheme="minorEastAsia"/>
          <w:b/>
          <w:color w:val="auto"/>
          <w:kern w:val="0"/>
          <w:sz w:val="32"/>
          <w:szCs w:val="32"/>
          <w:highlight w:val="none"/>
        </w:rPr>
      </w:pPr>
    </w:p>
    <w:p w14:paraId="10D21572">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pgBorders>
            <w:top w:val="none" w:sz="0" w:space="0"/>
            <w:left w:val="none" w:sz="0" w:space="0"/>
            <w:bottom w:val="none" w:sz="0" w:space="0"/>
            <w:right w:val="none" w:sz="0" w:space="0"/>
          </w:pgBorders>
          <w:cols w:space="720" w:num="1"/>
          <w:titlePg/>
          <w:docGrid w:linePitch="312" w:charSpace="0"/>
        </w:sectPr>
      </w:pPr>
    </w:p>
    <w:p w14:paraId="7C6AF162">
      <w:pPr>
        <w:pStyle w:val="45"/>
        <w:keepNext w:val="0"/>
        <w:pageBreakBefore w:val="0"/>
        <w:tabs>
          <w:tab w:val="clear" w:pos="720"/>
        </w:tabs>
        <w:snapToGrid w:val="0"/>
        <w:spacing w:before="120" w:after="120"/>
        <w:ind w:firstLine="643"/>
        <w:outlineLvl w:val="9"/>
        <w:rPr>
          <w:rFonts w:asciiTheme="minorEastAsia" w:hAnsiTheme="minorEastAsia" w:eastAsiaTheme="minorEastAsia" w:cstheme="minorEastAsia"/>
          <w:color w:val="auto"/>
          <w:kern w:val="2"/>
          <w:sz w:val="32"/>
          <w:szCs w:val="32"/>
          <w:highlight w:val="none"/>
        </w:rPr>
      </w:pPr>
      <w:r>
        <w:rPr>
          <w:rFonts w:hint="eastAsia" w:asciiTheme="minorEastAsia" w:hAnsiTheme="minorEastAsia" w:eastAsiaTheme="minorEastAsia" w:cstheme="minorEastAsia"/>
          <w:color w:val="auto"/>
          <w:kern w:val="2"/>
          <w:sz w:val="32"/>
          <w:szCs w:val="32"/>
          <w:highlight w:val="none"/>
        </w:rPr>
        <w:t>一、报价一览表</w:t>
      </w:r>
    </w:p>
    <w:p w14:paraId="33FDF3B7">
      <w:pPr>
        <w:snapToGrid w:val="0"/>
        <w:spacing w:line="360" w:lineRule="auto"/>
        <w:rPr>
          <w:rFonts w:asciiTheme="minorEastAsia" w:hAnsiTheme="minorEastAsia" w:eastAsiaTheme="minorEastAsia" w:cstheme="minorEastAsia"/>
          <w:color w:val="auto"/>
          <w:kern w:val="0"/>
          <w:sz w:val="24"/>
          <w:highlight w:val="none"/>
          <w:u w:val="single"/>
        </w:rPr>
      </w:pPr>
      <w:r>
        <w:rPr>
          <w:rFonts w:hint="eastAsia" w:asciiTheme="minorEastAsia" w:hAnsiTheme="minorEastAsia" w:eastAsiaTheme="minorEastAsia" w:cstheme="minorEastAsia"/>
          <w:color w:val="auto"/>
          <w:sz w:val="24"/>
          <w:highlight w:val="none"/>
        </w:rPr>
        <w:t>（采购人）、（采购代理机构）</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color w:val="auto"/>
          <w:kern w:val="0"/>
          <w:sz w:val="24"/>
          <w:highlight w:val="none"/>
          <w:u w:val="single"/>
        </w:rPr>
        <w:t xml:space="preserve">                                     </w:t>
      </w:r>
    </w:p>
    <w:p w14:paraId="36083D68">
      <w:pPr>
        <w:snapToGrid w:val="0"/>
        <w:spacing w:line="360" w:lineRule="auto"/>
        <w:ind w:firstLine="482"/>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按你方采购文件要求，我们，本响应文件签字方，谨此向你方发出要约如下：如你方接受本次磋商响应，我方承诺按照如下报价一览表（报价表）的价格完成</w:t>
      </w:r>
      <w:r>
        <w:rPr>
          <w:rFonts w:hint="eastAsia" w:asciiTheme="minorEastAsia" w:hAnsiTheme="minorEastAsia" w:eastAsiaTheme="minorEastAsia" w:cstheme="minorEastAsia"/>
          <w:color w:val="auto"/>
          <w:kern w:val="0"/>
          <w:sz w:val="24"/>
          <w:highlight w:val="none"/>
          <w:lang w:val="en-US" w:eastAsia="zh-CN"/>
        </w:rPr>
        <w:t>本项目的实施</w:t>
      </w:r>
      <w:r>
        <w:rPr>
          <w:rFonts w:hint="eastAsia" w:asciiTheme="minorEastAsia" w:hAnsiTheme="minorEastAsia" w:eastAsiaTheme="minorEastAsia" w:cstheme="minorEastAsia"/>
          <w:color w:val="auto"/>
          <w:kern w:val="0"/>
          <w:sz w:val="24"/>
          <w:highlight w:val="none"/>
          <w:lang w:val="zh-CN"/>
        </w:rPr>
        <w:t>。</w:t>
      </w:r>
    </w:p>
    <w:p w14:paraId="7A1C42CD">
      <w:pPr>
        <w:spacing w:line="360" w:lineRule="auto"/>
        <w:jc w:val="center"/>
        <w:rPr>
          <w:rFonts w:asciiTheme="minorEastAsia" w:hAnsiTheme="minorEastAsia" w:eastAsiaTheme="minorEastAsia" w:cstheme="minorEastAsia"/>
          <w:b/>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报价一览表（初次报价表）(单位均为</w:t>
      </w:r>
      <w:r>
        <w:rPr>
          <w:rFonts w:hint="eastAsia" w:asciiTheme="minorEastAsia" w:hAnsiTheme="minorEastAsia" w:eastAsiaTheme="minorEastAsia" w:cstheme="minorEastAsia"/>
          <w:b/>
          <w:color w:val="auto"/>
          <w:kern w:val="0"/>
          <w:sz w:val="24"/>
          <w:highlight w:val="none"/>
          <w:lang w:val="en-US" w:eastAsia="zh-CN"/>
        </w:rPr>
        <w:t>%</w:t>
      </w:r>
      <w:r>
        <w:rPr>
          <w:rFonts w:hint="eastAsia" w:asciiTheme="minorEastAsia" w:hAnsiTheme="minorEastAsia" w:eastAsiaTheme="minorEastAsia" w:cstheme="minorEastAsia"/>
          <w:b/>
          <w:color w:val="auto"/>
          <w:kern w:val="0"/>
          <w:sz w:val="24"/>
          <w:highlight w:val="none"/>
          <w:lang w:val="zh-CN"/>
        </w:rPr>
        <w:t>)</w:t>
      </w:r>
    </w:p>
    <w:tbl>
      <w:tblPr>
        <w:tblStyle w:val="24"/>
        <w:tblpPr w:leftFromText="180" w:rightFromText="180" w:vertAnchor="text" w:horzAnchor="margin" w:tblpX="496" w:tblpY="192"/>
        <w:tblW w:w="83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1"/>
        <w:gridCol w:w="2942"/>
        <w:gridCol w:w="1961"/>
      </w:tblGrid>
      <w:tr w14:paraId="1A691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4A1A8EE9">
            <w:pPr>
              <w:pStyle w:val="11"/>
              <w:pageBreakBefore w:val="0"/>
              <w:kinsoku/>
              <w:wordWrap/>
              <w:overflowPunct/>
              <w:topLinePunct w:val="0"/>
              <w:bidi w:val="0"/>
              <w:spacing w:line="360" w:lineRule="auto"/>
              <w:ind w:firstLine="0"/>
              <w:jc w:val="center"/>
              <w:rPr>
                <w:color w:val="auto"/>
                <w:szCs w:val="24"/>
                <w:highlight w:val="none"/>
              </w:rPr>
            </w:pPr>
            <w:r>
              <w:rPr>
                <w:rFonts w:hint="eastAsia"/>
                <w:color w:val="auto"/>
                <w:szCs w:val="24"/>
                <w:highlight w:val="none"/>
              </w:rPr>
              <w:t>项目名称</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50A6EDD7">
            <w:pPr>
              <w:pStyle w:val="11"/>
              <w:pageBreakBefore w:val="0"/>
              <w:kinsoku/>
              <w:wordWrap/>
              <w:overflowPunct/>
              <w:topLinePunct w:val="0"/>
              <w:bidi w:val="0"/>
              <w:spacing w:line="360" w:lineRule="auto"/>
              <w:ind w:left="0" w:leftChars="0" w:firstLine="0" w:firstLineChars="0"/>
              <w:jc w:val="center"/>
              <w:rPr>
                <w:rFonts w:hint="eastAsia" w:eastAsia="方正书宋简体"/>
                <w:color w:val="auto"/>
                <w:szCs w:val="24"/>
                <w:highlight w:val="none"/>
                <w:lang w:eastAsia="zh-CN"/>
              </w:rPr>
            </w:pPr>
            <w:r>
              <w:rPr>
                <w:rFonts w:hint="eastAsia"/>
                <w:color w:val="auto"/>
                <w:szCs w:val="24"/>
                <w:highlight w:val="none"/>
              </w:rPr>
              <w:t>投标报价</w:t>
            </w:r>
            <w:r>
              <w:rPr>
                <w:color w:val="auto"/>
                <w:szCs w:val="24"/>
                <w:highlight w:val="none"/>
              </w:rPr>
              <w:t>（</w:t>
            </w:r>
            <w:r>
              <w:rPr>
                <w:rFonts w:hint="eastAsia"/>
                <w:color w:val="auto"/>
                <w:szCs w:val="24"/>
                <w:highlight w:val="none"/>
                <w:lang w:val="en-US" w:eastAsia="zh-CN"/>
              </w:rPr>
              <w:t>综合折扣</w:t>
            </w:r>
            <w:r>
              <w:rPr>
                <w:rFonts w:hint="eastAsia"/>
                <w:color w:val="auto"/>
                <w:szCs w:val="24"/>
                <w:highlight w:val="none"/>
              </w:rPr>
              <w:t>%</w:t>
            </w:r>
            <w:r>
              <w:rPr>
                <w:color w:val="auto"/>
                <w:szCs w:val="24"/>
                <w:highlight w:val="none"/>
              </w:rPr>
              <w:t>）</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29C98E1E">
            <w:pPr>
              <w:pStyle w:val="11"/>
              <w:pageBreakBefore w:val="0"/>
              <w:kinsoku/>
              <w:wordWrap/>
              <w:overflowPunct/>
              <w:topLinePunct w:val="0"/>
              <w:bidi w:val="0"/>
              <w:spacing w:line="360" w:lineRule="auto"/>
              <w:ind w:firstLine="0"/>
              <w:jc w:val="both"/>
              <w:rPr>
                <w:rFonts w:hint="default" w:eastAsia="方正书宋简体"/>
                <w:color w:val="auto"/>
                <w:szCs w:val="24"/>
                <w:highlight w:val="none"/>
                <w:lang w:val="en-US" w:eastAsia="zh-CN"/>
              </w:rPr>
            </w:pPr>
            <w:r>
              <w:rPr>
                <w:rFonts w:hint="eastAsia" w:eastAsia="方正书宋简体"/>
                <w:color w:val="auto"/>
                <w:szCs w:val="24"/>
                <w:highlight w:val="none"/>
                <w:lang w:val="en-US" w:eastAsia="zh-CN"/>
              </w:rPr>
              <w:t>备注</w:t>
            </w:r>
          </w:p>
        </w:tc>
      </w:tr>
      <w:tr w14:paraId="5B0E8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5" w:hRule="atLeast"/>
        </w:trPr>
        <w:tc>
          <w:tcPr>
            <w:tcW w:w="3431" w:type="dxa"/>
            <w:tcBorders>
              <w:top w:val="single" w:color="auto" w:sz="4" w:space="0"/>
              <w:left w:val="single" w:color="auto" w:sz="4" w:space="0"/>
              <w:bottom w:val="single" w:color="auto" w:sz="4" w:space="0"/>
              <w:right w:val="single" w:color="auto" w:sz="4" w:space="0"/>
            </w:tcBorders>
            <w:noWrap w:val="0"/>
            <w:vAlign w:val="center"/>
          </w:tcPr>
          <w:p w14:paraId="59C7E94E">
            <w:pPr>
              <w:snapToGrid w:val="0"/>
              <w:spacing w:line="240" w:lineRule="auto"/>
              <w:rPr>
                <w:rFonts w:hint="eastAsia" w:ascii="宋体" w:hAnsi="宋体" w:eastAsia="宋体" w:cs="Times New Roman"/>
                <w:color w:val="auto"/>
                <w:szCs w:val="24"/>
                <w:highlight w:val="none"/>
              </w:rPr>
            </w:pPr>
            <w:r>
              <w:rPr>
                <w:rFonts w:hint="eastAsia" w:asciiTheme="minorEastAsia" w:hAnsiTheme="minorEastAsia" w:eastAsiaTheme="minorEastAsia" w:cstheme="minorEastAsia"/>
                <w:color w:val="auto"/>
                <w:kern w:val="0"/>
                <w:sz w:val="24"/>
                <w:highlight w:val="none"/>
                <w:lang w:val="en-US" w:eastAsia="zh-CN"/>
              </w:rPr>
              <w:t xml:space="preserve">奉化区溪口三隐潭沿线电缆改造工程 </w:t>
            </w:r>
          </w:p>
        </w:tc>
        <w:tc>
          <w:tcPr>
            <w:tcW w:w="2942" w:type="dxa"/>
            <w:tcBorders>
              <w:top w:val="single" w:color="auto" w:sz="4" w:space="0"/>
              <w:left w:val="single" w:color="auto" w:sz="4" w:space="0"/>
              <w:bottom w:val="single" w:color="auto" w:sz="4" w:space="0"/>
              <w:right w:val="single" w:color="auto" w:sz="4" w:space="0"/>
            </w:tcBorders>
            <w:noWrap w:val="0"/>
            <w:vAlign w:val="center"/>
          </w:tcPr>
          <w:p w14:paraId="44564925">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rPr>
            </w:pPr>
            <w:r>
              <w:rPr>
                <w:rFonts w:hint="eastAsia" w:ascii="宋体" w:hAnsi="宋体" w:eastAsia="宋体" w:cs="Times New Roman"/>
                <w:color w:val="auto"/>
                <w:szCs w:val="24"/>
                <w:highlight w:val="none"/>
                <w:lang w:val="en-US" w:eastAsia="zh-CN"/>
              </w:rPr>
              <w:t>综合折扣</w:t>
            </w:r>
            <w:r>
              <w:rPr>
                <w:rFonts w:hint="eastAsia" w:ascii="宋体" w:hAnsi="宋体" w:eastAsia="宋体" w:cs="Times New Roman"/>
                <w:color w:val="auto"/>
                <w:szCs w:val="24"/>
                <w:highlight w:val="none"/>
              </w:rPr>
              <w:t>：   %</w:t>
            </w:r>
          </w:p>
        </w:tc>
        <w:tc>
          <w:tcPr>
            <w:tcW w:w="1961" w:type="dxa"/>
            <w:tcBorders>
              <w:top w:val="single" w:color="auto" w:sz="4" w:space="0"/>
              <w:left w:val="single" w:color="auto" w:sz="4" w:space="0"/>
              <w:bottom w:val="single" w:color="auto" w:sz="4" w:space="0"/>
              <w:right w:val="single" w:color="auto" w:sz="4" w:space="0"/>
            </w:tcBorders>
            <w:noWrap w:val="0"/>
            <w:vAlign w:val="center"/>
          </w:tcPr>
          <w:p w14:paraId="5C4C8F70">
            <w:pPr>
              <w:pStyle w:val="11"/>
              <w:pageBreakBefore w:val="0"/>
              <w:kinsoku/>
              <w:wordWrap/>
              <w:overflowPunct/>
              <w:topLinePunct w:val="0"/>
              <w:bidi w:val="0"/>
              <w:spacing w:line="360" w:lineRule="auto"/>
              <w:ind w:left="0" w:leftChars="0" w:firstLine="0" w:firstLineChars="0"/>
              <w:jc w:val="center"/>
              <w:rPr>
                <w:rFonts w:hint="eastAsia" w:ascii="宋体" w:hAnsi="宋体" w:eastAsia="宋体" w:cs="Times New Roman"/>
                <w:color w:val="auto"/>
                <w:szCs w:val="24"/>
                <w:highlight w:val="none"/>
                <w:lang w:val="en-US" w:eastAsia="zh-CN"/>
              </w:rPr>
            </w:pPr>
          </w:p>
        </w:tc>
      </w:tr>
    </w:tbl>
    <w:p w14:paraId="0C3828E2">
      <w:pPr>
        <w:shd w:val="clear"/>
        <w:spacing w:line="360" w:lineRule="auto"/>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b/>
          <w:color w:val="auto"/>
          <w:kern w:val="0"/>
          <w:sz w:val="24"/>
          <w:highlight w:val="none"/>
          <w:lang w:val="zh-CN"/>
        </w:rPr>
        <w:t>注：</w:t>
      </w:r>
      <w:r>
        <w:rPr>
          <w:rFonts w:hint="eastAsia" w:ascii="宋体" w:hAnsi="宋体" w:eastAsia="宋体" w:cs="Times New Roman"/>
          <w:b/>
          <w:color w:val="auto"/>
          <w:sz w:val="24"/>
          <w:highlight w:val="none"/>
          <w:u w:val="single"/>
          <w:lang w:val="zh-CN"/>
        </w:rPr>
        <w:t>1、磋商</w:t>
      </w:r>
      <w:r>
        <w:rPr>
          <w:rFonts w:hint="eastAsia" w:ascii="宋体" w:hAnsi="宋体" w:eastAsia="宋体" w:cs="Times New Roman"/>
          <w:b/>
          <w:color w:val="auto"/>
          <w:sz w:val="24"/>
          <w:highlight w:val="none"/>
          <w:u w:val="single"/>
        </w:rPr>
        <w:t>报价</w:t>
      </w:r>
      <w:r>
        <w:rPr>
          <w:rFonts w:hint="eastAsia" w:ascii="宋体" w:hAnsi="宋体"/>
          <w:b/>
          <w:color w:val="auto"/>
          <w:sz w:val="24"/>
          <w:highlight w:val="none"/>
          <w:u w:val="single"/>
        </w:rPr>
        <w:t>折</w:t>
      </w:r>
      <w:r>
        <w:rPr>
          <w:rFonts w:ascii="宋体" w:hAnsi="宋体"/>
          <w:b/>
          <w:color w:val="auto"/>
          <w:sz w:val="24"/>
          <w:highlight w:val="none"/>
          <w:u w:val="single"/>
        </w:rPr>
        <w:t>扣</w:t>
      </w:r>
      <w:r>
        <w:rPr>
          <w:rFonts w:hint="eastAsia" w:ascii="宋体" w:hAnsi="宋体"/>
          <w:b/>
          <w:color w:val="auto"/>
          <w:sz w:val="24"/>
          <w:highlight w:val="none"/>
          <w:u w:val="single"/>
        </w:rPr>
        <w:t>以“%”的形式填写。</w:t>
      </w:r>
      <w:r>
        <w:rPr>
          <w:rFonts w:hint="eastAsia"/>
          <w:b/>
          <w:color w:val="auto"/>
          <w:sz w:val="24"/>
          <w:highlight w:val="none"/>
          <w:u w:val="single"/>
        </w:rPr>
        <w:t>本次项目设有最高折扣（94%），未按折扣进行报价或超过最高综合折扣进行报价的磋商响应文件作无效处理。</w:t>
      </w:r>
    </w:p>
    <w:p w14:paraId="20915F57">
      <w:pPr>
        <w:snapToGrid w:val="0"/>
        <w:spacing w:line="360" w:lineRule="auto"/>
        <w:ind w:left="480"/>
        <w:rPr>
          <w:rFonts w:hint="default" w:asciiTheme="minorEastAsia" w:hAnsiTheme="minorEastAsia" w:eastAsiaTheme="minorEastAsia" w:cstheme="minorEastAsia"/>
          <w:color w:val="auto"/>
          <w:kern w:val="0"/>
          <w:sz w:val="24"/>
          <w:highlight w:val="none"/>
          <w:lang w:val="en-US" w:eastAsia="zh-CN"/>
        </w:rPr>
      </w:pPr>
      <w:r>
        <w:rPr>
          <w:rFonts w:hint="eastAsia" w:asciiTheme="minorEastAsia" w:hAnsiTheme="minorEastAsia" w:eastAsiaTheme="minorEastAsia" w:cstheme="minorEastAsia"/>
          <w:color w:val="auto"/>
          <w:kern w:val="0"/>
          <w:sz w:val="24"/>
          <w:highlight w:val="none"/>
          <w:lang w:val="en-US" w:eastAsia="zh-CN"/>
        </w:rPr>
        <w:t>2、报价一经涂改，应在涂改处加盖单位公章或者由法定代表人或授权委托人签名或盖章，否则其投标作无效标处理。</w:t>
      </w:r>
    </w:p>
    <w:p w14:paraId="53C76269">
      <w:pPr>
        <w:snapToGrid w:val="0"/>
        <w:spacing w:line="360" w:lineRule="auto"/>
        <w:ind w:left="48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3、</w:t>
      </w:r>
      <w:r>
        <w:rPr>
          <w:rFonts w:hint="eastAsia" w:asciiTheme="minorEastAsia" w:hAnsiTheme="minorEastAsia" w:eastAsiaTheme="minorEastAsia" w:cstheme="minorEastAsia"/>
          <w:color w:val="auto"/>
          <w:kern w:val="0"/>
          <w:sz w:val="24"/>
          <w:highlight w:val="none"/>
          <w:lang w:val="zh-CN"/>
        </w:rPr>
        <w:t>供应商需按本表格式填写，不得自行更改。</w:t>
      </w:r>
    </w:p>
    <w:p w14:paraId="0E07738A">
      <w:pPr>
        <w:spacing w:line="360" w:lineRule="auto"/>
        <w:ind w:firstLine="480" w:firstLineChars="200"/>
        <w:rPr>
          <w:rFonts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en-US" w:eastAsia="zh-CN"/>
        </w:rPr>
        <w:t>4</w:t>
      </w:r>
      <w:r>
        <w:rPr>
          <w:rFonts w:hint="eastAsia" w:asciiTheme="minorEastAsia" w:hAnsiTheme="minorEastAsia" w:eastAsiaTheme="minorEastAsia" w:cstheme="minorEastAsia"/>
          <w:color w:val="auto"/>
          <w:kern w:val="0"/>
          <w:sz w:val="24"/>
          <w:highlight w:val="none"/>
          <w:lang w:val="zh-CN"/>
        </w:rPr>
        <w:t>.有关本项目实施所涉及的一切费用均计入报价。</w:t>
      </w:r>
      <w:r>
        <w:rPr>
          <w:rFonts w:hint="eastAsia" w:asciiTheme="minorEastAsia" w:hAnsiTheme="minorEastAsia" w:eastAsiaTheme="minorEastAsia" w:cstheme="minorEastAsia"/>
          <w:b/>
          <w:color w:val="auto"/>
          <w:kern w:val="0"/>
          <w:sz w:val="24"/>
          <w:highlight w:val="none"/>
          <w:lang w:val="zh-CN"/>
        </w:rPr>
        <w:t>采购人将以合同形式有偿取得货物或服务，不接受供应商给予的赠品、回扣或者与采购无关的其他商品、服务</w:t>
      </w:r>
      <w:r>
        <w:rPr>
          <w:rFonts w:hint="eastAsia" w:asciiTheme="minorEastAsia" w:hAnsiTheme="minorEastAsia" w:eastAsiaTheme="minorEastAsia" w:cstheme="minorEastAsia"/>
          <w:color w:val="auto"/>
          <w:kern w:val="0"/>
          <w:sz w:val="24"/>
          <w:highlight w:val="none"/>
          <w:lang w:val="zh-CN"/>
        </w:rPr>
        <w:t>，</w:t>
      </w:r>
      <w:r>
        <w:rPr>
          <w:rFonts w:hint="eastAsia" w:asciiTheme="minorEastAsia" w:hAnsiTheme="minorEastAsia" w:eastAsiaTheme="minorEastAsia" w:cstheme="minorEastAsia"/>
          <w:b/>
          <w:color w:val="auto"/>
          <w:kern w:val="0"/>
          <w:sz w:val="24"/>
          <w:highlight w:val="none"/>
          <w:lang w:val="zh-CN"/>
        </w:rPr>
        <w:t>不得出现“0元”“免费赠送”等形式的无偿报价，</w:t>
      </w:r>
      <w:r>
        <w:rPr>
          <w:rFonts w:hint="eastAsia" w:asciiTheme="minorEastAsia" w:hAnsiTheme="minorEastAsia" w:eastAsiaTheme="minorEastAsia" w:cstheme="minorEastAsia"/>
          <w:b/>
          <w:color w:val="auto"/>
          <w:kern w:val="0"/>
          <w:sz w:val="24"/>
          <w:highlight w:val="none"/>
        </w:rPr>
        <w:t>否则视为</w:t>
      </w:r>
      <w:r>
        <w:rPr>
          <w:rFonts w:hint="eastAsia" w:asciiTheme="minorEastAsia" w:hAnsiTheme="minorEastAsia" w:eastAsiaTheme="minorEastAsia" w:cstheme="minorEastAsia"/>
          <w:b/>
          <w:color w:val="auto"/>
          <w:sz w:val="24"/>
          <w:highlight w:val="none"/>
        </w:rPr>
        <w:t>响应文件含有采购人不能接受的附加条件的，</w:t>
      </w:r>
      <w:r>
        <w:rPr>
          <w:rFonts w:hint="eastAsia" w:asciiTheme="minorEastAsia" w:hAnsiTheme="minorEastAsia" w:eastAsiaTheme="minorEastAsia" w:cstheme="minorEastAsia"/>
          <w:b/>
          <w:color w:val="auto"/>
          <w:sz w:val="24"/>
          <w:highlight w:val="none"/>
          <w:lang w:val="en-US" w:eastAsia="zh-CN"/>
        </w:rPr>
        <w:t>投标</w:t>
      </w:r>
      <w:r>
        <w:rPr>
          <w:rFonts w:hint="eastAsia" w:asciiTheme="minorEastAsia" w:hAnsiTheme="minorEastAsia" w:eastAsiaTheme="minorEastAsia" w:cstheme="minorEastAsia"/>
          <w:b/>
          <w:color w:val="auto"/>
          <w:sz w:val="24"/>
          <w:highlight w:val="none"/>
        </w:rPr>
        <w:t>无效</w:t>
      </w:r>
      <w:r>
        <w:rPr>
          <w:rFonts w:hint="eastAsia" w:asciiTheme="minorEastAsia" w:hAnsiTheme="minorEastAsia" w:eastAsiaTheme="minorEastAsia" w:cstheme="minorEastAsia"/>
          <w:b/>
          <w:color w:val="auto"/>
          <w:kern w:val="0"/>
          <w:sz w:val="24"/>
          <w:highlight w:val="none"/>
          <w:lang w:val="zh-CN"/>
        </w:rPr>
        <w:t>。</w:t>
      </w:r>
    </w:p>
    <w:p w14:paraId="470F18D5">
      <w:pPr>
        <w:spacing w:line="360" w:lineRule="auto"/>
        <w:rPr>
          <w:rFonts w:hint="eastAsia" w:asciiTheme="minorEastAsia" w:hAnsiTheme="minorEastAsia" w:eastAsiaTheme="minorEastAsia" w:cstheme="minorEastAsia"/>
          <w:color w:val="auto"/>
          <w:sz w:val="24"/>
          <w:highlight w:val="none"/>
        </w:rPr>
      </w:pPr>
    </w:p>
    <w:p w14:paraId="7425BF6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w:t>
      </w:r>
      <w:r>
        <w:rPr>
          <w:rFonts w:hint="eastAsia" w:asciiTheme="minorEastAsia" w:hAnsiTheme="minorEastAsia" w:eastAsiaTheme="minorEastAsia" w:cstheme="minorEastAsia"/>
          <w:color w:val="auto"/>
          <w:kern w:val="0"/>
          <w:sz w:val="24"/>
          <w:highlight w:val="none"/>
          <w:lang w:val="en-US" w:eastAsia="zh-CN"/>
        </w:rPr>
        <w:t xml:space="preserve"> </w:t>
      </w:r>
      <w:r>
        <w:rPr>
          <w:rFonts w:hint="eastAsia" w:asciiTheme="minorEastAsia" w:hAnsiTheme="minorEastAsia" w:eastAsiaTheme="minorEastAsia" w:cstheme="minorEastAsia"/>
          <w:color w:val="auto"/>
          <w:kern w:val="0"/>
          <w:sz w:val="24"/>
          <w:highlight w:val="none"/>
          <w:lang w:val="zh-CN"/>
        </w:rPr>
        <w:t xml:space="preserve">定代表人或其授权委托人（签名或印章）：  </w:t>
      </w:r>
    </w:p>
    <w:p w14:paraId="5B58486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 xml:space="preserve">供应商（盖章）：         </w:t>
      </w:r>
    </w:p>
    <w:p w14:paraId="5F16F5B6">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  期：</w:t>
      </w:r>
    </w:p>
    <w:p w14:paraId="70CF5ADE">
      <w:pPr>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br w:type="page"/>
      </w:r>
    </w:p>
    <w:p w14:paraId="2F148233">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color w:val="auto"/>
          <w:sz w:val="32"/>
          <w:szCs w:val="32"/>
          <w:highlight w:val="none"/>
        </w:rPr>
        <w:t>二、中小企业声明函</w:t>
      </w:r>
    </w:p>
    <w:p w14:paraId="33E7CC23">
      <w:pPr>
        <w:widowControl/>
        <w:spacing w:line="360" w:lineRule="auto"/>
        <w:ind w:firstLine="120" w:firstLineChars="50"/>
        <w:jc w:val="left"/>
        <w:rPr>
          <w:rFonts w:asciiTheme="minorEastAsia" w:hAnsiTheme="minorEastAsia" w:eastAsiaTheme="minorEastAsia" w:cstheme="minorEastAsia"/>
          <w:b/>
          <w:color w:val="auto"/>
          <w:sz w:val="24"/>
          <w:highlight w:val="none"/>
        </w:rPr>
      </w:pPr>
      <w:r>
        <w:rPr>
          <w:rFonts w:hint="eastAsia" w:asciiTheme="minorEastAsia" w:hAnsiTheme="minorEastAsia" w:eastAsiaTheme="minorEastAsia" w:cstheme="minorEastAsia"/>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w:t>
      </w:r>
    </w:p>
    <w:p w14:paraId="464CFB67">
      <w:pPr>
        <w:spacing w:line="360" w:lineRule="auto"/>
        <w:jc w:val="center"/>
        <w:rPr>
          <w:rFonts w:asciiTheme="minorEastAsia" w:hAnsiTheme="minorEastAsia" w:eastAsiaTheme="minorEastAsia" w:cstheme="minorEastAsia"/>
          <w:b/>
          <w:color w:val="auto"/>
          <w:sz w:val="32"/>
          <w:szCs w:val="32"/>
          <w:highlight w:val="none"/>
        </w:rPr>
      </w:pPr>
      <w:r>
        <w:rPr>
          <w:rFonts w:hint="eastAsia" w:asciiTheme="minorEastAsia" w:hAnsiTheme="minorEastAsia" w:eastAsiaTheme="minorEastAsia" w:cstheme="minorEastAsia"/>
          <w:b/>
          <w:color w:val="auto"/>
          <w:sz w:val="32"/>
          <w:szCs w:val="32"/>
          <w:highlight w:val="none"/>
        </w:rPr>
        <w:t>中小企业声明函</w:t>
      </w:r>
    </w:p>
    <w:p w14:paraId="7FA07F74">
      <w:pPr>
        <w:spacing w:line="360" w:lineRule="auto"/>
        <w:rPr>
          <w:rFonts w:asciiTheme="minorEastAsia" w:hAnsiTheme="minorEastAsia" w:eastAsiaTheme="minorEastAsia" w:cstheme="minorEastAsia"/>
          <w:color w:val="auto"/>
          <w:highlight w:val="none"/>
        </w:rPr>
      </w:pPr>
    </w:p>
    <w:p w14:paraId="3A71EA1E">
      <w:pPr>
        <w:spacing w:line="360" w:lineRule="auto"/>
        <w:ind w:firstLine="480" w:firstLineChars="200"/>
        <w:jc w:val="left"/>
        <w:rPr>
          <w:rFonts w:hint="eastAsia" w:asciiTheme="minorEastAsia" w:hAnsiTheme="minorEastAsia" w:eastAsiaTheme="minorEastAsia" w:cstheme="minorEastAsia"/>
          <w:b w:val="0"/>
          <w:bCs w:val="0"/>
          <w:color w:val="auto"/>
          <w:sz w:val="24"/>
          <w:highlight w:val="none"/>
          <w:u w:val="none"/>
          <w:lang w:val="en-US" w:eastAsia="zh-CN"/>
        </w:rPr>
      </w:pPr>
      <w:r>
        <w:rPr>
          <w:rFonts w:hint="eastAsia" w:asciiTheme="minorEastAsia" w:hAnsiTheme="minorEastAsia" w:eastAsiaTheme="minorEastAsia" w:cstheme="minorEastAsia"/>
          <w:b w:val="0"/>
          <w:bCs w:val="0"/>
          <w:color w:val="auto"/>
          <w:sz w:val="24"/>
          <w:highlight w:val="none"/>
          <w:u w:val="none"/>
          <w:lang w:val="en-US" w:eastAsia="zh-CN"/>
        </w:rPr>
        <w:t>本公司郑重声明，根据《政府采购促进中小企业发展管理办法》（财库﹝2020﹞46 号）的规定，本公司参加</w:t>
      </w:r>
      <w:r>
        <w:rPr>
          <w:rFonts w:hint="eastAsia" w:asciiTheme="minorEastAsia" w:hAnsiTheme="minorEastAsia" w:eastAsiaTheme="minorEastAsia" w:cstheme="minorEastAsia"/>
          <w:b/>
          <w:bCs/>
          <w:color w:val="auto"/>
          <w:sz w:val="24"/>
          <w:highlight w:val="none"/>
          <w:u w:val="single"/>
          <w:lang w:val="en-US" w:eastAsia="zh-CN"/>
        </w:rPr>
        <w:t xml:space="preserve">宁波市奉化区惠海地下管线投资有限公司 </w:t>
      </w:r>
      <w:r>
        <w:rPr>
          <w:rFonts w:hint="eastAsia" w:asciiTheme="minorEastAsia" w:hAnsiTheme="minorEastAsia" w:eastAsiaTheme="minorEastAsia" w:cstheme="minorEastAsia"/>
          <w:b w:val="0"/>
          <w:bCs w:val="0"/>
          <w:color w:val="auto"/>
          <w:sz w:val="24"/>
          <w:highlight w:val="none"/>
          <w:u w:val="none"/>
          <w:lang w:val="en-US" w:eastAsia="zh-CN"/>
        </w:rPr>
        <w:t>的</w:t>
      </w:r>
      <w:r>
        <w:rPr>
          <w:rFonts w:hint="eastAsia" w:asciiTheme="minorEastAsia" w:hAnsiTheme="minorEastAsia" w:eastAsiaTheme="minorEastAsia" w:cstheme="minorEastAsia"/>
          <w:b/>
          <w:bCs/>
          <w:color w:val="auto"/>
          <w:sz w:val="24"/>
          <w:highlight w:val="none"/>
          <w:u w:val="single"/>
          <w:lang w:val="en-US" w:eastAsia="zh-CN"/>
        </w:rPr>
        <w:t xml:space="preserve">奉化区溪口三隐潭沿线电缆改造工程 </w:t>
      </w:r>
      <w:r>
        <w:rPr>
          <w:rFonts w:hint="eastAsia" w:asciiTheme="minorEastAsia" w:hAnsiTheme="minorEastAsia" w:eastAsiaTheme="minorEastAsia" w:cstheme="minorEastAsia"/>
          <w:b w:val="0"/>
          <w:bCs w:val="0"/>
          <w:color w:val="auto"/>
          <w:sz w:val="24"/>
          <w:highlight w:val="none"/>
          <w:u w:val="none"/>
          <w:lang w:val="en-US" w:eastAsia="zh-CN"/>
        </w:rPr>
        <w:t>采购活动，工程全部由符合政策要求的中小企业承接。相关企业的具体情况如下：</w:t>
      </w:r>
    </w:p>
    <w:p w14:paraId="7BBF2B63">
      <w:pPr>
        <w:spacing w:line="360" w:lineRule="auto"/>
        <w:ind w:firstLine="482"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bCs/>
          <w:color w:val="auto"/>
          <w:sz w:val="24"/>
          <w:highlight w:val="none"/>
          <w:u w:val="single"/>
          <w:lang w:val="en-US" w:eastAsia="zh-CN"/>
        </w:rPr>
        <w:t xml:space="preserve">奉化区溪口三隐潭沿线电缆改造工程 </w:t>
      </w:r>
      <w:r>
        <w:rPr>
          <w:rFonts w:hint="eastAsia" w:asciiTheme="minorEastAsia" w:hAnsiTheme="minorEastAsia" w:eastAsiaTheme="minorEastAsia" w:cstheme="minorEastAsia"/>
          <w:color w:val="auto"/>
          <w:sz w:val="24"/>
          <w:highlight w:val="none"/>
        </w:rPr>
        <w:t xml:space="preserve">，属于 </w:t>
      </w:r>
      <w:r>
        <w:rPr>
          <w:rFonts w:hint="eastAsia" w:asciiTheme="minorEastAsia" w:hAnsiTheme="minorEastAsia" w:eastAsiaTheme="minorEastAsia" w:cstheme="minorEastAsia"/>
          <w:color w:val="auto"/>
          <w:sz w:val="24"/>
          <w:highlight w:val="none"/>
          <w:u w:val="single"/>
          <w:lang w:val="en-US" w:eastAsia="zh-CN"/>
        </w:rPr>
        <w:t>建筑</w:t>
      </w:r>
      <w:r>
        <w:rPr>
          <w:rFonts w:hint="eastAsia" w:asciiTheme="minorEastAsia" w:hAnsiTheme="minorEastAsia" w:eastAsiaTheme="minorEastAsia" w:cstheme="minorEastAsia"/>
          <w:color w:val="auto"/>
          <w:sz w:val="24"/>
          <w:highlight w:val="none"/>
          <w:u w:val="single"/>
        </w:rPr>
        <w:t>业</w:t>
      </w:r>
      <w:r>
        <w:rPr>
          <w:rFonts w:hint="eastAsia" w:asciiTheme="minorEastAsia" w:hAnsiTheme="minorEastAsia" w:eastAsiaTheme="minorEastAsia" w:cstheme="minorEastAsia"/>
          <w:color w:val="auto"/>
          <w:sz w:val="24"/>
          <w:highlight w:val="none"/>
        </w:rPr>
        <w:t xml:space="preserve"> ；承建（承接）企业为 </w:t>
      </w:r>
      <w:r>
        <w:rPr>
          <w:rFonts w:hint="eastAsia" w:asciiTheme="minorEastAsia" w:hAnsiTheme="minorEastAsia" w:eastAsiaTheme="minorEastAsia" w:cstheme="minorEastAsia"/>
          <w:color w:val="auto"/>
          <w:sz w:val="24"/>
          <w:highlight w:val="none"/>
          <w:u w:val="single"/>
        </w:rPr>
        <w:t>（企业名称）</w:t>
      </w:r>
      <w:r>
        <w:rPr>
          <w:rFonts w:hint="eastAsia" w:asciiTheme="minorEastAsia" w:hAnsiTheme="minorEastAsia" w:eastAsiaTheme="minorEastAsia" w:cstheme="minorEastAsia"/>
          <w:color w:val="auto"/>
          <w:sz w:val="24"/>
          <w:highlight w:val="none"/>
        </w:rPr>
        <w:t xml:space="preserve"> ，从业人员</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人，营业收入为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u w:val="single"/>
          <w:lang w:val="en-US" w:eastAsia="zh-CN"/>
        </w:rPr>
        <w:t xml:space="preserve"> </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万元，资产总额为</w:t>
      </w:r>
      <w:r>
        <w:rPr>
          <w:rFonts w:hint="eastAsia" w:asciiTheme="minorEastAsia" w:hAnsiTheme="minorEastAsia" w:eastAsiaTheme="minorEastAsia" w:cstheme="minorEastAsia"/>
          <w:color w:val="auto"/>
          <w:sz w:val="24"/>
          <w:highlight w:val="none"/>
          <w:u w:val="single"/>
        </w:rPr>
        <w:t xml:space="preserve">   </w:t>
      </w:r>
      <w:r>
        <w:rPr>
          <w:rFonts w:hint="eastAsia" w:asciiTheme="minorEastAsia" w:hAnsiTheme="minorEastAsia" w:eastAsiaTheme="minorEastAsia" w:cstheme="minorEastAsia"/>
          <w:color w:val="auto"/>
          <w:sz w:val="24"/>
          <w:highlight w:val="none"/>
        </w:rPr>
        <w:t>万元属于</w:t>
      </w:r>
      <w:r>
        <w:rPr>
          <w:rFonts w:hint="eastAsia" w:asciiTheme="minorEastAsia" w:hAnsiTheme="minorEastAsia" w:eastAsiaTheme="minorEastAsia" w:cstheme="minorEastAsia"/>
          <w:color w:val="auto"/>
          <w:sz w:val="24"/>
          <w:highlight w:val="none"/>
          <w:u w:val="single"/>
        </w:rPr>
        <w:t xml:space="preserve"> （中型企业、小型企业、微型企业） </w:t>
      </w:r>
      <w:r>
        <w:rPr>
          <w:rFonts w:hint="eastAsia" w:asciiTheme="minorEastAsia" w:hAnsiTheme="minorEastAsia" w:eastAsiaTheme="minorEastAsia" w:cstheme="minorEastAsia"/>
          <w:color w:val="auto"/>
          <w:sz w:val="24"/>
          <w:highlight w:val="none"/>
        </w:rPr>
        <w:t>；</w:t>
      </w:r>
    </w:p>
    <w:p w14:paraId="55300D68">
      <w:pPr>
        <w:spacing w:line="360" w:lineRule="auto"/>
        <w:jc w:val="left"/>
        <w:rPr>
          <w:rFonts w:asciiTheme="minorEastAsia" w:hAnsiTheme="minorEastAsia" w:eastAsiaTheme="minorEastAsia" w:cstheme="minorEastAsia"/>
          <w:color w:val="auto"/>
          <w:sz w:val="24"/>
          <w:highlight w:val="none"/>
        </w:rPr>
      </w:pPr>
    </w:p>
    <w:p w14:paraId="03425F38">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以上企业，不属于大企业的分支机构，不存在控股股东为大企业的情形，也不存在与大企业的负责人为同一人的情形。</w:t>
      </w:r>
    </w:p>
    <w:p w14:paraId="6502823E">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本企业对上述声明内容的真实性负责。如有虚假，将依法承担相应责任。</w:t>
      </w:r>
    </w:p>
    <w:p w14:paraId="0668E049">
      <w:pPr>
        <w:spacing w:line="360" w:lineRule="auto"/>
        <w:ind w:right="1760"/>
        <w:jc w:val="right"/>
        <w:rPr>
          <w:rFonts w:asciiTheme="minorEastAsia" w:hAnsiTheme="minorEastAsia" w:eastAsiaTheme="minorEastAsia" w:cstheme="minorEastAsia"/>
          <w:color w:val="auto"/>
          <w:sz w:val="24"/>
          <w:highlight w:val="none"/>
        </w:rPr>
      </w:pPr>
    </w:p>
    <w:p w14:paraId="7C23AEA9">
      <w:pPr>
        <w:spacing w:line="360" w:lineRule="auto"/>
        <w:ind w:right="1760"/>
        <w:jc w:val="righ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供应商名称（电子签名）：</w:t>
      </w:r>
    </w:p>
    <w:p w14:paraId="3EB25C40">
      <w:pPr>
        <w:spacing w:line="360" w:lineRule="auto"/>
        <w:ind w:right="1120" w:firstLine="4680" w:firstLineChars="1950"/>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日 期：</w:t>
      </w:r>
    </w:p>
    <w:p w14:paraId="203F3C6C">
      <w:pPr>
        <w:spacing w:line="360" w:lineRule="auto"/>
        <w:ind w:firstLine="310" w:firstLineChars="147"/>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b/>
          <w:color w:val="auto"/>
          <w:szCs w:val="21"/>
          <w:highlight w:val="none"/>
        </w:rPr>
        <w:t>从业人员、营业收入、资产总额填报上一年度数据，无上一年度数据的新成立企业可不填报。</w:t>
      </w:r>
    </w:p>
    <w:p w14:paraId="0522E8C3">
      <w:pPr>
        <w:spacing w:line="360" w:lineRule="auto"/>
        <w:ind w:right="-283"/>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 xml:space="preserve">   注：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供应商提供由省级以上监狱管理局、戒毒管理局（含新疆生产建设兵团）出具的属于监狱企业证明文件的，视同为小型和微型企业。</w:t>
      </w:r>
    </w:p>
    <w:p w14:paraId="53C1CDB1">
      <w:pPr>
        <w:spacing w:line="360" w:lineRule="auto"/>
        <w:jc w:val="center"/>
        <w:rPr>
          <w:rFonts w:asciiTheme="minorEastAsia" w:hAnsiTheme="minorEastAsia" w:eastAsiaTheme="minorEastAsia" w:cstheme="minorEastAsia"/>
          <w:b/>
          <w:bCs/>
          <w:color w:val="auto"/>
          <w:sz w:val="32"/>
          <w:szCs w:val="32"/>
          <w:highlight w:val="none"/>
        </w:rPr>
      </w:pPr>
      <w:r>
        <w:rPr>
          <w:rFonts w:hint="eastAsia" w:asciiTheme="minorEastAsia" w:hAnsiTheme="minorEastAsia" w:eastAsiaTheme="minorEastAsia" w:cstheme="minorEastAsia"/>
          <w:b/>
          <w:color w:val="auto"/>
          <w:sz w:val="32"/>
          <w:szCs w:val="32"/>
          <w:highlight w:val="none"/>
        </w:rPr>
        <w:br w:type="page"/>
      </w:r>
    </w:p>
    <w:p w14:paraId="28F016E6">
      <w:pPr>
        <w:spacing w:line="360" w:lineRule="auto"/>
        <w:jc w:val="center"/>
        <w:rPr>
          <w:rFonts w:asciiTheme="minorEastAsia" w:hAnsiTheme="minorEastAsia" w:eastAsiaTheme="minorEastAsia" w:cstheme="minorEastAsia"/>
          <w:color w:val="auto"/>
          <w:sz w:val="32"/>
          <w:szCs w:val="32"/>
          <w:highlight w:val="none"/>
        </w:rPr>
      </w:pPr>
      <w:r>
        <w:rPr>
          <w:rFonts w:hint="eastAsia" w:asciiTheme="minorEastAsia" w:hAnsiTheme="minorEastAsia" w:eastAsiaTheme="minorEastAsia" w:cstheme="minorEastAsia"/>
          <w:b/>
          <w:bCs/>
          <w:color w:val="auto"/>
          <w:sz w:val="32"/>
          <w:szCs w:val="32"/>
          <w:highlight w:val="none"/>
        </w:rPr>
        <w:t>四、残疾人福利性单位声明函</w:t>
      </w:r>
    </w:p>
    <w:p w14:paraId="68CECF78">
      <w:pPr>
        <w:spacing w:line="360" w:lineRule="auto"/>
        <w:rPr>
          <w:rFonts w:asciiTheme="minorEastAsia" w:hAnsiTheme="minorEastAsia" w:eastAsiaTheme="minorEastAsia" w:cstheme="minorEastAsia"/>
          <w:b/>
          <w:color w:val="auto"/>
          <w:spacing w:val="6"/>
          <w:sz w:val="30"/>
          <w:szCs w:val="30"/>
          <w:highlight w:val="none"/>
        </w:rPr>
      </w:pPr>
    </w:p>
    <w:p w14:paraId="29859CB3">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A7306A1">
      <w:pPr>
        <w:spacing w:line="360" w:lineRule="auto"/>
        <w:ind w:firstLine="480" w:firstLineChars="200"/>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本单位对上述声明的真实性负责。如有虚假，将依法承担相应责任。</w:t>
      </w:r>
    </w:p>
    <w:p w14:paraId="221E53C3">
      <w:pPr>
        <w:spacing w:line="360" w:lineRule="auto"/>
        <w:ind w:firstLine="480" w:firstLineChars="200"/>
        <w:jc w:val="left"/>
        <w:rPr>
          <w:rFonts w:asciiTheme="minorEastAsia" w:hAnsiTheme="minorEastAsia" w:eastAsiaTheme="minorEastAsia" w:cstheme="minorEastAsia"/>
          <w:color w:val="auto"/>
          <w:sz w:val="24"/>
          <w:highlight w:val="none"/>
        </w:rPr>
      </w:pPr>
    </w:p>
    <w:p w14:paraId="16475454">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6514CCB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693BA102">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6678985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p w14:paraId="350B598A">
      <w:pPr>
        <w:spacing w:line="360" w:lineRule="auto"/>
        <w:ind w:firstLine="643" w:firstLineChars="200"/>
        <w:jc w:val="left"/>
        <w:rPr>
          <w:rFonts w:asciiTheme="minorEastAsia" w:hAnsiTheme="minorEastAsia" w:eastAsiaTheme="minorEastAsia" w:cstheme="minorEastAsia"/>
          <w:b/>
          <w:color w:val="auto"/>
          <w:sz w:val="32"/>
          <w:szCs w:val="32"/>
          <w:highlight w:val="none"/>
        </w:rPr>
      </w:pPr>
    </w:p>
    <w:p w14:paraId="75F84293">
      <w:pPr>
        <w:spacing w:line="360" w:lineRule="auto"/>
        <w:rPr>
          <w:rFonts w:asciiTheme="minorEastAsia" w:hAnsiTheme="minorEastAsia" w:eastAsiaTheme="minorEastAsia" w:cstheme="minorEastAsia"/>
          <w:b/>
          <w:color w:val="auto"/>
          <w:sz w:val="32"/>
          <w:szCs w:val="32"/>
          <w:highlight w:val="none"/>
        </w:rPr>
      </w:pPr>
    </w:p>
    <w:p w14:paraId="528E8835">
      <w:pPr>
        <w:numPr>
          <w:ilvl w:val="0"/>
          <w:numId w:val="6"/>
        </w:numPr>
        <w:spacing w:line="360" w:lineRule="auto"/>
        <w:jc w:val="center"/>
        <w:rPr>
          <w:rFonts w:asciiTheme="minorEastAsia" w:hAnsiTheme="minorEastAsia" w:eastAsiaTheme="minorEastAsia" w:cstheme="minorEastAsia"/>
          <w:b/>
          <w:color w:val="auto"/>
          <w:spacing w:val="6"/>
          <w:sz w:val="32"/>
          <w:szCs w:val="32"/>
          <w:highlight w:val="none"/>
        </w:rPr>
      </w:pPr>
      <w:r>
        <w:rPr>
          <w:rFonts w:hint="eastAsia" w:asciiTheme="minorEastAsia" w:hAnsiTheme="minorEastAsia" w:eastAsiaTheme="minorEastAsia" w:cstheme="minorEastAsia"/>
          <w:b/>
          <w:color w:val="auto"/>
          <w:spacing w:val="6"/>
          <w:sz w:val="32"/>
          <w:szCs w:val="32"/>
          <w:highlight w:val="none"/>
        </w:rPr>
        <w:br w:type="page"/>
      </w:r>
      <w:r>
        <w:rPr>
          <w:rFonts w:hint="eastAsia" w:asciiTheme="minorEastAsia" w:hAnsiTheme="minorEastAsia" w:eastAsiaTheme="minorEastAsia" w:cstheme="minorEastAsia"/>
          <w:b/>
          <w:color w:val="auto"/>
          <w:spacing w:val="6"/>
          <w:sz w:val="32"/>
          <w:szCs w:val="32"/>
          <w:highlight w:val="none"/>
        </w:rPr>
        <w:t>政府采购统计基础信息表</w:t>
      </w:r>
    </w:p>
    <w:p w14:paraId="2E86CAD7">
      <w:pPr>
        <w:pStyle w:val="35"/>
        <w:spacing w:line="360" w:lineRule="auto"/>
        <w:ind w:firstLine="0" w:firstLineChars="0"/>
        <w:rPr>
          <w:rFonts w:asciiTheme="minorEastAsia" w:hAnsiTheme="minorEastAsia" w:eastAsiaTheme="minorEastAsia" w:cstheme="minorEastAsia"/>
          <w:color w:val="auto"/>
          <w:highlight w:val="none"/>
        </w:rPr>
      </w:pPr>
    </w:p>
    <w:tbl>
      <w:tblPr>
        <w:tblStyle w:val="24"/>
        <w:tblW w:w="8537" w:type="dxa"/>
        <w:jc w:val="center"/>
        <w:tblLayout w:type="fixed"/>
        <w:tblCellMar>
          <w:top w:w="0" w:type="dxa"/>
          <w:left w:w="108" w:type="dxa"/>
          <w:bottom w:w="0" w:type="dxa"/>
          <w:right w:w="108" w:type="dxa"/>
        </w:tblCellMar>
      </w:tblPr>
      <w:tblGrid>
        <w:gridCol w:w="4998"/>
        <w:gridCol w:w="3539"/>
      </w:tblGrid>
      <w:tr w14:paraId="26D83E2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C8F4E1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采购人及采购项目名称</w:t>
            </w:r>
          </w:p>
        </w:tc>
        <w:tc>
          <w:tcPr>
            <w:tcW w:w="3539" w:type="dxa"/>
            <w:tcBorders>
              <w:top w:val="single" w:color="000000" w:sz="4" w:space="0"/>
              <w:left w:val="nil"/>
              <w:bottom w:val="single" w:color="000000" w:sz="4" w:space="0"/>
              <w:right w:val="single" w:color="000000" w:sz="4" w:space="0"/>
            </w:tcBorders>
          </w:tcPr>
          <w:p w14:paraId="7D864F45">
            <w:pPr>
              <w:spacing w:line="360" w:lineRule="auto"/>
              <w:rPr>
                <w:rFonts w:asciiTheme="minorEastAsia" w:hAnsiTheme="minorEastAsia" w:eastAsiaTheme="minorEastAsia" w:cstheme="minorEastAsia"/>
                <w:color w:val="auto"/>
                <w:highlight w:val="none"/>
              </w:rPr>
            </w:pPr>
          </w:p>
        </w:tc>
      </w:tr>
      <w:tr w14:paraId="1CFECD3D">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5D4AB205">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供应商名称</w:t>
            </w:r>
          </w:p>
        </w:tc>
        <w:tc>
          <w:tcPr>
            <w:tcW w:w="3539" w:type="dxa"/>
            <w:tcBorders>
              <w:top w:val="single" w:color="000000" w:sz="4" w:space="0"/>
              <w:left w:val="nil"/>
              <w:bottom w:val="single" w:color="000000" w:sz="4" w:space="0"/>
              <w:right w:val="single" w:color="000000" w:sz="4" w:space="0"/>
            </w:tcBorders>
          </w:tcPr>
          <w:p w14:paraId="75B3DD6E">
            <w:pPr>
              <w:spacing w:line="360" w:lineRule="auto"/>
              <w:rPr>
                <w:rFonts w:asciiTheme="minorEastAsia" w:hAnsiTheme="minorEastAsia" w:eastAsiaTheme="minorEastAsia" w:cstheme="minorEastAsia"/>
                <w:color w:val="auto"/>
                <w:highlight w:val="none"/>
              </w:rPr>
            </w:pPr>
          </w:p>
        </w:tc>
      </w:tr>
      <w:tr w14:paraId="21A3DD1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1831838">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供应商是否为外商投资企业</w:t>
            </w:r>
          </w:p>
        </w:tc>
        <w:tc>
          <w:tcPr>
            <w:tcW w:w="3539" w:type="dxa"/>
            <w:tcBorders>
              <w:top w:val="single" w:color="000000" w:sz="4" w:space="0"/>
              <w:left w:val="nil"/>
              <w:bottom w:val="single" w:color="000000" w:sz="4" w:space="0"/>
              <w:right w:val="single" w:color="000000" w:sz="4" w:space="0"/>
            </w:tcBorders>
          </w:tcPr>
          <w:p w14:paraId="39892D62">
            <w:pPr>
              <w:spacing w:line="360" w:lineRule="auto"/>
              <w:rPr>
                <w:rFonts w:asciiTheme="minorEastAsia" w:hAnsiTheme="minorEastAsia" w:eastAsiaTheme="minorEastAsia" w:cstheme="minorEastAsia"/>
                <w:color w:val="auto"/>
                <w:highlight w:val="none"/>
              </w:rPr>
            </w:pPr>
          </w:p>
        </w:tc>
      </w:tr>
      <w:tr w14:paraId="1EB1ADF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3E54EEFE">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供应商是否为宁波企业</w:t>
            </w:r>
          </w:p>
        </w:tc>
        <w:tc>
          <w:tcPr>
            <w:tcW w:w="3539" w:type="dxa"/>
            <w:tcBorders>
              <w:top w:val="single" w:color="000000" w:sz="4" w:space="0"/>
              <w:left w:val="nil"/>
              <w:bottom w:val="single" w:color="000000" w:sz="4" w:space="0"/>
              <w:right w:val="single" w:color="000000" w:sz="4" w:space="0"/>
            </w:tcBorders>
          </w:tcPr>
          <w:p w14:paraId="0920AF02">
            <w:pPr>
              <w:spacing w:line="360" w:lineRule="auto"/>
              <w:rPr>
                <w:rFonts w:asciiTheme="minorEastAsia" w:hAnsiTheme="minorEastAsia" w:eastAsiaTheme="minorEastAsia" w:cstheme="minorEastAsia"/>
                <w:color w:val="auto"/>
                <w:highlight w:val="none"/>
              </w:rPr>
            </w:pPr>
          </w:p>
        </w:tc>
      </w:tr>
      <w:tr w14:paraId="73E0CD02">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24B262E7">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企业划分标准类型（大型、中型、小型、微型）</w:t>
            </w:r>
          </w:p>
        </w:tc>
        <w:tc>
          <w:tcPr>
            <w:tcW w:w="3539" w:type="dxa"/>
            <w:tcBorders>
              <w:top w:val="single" w:color="000000" w:sz="4" w:space="0"/>
              <w:left w:val="nil"/>
              <w:bottom w:val="single" w:color="000000" w:sz="4" w:space="0"/>
              <w:right w:val="single" w:color="000000" w:sz="4" w:space="0"/>
            </w:tcBorders>
          </w:tcPr>
          <w:p w14:paraId="4FF28588">
            <w:pPr>
              <w:spacing w:line="360" w:lineRule="auto"/>
              <w:rPr>
                <w:rFonts w:asciiTheme="minorEastAsia" w:hAnsiTheme="minorEastAsia" w:eastAsiaTheme="minorEastAsia" w:cstheme="minorEastAsia"/>
                <w:color w:val="auto"/>
                <w:highlight w:val="none"/>
              </w:rPr>
            </w:pPr>
          </w:p>
        </w:tc>
      </w:tr>
      <w:tr w14:paraId="05753281">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683C28F6">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提供的货物是否本企业制造</w:t>
            </w:r>
          </w:p>
        </w:tc>
        <w:tc>
          <w:tcPr>
            <w:tcW w:w="3539" w:type="dxa"/>
            <w:tcBorders>
              <w:top w:val="single" w:color="000000" w:sz="4" w:space="0"/>
              <w:left w:val="nil"/>
              <w:bottom w:val="single" w:color="000000" w:sz="4" w:space="0"/>
              <w:right w:val="single" w:color="000000" w:sz="4" w:space="0"/>
            </w:tcBorders>
          </w:tcPr>
          <w:p w14:paraId="4EEA6A59">
            <w:pPr>
              <w:spacing w:line="360" w:lineRule="auto"/>
              <w:rPr>
                <w:rFonts w:asciiTheme="minorEastAsia" w:hAnsiTheme="minorEastAsia" w:eastAsiaTheme="minorEastAsia" w:cstheme="minorEastAsia"/>
                <w:color w:val="auto"/>
                <w:highlight w:val="none"/>
              </w:rPr>
            </w:pPr>
          </w:p>
        </w:tc>
      </w:tr>
      <w:tr w14:paraId="2148BEC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74E93159">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货物原产地国别</w:t>
            </w:r>
          </w:p>
        </w:tc>
        <w:tc>
          <w:tcPr>
            <w:tcW w:w="3539" w:type="dxa"/>
            <w:tcBorders>
              <w:top w:val="single" w:color="000000" w:sz="4" w:space="0"/>
              <w:left w:val="nil"/>
              <w:bottom w:val="single" w:color="000000" w:sz="4" w:space="0"/>
              <w:right w:val="single" w:color="000000" w:sz="4" w:space="0"/>
            </w:tcBorders>
          </w:tcPr>
          <w:p w14:paraId="28F85C28">
            <w:pPr>
              <w:spacing w:line="360" w:lineRule="auto"/>
              <w:rPr>
                <w:rFonts w:asciiTheme="minorEastAsia" w:hAnsiTheme="minorEastAsia" w:eastAsiaTheme="minorEastAsia" w:cstheme="minorEastAsia"/>
                <w:color w:val="auto"/>
                <w:highlight w:val="none"/>
              </w:rPr>
            </w:pPr>
          </w:p>
        </w:tc>
      </w:tr>
      <w:tr w14:paraId="1A337B86">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16D0E42A">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提供的货物是否为节能清单产品</w:t>
            </w:r>
          </w:p>
        </w:tc>
        <w:tc>
          <w:tcPr>
            <w:tcW w:w="3539" w:type="dxa"/>
            <w:tcBorders>
              <w:top w:val="single" w:color="000000" w:sz="4" w:space="0"/>
              <w:left w:val="nil"/>
              <w:bottom w:val="single" w:color="000000" w:sz="4" w:space="0"/>
              <w:right w:val="single" w:color="000000" w:sz="4" w:space="0"/>
            </w:tcBorders>
          </w:tcPr>
          <w:p w14:paraId="17A82EF9">
            <w:pPr>
              <w:spacing w:line="360" w:lineRule="auto"/>
              <w:rPr>
                <w:rFonts w:asciiTheme="minorEastAsia" w:hAnsiTheme="minorEastAsia" w:eastAsiaTheme="minorEastAsia" w:cstheme="minorEastAsia"/>
                <w:color w:val="auto"/>
                <w:highlight w:val="none"/>
              </w:rPr>
            </w:pPr>
          </w:p>
        </w:tc>
      </w:tr>
      <w:tr w14:paraId="361AFC8B">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2EFF754">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提供的货物是否为环境标志清单产品</w:t>
            </w:r>
          </w:p>
        </w:tc>
        <w:tc>
          <w:tcPr>
            <w:tcW w:w="3539" w:type="dxa"/>
            <w:tcBorders>
              <w:top w:val="single" w:color="000000" w:sz="4" w:space="0"/>
              <w:left w:val="nil"/>
              <w:bottom w:val="single" w:color="000000" w:sz="4" w:space="0"/>
              <w:right w:val="single" w:color="000000" w:sz="4" w:space="0"/>
            </w:tcBorders>
          </w:tcPr>
          <w:p w14:paraId="4ABF934C">
            <w:pPr>
              <w:spacing w:line="360" w:lineRule="auto"/>
              <w:rPr>
                <w:rFonts w:asciiTheme="minorEastAsia" w:hAnsiTheme="minorEastAsia" w:eastAsiaTheme="minorEastAsia" w:cstheme="minorEastAsia"/>
                <w:color w:val="auto"/>
                <w:highlight w:val="none"/>
              </w:rPr>
            </w:pPr>
          </w:p>
        </w:tc>
      </w:tr>
      <w:tr w14:paraId="2C16DD5E">
        <w:tblPrEx>
          <w:tblCellMar>
            <w:top w:w="0" w:type="dxa"/>
            <w:left w:w="108" w:type="dxa"/>
            <w:bottom w:w="0" w:type="dxa"/>
            <w:right w:w="108" w:type="dxa"/>
          </w:tblCellMar>
        </w:tblPrEx>
        <w:trPr>
          <w:trHeight w:val="612" w:hRule="atLeast"/>
          <w:jc w:val="center"/>
        </w:trPr>
        <w:tc>
          <w:tcPr>
            <w:tcW w:w="4998" w:type="dxa"/>
            <w:tcBorders>
              <w:top w:val="single" w:color="000000" w:sz="4" w:space="0"/>
              <w:left w:val="single" w:color="000000" w:sz="4" w:space="0"/>
              <w:bottom w:val="single" w:color="000000" w:sz="4" w:space="0"/>
              <w:right w:val="single" w:color="000000" w:sz="4" w:space="0"/>
            </w:tcBorders>
            <w:vAlign w:val="center"/>
          </w:tcPr>
          <w:p w14:paraId="09968B7C">
            <w:pPr>
              <w:adjustRightInd w:val="0"/>
              <w:spacing w:line="360" w:lineRule="auto"/>
              <w:jc w:val="left"/>
              <w:rPr>
                <w:rFonts w:asciiTheme="minorEastAsia" w:hAnsiTheme="minorEastAsia" w:eastAsiaTheme="minorEastAsia" w:cstheme="minorEastAsia"/>
                <w:color w:val="auto"/>
                <w:sz w:val="24"/>
                <w:highlight w:val="none"/>
              </w:rPr>
            </w:pPr>
            <w:r>
              <w:rPr>
                <w:rFonts w:hint="eastAsia" w:asciiTheme="minorEastAsia" w:hAnsiTheme="minorEastAsia" w:eastAsiaTheme="minorEastAsia" w:cstheme="minorEastAsia"/>
                <w:color w:val="auto"/>
                <w:sz w:val="24"/>
                <w:highlight w:val="none"/>
              </w:rPr>
              <w:t>承担的工程或服务是否本企业提供</w:t>
            </w:r>
          </w:p>
        </w:tc>
        <w:tc>
          <w:tcPr>
            <w:tcW w:w="3539" w:type="dxa"/>
            <w:tcBorders>
              <w:top w:val="single" w:color="000000" w:sz="4" w:space="0"/>
              <w:left w:val="nil"/>
              <w:bottom w:val="single" w:color="000000" w:sz="4" w:space="0"/>
              <w:right w:val="single" w:color="000000" w:sz="4" w:space="0"/>
            </w:tcBorders>
          </w:tcPr>
          <w:p w14:paraId="47AB66F1">
            <w:pPr>
              <w:spacing w:line="360" w:lineRule="auto"/>
              <w:rPr>
                <w:rFonts w:asciiTheme="minorEastAsia" w:hAnsiTheme="minorEastAsia" w:eastAsiaTheme="minorEastAsia" w:cstheme="minorEastAsia"/>
                <w:color w:val="auto"/>
                <w:highlight w:val="none"/>
              </w:rPr>
            </w:pPr>
          </w:p>
        </w:tc>
      </w:tr>
    </w:tbl>
    <w:p w14:paraId="69673FCC">
      <w:pPr>
        <w:adjustRightInd w:val="0"/>
        <w:spacing w:line="360" w:lineRule="auto"/>
        <w:jc w:val="left"/>
        <w:rPr>
          <w:rFonts w:asciiTheme="minorEastAsia" w:hAnsiTheme="minorEastAsia" w:eastAsiaTheme="minorEastAsia" w:cstheme="minorEastAsia"/>
          <w:color w:val="auto"/>
          <w:sz w:val="24"/>
          <w:highlight w:val="none"/>
        </w:rPr>
      </w:pPr>
    </w:p>
    <w:p w14:paraId="4509086C">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备注：请各供应商务必填写此表作为响应文件的组成部分。</w:t>
      </w:r>
    </w:p>
    <w:p w14:paraId="0CC448F3">
      <w:pPr>
        <w:adjustRightInd w:val="0"/>
        <w:spacing w:line="360" w:lineRule="auto"/>
        <w:jc w:val="left"/>
        <w:rPr>
          <w:rFonts w:asciiTheme="minorEastAsia" w:hAnsiTheme="minorEastAsia" w:eastAsiaTheme="minorEastAsia" w:cstheme="minorEastAsia"/>
          <w:color w:val="auto"/>
          <w:sz w:val="24"/>
          <w:highlight w:val="none"/>
        </w:rPr>
      </w:pPr>
    </w:p>
    <w:p w14:paraId="4ECCB959">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p>
    <w:p w14:paraId="20371ECF">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法定代表人或其授权委托人（签名或印章）：</w:t>
      </w:r>
    </w:p>
    <w:p w14:paraId="1D54CC2B">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供应商（盖章）：</w:t>
      </w:r>
    </w:p>
    <w:p w14:paraId="2A790B6E">
      <w:pPr>
        <w:snapToGrid w:val="0"/>
        <w:spacing w:line="360" w:lineRule="auto"/>
        <w:ind w:firstLine="480" w:firstLineChars="200"/>
        <w:jc w:val="left"/>
        <w:rPr>
          <w:rFonts w:hint="eastAsia" w:asciiTheme="minorEastAsia" w:hAnsiTheme="minorEastAsia" w:eastAsiaTheme="minorEastAsia" w:cstheme="minorEastAsia"/>
          <w:color w:val="auto"/>
          <w:kern w:val="0"/>
          <w:sz w:val="24"/>
          <w:highlight w:val="none"/>
          <w:lang w:val="zh-CN"/>
        </w:rPr>
      </w:pPr>
      <w:r>
        <w:rPr>
          <w:rFonts w:hint="eastAsia" w:asciiTheme="minorEastAsia" w:hAnsiTheme="minorEastAsia" w:eastAsiaTheme="minorEastAsia" w:cstheme="minorEastAsia"/>
          <w:color w:val="auto"/>
          <w:kern w:val="0"/>
          <w:sz w:val="24"/>
          <w:highlight w:val="none"/>
          <w:lang w:val="zh-CN"/>
        </w:rPr>
        <w:t>日期：</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方正书宋简体">
    <w:altName w:val="宋体"/>
    <w:panose1 w:val="00000000000000000000"/>
    <w:charset w:val="00"/>
    <w:family w:val="auto"/>
    <w:pitch w:val="default"/>
    <w:sig w:usb0="00000000" w:usb1="00000000" w:usb2="0000001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4D8510">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6789BC8B">
    <w:pPr>
      <w:rPr>
        <w:rFonts w:ascii="仿宋_GB2312" w:eastAsia="仿宋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1FC66">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75C09C87">
    <w:pPr>
      <w:rPr>
        <w:rFonts w:ascii="仿宋_GB2312" w:eastAsia="仿宋_GB23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B4E64">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w:t>
    </w:r>
  </w:p>
  <w:p w14:paraId="579885AA">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1140F3">
    <w:pPr>
      <w:pStyle w:val="16"/>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w:t>
    </w:r>
  </w:p>
  <w:p w14:paraId="234F6BAD">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5443E">
    <w:pPr>
      <w:pStyle w:val="17"/>
      <w:pBdr>
        <w:bottom w:val="none" w:color="auto" w:sz="0" w:space="0"/>
      </w:pBdr>
      <w:jc w:val="right"/>
      <w:rPr>
        <w:rFonts w:ascii="仿宋_GB2312" w:eastAsia="仿宋_GB2312"/>
        <w:b/>
        <w:i/>
        <w:u w:val="single"/>
      </w:rPr>
    </w:pPr>
    <w:r>
      <w:t></w:t>
    </w:r>
    <w:r>
      <w:rPr>
        <w:rFonts w:hint="eastAsia"/>
      </w:rPr>
      <w:t xml:space="preserve">                                               </w:t>
    </w:r>
  </w:p>
  <w:p w14:paraId="7357728C">
    <w:pPr>
      <w:rPr>
        <w:rFonts w:ascii="仿宋_GB2312" w:eastAsia="仿宋_GB2312"/>
        <w:b/>
        <w:i/>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5818B0">
    <w:pPr>
      <w:pStyle w:val="17"/>
      <w:pBdr>
        <w:bottom w:val="none" w:color="auto" w:sz="0" w:space="1"/>
      </w:pBdr>
      <w:jc w:val="right"/>
    </w:pPr>
    <w: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007172">
    <w:pPr>
      <w:pStyle w:val="17"/>
      <w:pBdr>
        <w:bottom w:val="none" w:color="auto" w:sz="0" w:space="1"/>
      </w:pBdr>
      <w:jc w:val="right"/>
      <w:rPr>
        <w:rFonts w:ascii="仿宋_GB2312" w:eastAsia="仿宋_GB2312"/>
        <w:b/>
        <w:i/>
        <w:u w:val="single"/>
      </w:rPr>
    </w:pPr>
    <w:r>
      <w:rPr>
        <w:rFonts w:hint="eastAsia"/>
      </w:rPr>
      <w:t xml:space="preserve">                                 </w:t>
    </w:r>
  </w:p>
  <w:p w14:paraId="7B46DAA9">
    <w:pPr>
      <w:pBdr>
        <w:bottom w:val="none" w:color="auto" w:sz="0" w:space="0"/>
      </w:pBd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130131">
    <w:pPr>
      <w:pStyle w:val="17"/>
      <w:pBdr>
        <w:bottom w:val="none" w:color="auto" w:sz="0" w:space="1"/>
      </w:pBdr>
      <w:jc w:val="righ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225D33"/>
    <w:multiLevelType w:val="singleLevel"/>
    <w:tmpl w:val="9D225D33"/>
    <w:lvl w:ilvl="0" w:tentative="0">
      <w:start w:val="5"/>
      <w:numFmt w:val="chineseCounting"/>
      <w:suff w:val="nothing"/>
      <w:lvlText w:val="%1、"/>
      <w:lvlJc w:val="left"/>
      <w:rPr>
        <w:rFonts w:hint="eastAsia"/>
      </w:rPr>
    </w:lvl>
  </w:abstractNum>
  <w:abstractNum w:abstractNumId="1">
    <w:nsid w:val="9F158476"/>
    <w:multiLevelType w:val="singleLevel"/>
    <w:tmpl w:val="9F158476"/>
    <w:lvl w:ilvl="0" w:tentative="0">
      <w:start w:val="2"/>
      <w:numFmt w:val="decimal"/>
      <w:suff w:val="nothing"/>
      <w:lvlText w:val="%1、"/>
      <w:lvlJc w:val="left"/>
    </w:lvl>
  </w:abstractNum>
  <w:abstractNum w:abstractNumId="2">
    <w:nsid w:val="A95BA21C"/>
    <w:multiLevelType w:val="singleLevel"/>
    <w:tmpl w:val="A95BA21C"/>
    <w:lvl w:ilvl="0" w:tentative="0">
      <w:start w:val="1"/>
      <w:numFmt w:val="decimal"/>
      <w:suff w:val="nothing"/>
      <w:lvlText w:val="%1．"/>
      <w:lvlJc w:val="left"/>
      <w:pPr>
        <w:ind w:left="3711" w:firstLine="400"/>
      </w:pPr>
      <w:rPr>
        <w:rFonts w:hint="default"/>
      </w:rPr>
    </w:lvl>
  </w:abstractNum>
  <w:abstractNum w:abstractNumId="3">
    <w:nsid w:val="086FC11A"/>
    <w:multiLevelType w:val="singleLevel"/>
    <w:tmpl w:val="086FC11A"/>
    <w:lvl w:ilvl="0" w:tentative="0">
      <w:start w:val="1"/>
      <w:numFmt w:val="chineseCounting"/>
      <w:suff w:val="nothing"/>
      <w:lvlText w:val="%1、"/>
      <w:lvlJc w:val="left"/>
      <w:rPr>
        <w:rFonts w:hint="eastAsia"/>
      </w:rPr>
    </w:lvl>
  </w:abstractNum>
  <w:abstractNum w:abstractNumId="4">
    <w:nsid w:val="0A7E5476"/>
    <w:multiLevelType w:val="singleLevel"/>
    <w:tmpl w:val="0A7E5476"/>
    <w:lvl w:ilvl="0" w:tentative="0">
      <w:start w:val="1"/>
      <w:numFmt w:val="decimal"/>
      <w:suff w:val="nothing"/>
      <w:lvlText w:val="（%1）"/>
      <w:lvlJc w:val="left"/>
    </w:lvl>
  </w:abstractNum>
  <w:abstractNum w:abstractNumId="5">
    <w:nsid w:val="5030D621"/>
    <w:multiLevelType w:val="multilevel"/>
    <w:tmpl w:val="5030D621"/>
    <w:lvl w:ilvl="0" w:tentative="0">
      <w:start w:val="3"/>
      <w:numFmt w:val="decimal"/>
      <w:lvlText w:val="%1."/>
      <w:lvlJc w:val="left"/>
      <w:pPr>
        <w:tabs>
          <w:tab w:val="left" w:pos="312"/>
        </w:tabs>
      </w:pPr>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num w:numId="1">
    <w:abstractNumId w:val="2"/>
  </w:num>
  <w:num w:numId="2">
    <w:abstractNumId w:val="5"/>
  </w:num>
  <w:num w:numId="3">
    <w:abstractNumId w:val="1"/>
  </w:num>
  <w:num w:numId="4">
    <w:abstractNumId w:val="4"/>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JjNjczOGRiNTUyYzkwN2VhNDEwMTdjMjc3ZWJkYWUifQ=="/>
  </w:docVars>
  <w:rsids>
    <w:rsidRoot w:val="004E6532"/>
    <w:rsid w:val="00034901"/>
    <w:rsid w:val="001A0E98"/>
    <w:rsid w:val="004369B5"/>
    <w:rsid w:val="00453F9B"/>
    <w:rsid w:val="004874D5"/>
    <w:rsid w:val="004E6532"/>
    <w:rsid w:val="00532B5F"/>
    <w:rsid w:val="00535688"/>
    <w:rsid w:val="0054723B"/>
    <w:rsid w:val="005A0FB6"/>
    <w:rsid w:val="005B7ED1"/>
    <w:rsid w:val="00616EEA"/>
    <w:rsid w:val="00621873"/>
    <w:rsid w:val="00803953"/>
    <w:rsid w:val="00877893"/>
    <w:rsid w:val="008859D0"/>
    <w:rsid w:val="00AE710C"/>
    <w:rsid w:val="00C73030"/>
    <w:rsid w:val="00D43C04"/>
    <w:rsid w:val="00F01506"/>
    <w:rsid w:val="00FB3DEC"/>
    <w:rsid w:val="00FC4926"/>
    <w:rsid w:val="01487061"/>
    <w:rsid w:val="017E3702"/>
    <w:rsid w:val="01BB7833"/>
    <w:rsid w:val="022507A0"/>
    <w:rsid w:val="027A5089"/>
    <w:rsid w:val="028642E4"/>
    <w:rsid w:val="02C60B85"/>
    <w:rsid w:val="02FF0DA1"/>
    <w:rsid w:val="03011176"/>
    <w:rsid w:val="03C2759E"/>
    <w:rsid w:val="04133956"/>
    <w:rsid w:val="04146089"/>
    <w:rsid w:val="04330EDE"/>
    <w:rsid w:val="043F7883"/>
    <w:rsid w:val="0449381C"/>
    <w:rsid w:val="04756284"/>
    <w:rsid w:val="04B14F1D"/>
    <w:rsid w:val="05094D59"/>
    <w:rsid w:val="050B216B"/>
    <w:rsid w:val="053F7D14"/>
    <w:rsid w:val="05914348"/>
    <w:rsid w:val="05BE57B7"/>
    <w:rsid w:val="05C46291"/>
    <w:rsid w:val="06043E9E"/>
    <w:rsid w:val="064C314F"/>
    <w:rsid w:val="065926F4"/>
    <w:rsid w:val="06EF26FF"/>
    <w:rsid w:val="06FC438C"/>
    <w:rsid w:val="07600CDE"/>
    <w:rsid w:val="079B1B4C"/>
    <w:rsid w:val="08153A45"/>
    <w:rsid w:val="08872B64"/>
    <w:rsid w:val="08C43072"/>
    <w:rsid w:val="08D31906"/>
    <w:rsid w:val="08E9737B"/>
    <w:rsid w:val="08EC5795"/>
    <w:rsid w:val="08F04266"/>
    <w:rsid w:val="08FC70AE"/>
    <w:rsid w:val="09E0252C"/>
    <w:rsid w:val="0A042457"/>
    <w:rsid w:val="0A8C751F"/>
    <w:rsid w:val="0B095AB3"/>
    <w:rsid w:val="0B30303F"/>
    <w:rsid w:val="0B4D1538"/>
    <w:rsid w:val="0B4E34C6"/>
    <w:rsid w:val="0BFD6A07"/>
    <w:rsid w:val="0C3B7EEE"/>
    <w:rsid w:val="0C436DA2"/>
    <w:rsid w:val="0C703EE8"/>
    <w:rsid w:val="0CA95175"/>
    <w:rsid w:val="0D014A54"/>
    <w:rsid w:val="0D0504FC"/>
    <w:rsid w:val="0D6F2F2E"/>
    <w:rsid w:val="0DCE6B40"/>
    <w:rsid w:val="0E093E23"/>
    <w:rsid w:val="0E161B9F"/>
    <w:rsid w:val="0E985C49"/>
    <w:rsid w:val="0E9E4764"/>
    <w:rsid w:val="0EBD766F"/>
    <w:rsid w:val="0ECE36AE"/>
    <w:rsid w:val="0F0172A8"/>
    <w:rsid w:val="0F431F18"/>
    <w:rsid w:val="0F461684"/>
    <w:rsid w:val="0FB87AA7"/>
    <w:rsid w:val="101C0036"/>
    <w:rsid w:val="10307A90"/>
    <w:rsid w:val="1047169E"/>
    <w:rsid w:val="1054157E"/>
    <w:rsid w:val="107F4AD0"/>
    <w:rsid w:val="10AA3894"/>
    <w:rsid w:val="11651569"/>
    <w:rsid w:val="11AC0CCA"/>
    <w:rsid w:val="11C61877"/>
    <w:rsid w:val="120E351C"/>
    <w:rsid w:val="121752FF"/>
    <w:rsid w:val="1225214F"/>
    <w:rsid w:val="124F6EB2"/>
    <w:rsid w:val="12DB5F87"/>
    <w:rsid w:val="13727710"/>
    <w:rsid w:val="137C74D8"/>
    <w:rsid w:val="13826402"/>
    <w:rsid w:val="13865CFD"/>
    <w:rsid w:val="13963C5C"/>
    <w:rsid w:val="13CD7831"/>
    <w:rsid w:val="13E72483"/>
    <w:rsid w:val="13FE2538"/>
    <w:rsid w:val="142B4CEC"/>
    <w:rsid w:val="145642AE"/>
    <w:rsid w:val="14635EBD"/>
    <w:rsid w:val="14CD5DA3"/>
    <w:rsid w:val="14DE3B0C"/>
    <w:rsid w:val="1528650F"/>
    <w:rsid w:val="154F3251"/>
    <w:rsid w:val="156A6F50"/>
    <w:rsid w:val="15987341"/>
    <w:rsid w:val="15C40F54"/>
    <w:rsid w:val="15E2587E"/>
    <w:rsid w:val="15EF4B8C"/>
    <w:rsid w:val="162B5EA8"/>
    <w:rsid w:val="16413CCC"/>
    <w:rsid w:val="165E2A90"/>
    <w:rsid w:val="165E7BD5"/>
    <w:rsid w:val="167A1613"/>
    <w:rsid w:val="16E178E4"/>
    <w:rsid w:val="16F13FCB"/>
    <w:rsid w:val="17070C1E"/>
    <w:rsid w:val="172F62D6"/>
    <w:rsid w:val="17471E3D"/>
    <w:rsid w:val="17552F75"/>
    <w:rsid w:val="17712A16"/>
    <w:rsid w:val="17AC492E"/>
    <w:rsid w:val="17EC672F"/>
    <w:rsid w:val="181222ED"/>
    <w:rsid w:val="183463C4"/>
    <w:rsid w:val="188B0CA6"/>
    <w:rsid w:val="18CF43F8"/>
    <w:rsid w:val="18DB244F"/>
    <w:rsid w:val="19125FA8"/>
    <w:rsid w:val="192166BD"/>
    <w:rsid w:val="19B968F6"/>
    <w:rsid w:val="19CF4CDC"/>
    <w:rsid w:val="19FB2A6A"/>
    <w:rsid w:val="1A026B39"/>
    <w:rsid w:val="1A0F4768"/>
    <w:rsid w:val="1A1A55E6"/>
    <w:rsid w:val="1ABD5311"/>
    <w:rsid w:val="1B1C670C"/>
    <w:rsid w:val="1B2D0950"/>
    <w:rsid w:val="1B5C39DD"/>
    <w:rsid w:val="1B7F06C9"/>
    <w:rsid w:val="1BCC2910"/>
    <w:rsid w:val="1BD47C9F"/>
    <w:rsid w:val="1BE63CE0"/>
    <w:rsid w:val="1C071B9A"/>
    <w:rsid w:val="1C350BB6"/>
    <w:rsid w:val="1C90542D"/>
    <w:rsid w:val="1CA76EDA"/>
    <w:rsid w:val="1CD03321"/>
    <w:rsid w:val="1CEA33EA"/>
    <w:rsid w:val="1D780306"/>
    <w:rsid w:val="1DA358F3"/>
    <w:rsid w:val="1DB47B11"/>
    <w:rsid w:val="1DCE4E21"/>
    <w:rsid w:val="1DDC5928"/>
    <w:rsid w:val="1DE35D79"/>
    <w:rsid w:val="1E0F4D36"/>
    <w:rsid w:val="1E522E75"/>
    <w:rsid w:val="1E8219AC"/>
    <w:rsid w:val="1E9E332A"/>
    <w:rsid w:val="1EC30B03"/>
    <w:rsid w:val="205E1FA5"/>
    <w:rsid w:val="209669C5"/>
    <w:rsid w:val="20E35D8B"/>
    <w:rsid w:val="216E7FC6"/>
    <w:rsid w:val="222774F0"/>
    <w:rsid w:val="223C1E72"/>
    <w:rsid w:val="225F5082"/>
    <w:rsid w:val="226F5E1B"/>
    <w:rsid w:val="227855A0"/>
    <w:rsid w:val="22B97967"/>
    <w:rsid w:val="22C73E32"/>
    <w:rsid w:val="22CE3412"/>
    <w:rsid w:val="232C0139"/>
    <w:rsid w:val="235651B5"/>
    <w:rsid w:val="23A710EC"/>
    <w:rsid w:val="23F0560A"/>
    <w:rsid w:val="240E7E40"/>
    <w:rsid w:val="243454F7"/>
    <w:rsid w:val="243674C1"/>
    <w:rsid w:val="24681644"/>
    <w:rsid w:val="24974F99"/>
    <w:rsid w:val="24F46A34"/>
    <w:rsid w:val="24F9046C"/>
    <w:rsid w:val="25007ACF"/>
    <w:rsid w:val="253E0A44"/>
    <w:rsid w:val="2568012B"/>
    <w:rsid w:val="25AB607C"/>
    <w:rsid w:val="25B763DF"/>
    <w:rsid w:val="25CF1F63"/>
    <w:rsid w:val="25E6376D"/>
    <w:rsid w:val="25F37999"/>
    <w:rsid w:val="265D58A6"/>
    <w:rsid w:val="26E372DB"/>
    <w:rsid w:val="272A6E20"/>
    <w:rsid w:val="27545EB0"/>
    <w:rsid w:val="279D33B3"/>
    <w:rsid w:val="27AC5975"/>
    <w:rsid w:val="282C43E5"/>
    <w:rsid w:val="2835183D"/>
    <w:rsid w:val="28446BD2"/>
    <w:rsid w:val="285F68BA"/>
    <w:rsid w:val="286B7752"/>
    <w:rsid w:val="28A95D87"/>
    <w:rsid w:val="28E3465E"/>
    <w:rsid w:val="28E53263"/>
    <w:rsid w:val="297E7214"/>
    <w:rsid w:val="2A0B7EDE"/>
    <w:rsid w:val="2A4C32D1"/>
    <w:rsid w:val="2A9232F3"/>
    <w:rsid w:val="2B0D0685"/>
    <w:rsid w:val="2BFC0FF0"/>
    <w:rsid w:val="2C091017"/>
    <w:rsid w:val="2C26606D"/>
    <w:rsid w:val="2CAB0320"/>
    <w:rsid w:val="2CB22A86"/>
    <w:rsid w:val="2CEF711D"/>
    <w:rsid w:val="2D361F06"/>
    <w:rsid w:val="2D5B4A47"/>
    <w:rsid w:val="2D962D7E"/>
    <w:rsid w:val="2DC12C01"/>
    <w:rsid w:val="2E0A551A"/>
    <w:rsid w:val="2E4427DA"/>
    <w:rsid w:val="2E7A40CB"/>
    <w:rsid w:val="2EE4515F"/>
    <w:rsid w:val="2F2F1DB8"/>
    <w:rsid w:val="2FD16ECD"/>
    <w:rsid w:val="30206C6F"/>
    <w:rsid w:val="3025488D"/>
    <w:rsid w:val="30360848"/>
    <w:rsid w:val="305D273A"/>
    <w:rsid w:val="30640F12"/>
    <w:rsid w:val="307849BD"/>
    <w:rsid w:val="307A6CB2"/>
    <w:rsid w:val="31104BF6"/>
    <w:rsid w:val="316A07AA"/>
    <w:rsid w:val="316D5733"/>
    <w:rsid w:val="3175714F"/>
    <w:rsid w:val="31C66DBA"/>
    <w:rsid w:val="31D42AD9"/>
    <w:rsid w:val="31F11D76"/>
    <w:rsid w:val="321B5F48"/>
    <w:rsid w:val="321E6E4E"/>
    <w:rsid w:val="322920DB"/>
    <w:rsid w:val="32A41630"/>
    <w:rsid w:val="32AC6BA0"/>
    <w:rsid w:val="334D277F"/>
    <w:rsid w:val="337964E6"/>
    <w:rsid w:val="33BB0832"/>
    <w:rsid w:val="33C503F2"/>
    <w:rsid w:val="33DC6096"/>
    <w:rsid w:val="34272982"/>
    <w:rsid w:val="349B511E"/>
    <w:rsid w:val="34A83397"/>
    <w:rsid w:val="355B0F59"/>
    <w:rsid w:val="35685585"/>
    <w:rsid w:val="359853D9"/>
    <w:rsid w:val="35FC7E3E"/>
    <w:rsid w:val="360C1DD5"/>
    <w:rsid w:val="36215ACF"/>
    <w:rsid w:val="36B14785"/>
    <w:rsid w:val="370A0339"/>
    <w:rsid w:val="37B02C8E"/>
    <w:rsid w:val="37B230F8"/>
    <w:rsid w:val="38121F62"/>
    <w:rsid w:val="384F79BE"/>
    <w:rsid w:val="38563836"/>
    <w:rsid w:val="38591578"/>
    <w:rsid w:val="385D6A11"/>
    <w:rsid w:val="387C0DC3"/>
    <w:rsid w:val="38870FB2"/>
    <w:rsid w:val="388A3A34"/>
    <w:rsid w:val="38C509BB"/>
    <w:rsid w:val="3921049E"/>
    <w:rsid w:val="39737207"/>
    <w:rsid w:val="39B079DC"/>
    <w:rsid w:val="3A182BAD"/>
    <w:rsid w:val="3A5475AE"/>
    <w:rsid w:val="3AB02FA5"/>
    <w:rsid w:val="3AF47A17"/>
    <w:rsid w:val="3B0500A6"/>
    <w:rsid w:val="3B2D0303"/>
    <w:rsid w:val="3B4E27B7"/>
    <w:rsid w:val="3B765C49"/>
    <w:rsid w:val="3B84681E"/>
    <w:rsid w:val="3BA42B0A"/>
    <w:rsid w:val="3BC136BC"/>
    <w:rsid w:val="3C3025F0"/>
    <w:rsid w:val="3C3976F6"/>
    <w:rsid w:val="3C5928B0"/>
    <w:rsid w:val="3C8660E7"/>
    <w:rsid w:val="3D034FD9"/>
    <w:rsid w:val="3D211F38"/>
    <w:rsid w:val="3D2708D9"/>
    <w:rsid w:val="3D8F1598"/>
    <w:rsid w:val="3D964084"/>
    <w:rsid w:val="3D976D74"/>
    <w:rsid w:val="3E682515"/>
    <w:rsid w:val="3EAD1CD6"/>
    <w:rsid w:val="3EC05EAD"/>
    <w:rsid w:val="3EEA4CD8"/>
    <w:rsid w:val="3F2226C4"/>
    <w:rsid w:val="3F2F5BD9"/>
    <w:rsid w:val="3FF12C21"/>
    <w:rsid w:val="3FFC1167"/>
    <w:rsid w:val="401D732F"/>
    <w:rsid w:val="404716EC"/>
    <w:rsid w:val="40565930"/>
    <w:rsid w:val="406311E6"/>
    <w:rsid w:val="412874DB"/>
    <w:rsid w:val="415154E2"/>
    <w:rsid w:val="41656898"/>
    <w:rsid w:val="41AE11A5"/>
    <w:rsid w:val="41C305BD"/>
    <w:rsid w:val="41C317D4"/>
    <w:rsid w:val="41D6630B"/>
    <w:rsid w:val="420E3033"/>
    <w:rsid w:val="420E7D4A"/>
    <w:rsid w:val="424C7A58"/>
    <w:rsid w:val="431421AB"/>
    <w:rsid w:val="43AC14DC"/>
    <w:rsid w:val="43AE396D"/>
    <w:rsid w:val="43B753D5"/>
    <w:rsid w:val="43C875B2"/>
    <w:rsid w:val="44227E95"/>
    <w:rsid w:val="446B4F27"/>
    <w:rsid w:val="44A92F3F"/>
    <w:rsid w:val="4533775E"/>
    <w:rsid w:val="4574354D"/>
    <w:rsid w:val="45840DA9"/>
    <w:rsid w:val="45A656D1"/>
    <w:rsid w:val="45F62A2E"/>
    <w:rsid w:val="45F823D0"/>
    <w:rsid w:val="46284338"/>
    <w:rsid w:val="46502789"/>
    <w:rsid w:val="470A75E8"/>
    <w:rsid w:val="47484C91"/>
    <w:rsid w:val="47AE7265"/>
    <w:rsid w:val="47AF3794"/>
    <w:rsid w:val="47B45AE3"/>
    <w:rsid w:val="48236574"/>
    <w:rsid w:val="48492400"/>
    <w:rsid w:val="48873801"/>
    <w:rsid w:val="488B2930"/>
    <w:rsid w:val="48BA396D"/>
    <w:rsid w:val="491D1CBF"/>
    <w:rsid w:val="49246A8D"/>
    <w:rsid w:val="494B1258"/>
    <w:rsid w:val="4958211B"/>
    <w:rsid w:val="49770DAF"/>
    <w:rsid w:val="49DE368B"/>
    <w:rsid w:val="49DE7B2F"/>
    <w:rsid w:val="49E2099E"/>
    <w:rsid w:val="4A084FAB"/>
    <w:rsid w:val="4A356245"/>
    <w:rsid w:val="4A940235"/>
    <w:rsid w:val="4AF64A04"/>
    <w:rsid w:val="4B7342A7"/>
    <w:rsid w:val="4B8A5FB1"/>
    <w:rsid w:val="4B9C57F5"/>
    <w:rsid w:val="4BAF77E3"/>
    <w:rsid w:val="4BBE1227"/>
    <w:rsid w:val="4C211F55"/>
    <w:rsid w:val="4C7E1155"/>
    <w:rsid w:val="4C871DB8"/>
    <w:rsid w:val="4C8F29A0"/>
    <w:rsid w:val="4CA24E44"/>
    <w:rsid w:val="4CE849E2"/>
    <w:rsid w:val="4DA32011"/>
    <w:rsid w:val="4DCB232F"/>
    <w:rsid w:val="4DE566F3"/>
    <w:rsid w:val="4E0336C0"/>
    <w:rsid w:val="4EE51018"/>
    <w:rsid w:val="4EEB7913"/>
    <w:rsid w:val="4F060D47"/>
    <w:rsid w:val="4F7C7BCE"/>
    <w:rsid w:val="4FCF11F8"/>
    <w:rsid w:val="4FEE4E74"/>
    <w:rsid w:val="50083210"/>
    <w:rsid w:val="500B0F52"/>
    <w:rsid w:val="5010292C"/>
    <w:rsid w:val="502A762A"/>
    <w:rsid w:val="50414974"/>
    <w:rsid w:val="507F33AC"/>
    <w:rsid w:val="50D92DFE"/>
    <w:rsid w:val="51363DAD"/>
    <w:rsid w:val="51A67B7E"/>
    <w:rsid w:val="51B734A5"/>
    <w:rsid w:val="522D3402"/>
    <w:rsid w:val="52875411"/>
    <w:rsid w:val="52B6651B"/>
    <w:rsid w:val="52C27015"/>
    <w:rsid w:val="53B56494"/>
    <w:rsid w:val="53CC27A6"/>
    <w:rsid w:val="53D578AD"/>
    <w:rsid w:val="54212AF2"/>
    <w:rsid w:val="54330490"/>
    <w:rsid w:val="54750B71"/>
    <w:rsid w:val="54BC0A6D"/>
    <w:rsid w:val="54F816B5"/>
    <w:rsid w:val="55036BA4"/>
    <w:rsid w:val="5559571D"/>
    <w:rsid w:val="555B64D8"/>
    <w:rsid w:val="55B61960"/>
    <w:rsid w:val="55B619E6"/>
    <w:rsid w:val="55B66F2D"/>
    <w:rsid w:val="56005579"/>
    <w:rsid w:val="56920EB1"/>
    <w:rsid w:val="56AF7BA3"/>
    <w:rsid w:val="578A4E52"/>
    <w:rsid w:val="57B27F05"/>
    <w:rsid w:val="58424AAC"/>
    <w:rsid w:val="586A1CF4"/>
    <w:rsid w:val="58D2085F"/>
    <w:rsid w:val="59573918"/>
    <w:rsid w:val="59590710"/>
    <w:rsid w:val="59D94D98"/>
    <w:rsid w:val="59EB6745"/>
    <w:rsid w:val="59F36282"/>
    <w:rsid w:val="5A1300B9"/>
    <w:rsid w:val="5A581029"/>
    <w:rsid w:val="5A6B0418"/>
    <w:rsid w:val="5B0E18F6"/>
    <w:rsid w:val="5B164E85"/>
    <w:rsid w:val="5B6C3BFE"/>
    <w:rsid w:val="5B8B1199"/>
    <w:rsid w:val="5B9F3F13"/>
    <w:rsid w:val="5BCD355F"/>
    <w:rsid w:val="5D041203"/>
    <w:rsid w:val="5D1D4073"/>
    <w:rsid w:val="5DE27796"/>
    <w:rsid w:val="5E1B6804"/>
    <w:rsid w:val="5E291DB5"/>
    <w:rsid w:val="5E4915C3"/>
    <w:rsid w:val="5E653F23"/>
    <w:rsid w:val="5E8410F4"/>
    <w:rsid w:val="5EF054F6"/>
    <w:rsid w:val="5F265461"/>
    <w:rsid w:val="5F2F2E7A"/>
    <w:rsid w:val="5F8E3006"/>
    <w:rsid w:val="5FAA6092"/>
    <w:rsid w:val="604F32A9"/>
    <w:rsid w:val="606C4BDB"/>
    <w:rsid w:val="616B40B4"/>
    <w:rsid w:val="624272DA"/>
    <w:rsid w:val="62456545"/>
    <w:rsid w:val="6289352B"/>
    <w:rsid w:val="62917095"/>
    <w:rsid w:val="634A36E8"/>
    <w:rsid w:val="638E5CCA"/>
    <w:rsid w:val="63AE1B87"/>
    <w:rsid w:val="63C90AB0"/>
    <w:rsid w:val="63CB7154"/>
    <w:rsid w:val="63DD0CDE"/>
    <w:rsid w:val="64005F33"/>
    <w:rsid w:val="64106A0E"/>
    <w:rsid w:val="64243F39"/>
    <w:rsid w:val="648D45B2"/>
    <w:rsid w:val="648E7439"/>
    <w:rsid w:val="64AE0348"/>
    <w:rsid w:val="64CF3B8C"/>
    <w:rsid w:val="64E5191A"/>
    <w:rsid w:val="64ED07CF"/>
    <w:rsid w:val="653B59DE"/>
    <w:rsid w:val="655D7702"/>
    <w:rsid w:val="658A6517"/>
    <w:rsid w:val="65D07CD0"/>
    <w:rsid w:val="668533B4"/>
    <w:rsid w:val="67A06958"/>
    <w:rsid w:val="68790F37"/>
    <w:rsid w:val="68925915"/>
    <w:rsid w:val="68C34233"/>
    <w:rsid w:val="694A1AEF"/>
    <w:rsid w:val="69761612"/>
    <w:rsid w:val="69937B96"/>
    <w:rsid w:val="69A80F39"/>
    <w:rsid w:val="69B14C92"/>
    <w:rsid w:val="69DD66F3"/>
    <w:rsid w:val="6A0D369A"/>
    <w:rsid w:val="6A37505A"/>
    <w:rsid w:val="6A4E3B2B"/>
    <w:rsid w:val="6A984540"/>
    <w:rsid w:val="6B19056F"/>
    <w:rsid w:val="6BA0659B"/>
    <w:rsid w:val="6BB34520"/>
    <w:rsid w:val="6C333B5C"/>
    <w:rsid w:val="6C4E533F"/>
    <w:rsid w:val="6D064B23"/>
    <w:rsid w:val="6D2555A0"/>
    <w:rsid w:val="6D7D3037"/>
    <w:rsid w:val="6E15718D"/>
    <w:rsid w:val="6E7A7577"/>
    <w:rsid w:val="6EB36961"/>
    <w:rsid w:val="6EB42D97"/>
    <w:rsid w:val="6EC46A44"/>
    <w:rsid w:val="6ED24445"/>
    <w:rsid w:val="6F720EAC"/>
    <w:rsid w:val="6FDD4CA3"/>
    <w:rsid w:val="707B1384"/>
    <w:rsid w:val="70C47C0F"/>
    <w:rsid w:val="71146562"/>
    <w:rsid w:val="7146712D"/>
    <w:rsid w:val="715275D8"/>
    <w:rsid w:val="71704C61"/>
    <w:rsid w:val="71A87053"/>
    <w:rsid w:val="71DD3F80"/>
    <w:rsid w:val="720A0C12"/>
    <w:rsid w:val="72281098"/>
    <w:rsid w:val="723E3D9E"/>
    <w:rsid w:val="74774F3D"/>
    <w:rsid w:val="74B11819"/>
    <w:rsid w:val="74C463D7"/>
    <w:rsid w:val="74D95234"/>
    <w:rsid w:val="7563260F"/>
    <w:rsid w:val="75680786"/>
    <w:rsid w:val="75840CDB"/>
    <w:rsid w:val="75A50454"/>
    <w:rsid w:val="75A562CE"/>
    <w:rsid w:val="75B24D84"/>
    <w:rsid w:val="75B94E29"/>
    <w:rsid w:val="75C56449"/>
    <w:rsid w:val="75F84D7E"/>
    <w:rsid w:val="761C1DB6"/>
    <w:rsid w:val="7654281B"/>
    <w:rsid w:val="772A140E"/>
    <w:rsid w:val="77756B2D"/>
    <w:rsid w:val="779571D0"/>
    <w:rsid w:val="77A64F39"/>
    <w:rsid w:val="77B5517C"/>
    <w:rsid w:val="77B70EF4"/>
    <w:rsid w:val="77C43C7B"/>
    <w:rsid w:val="78085BF3"/>
    <w:rsid w:val="782A7918"/>
    <w:rsid w:val="788C2381"/>
    <w:rsid w:val="78E8332F"/>
    <w:rsid w:val="78F47F26"/>
    <w:rsid w:val="792A3C52"/>
    <w:rsid w:val="795F1843"/>
    <w:rsid w:val="7973709D"/>
    <w:rsid w:val="79A10D5C"/>
    <w:rsid w:val="7A0F2BA3"/>
    <w:rsid w:val="7A1E16FE"/>
    <w:rsid w:val="7A5C507C"/>
    <w:rsid w:val="7A8A4196"/>
    <w:rsid w:val="7AB210C4"/>
    <w:rsid w:val="7AD93877"/>
    <w:rsid w:val="7AE77D42"/>
    <w:rsid w:val="7B0F257F"/>
    <w:rsid w:val="7B3B184D"/>
    <w:rsid w:val="7C120DEF"/>
    <w:rsid w:val="7C43369E"/>
    <w:rsid w:val="7CB00608"/>
    <w:rsid w:val="7CCF0A8E"/>
    <w:rsid w:val="7CD6006E"/>
    <w:rsid w:val="7CE338D3"/>
    <w:rsid w:val="7D2C6D56"/>
    <w:rsid w:val="7D893EF3"/>
    <w:rsid w:val="7DB87774"/>
    <w:rsid w:val="7DFC1BF7"/>
    <w:rsid w:val="7E8A55B4"/>
    <w:rsid w:val="7E996565"/>
    <w:rsid w:val="7EC02D84"/>
    <w:rsid w:val="7EF67AE6"/>
    <w:rsid w:val="7F49406F"/>
    <w:rsid w:val="7F533BF8"/>
    <w:rsid w:val="7F741DC0"/>
    <w:rsid w:val="7F7D0066"/>
    <w:rsid w:val="7F7D0C75"/>
    <w:rsid w:val="7F875650"/>
    <w:rsid w:val="7FED7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qFormat="1" w:unhideWhenUsed="0" w:uiPriority="39"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9"/>
    <w:pPr>
      <w:keepNext/>
      <w:ind w:firstLine="425"/>
      <w:outlineLvl w:val="0"/>
    </w:pPr>
    <w:rPr>
      <w:b/>
      <w:bCs/>
      <w:i/>
      <w:iCs/>
      <w:sz w:val="52"/>
      <w:szCs w:val="20"/>
    </w:rPr>
  </w:style>
  <w:style w:type="paragraph" w:styleId="3">
    <w:name w:val="heading 2"/>
    <w:basedOn w:val="1"/>
    <w:next w:val="1"/>
    <w:link w:val="39"/>
    <w:qFormat/>
    <w:uiPriority w:val="0"/>
    <w:pPr>
      <w:keepNext/>
      <w:keepLines/>
      <w:tabs>
        <w:tab w:val="left" w:pos="432"/>
      </w:tabs>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1"/>
    <w:link w:val="53"/>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54"/>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6"/>
    <w:basedOn w:val="1"/>
    <w:next w:val="1"/>
    <w:qFormat/>
    <w:uiPriority w:val="0"/>
    <w:pPr>
      <w:keepNext/>
      <w:keepLines/>
      <w:spacing w:before="240" w:beforeLines="0" w:after="64" w:afterLines="0" w:line="317" w:lineRule="auto"/>
      <w:outlineLvl w:val="5"/>
    </w:pPr>
    <w:rPr>
      <w:rFonts w:ascii="Cambria" w:hAnsi="Cambria"/>
      <w:b/>
      <w:bCs/>
      <w:sz w:val="24"/>
      <w:szCs w:val="24"/>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7">
    <w:name w:val="Normal Indent"/>
    <w:basedOn w:val="1"/>
    <w:next w:val="1"/>
    <w:qFormat/>
    <w:uiPriority w:val="0"/>
    <w:pPr>
      <w:widowControl/>
      <w:snapToGrid w:val="0"/>
      <w:spacing w:line="480" w:lineRule="exact"/>
      <w:ind w:firstLine="567"/>
    </w:pPr>
    <w:rPr>
      <w:rFonts w:ascii="宋体"/>
      <w:snapToGrid w:val="0"/>
      <w:color w:val="000000"/>
      <w:kern w:val="28"/>
      <w:sz w:val="28"/>
      <w:szCs w:val="20"/>
    </w:rPr>
  </w:style>
  <w:style w:type="paragraph" w:styleId="8">
    <w:name w:val="annotation text"/>
    <w:basedOn w:val="1"/>
    <w:link w:val="60"/>
    <w:unhideWhenUsed/>
    <w:qFormat/>
    <w:uiPriority w:val="99"/>
    <w:pPr>
      <w:jc w:val="left"/>
    </w:pPr>
  </w:style>
  <w:style w:type="paragraph" w:styleId="9">
    <w:name w:val="Body Text"/>
    <w:basedOn w:val="1"/>
    <w:next w:val="10"/>
    <w:link w:val="43"/>
    <w:qFormat/>
    <w:uiPriority w:val="0"/>
    <w:pPr>
      <w:autoSpaceDE w:val="0"/>
      <w:autoSpaceDN w:val="0"/>
      <w:spacing w:line="360" w:lineRule="auto"/>
    </w:pPr>
    <w:rPr>
      <w:rFonts w:ascii="宋体" w:hAnsi="Arial" w:cs="Arial"/>
      <w:snapToGrid w:val="0"/>
      <w:sz w:val="24"/>
      <w:szCs w:val="21"/>
      <w:lang w:val="zh-CN"/>
    </w:rPr>
  </w:style>
  <w:style w:type="paragraph" w:styleId="10">
    <w:name w:val="Body Text First Indent"/>
    <w:basedOn w:val="9"/>
    <w:next w:val="1"/>
    <w:qFormat/>
    <w:uiPriority w:val="0"/>
    <w:pPr>
      <w:widowControl w:val="0"/>
      <w:autoSpaceDE w:val="0"/>
      <w:autoSpaceDN w:val="0"/>
      <w:adjustRightInd w:val="0"/>
    </w:pPr>
    <w:rPr>
      <w:rFonts w:ascii="Times New Roman" w:hAnsi="Times New Roman" w:eastAsia="宋体" w:cs="Times New Roman"/>
      <w:sz w:val="28"/>
      <w:lang w:val="en-US" w:eastAsia="zh-CN" w:bidi="ar-SA"/>
    </w:rPr>
  </w:style>
  <w:style w:type="paragraph" w:styleId="11">
    <w:name w:val="Body Text Indent"/>
    <w:basedOn w:val="1"/>
    <w:next w:val="1"/>
    <w:link w:val="40"/>
    <w:qFormat/>
    <w:uiPriority w:val="0"/>
    <w:pPr>
      <w:spacing w:line="480" w:lineRule="exact"/>
      <w:ind w:firstLine="480" w:firstLineChars="200"/>
    </w:pPr>
    <w:rPr>
      <w:rFonts w:ascii="宋体" w:hAnsi="宋体"/>
      <w:sz w:val="24"/>
    </w:rPr>
  </w:style>
  <w:style w:type="paragraph" w:styleId="12">
    <w:name w:val="toc 3"/>
    <w:basedOn w:val="1"/>
    <w:next w:val="1"/>
    <w:qFormat/>
    <w:uiPriority w:val="0"/>
    <w:pPr>
      <w:ind w:left="840" w:leftChars="400"/>
    </w:pPr>
    <w:rPr>
      <w:rFonts w:ascii="Times New Roman" w:hAnsi="Times New Roman"/>
    </w:rPr>
  </w:style>
  <w:style w:type="paragraph" w:styleId="13">
    <w:name w:val="Plain Text"/>
    <w:basedOn w:val="1"/>
    <w:next w:val="1"/>
    <w:link w:val="42"/>
    <w:qFormat/>
    <w:uiPriority w:val="0"/>
    <w:rPr>
      <w:rFonts w:ascii="宋体" w:hAnsi="Courier New" w:cs="Arial"/>
      <w:snapToGrid w:val="0"/>
      <w:szCs w:val="21"/>
    </w:rPr>
  </w:style>
  <w:style w:type="paragraph" w:styleId="14">
    <w:name w:val="Date"/>
    <w:basedOn w:val="1"/>
    <w:next w:val="1"/>
    <w:link w:val="41"/>
    <w:qFormat/>
    <w:uiPriority w:val="0"/>
    <w:pPr>
      <w:ind w:left="100" w:leftChars="2500"/>
    </w:pPr>
    <w:rPr>
      <w:rFonts w:ascii="宋体"/>
      <w:sz w:val="24"/>
      <w:szCs w:val="21"/>
      <w:lang w:val="zh-CN"/>
    </w:rPr>
  </w:style>
  <w:style w:type="paragraph" w:styleId="15">
    <w:name w:val="Balloon Text"/>
    <w:basedOn w:val="1"/>
    <w:link w:val="56"/>
    <w:unhideWhenUsed/>
    <w:qFormat/>
    <w:uiPriority w:val="99"/>
    <w:rPr>
      <w:sz w:val="18"/>
      <w:szCs w:val="18"/>
    </w:rPr>
  </w:style>
  <w:style w:type="paragraph" w:styleId="16">
    <w:name w:val="footer"/>
    <w:basedOn w:val="1"/>
    <w:link w:val="38"/>
    <w:unhideWhenUsed/>
    <w:qFormat/>
    <w:uiPriority w:val="99"/>
    <w:pPr>
      <w:tabs>
        <w:tab w:val="center" w:pos="4153"/>
        <w:tab w:val="right" w:pos="8306"/>
      </w:tabs>
      <w:snapToGrid w:val="0"/>
      <w:jc w:val="left"/>
    </w:pPr>
    <w:rPr>
      <w:sz w:val="18"/>
      <w:szCs w:val="18"/>
    </w:rPr>
  </w:style>
  <w:style w:type="paragraph" w:styleId="17">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19">
    <w:name w:val="toc 6"/>
    <w:basedOn w:val="1"/>
    <w:next w:val="1"/>
    <w:qFormat/>
    <w:uiPriority w:val="39"/>
    <w:pPr>
      <w:ind w:left="1000" w:leftChars="1000"/>
    </w:pPr>
  </w:style>
  <w:style w:type="paragraph" w:styleId="20">
    <w:name w:val="HTML Preformatted"/>
    <w:basedOn w:val="1"/>
    <w:qFormat/>
    <w:uiPriority w:val="0"/>
    <w:rPr>
      <w:rFonts w:ascii="Courier New" w:hAnsi="Courier New" w:eastAsia="仿宋_GB2312"/>
      <w:b/>
      <w:sz w:val="32"/>
      <w:szCs w:val="32"/>
      <w:lang w:val="en-GB"/>
    </w:rPr>
  </w:style>
  <w:style w:type="paragraph" w:styleId="21">
    <w:name w:val="Normal (Web)"/>
    <w:basedOn w:val="1"/>
    <w:qFormat/>
    <w:uiPriority w:val="99"/>
    <w:pPr>
      <w:spacing w:before="100" w:beforeAutospacing="1" w:after="100" w:afterAutospacing="1"/>
      <w:ind w:left="0" w:right="0"/>
      <w:jc w:val="left"/>
    </w:pPr>
    <w:rPr>
      <w:kern w:val="0"/>
      <w:sz w:val="24"/>
      <w:lang w:val="en-US" w:eastAsia="zh-CN" w:bidi="ar"/>
    </w:rPr>
  </w:style>
  <w:style w:type="paragraph" w:styleId="22">
    <w:name w:val="annotation subject"/>
    <w:basedOn w:val="8"/>
    <w:next w:val="8"/>
    <w:link w:val="61"/>
    <w:unhideWhenUsed/>
    <w:qFormat/>
    <w:uiPriority w:val="99"/>
    <w:rPr>
      <w:b/>
      <w:bCs/>
    </w:rPr>
  </w:style>
  <w:style w:type="paragraph" w:styleId="23">
    <w:name w:val="Body Text First Indent 2"/>
    <w:basedOn w:val="11"/>
    <w:next w:val="1"/>
    <w:unhideWhenUsed/>
    <w:qFormat/>
    <w:uiPriority w:val="99"/>
    <w:pPr>
      <w:ind w:firstLine="420"/>
    </w:pPr>
  </w:style>
  <w:style w:type="table" w:styleId="25">
    <w:name w:val="Table Grid"/>
    <w:basedOn w:val="24"/>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page number"/>
    <w:basedOn w:val="26"/>
    <w:qFormat/>
    <w:uiPriority w:val="0"/>
    <w:rPr>
      <w:rFonts w:ascii="Arial" w:hAnsi="Arial" w:eastAsia="黑体" w:cs="Arial"/>
      <w:snapToGrid w:val="0"/>
      <w:kern w:val="0"/>
      <w:szCs w:val="21"/>
    </w:rPr>
  </w:style>
  <w:style w:type="character" w:styleId="28">
    <w:name w:val="FollowedHyperlink"/>
    <w:basedOn w:val="26"/>
    <w:semiHidden/>
    <w:unhideWhenUsed/>
    <w:qFormat/>
    <w:uiPriority w:val="99"/>
    <w:rPr>
      <w:color w:val="800080"/>
      <w:u w:val="none"/>
    </w:rPr>
  </w:style>
  <w:style w:type="character" w:styleId="29">
    <w:name w:val="Hyperlink"/>
    <w:qFormat/>
    <w:uiPriority w:val="99"/>
    <w:rPr>
      <w:rFonts w:ascii="Arial" w:hAnsi="Arial" w:eastAsia="黑体" w:cs="Arial"/>
      <w:snapToGrid w:val="0"/>
      <w:color w:val="000000"/>
      <w:kern w:val="0"/>
      <w:sz w:val="18"/>
      <w:szCs w:val="18"/>
      <w:u w:val="none"/>
    </w:rPr>
  </w:style>
  <w:style w:type="character" w:styleId="30">
    <w:name w:val="annotation reference"/>
    <w:basedOn w:val="26"/>
    <w:unhideWhenUsed/>
    <w:qFormat/>
    <w:uiPriority w:val="99"/>
    <w:rPr>
      <w:sz w:val="21"/>
      <w:szCs w:val="21"/>
    </w:rPr>
  </w:style>
  <w:style w:type="paragraph" w:customStyle="1" w:styleId="31">
    <w:name w:val="BodyText"/>
    <w:basedOn w:val="1"/>
    <w:next w:val="1"/>
    <w:qFormat/>
    <w:uiPriority w:val="0"/>
    <w:pPr>
      <w:spacing w:before="100" w:beforeAutospacing="1" w:after="120"/>
      <w:jc w:val="both"/>
      <w:textAlignment w:val="baseline"/>
    </w:pPr>
    <w:rPr>
      <w:kern w:val="0"/>
      <w:sz w:val="20"/>
      <w:szCs w:val="21"/>
      <w:lang w:val="en-US" w:eastAsia="zh-CN" w:bidi="ar-SA"/>
    </w:rPr>
  </w:style>
  <w:style w:type="paragraph" w:customStyle="1" w:styleId="32">
    <w:name w:val="xl53"/>
    <w:basedOn w:val="1"/>
    <w:next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b/>
      <w:bCs/>
      <w:kern w:val="0"/>
      <w:sz w:val="20"/>
    </w:rPr>
  </w:style>
  <w:style w:type="paragraph" w:customStyle="1" w:styleId="33">
    <w:name w:val="列出段落1"/>
    <w:basedOn w:val="1"/>
    <w:link w:val="57"/>
    <w:qFormat/>
    <w:uiPriority w:val="0"/>
    <w:pPr>
      <w:ind w:firstLine="420" w:firstLineChars="200"/>
    </w:pPr>
    <w:rPr>
      <w:rFonts w:ascii="Times New Roman" w:hAnsi="Times New Roman" w:eastAsiaTheme="minorEastAsia" w:cstheme="minorBidi"/>
    </w:rPr>
  </w:style>
  <w:style w:type="paragraph" w:customStyle="1" w:styleId="34">
    <w:name w:val="List Paragraph"/>
    <w:basedOn w:val="1"/>
    <w:qFormat/>
    <w:uiPriority w:val="0"/>
    <w:pPr>
      <w:ind w:firstLine="420" w:firstLineChars="200"/>
    </w:pPr>
    <w:rPr>
      <w:rFonts w:ascii="Calibri" w:hAnsi="Calibri"/>
      <w:szCs w:val="22"/>
    </w:rPr>
  </w:style>
  <w:style w:type="paragraph" w:customStyle="1" w:styleId="35">
    <w:name w:val="_Style 3"/>
    <w:basedOn w:val="1"/>
    <w:qFormat/>
    <w:uiPriority w:val="0"/>
    <w:pPr>
      <w:ind w:firstLine="420" w:firstLineChars="200"/>
    </w:pPr>
    <w:rPr>
      <w:rFonts w:eastAsia="仿宋_GB2312"/>
      <w:sz w:val="28"/>
    </w:rPr>
  </w:style>
  <w:style w:type="paragraph" w:customStyle="1" w:styleId="36">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7">
    <w:name w:val="页眉 字符"/>
    <w:basedOn w:val="26"/>
    <w:link w:val="17"/>
    <w:qFormat/>
    <w:uiPriority w:val="99"/>
    <w:rPr>
      <w:sz w:val="18"/>
      <w:szCs w:val="18"/>
    </w:rPr>
  </w:style>
  <w:style w:type="character" w:customStyle="1" w:styleId="38">
    <w:name w:val="页脚 字符"/>
    <w:basedOn w:val="26"/>
    <w:link w:val="16"/>
    <w:qFormat/>
    <w:uiPriority w:val="99"/>
    <w:rPr>
      <w:sz w:val="18"/>
      <w:szCs w:val="18"/>
    </w:rPr>
  </w:style>
  <w:style w:type="character" w:customStyle="1" w:styleId="39">
    <w:name w:val="标题 2 字符"/>
    <w:basedOn w:val="26"/>
    <w:link w:val="3"/>
    <w:qFormat/>
    <w:uiPriority w:val="0"/>
    <w:rPr>
      <w:rFonts w:ascii="仿宋_GB2312" w:hAnsi="仿宋" w:eastAsia="仿宋_GB2312" w:cs="Times New Roman"/>
      <w:b/>
      <w:bCs/>
      <w:sz w:val="32"/>
      <w:szCs w:val="32"/>
      <w:lang w:val="zh-CN"/>
    </w:rPr>
  </w:style>
  <w:style w:type="character" w:customStyle="1" w:styleId="40">
    <w:name w:val="正文文本缩进 字符"/>
    <w:basedOn w:val="26"/>
    <w:link w:val="11"/>
    <w:qFormat/>
    <w:uiPriority w:val="0"/>
    <w:rPr>
      <w:rFonts w:ascii="宋体" w:hAnsi="宋体" w:eastAsia="宋体" w:cs="Times New Roman"/>
      <w:sz w:val="24"/>
      <w:szCs w:val="24"/>
    </w:rPr>
  </w:style>
  <w:style w:type="character" w:customStyle="1" w:styleId="41">
    <w:name w:val="日期 字符"/>
    <w:basedOn w:val="26"/>
    <w:link w:val="14"/>
    <w:qFormat/>
    <w:uiPriority w:val="0"/>
    <w:rPr>
      <w:rFonts w:ascii="宋体" w:hAnsi="Calibri" w:eastAsia="宋体" w:cs="Times New Roman"/>
      <w:sz w:val="24"/>
      <w:szCs w:val="21"/>
      <w:lang w:val="zh-CN"/>
    </w:rPr>
  </w:style>
  <w:style w:type="character" w:customStyle="1" w:styleId="42">
    <w:name w:val="纯文本 字符"/>
    <w:basedOn w:val="26"/>
    <w:link w:val="13"/>
    <w:qFormat/>
    <w:uiPriority w:val="0"/>
    <w:rPr>
      <w:rFonts w:ascii="宋体" w:hAnsi="Courier New" w:eastAsia="宋体" w:cs="Arial"/>
      <w:snapToGrid w:val="0"/>
      <w:szCs w:val="21"/>
    </w:rPr>
  </w:style>
  <w:style w:type="character" w:customStyle="1" w:styleId="43">
    <w:name w:val="正文文本 字符"/>
    <w:basedOn w:val="26"/>
    <w:link w:val="9"/>
    <w:qFormat/>
    <w:uiPriority w:val="0"/>
    <w:rPr>
      <w:rFonts w:ascii="宋体" w:hAnsi="Arial" w:eastAsia="宋体" w:cs="Arial"/>
      <w:snapToGrid w:val="0"/>
      <w:sz w:val="24"/>
      <w:szCs w:val="21"/>
      <w:lang w:val="zh-CN"/>
    </w:rPr>
  </w:style>
  <w:style w:type="paragraph" w:customStyle="1" w:styleId="44">
    <w:name w:val="索引 11"/>
    <w:basedOn w:val="1"/>
    <w:next w:val="1"/>
    <w:qFormat/>
    <w:uiPriority w:val="99"/>
    <w:pPr>
      <w:spacing w:line="360" w:lineRule="auto"/>
    </w:pPr>
    <w:rPr>
      <w:rFonts w:ascii="仿宋_GB2312" w:eastAsia="仿宋_GB2312"/>
      <w:sz w:val="24"/>
      <w:szCs w:val="20"/>
    </w:rPr>
  </w:style>
  <w:style w:type="paragraph" w:customStyle="1" w:styleId="4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4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48">
    <w:name w:val="纯文本1"/>
    <w:basedOn w:val="1"/>
    <w:qFormat/>
    <w:uiPriority w:val="0"/>
    <w:rPr>
      <w:rFonts w:ascii="宋体" w:hAnsi="Courier New"/>
      <w:kern w:val="0"/>
      <w:sz w:val="20"/>
      <w:szCs w:val="20"/>
    </w:rPr>
  </w:style>
  <w:style w:type="paragraph" w:customStyle="1" w:styleId="49">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纯文本_0_0"/>
    <w:basedOn w:val="49"/>
    <w:qFormat/>
    <w:uiPriority w:val="0"/>
    <w:rPr>
      <w:rFonts w:ascii="宋体" w:hAnsi="Courier New"/>
      <w:szCs w:val="21"/>
    </w:rPr>
  </w:style>
  <w:style w:type="paragraph" w:customStyle="1" w:styleId="51">
    <w:name w:val="正文2"/>
    <w:basedOn w:val="1"/>
    <w:qFormat/>
    <w:uiPriority w:val="0"/>
    <w:pPr>
      <w:spacing w:before="156" w:line="360" w:lineRule="auto"/>
      <w:ind w:firstLine="510" w:firstLineChars="200"/>
    </w:pPr>
    <w:rPr>
      <w:sz w:val="24"/>
      <w:szCs w:val="20"/>
    </w:rPr>
  </w:style>
  <w:style w:type="paragraph" w:customStyle="1" w:styleId="52">
    <w:name w:val="正文缩进1"/>
    <w:basedOn w:val="1"/>
    <w:next w:val="11"/>
    <w:qFormat/>
    <w:uiPriority w:val="0"/>
    <w:pPr>
      <w:autoSpaceDE w:val="0"/>
      <w:autoSpaceDN w:val="0"/>
      <w:snapToGrid w:val="0"/>
      <w:spacing w:after="120" w:line="360" w:lineRule="auto"/>
      <w:ind w:left="420" w:leftChars="200" w:firstLine="480" w:firstLineChars="200"/>
    </w:pPr>
    <w:rPr>
      <w:sz w:val="24"/>
      <w:szCs w:val="21"/>
    </w:rPr>
  </w:style>
  <w:style w:type="character" w:customStyle="1" w:styleId="53">
    <w:name w:val="标题 3 字符"/>
    <w:basedOn w:val="26"/>
    <w:link w:val="4"/>
    <w:semiHidden/>
    <w:qFormat/>
    <w:uiPriority w:val="9"/>
    <w:rPr>
      <w:rFonts w:ascii="Calibri" w:hAnsi="Calibri" w:eastAsia="宋体" w:cs="Times New Roman"/>
      <w:b/>
      <w:bCs/>
      <w:sz w:val="32"/>
      <w:szCs w:val="32"/>
    </w:rPr>
  </w:style>
  <w:style w:type="character" w:customStyle="1" w:styleId="54">
    <w:name w:val="标题 4 字符"/>
    <w:basedOn w:val="26"/>
    <w:link w:val="5"/>
    <w:semiHidden/>
    <w:qFormat/>
    <w:uiPriority w:val="9"/>
    <w:rPr>
      <w:rFonts w:asciiTheme="majorHAnsi" w:hAnsiTheme="majorHAnsi" w:eastAsiaTheme="majorEastAsia" w:cstheme="majorBidi"/>
      <w:b/>
      <w:bCs/>
      <w:sz w:val="28"/>
      <w:szCs w:val="28"/>
    </w:rPr>
  </w:style>
  <w:style w:type="paragraph" w:customStyle="1" w:styleId="55">
    <w:name w:val="标题4"/>
    <w:basedOn w:val="1"/>
    <w:qFormat/>
    <w:uiPriority w:val="0"/>
    <w:rPr>
      <w:rFonts w:ascii="Times New Roman" w:hAnsi="Times New Roman" w:eastAsia="仿宋_GB2312"/>
      <w:sz w:val="32"/>
      <w:szCs w:val="20"/>
    </w:rPr>
  </w:style>
  <w:style w:type="character" w:customStyle="1" w:styleId="56">
    <w:name w:val="批注框文本 字符"/>
    <w:basedOn w:val="26"/>
    <w:link w:val="15"/>
    <w:semiHidden/>
    <w:qFormat/>
    <w:uiPriority w:val="99"/>
    <w:rPr>
      <w:rFonts w:ascii="Calibri" w:hAnsi="Calibri" w:eastAsia="宋体" w:cs="Times New Roman"/>
      <w:sz w:val="18"/>
      <w:szCs w:val="18"/>
    </w:rPr>
  </w:style>
  <w:style w:type="character" w:customStyle="1" w:styleId="57">
    <w:name w:val="List Paragraph Char"/>
    <w:link w:val="33"/>
    <w:qFormat/>
    <w:locked/>
    <w:uiPriority w:val="0"/>
    <w:rPr>
      <w:rFonts w:ascii="Times New Roman" w:hAnsi="Times New Roman"/>
      <w:szCs w:val="24"/>
    </w:rPr>
  </w:style>
  <w:style w:type="paragraph" w:customStyle="1" w:styleId="58">
    <w:name w:val="列表段落1"/>
    <w:basedOn w:val="1"/>
    <w:qFormat/>
    <w:uiPriority w:val="99"/>
    <w:pPr>
      <w:ind w:firstLine="420" w:firstLineChars="200"/>
    </w:pPr>
  </w:style>
  <w:style w:type="paragraph" w:customStyle="1" w:styleId="59">
    <w:name w:val="修订1"/>
    <w:hidden/>
    <w:semiHidden/>
    <w:qFormat/>
    <w:uiPriority w:val="99"/>
    <w:rPr>
      <w:rFonts w:ascii="Calibri" w:hAnsi="Calibri" w:eastAsia="宋体" w:cs="Times New Roman"/>
      <w:kern w:val="2"/>
      <w:sz w:val="21"/>
      <w:szCs w:val="24"/>
      <w:lang w:val="en-US" w:eastAsia="zh-CN" w:bidi="ar-SA"/>
    </w:rPr>
  </w:style>
  <w:style w:type="character" w:customStyle="1" w:styleId="60">
    <w:name w:val="批注文字 字符"/>
    <w:basedOn w:val="26"/>
    <w:link w:val="8"/>
    <w:semiHidden/>
    <w:qFormat/>
    <w:uiPriority w:val="99"/>
    <w:rPr>
      <w:rFonts w:ascii="Calibri" w:hAnsi="Calibri"/>
      <w:kern w:val="2"/>
      <w:sz w:val="21"/>
      <w:szCs w:val="24"/>
    </w:rPr>
  </w:style>
  <w:style w:type="character" w:customStyle="1" w:styleId="61">
    <w:name w:val="批注主题 字符"/>
    <w:basedOn w:val="60"/>
    <w:link w:val="22"/>
    <w:semiHidden/>
    <w:qFormat/>
    <w:uiPriority w:val="99"/>
    <w:rPr>
      <w:rFonts w:ascii="Calibri" w:hAnsi="Calibri"/>
      <w:b/>
      <w:bCs/>
      <w:kern w:val="2"/>
      <w:sz w:val="21"/>
      <w:szCs w:val="24"/>
    </w:rPr>
  </w:style>
  <w:style w:type="paragraph" w:customStyle="1" w:styleId="62">
    <w:name w:val="修订2"/>
    <w:hidden/>
    <w:semiHidden/>
    <w:qFormat/>
    <w:uiPriority w:val="99"/>
    <w:rPr>
      <w:rFonts w:ascii="Calibri" w:hAnsi="Calibri" w:eastAsia="宋体" w:cs="Times New Roman"/>
      <w:kern w:val="2"/>
      <w:sz w:val="21"/>
      <w:szCs w:val="24"/>
      <w:lang w:val="en-US" w:eastAsia="zh-CN" w:bidi="ar-SA"/>
    </w:rPr>
  </w:style>
  <w:style w:type="paragraph" w:customStyle="1" w:styleId="63">
    <w:name w:val="修订3"/>
    <w:hidden/>
    <w:semiHidden/>
    <w:qFormat/>
    <w:uiPriority w:val="99"/>
    <w:rPr>
      <w:rFonts w:ascii="Calibri" w:hAnsi="Calibri" w:eastAsia="宋体" w:cs="Times New Roman"/>
      <w:kern w:val="2"/>
      <w:sz w:val="21"/>
      <w:szCs w:val="24"/>
      <w:lang w:val="en-US" w:eastAsia="zh-CN" w:bidi="ar-SA"/>
    </w:rPr>
  </w:style>
  <w:style w:type="character" w:customStyle="1" w:styleId="64">
    <w:name w:val="textcolor1"/>
    <w:basedOn w:val="26"/>
    <w:qFormat/>
    <w:uiPriority w:val="0"/>
    <w:rPr>
      <w:color w:val="FF6600"/>
    </w:rPr>
  </w:style>
  <w:style w:type="table" w:customStyle="1" w:styleId="65">
    <w:name w:val="Table Normal"/>
    <w:semiHidden/>
    <w:unhideWhenUsed/>
    <w:qFormat/>
    <w:uiPriority w:val="0"/>
    <w:tblPr>
      <w:tblCellMar>
        <w:top w:w="0" w:type="dxa"/>
        <w:left w:w="0" w:type="dxa"/>
        <w:bottom w:w="0" w:type="dxa"/>
        <w:right w:w="0" w:type="dxa"/>
      </w:tblCellMar>
    </w:tblPr>
  </w:style>
  <w:style w:type="paragraph" w:customStyle="1" w:styleId="66">
    <w:name w:val="公告正文"/>
    <w:basedOn w:val="1"/>
    <w:qFormat/>
    <w:uiPriority w:val="0"/>
    <w:pPr>
      <w:spacing w:line="400" w:lineRule="atLeast"/>
      <w:ind w:firstLine="437"/>
    </w:pPr>
    <w:rPr>
      <w:rFonts w:ascii="宋体" w:hAnsi="宋体"/>
      <w:kern w:val="0"/>
      <w:sz w:val="24"/>
    </w:rPr>
  </w:style>
  <w:style w:type="paragraph" w:customStyle="1" w:styleId="67">
    <w:name w:val="须知二级小标题"/>
    <w:basedOn w:val="1"/>
    <w:qFormat/>
    <w:uiPriority w:val="0"/>
    <w:pPr>
      <w:spacing w:line="500" w:lineRule="exact"/>
    </w:pPr>
    <w:rPr>
      <w:rFonts w:ascii="宋体"/>
      <w:b/>
      <w:sz w:val="24"/>
    </w:rPr>
  </w:style>
  <w:style w:type="paragraph" w:customStyle="1" w:styleId="68">
    <w:name w:val="Plain Text"/>
    <w:basedOn w:val="1"/>
    <w:qFormat/>
    <w:uiPriority w:val="0"/>
    <w:rPr>
      <w:rFonts w:ascii="宋体" w:hAnsi="Courier New" w:eastAsia="Times New Roman"/>
      <w:kern w:val="0"/>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75</Pages>
  <Words>20419</Words>
  <Characters>22228</Characters>
  <Lines>245</Lines>
  <Paragraphs>69</Paragraphs>
  <TotalTime>13</TotalTime>
  <ScaleCrop>false</ScaleCrop>
  <LinksUpToDate>false</LinksUpToDate>
  <CharactersWithSpaces>23273</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2023-02-04T21:06:00Z</dcterms:created>
  <dc:creator>Microsoft</dc:creator>
  <cp:lastModifiedBy>月寒秋夜无影</cp:lastModifiedBy>
  <cp:lastPrinted>2024-07-19T03:10:00Z</cp:lastPrinted>
  <dcterms:modified xsi:type="dcterms:W3CDTF">2025-07-04T01:25:25Z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3C5441BD88264EA9B606D49975155144_13</vt:lpwstr>
  </property>
  <property fmtid="{D5CDD505-2E9C-101B-9397-08002B2CF9AE}" pid="4" name="KSOTemplateDocerSaveRecord">
    <vt:lpwstr>eyJoZGlkIjoiMDJjNjczOGRiNTUyYzkwN2VhNDEwMTdjMjc3ZWJkYWUiLCJ1c2VySWQiOiI0NjAzMjEwMzgifQ==</vt:lpwstr>
  </property>
</Properties>
</file>