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2A427">
      <w:pPr>
        <w:keepNext w:val="0"/>
        <w:keepLines w:val="0"/>
        <w:pageBreakBefore w:val="0"/>
        <w:widowControl w:val="0"/>
        <w:kinsoku/>
        <w:wordWrap/>
        <w:overflowPunct/>
        <w:topLinePunct w:val="0"/>
        <w:bidi w:val="0"/>
        <w:spacing w:line="360" w:lineRule="auto"/>
        <w:jc w:val="center"/>
        <w:textAlignment w:val="auto"/>
        <w:rPr>
          <w:rFonts w:cs="仿宋_GB2312" w:asciiTheme="majorEastAsia" w:hAnsiTheme="majorEastAsia" w:eastAsiaTheme="majorEastAsia"/>
          <w:sz w:val="48"/>
          <w:szCs w:val="48"/>
        </w:rPr>
      </w:pPr>
    </w:p>
    <w:p w14:paraId="1BA76B91">
      <w:pPr>
        <w:keepNext w:val="0"/>
        <w:keepLines w:val="0"/>
        <w:pageBreakBefore w:val="0"/>
        <w:widowControl w:val="0"/>
        <w:kinsoku/>
        <w:wordWrap/>
        <w:overflowPunct/>
        <w:topLinePunct w:val="0"/>
        <w:bidi w:val="0"/>
        <w:spacing w:line="360" w:lineRule="auto"/>
        <w:jc w:val="center"/>
        <w:textAlignment w:val="auto"/>
        <w:rPr>
          <w:rFonts w:hint="default" w:cs="仿宋_GB2312" w:asciiTheme="majorEastAsia" w:hAnsiTheme="majorEastAsia" w:eastAsiaTheme="majorEastAsia"/>
          <w:sz w:val="48"/>
          <w:szCs w:val="48"/>
          <w:lang w:val="en-US" w:eastAsia="zh-CN"/>
        </w:rPr>
      </w:pPr>
      <w:r>
        <w:rPr>
          <w:rFonts w:hint="eastAsia" w:cs="仿宋_GB2312" w:asciiTheme="majorEastAsia" w:hAnsiTheme="majorEastAsia" w:eastAsiaTheme="majorEastAsia"/>
          <w:sz w:val="48"/>
          <w:szCs w:val="48"/>
          <w:lang w:eastAsia="zh-CN"/>
        </w:rPr>
        <w:t xml:space="preserve"> 奉化区FH12-03-01b-1地块停车场交通安全设施及标线采购</w:t>
      </w:r>
      <w:r>
        <w:rPr>
          <w:rFonts w:hint="eastAsia" w:cs="仿宋_GB2312" w:asciiTheme="majorEastAsia" w:hAnsiTheme="majorEastAsia" w:eastAsiaTheme="majorEastAsia"/>
          <w:color w:val="auto"/>
          <w:sz w:val="48"/>
          <w:szCs w:val="48"/>
          <w:lang w:val="en-US" w:eastAsia="zh-CN"/>
        </w:rPr>
        <w:t>项目（重发）</w:t>
      </w:r>
    </w:p>
    <w:p w14:paraId="15E81DD2">
      <w:pPr>
        <w:keepNext w:val="0"/>
        <w:keepLines w:val="0"/>
        <w:pageBreakBefore w:val="0"/>
        <w:widowControl w:val="0"/>
        <w:kinsoku/>
        <w:wordWrap/>
        <w:overflowPunct/>
        <w:topLinePunct w:val="0"/>
        <w:bidi w:val="0"/>
        <w:spacing w:line="360" w:lineRule="auto"/>
        <w:jc w:val="center"/>
        <w:textAlignment w:val="auto"/>
        <w:rPr>
          <w:rFonts w:cs="仿宋_GB2312" w:asciiTheme="majorEastAsia" w:hAnsiTheme="majorEastAsia" w:eastAsiaTheme="majorEastAsia"/>
          <w:sz w:val="48"/>
          <w:szCs w:val="48"/>
        </w:rPr>
      </w:pPr>
      <w:r>
        <w:rPr>
          <w:rFonts w:hint="eastAsia" w:cs="仿宋_GB2312" w:asciiTheme="majorEastAsia" w:hAnsiTheme="majorEastAsia" w:eastAsiaTheme="majorEastAsia"/>
          <w:sz w:val="48"/>
          <w:szCs w:val="48"/>
        </w:rPr>
        <w:t>招标文件</w:t>
      </w:r>
    </w:p>
    <w:p w14:paraId="56766F76">
      <w:pPr>
        <w:keepNext w:val="0"/>
        <w:keepLines w:val="0"/>
        <w:pageBreakBefore w:val="0"/>
        <w:widowControl w:val="0"/>
        <w:kinsoku/>
        <w:wordWrap/>
        <w:overflowPunct/>
        <w:topLinePunct w:val="0"/>
        <w:bidi w:val="0"/>
        <w:spacing w:line="360" w:lineRule="auto"/>
        <w:jc w:val="center"/>
        <w:textAlignment w:val="auto"/>
        <w:rPr>
          <w:rFonts w:cs="仿宋_GB2312" w:asciiTheme="majorEastAsia" w:hAnsiTheme="majorEastAsia" w:eastAsiaTheme="majorEastAsia"/>
          <w:b/>
          <w:sz w:val="44"/>
          <w:szCs w:val="44"/>
        </w:rPr>
      </w:pPr>
      <w:r>
        <w:rPr>
          <w:rFonts w:cs="仿宋_GB2312" w:asciiTheme="majorEastAsia" w:hAnsiTheme="majorEastAsia" w:eastAsiaTheme="majorEastAsia"/>
          <w:b/>
          <w:sz w:val="44"/>
          <w:szCs w:val="44"/>
        </w:rPr>
        <w:t xml:space="preserve"> （电子招投标）</w:t>
      </w:r>
    </w:p>
    <w:p w14:paraId="0DBF984E">
      <w:pPr>
        <w:keepNext w:val="0"/>
        <w:keepLines w:val="0"/>
        <w:pageBreakBefore w:val="0"/>
        <w:widowControl w:val="0"/>
        <w:kinsoku/>
        <w:wordWrap/>
        <w:overflowPunct/>
        <w:topLinePunct w:val="0"/>
        <w:bidi w:val="0"/>
        <w:snapToGrid w:val="0"/>
        <w:spacing w:line="360" w:lineRule="auto"/>
        <w:jc w:val="center"/>
        <w:textAlignment w:val="auto"/>
        <w:rPr>
          <w:rFonts w:hint="default" w:cs="仿宋_GB2312" w:asciiTheme="majorEastAsia" w:hAnsiTheme="majorEastAsia" w:eastAsiaTheme="majorEastAsia"/>
          <w:color w:val="auto"/>
          <w:sz w:val="30"/>
          <w:szCs w:val="30"/>
          <w:highlight w:val="none"/>
          <w:lang w:val="en-US" w:eastAsia="zh-CN"/>
        </w:rPr>
      </w:pPr>
      <w:r>
        <w:rPr>
          <w:rFonts w:hint="eastAsia" w:cs="仿宋_GB2312" w:asciiTheme="majorEastAsia" w:hAnsiTheme="majorEastAsia" w:eastAsiaTheme="majorEastAsia"/>
          <w:sz w:val="30"/>
          <w:szCs w:val="30"/>
        </w:rPr>
        <w:t>编</w:t>
      </w:r>
      <w:r>
        <w:rPr>
          <w:rFonts w:hint="eastAsia" w:cs="仿宋_GB2312" w:asciiTheme="majorEastAsia" w:hAnsiTheme="majorEastAsia" w:eastAsiaTheme="majorEastAsia"/>
          <w:color w:val="auto"/>
          <w:sz w:val="30"/>
          <w:szCs w:val="30"/>
        </w:rPr>
        <w:t>号</w:t>
      </w:r>
      <w:r>
        <w:rPr>
          <w:rFonts w:cs="仿宋_GB2312" w:asciiTheme="majorEastAsia" w:hAnsiTheme="majorEastAsia" w:eastAsiaTheme="majorEastAsia"/>
          <w:color w:val="auto"/>
          <w:sz w:val="30"/>
          <w:szCs w:val="30"/>
        </w:rPr>
        <w:t>:</w:t>
      </w:r>
      <w:r>
        <w:rPr>
          <w:rFonts w:asciiTheme="majorEastAsia" w:hAnsiTheme="majorEastAsia" w:eastAsiaTheme="majorEastAsia"/>
          <w:color w:val="auto"/>
        </w:rPr>
        <w:t xml:space="preserve"> </w:t>
      </w:r>
      <w:r>
        <w:rPr>
          <w:rFonts w:cs="仿宋_GB2312" w:asciiTheme="majorEastAsia" w:hAnsiTheme="majorEastAsia" w:eastAsiaTheme="majorEastAsia"/>
          <w:color w:val="auto"/>
          <w:sz w:val="30"/>
          <w:szCs w:val="30"/>
        </w:rPr>
        <w:t>FHGQZB(</w:t>
      </w:r>
      <w:r>
        <w:rPr>
          <w:rFonts w:hint="eastAsia" w:cs="仿宋_GB2312" w:asciiTheme="majorEastAsia" w:hAnsiTheme="majorEastAsia" w:eastAsiaTheme="majorEastAsia"/>
          <w:color w:val="auto"/>
          <w:sz w:val="30"/>
          <w:szCs w:val="30"/>
          <w:lang w:eastAsia="zh-CN"/>
        </w:rPr>
        <w:t>2025</w:t>
      </w:r>
      <w:r>
        <w:rPr>
          <w:rFonts w:cs="仿宋_GB2312" w:asciiTheme="majorEastAsia" w:hAnsiTheme="majorEastAsia" w:eastAsiaTheme="majorEastAsia"/>
          <w:color w:val="auto"/>
          <w:sz w:val="30"/>
          <w:szCs w:val="30"/>
          <w:highlight w:val="none"/>
        </w:rPr>
        <w:t>)</w:t>
      </w:r>
      <w:r>
        <w:rPr>
          <w:rFonts w:hint="eastAsia" w:cs="仿宋_GB2312" w:asciiTheme="majorEastAsia" w:hAnsiTheme="majorEastAsia" w:eastAsiaTheme="majorEastAsia"/>
          <w:color w:val="auto"/>
          <w:sz w:val="30"/>
          <w:szCs w:val="30"/>
          <w:highlight w:val="none"/>
          <w:lang w:val="en-US" w:eastAsia="zh-CN"/>
        </w:rPr>
        <w:t>146</w:t>
      </w:r>
      <w:r>
        <w:rPr>
          <w:rFonts w:cs="仿宋_GB2312" w:asciiTheme="majorEastAsia" w:hAnsiTheme="majorEastAsia" w:eastAsiaTheme="majorEastAsia"/>
          <w:color w:val="auto"/>
          <w:sz w:val="30"/>
          <w:szCs w:val="30"/>
          <w:highlight w:val="none"/>
        </w:rPr>
        <w:t>D</w:t>
      </w:r>
      <w:r>
        <w:rPr>
          <w:rFonts w:hint="eastAsia" w:cs="仿宋_GB2312" w:asciiTheme="majorEastAsia" w:hAnsiTheme="majorEastAsia" w:eastAsiaTheme="majorEastAsia"/>
          <w:color w:val="auto"/>
          <w:sz w:val="30"/>
          <w:szCs w:val="30"/>
          <w:highlight w:val="none"/>
          <w:lang w:val="en-US" w:eastAsia="zh-CN"/>
        </w:rPr>
        <w:t>-1</w:t>
      </w:r>
    </w:p>
    <w:p w14:paraId="786FB789">
      <w:pPr>
        <w:keepNext w:val="0"/>
        <w:keepLines w:val="0"/>
        <w:pageBreakBefore w:val="0"/>
        <w:widowControl w:val="0"/>
        <w:kinsoku/>
        <w:wordWrap/>
        <w:overflowPunct/>
        <w:topLinePunct w:val="0"/>
        <w:bidi w:val="0"/>
        <w:spacing w:line="360" w:lineRule="auto"/>
        <w:textAlignment w:val="auto"/>
        <w:rPr>
          <w:rFonts w:cs="仿宋_GB2312" w:asciiTheme="majorEastAsia" w:hAnsiTheme="majorEastAsia" w:eastAsiaTheme="majorEastAsia"/>
          <w:sz w:val="28"/>
          <w:szCs w:val="20"/>
        </w:rPr>
      </w:pPr>
    </w:p>
    <w:p w14:paraId="12263FF9">
      <w:pPr>
        <w:keepNext w:val="0"/>
        <w:keepLines w:val="0"/>
        <w:pageBreakBefore w:val="0"/>
        <w:widowControl w:val="0"/>
        <w:kinsoku/>
        <w:wordWrap/>
        <w:overflowPunct/>
        <w:topLinePunct w:val="0"/>
        <w:bidi w:val="0"/>
        <w:spacing w:line="360" w:lineRule="auto"/>
        <w:jc w:val="center"/>
        <w:textAlignment w:val="auto"/>
        <w:rPr>
          <w:rFonts w:cs="仿宋_GB2312" w:asciiTheme="majorEastAsia" w:hAnsiTheme="majorEastAsia" w:eastAsiaTheme="majorEastAsia"/>
          <w:b/>
          <w:sz w:val="44"/>
          <w:szCs w:val="44"/>
        </w:rPr>
      </w:pPr>
      <w:r>
        <w:rPr>
          <w:rFonts w:cs="仿宋_GB2312" w:asciiTheme="majorEastAsia" w:hAnsiTheme="majorEastAsia" w:eastAsiaTheme="majorEastAsia"/>
          <w:b/>
          <w:sz w:val="44"/>
          <w:szCs w:val="44"/>
        </w:rPr>
        <w:t xml:space="preserve"> </w:t>
      </w:r>
    </w:p>
    <w:p w14:paraId="029D224D">
      <w:pPr>
        <w:keepNext w:val="0"/>
        <w:keepLines w:val="0"/>
        <w:pageBreakBefore w:val="0"/>
        <w:widowControl w:val="0"/>
        <w:kinsoku/>
        <w:wordWrap/>
        <w:overflowPunct/>
        <w:topLinePunct w:val="0"/>
        <w:bidi w:val="0"/>
        <w:spacing w:line="360" w:lineRule="auto"/>
        <w:jc w:val="center"/>
        <w:textAlignment w:val="auto"/>
        <w:rPr>
          <w:rFonts w:cs="仿宋_GB2312" w:asciiTheme="majorEastAsia" w:hAnsiTheme="majorEastAsia" w:eastAsiaTheme="majorEastAsia"/>
          <w:b/>
          <w:color w:val="auto"/>
          <w:sz w:val="44"/>
          <w:szCs w:val="44"/>
          <w:highlight w:val="none"/>
        </w:rPr>
      </w:pPr>
    </w:p>
    <w:p w14:paraId="321077C6">
      <w:pPr>
        <w:pStyle w:val="2"/>
        <w:keepNext w:val="0"/>
        <w:keepLines w:val="0"/>
        <w:pageBreakBefore w:val="0"/>
        <w:widowControl w:val="0"/>
        <w:kinsoku/>
        <w:wordWrap/>
        <w:overflowPunct/>
        <w:topLinePunct w:val="0"/>
        <w:bidi w:val="0"/>
        <w:ind w:firstLine="560"/>
        <w:textAlignment w:val="auto"/>
        <w:rPr>
          <w:color w:val="auto"/>
          <w:highlight w:val="none"/>
        </w:rPr>
      </w:pPr>
    </w:p>
    <w:p w14:paraId="50365E61">
      <w:pPr>
        <w:pStyle w:val="2"/>
        <w:keepNext w:val="0"/>
        <w:keepLines w:val="0"/>
        <w:pageBreakBefore w:val="0"/>
        <w:widowControl w:val="0"/>
        <w:kinsoku/>
        <w:wordWrap/>
        <w:overflowPunct/>
        <w:topLinePunct w:val="0"/>
        <w:bidi w:val="0"/>
        <w:ind w:firstLine="560"/>
        <w:textAlignment w:val="auto"/>
        <w:rPr>
          <w:color w:val="auto"/>
          <w:highlight w:val="none"/>
        </w:rPr>
      </w:pPr>
    </w:p>
    <w:p w14:paraId="0FC9AD9D">
      <w:pPr>
        <w:pStyle w:val="2"/>
        <w:keepNext w:val="0"/>
        <w:keepLines w:val="0"/>
        <w:pageBreakBefore w:val="0"/>
        <w:widowControl w:val="0"/>
        <w:kinsoku/>
        <w:wordWrap/>
        <w:overflowPunct/>
        <w:topLinePunct w:val="0"/>
        <w:bidi w:val="0"/>
        <w:ind w:firstLine="560"/>
        <w:textAlignment w:val="auto"/>
        <w:rPr>
          <w:color w:val="auto"/>
          <w:highlight w:val="none"/>
        </w:rPr>
      </w:pPr>
    </w:p>
    <w:p w14:paraId="25EB55F0">
      <w:pPr>
        <w:pStyle w:val="2"/>
        <w:keepNext w:val="0"/>
        <w:keepLines w:val="0"/>
        <w:pageBreakBefore w:val="0"/>
        <w:widowControl w:val="0"/>
        <w:kinsoku/>
        <w:wordWrap/>
        <w:overflowPunct/>
        <w:topLinePunct w:val="0"/>
        <w:bidi w:val="0"/>
        <w:ind w:firstLine="560"/>
        <w:textAlignment w:val="auto"/>
        <w:rPr>
          <w:color w:val="auto"/>
          <w:highlight w:val="none"/>
        </w:rPr>
      </w:pPr>
    </w:p>
    <w:p w14:paraId="7A152B5C">
      <w:pPr>
        <w:pStyle w:val="2"/>
        <w:keepNext w:val="0"/>
        <w:keepLines w:val="0"/>
        <w:pageBreakBefore w:val="0"/>
        <w:widowControl w:val="0"/>
        <w:kinsoku/>
        <w:wordWrap/>
        <w:overflowPunct/>
        <w:topLinePunct w:val="0"/>
        <w:bidi w:val="0"/>
        <w:ind w:firstLine="560"/>
        <w:textAlignment w:val="auto"/>
        <w:rPr>
          <w:color w:val="auto"/>
          <w:highlight w:val="none"/>
        </w:rPr>
      </w:pPr>
    </w:p>
    <w:p w14:paraId="75A7B0BA">
      <w:pPr>
        <w:keepNext w:val="0"/>
        <w:keepLines w:val="0"/>
        <w:pageBreakBefore w:val="0"/>
        <w:widowControl w:val="0"/>
        <w:kinsoku/>
        <w:wordWrap/>
        <w:overflowPunct/>
        <w:topLinePunct w:val="0"/>
        <w:bidi w:val="0"/>
        <w:spacing w:line="360" w:lineRule="auto"/>
        <w:jc w:val="both"/>
        <w:textAlignment w:val="auto"/>
        <w:rPr>
          <w:rFonts w:cs="仿宋_GB2312" w:asciiTheme="majorEastAsia" w:hAnsiTheme="majorEastAsia" w:eastAsiaTheme="majorEastAsia"/>
          <w:color w:val="auto"/>
          <w:sz w:val="24"/>
          <w:highlight w:val="none"/>
        </w:rPr>
      </w:pPr>
    </w:p>
    <w:p w14:paraId="27A52768">
      <w:pPr>
        <w:keepNext w:val="0"/>
        <w:keepLines w:val="0"/>
        <w:pageBreakBefore w:val="0"/>
        <w:widowControl w:val="0"/>
        <w:kinsoku/>
        <w:wordWrap/>
        <w:overflowPunct/>
        <w:topLinePunct w:val="0"/>
        <w:bidi w:val="0"/>
        <w:spacing w:line="360" w:lineRule="auto"/>
        <w:textAlignment w:val="auto"/>
        <w:rPr>
          <w:rFonts w:cs="仿宋_GB2312" w:asciiTheme="majorEastAsia" w:hAnsiTheme="majorEastAsia" w:eastAsiaTheme="majorEastAsia"/>
          <w:color w:val="auto"/>
          <w:sz w:val="32"/>
          <w:szCs w:val="32"/>
          <w:highlight w:val="none"/>
        </w:rPr>
      </w:pPr>
    </w:p>
    <w:p w14:paraId="7CB8A1E4">
      <w:pPr>
        <w:keepNext w:val="0"/>
        <w:keepLines w:val="0"/>
        <w:pageBreakBefore w:val="0"/>
        <w:widowControl w:val="0"/>
        <w:kinsoku/>
        <w:wordWrap/>
        <w:overflowPunct/>
        <w:topLinePunct w:val="0"/>
        <w:bidi w:val="0"/>
        <w:snapToGrid w:val="0"/>
        <w:spacing w:line="360" w:lineRule="auto"/>
        <w:ind w:firstLine="1600" w:firstLineChars="500"/>
        <w:textAlignment w:val="auto"/>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bCs/>
          <w:color w:val="auto"/>
          <w:sz w:val="32"/>
          <w:szCs w:val="32"/>
          <w:highlight w:val="none"/>
        </w:rPr>
        <w:t>采购人：</w:t>
      </w:r>
      <w:r>
        <w:rPr>
          <w:rFonts w:hint="eastAsia" w:ascii="宋体" w:hAnsi="宋体" w:cs="Times New Roman"/>
          <w:color w:val="auto"/>
          <w:sz w:val="32"/>
          <w:szCs w:val="32"/>
          <w:highlight w:val="none"/>
          <w:u w:val="single"/>
          <w:lang w:val="en-US" w:eastAsia="zh-CN"/>
        </w:rPr>
        <w:t>宁波市兴奉开投建设有限公司</w:t>
      </w:r>
    </w:p>
    <w:p w14:paraId="5E5FCBA0">
      <w:pPr>
        <w:keepNext w:val="0"/>
        <w:keepLines w:val="0"/>
        <w:pageBreakBefore w:val="0"/>
        <w:widowControl w:val="0"/>
        <w:kinsoku/>
        <w:wordWrap/>
        <w:overflowPunct/>
        <w:topLinePunct w:val="0"/>
        <w:bidi w:val="0"/>
        <w:spacing w:line="360" w:lineRule="auto"/>
        <w:ind w:firstLine="1600" w:firstLineChars="500"/>
        <w:textAlignment w:val="auto"/>
        <w:rPr>
          <w:rFonts w:hint="eastAsia"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采购代理机构：</w:t>
      </w:r>
      <w:r>
        <w:rPr>
          <w:rFonts w:hint="eastAsia" w:ascii="宋体" w:hAnsi="宋体"/>
          <w:color w:val="auto"/>
          <w:sz w:val="32"/>
          <w:szCs w:val="32"/>
          <w:highlight w:val="none"/>
          <w:u w:val="single"/>
          <w:lang w:eastAsia="zh-CN"/>
        </w:rPr>
        <w:t>宁波锦业工程咨询管理有限公司</w:t>
      </w:r>
    </w:p>
    <w:p w14:paraId="28F8AF38">
      <w:pPr>
        <w:keepNext w:val="0"/>
        <w:keepLines w:val="0"/>
        <w:pageBreakBefore w:val="0"/>
        <w:widowControl w:val="0"/>
        <w:kinsoku/>
        <w:wordWrap/>
        <w:overflowPunct/>
        <w:topLinePunct w:val="0"/>
        <w:bidi w:val="0"/>
        <w:snapToGrid w:val="0"/>
        <w:spacing w:line="360" w:lineRule="auto"/>
        <w:jc w:val="center"/>
        <w:textAlignment w:val="auto"/>
        <w:rPr>
          <w:rFonts w:cs="仿宋_GB2312" w:asciiTheme="majorEastAsia" w:hAnsiTheme="majorEastAsia" w:eastAsiaTheme="majorEastAsia"/>
          <w:bCs/>
          <w:color w:val="auto"/>
          <w:sz w:val="32"/>
          <w:szCs w:val="32"/>
          <w:highlight w:val="none"/>
        </w:rPr>
      </w:pPr>
    </w:p>
    <w:p w14:paraId="7A45C929">
      <w:pPr>
        <w:keepNext w:val="0"/>
        <w:keepLines w:val="0"/>
        <w:pageBreakBefore w:val="0"/>
        <w:widowControl w:val="0"/>
        <w:kinsoku/>
        <w:wordWrap/>
        <w:overflowPunct/>
        <w:topLinePunct w:val="0"/>
        <w:bidi w:val="0"/>
        <w:snapToGrid w:val="0"/>
        <w:spacing w:line="360" w:lineRule="auto"/>
        <w:jc w:val="center"/>
        <w:textAlignment w:val="auto"/>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二零二</w:t>
      </w:r>
      <w:r>
        <w:rPr>
          <w:rFonts w:hint="eastAsia" w:cs="仿宋_GB2312" w:asciiTheme="majorEastAsia" w:hAnsiTheme="majorEastAsia" w:eastAsiaTheme="majorEastAsia"/>
          <w:bCs/>
          <w:color w:val="auto"/>
          <w:sz w:val="32"/>
          <w:szCs w:val="32"/>
          <w:highlight w:val="none"/>
          <w:lang w:val="en-US" w:eastAsia="zh-CN"/>
        </w:rPr>
        <w:t>五</w:t>
      </w:r>
      <w:r>
        <w:rPr>
          <w:rFonts w:hint="eastAsia" w:cs="仿宋_GB2312" w:asciiTheme="majorEastAsia" w:hAnsiTheme="majorEastAsia" w:eastAsiaTheme="majorEastAsia"/>
          <w:bCs/>
          <w:color w:val="auto"/>
          <w:sz w:val="32"/>
          <w:szCs w:val="32"/>
          <w:highlight w:val="none"/>
        </w:rPr>
        <w:t>年</w:t>
      </w:r>
      <w:r>
        <w:rPr>
          <w:rFonts w:hint="eastAsia" w:cs="仿宋_GB2312" w:asciiTheme="majorEastAsia" w:hAnsiTheme="majorEastAsia" w:eastAsiaTheme="majorEastAsia"/>
          <w:bCs/>
          <w:color w:val="auto"/>
          <w:sz w:val="32"/>
          <w:szCs w:val="32"/>
          <w:highlight w:val="none"/>
          <w:lang w:val="en-US" w:eastAsia="zh-CN"/>
        </w:rPr>
        <w:t>五</w:t>
      </w:r>
      <w:r>
        <w:rPr>
          <w:rFonts w:hint="eastAsia" w:cs="仿宋_GB2312" w:asciiTheme="majorEastAsia" w:hAnsiTheme="majorEastAsia" w:eastAsiaTheme="majorEastAsia"/>
          <w:bCs/>
          <w:color w:val="auto"/>
          <w:sz w:val="32"/>
          <w:szCs w:val="32"/>
          <w:highlight w:val="none"/>
        </w:rPr>
        <w:t>月</w:t>
      </w:r>
    </w:p>
    <w:p w14:paraId="7C2FC161">
      <w:pPr>
        <w:keepNext w:val="0"/>
        <w:keepLines w:val="0"/>
        <w:pageBreakBefore w:val="0"/>
        <w:widowControl w:val="0"/>
        <w:kinsoku/>
        <w:wordWrap/>
        <w:overflowPunct/>
        <w:topLinePunct w:val="0"/>
        <w:bidi w:val="0"/>
        <w:spacing w:line="360" w:lineRule="auto"/>
        <w:jc w:val="center"/>
        <w:textAlignment w:val="auto"/>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br w:type="page"/>
      </w:r>
      <w:bookmarkStart w:id="0" w:name="_Hlt67893495"/>
      <w:bookmarkEnd w:id="0"/>
    </w:p>
    <w:p w14:paraId="349C5277">
      <w:pPr>
        <w:keepNext w:val="0"/>
        <w:keepLines w:val="0"/>
        <w:pageBreakBefore w:val="0"/>
        <w:widowControl w:val="0"/>
        <w:kinsoku/>
        <w:wordWrap/>
        <w:overflowPunct/>
        <w:topLinePunct w:val="0"/>
        <w:bidi w:val="0"/>
        <w:spacing w:line="360" w:lineRule="auto"/>
        <w:jc w:val="center"/>
        <w:textAlignment w:val="auto"/>
        <w:rPr>
          <w:rFonts w:cs="仿宋_GB2312" w:asciiTheme="majorEastAsia" w:hAnsiTheme="majorEastAsia" w:eastAsiaTheme="majorEastAsia"/>
          <w:b/>
          <w:color w:val="auto"/>
          <w:sz w:val="48"/>
          <w:szCs w:val="48"/>
          <w:highlight w:val="none"/>
        </w:rPr>
      </w:pPr>
      <w:r>
        <w:rPr>
          <w:rFonts w:hint="eastAsia" w:cs="仿宋_GB2312" w:asciiTheme="majorEastAsia" w:hAnsiTheme="majorEastAsia" w:eastAsiaTheme="majorEastAsia"/>
          <w:b/>
          <w:color w:val="auto"/>
          <w:sz w:val="48"/>
          <w:szCs w:val="48"/>
          <w:highlight w:val="none"/>
        </w:rPr>
        <w:t>目</w:t>
      </w:r>
      <w:r>
        <w:rPr>
          <w:rFonts w:cs="仿宋_GB2312" w:asciiTheme="majorEastAsia" w:hAnsiTheme="majorEastAsia" w:eastAsiaTheme="majorEastAsia"/>
          <w:b/>
          <w:color w:val="auto"/>
          <w:sz w:val="48"/>
          <w:szCs w:val="48"/>
          <w:highlight w:val="none"/>
        </w:rPr>
        <w:t xml:space="preserve">  </w:t>
      </w:r>
      <w:r>
        <w:rPr>
          <w:rFonts w:hint="eastAsia" w:cs="仿宋_GB2312" w:asciiTheme="majorEastAsia" w:hAnsiTheme="majorEastAsia" w:eastAsiaTheme="majorEastAsia"/>
          <w:b/>
          <w:color w:val="auto"/>
          <w:sz w:val="48"/>
          <w:szCs w:val="48"/>
          <w:highlight w:val="none"/>
        </w:rPr>
        <w:t>录</w:t>
      </w:r>
    </w:p>
    <w:p w14:paraId="5F86AE51">
      <w:pPr>
        <w:keepNext w:val="0"/>
        <w:keepLines w:val="0"/>
        <w:pageBreakBefore w:val="0"/>
        <w:widowControl w:val="0"/>
        <w:kinsoku/>
        <w:wordWrap/>
        <w:overflowPunct/>
        <w:topLinePunct w:val="0"/>
        <w:bidi w:val="0"/>
        <w:spacing w:line="360" w:lineRule="auto"/>
        <w:textAlignment w:val="auto"/>
        <w:rPr>
          <w:rFonts w:cs="仿宋_GB2312" w:asciiTheme="majorEastAsia" w:hAnsiTheme="majorEastAsia" w:eastAsiaTheme="majorEastAsia"/>
          <w:color w:val="auto"/>
          <w:sz w:val="32"/>
          <w:szCs w:val="32"/>
          <w:highlight w:val="none"/>
        </w:rPr>
      </w:pPr>
    </w:p>
    <w:p w14:paraId="1EA1A207">
      <w:pPr>
        <w:keepNext w:val="0"/>
        <w:keepLines w:val="0"/>
        <w:pageBreakBefore w:val="0"/>
        <w:widowControl w:val="0"/>
        <w:kinsoku/>
        <w:wordWrap/>
        <w:overflowPunct/>
        <w:topLinePunct w:val="0"/>
        <w:bidi w:val="0"/>
        <w:spacing w:line="360" w:lineRule="auto"/>
        <w:textAlignment w:val="auto"/>
        <w:rPr>
          <w:rFonts w:cs="仿宋_GB2312" w:asciiTheme="majorEastAsia" w:hAnsiTheme="majorEastAsia" w:eastAsiaTheme="majorEastAsia"/>
          <w:color w:val="auto"/>
          <w:sz w:val="32"/>
          <w:szCs w:val="32"/>
          <w:highlight w:val="none"/>
        </w:rPr>
      </w:pPr>
    </w:p>
    <w:p w14:paraId="52099A91">
      <w:pPr>
        <w:keepNext w:val="0"/>
        <w:keepLines w:val="0"/>
        <w:pageBreakBefore w:val="0"/>
        <w:widowControl w:val="0"/>
        <w:kinsoku/>
        <w:wordWrap/>
        <w:overflowPunct/>
        <w:topLinePunct w:val="0"/>
        <w:bidi w:val="0"/>
        <w:spacing w:line="360" w:lineRule="auto"/>
        <w:ind w:firstLine="1280" w:firstLineChars="400"/>
        <w:textAlignment w:val="auto"/>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第一部分      招标公告</w:t>
      </w:r>
    </w:p>
    <w:p w14:paraId="21ED84BD">
      <w:pPr>
        <w:keepNext w:val="0"/>
        <w:keepLines w:val="0"/>
        <w:pageBreakBefore w:val="0"/>
        <w:widowControl w:val="0"/>
        <w:kinsoku/>
        <w:wordWrap/>
        <w:overflowPunct/>
        <w:topLinePunct w:val="0"/>
        <w:bidi w:val="0"/>
        <w:spacing w:line="360" w:lineRule="auto"/>
        <w:ind w:firstLine="1280" w:firstLineChars="400"/>
        <w:textAlignment w:val="auto"/>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第二部分      投标须知</w:t>
      </w:r>
    </w:p>
    <w:p w14:paraId="71D326CE">
      <w:pPr>
        <w:keepNext w:val="0"/>
        <w:keepLines w:val="0"/>
        <w:pageBreakBefore w:val="0"/>
        <w:widowControl w:val="0"/>
        <w:kinsoku/>
        <w:wordWrap/>
        <w:overflowPunct/>
        <w:topLinePunct w:val="0"/>
        <w:bidi w:val="0"/>
        <w:spacing w:line="360" w:lineRule="auto"/>
        <w:ind w:firstLine="1280" w:firstLineChars="400"/>
        <w:textAlignment w:val="auto"/>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第三部分      采购需求</w:t>
      </w:r>
    </w:p>
    <w:p w14:paraId="4DF58B6C">
      <w:pPr>
        <w:keepNext w:val="0"/>
        <w:keepLines w:val="0"/>
        <w:pageBreakBefore w:val="0"/>
        <w:widowControl w:val="0"/>
        <w:kinsoku/>
        <w:wordWrap/>
        <w:overflowPunct/>
        <w:topLinePunct w:val="0"/>
        <w:bidi w:val="0"/>
        <w:spacing w:line="360" w:lineRule="auto"/>
        <w:ind w:firstLine="1280" w:firstLineChars="400"/>
        <w:textAlignment w:val="auto"/>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第四部分      评标办法</w:t>
      </w:r>
    </w:p>
    <w:p w14:paraId="6C57E917">
      <w:pPr>
        <w:keepNext w:val="0"/>
        <w:keepLines w:val="0"/>
        <w:pageBreakBefore w:val="0"/>
        <w:widowControl w:val="0"/>
        <w:kinsoku/>
        <w:wordWrap/>
        <w:overflowPunct/>
        <w:topLinePunct w:val="0"/>
        <w:bidi w:val="0"/>
        <w:spacing w:line="360" w:lineRule="auto"/>
        <w:ind w:firstLine="1280" w:firstLineChars="400"/>
        <w:textAlignment w:val="auto"/>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第五部分      拟签订的合同文本</w:t>
      </w:r>
    </w:p>
    <w:p w14:paraId="6C898C86">
      <w:pPr>
        <w:keepNext w:val="0"/>
        <w:keepLines w:val="0"/>
        <w:pageBreakBefore w:val="0"/>
        <w:widowControl w:val="0"/>
        <w:kinsoku/>
        <w:wordWrap/>
        <w:overflowPunct/>
        <w:topLinePunct w:val="0"/>
        <w:bidi w:val="0"/>
        <w:spacing w:line="360" w:lineRule="auto"/>
        <w:ind w:firstLine="1280" w:firstLineChars="400"/>
        <w:textAlignment w:val="auto"/>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第六部分      应提交的有关格式范例</w:t>
      </w:r>
    </w:p>
    <w:p w14:paraId="0F7104D7">
      <w:pPr>
        <w:keepNext w:val="0"/>
        <w:keepLines w:val="0"/>
        <w:pageBreakBefore w:val="0"/>
        <w:widowControl w:val="0"/>
        <w:kinsoku/>
        <w:wordWrap/>
        <w:overflowPunct/>
        <w:topLinePunct w:val="0"/>
        <w:bidi w:val="0"/>
        <w:spacing w:line="360" w:lineRule="auto"/>
        <w:ind w:firstLine="549" w:firstLineChars="229"/>
        <w:textAlignment w:val="auto"/>
        <w:rPr>
          <w:rFonts w:cs="仿宋" w:asciiTheme="majorEastAsia" w:hAnsiTheme="majorEastAsia" w:eastAsiaTheme="majorEastAsia"/>
          <w:color w:val="auto"/>
          <w:sz w:val="24"/>
          <w:highlight w:val="none"/>
        </w:rPr>
      </w:pPr>
      <w:bookmarkStart w:id="1" w:name="_Hlt91233176"/>
      <w:bookmarkEnd w:id="1"/>
      <w:bookmarkStart w:id="2" w:name="_Toc91899869"/>
    </w:p>
    <w:p w14:paraId="765B2F49">
      <w:pPr>
        <w:keepNext w:val="0"/>
        <w:keepLines w:val="0"/>
        <w:pageBreakBefore w:val="0"/>
        <w:widowControl w:val="0"/>
        <w:kinsoku/>
        <w:wordWrap/>
        <w:overflowPunct/>
        <w:topLinePunct w:val="0"/>
        <w:bidi w:val="0"/>
        <w:spacing w:line="360" w:lineRule="auto"/>
        <w:ind w:firstLine="549" w:firstLineChars="229"/>
        <w:textAlignment w:val="auto"/>
        <w:rPr>
          <w:rFonts w:cs="仿宋" w:asciiTheme="majorEastAsia" w:hAnsiTheme="majorEastAsia" w:eastAsiaTheme="majorEastAsia"/>
          <w:color w:val="auto"/>
          <w:sz w:val="24"/>
          <w:highlight w:val="none"/>
        </w:rPr>
      </w:pPr>
    </w:p>
    <w:p w14:paraId="1464504E">
      <w:pPr>
        <w:keepNext w:val="0"/>
        <w:keepLines w:val="0"/>
        <w:pageBreakBefore w:val="0"/>
        <w:widowControl w:val="0"/>
        <w:kinsoku/>
        <w:wordWrap/>
        <w:overflowPunct/>
        <w:topLinePunct w:val="0"/>
        <w:bidi w:val="0"/>
        <w:spacing w:line="360" w:lineRule="auto"/>
        <w:ind w:firstLine="549" w:firstLineChars="229"/>
        <w:textAlignment w:val="auto"/>
        <w:rPr>
          <w:rFonts w:cs="仿宋" w:asciiTheme="majorEastAsia" w:hAnsiTheme="majorEastAsia" w:eastAsiaTheme="majorEastAsia"/>
          <w:color w:val="auto"/>
          <w:sz w:val="24"/>
          <w:highlight w:val="none"/>
        </w:rPr>
      </w:pPr>
    </w:p>
    <w:p w14:paraId="4A5261AB">
      <w:pPr>
        <w:keepNext w:val="0"/>
        <w:keepLines w:val="0"/>
        <w:pageBreakBefore w:val="0"/>
        <w:widowControl w:val="0"/>
        <w:kinsoku/>
        <w:wordWrap/>
        <w:overflowPunct/>
        <w:topLinePunct w:val="0"/>
        <w:bidi w:val="0"/>
        <w:spacing w:line="360" w:lineRule="auto"/>
        <w:ind w:firstLine="549" w:firstLineChars="229"/>
        <w:textAlignment w:val="auto"/>
        <w:rPr>
          <w:rFonts w:cs="仿宋" w:asciiTheme="majorEastAsia" w:hAnsiTheme="majorEastAsia" w:eastAsiaTheme="majorEastAsia"/>
          <w:color w:val="auto"/>
          <w:sz w:val="24"/>
          <w:highlight w:val="none"/>
        </w:rPr>
      </w:pPr>
    </w:p>
    <w:p w14:paraId="254780F7">
      <w:pPr>
        <w:keepNext w:val="0"/>
        <w:keepLines w:val="0"/>
        <w:pageBreakBefore w:val="0"/>
        <w:widowControl w:val="0"/>
        <w:kinsoku/>
        <w:wordWrap/>
        <w:overflowPunct/>
        <w:topLinePunct w:val="0"/>
        <w:bidi w:val="0"/>
        <w:spacing w:line="360" w:lineRule="auto"/>
        <w:ind w:firstLine="549" w:firstLineChars="229"/>
        <w:textAlignment w:val="auto"/>
        <w:rPr>
          <w:rFonts w:cs="仿宋" w:asciiTheme="majorEastAsia" w:hAnsiTheme="majorEastAsia" w:eastAsiaTheme="majorEastAsia"/>
          <w:color w:val="auto"/>
          <w:sz w:val="24"/>
          <w:highlight w:val="none"/>
        </w:rPr>
      </w:pPr>
    </w:p>
    <w:p w14:paraId="6961364F">
      <w:pPr>
        <w:keepNext w:val="0"/>
        <w:keepLines w:val="0"/>
        <w:pageBreakBefore w:val="0"/>
        <w:widowControl w:val="0"/>
        <w:kinsoku/>
        <w:wordWrap/>
        <w:overflowPunct/>
        <w:topLinePunct w:val="0"/>
        <w:bidi w:val="0"/>
        <w:spacing w:line="360" w:lineRule="auto"/>
        <w:ind w:firstLine="549" w:firstLineChars="229"/>
        <w:textAlignment w:val="auto"/>
        <w:rPr>
          <w:rFonts w:cs="仿宋" w:asciiTheme="majorEastAsia" w:hAnsiTheme="majorEastAsia" w:eastAsiaTheme="majorEastAsia"/>
          <w:color w:val="auto"/>
          <w:sz w:val="24"/>
          <w:highlight w:val="none"/>
        </w:rPr>
      </w:pPr>
    </w:p>
    <w:p w14:paraId="614B3919">
      <w:pPr>
        <w:keepNext w:val="0"/>
        <w:keepLines w:val="0"/>
        <w:pageBreakBefore w:val="0"/>
        <w:widowControl w:val="0"/>
        <w:kinsoku/>
        <w:wordWrap/>
        <w:overflowPunct/>
        <w:topLinePunct w:val="0"/>
        <w:bidi w:val="0"/>
        <w:spacing w:line="360" w:lineRule="auto"/>
        <w:ind w:firstLine="549" w:firstLineChars="229"/>
        <w:textAlignment w:val="auto"/>
        <w:rPr>
          <w:rFonts w:cs="仿宋" w:asciiTheme="majorEastAsia" w:hAnsiTheme="majorEastAsia" w:eastAsiaTheme="majorEastAsia"/>
          <w:color w:val="auto"/>
          <w:sz w:val="24"/>
          <w:highlight w:val="none"/>
        </w:rPr>
      </w:pPr>
    </w:p>
    <w:p w14:paraId="4A441CEE">
      <w:pPr>
        <w:keepNext w:val="0"/>
        <w:keepLines w:val="0"/>
        <w:pageBreakBefore w:val="0"/>
        <w:widowControl w:val="0"/>
        <w:kinsoku/>
        <w:wordWrap/>
        <w:overflowPunct/>
        <w:topLinePunct w:val="0"/>
        <w:bidi w:val="0"/>
        <w:spacing w:line="360" w:lineRule="auto"/>
        <w:ind w:firstLine="549" w:firstLineChars="229"/>
        <w:textAlignment w:val="auto"/>
        <w:rPr>
          <w:rFonts w:cs="仿宋" w:asciiTheme="majorEastAsia" w:hAnsiTheme="majorEastAsia" w:eastAsiaTheme="majorEastAsia"/>
          <w:color w:val="auto"/>
          <w:sz w:val="24"/>
          <w:highlight w:val="none"/>
        </w:rPr>
      </w:pPr>
    </w:p>
    <w:p w14:paraId="22358477">
      <w:pPr>
        <w:keepNext w:val="0"/>
        <w:keepLines w:val="0"/>
        <w:pageBreakBefore w:val="0"/>
        <w:widowControl w:val="0"/>
        <w:kinsoku/>
        <w:wordWrap/>
        <w:overflowPunct/>
        <w:topLinePunct w:val="0"/>
        <w:bidi w:val="0"/>
        <w:spacing w:line="360" w:lineRule="auto"/>
        <w:ind w:firstLine="549" w:firstLineChars="229"/>
        <w:textAlignment w:val="auto"/>
        <w:rPr>
          <w:rFonts w:cs="仿宋" w:asciiTheme="majorEastAsia" w:hAnsiTheme="majorEastAsia" w:eastAsiaTheme="majorEastAsia"/>
          <w:color w:val="auto"/>
          <w:sz w:val="24"/>
          <w:highlight w:val="none"/>
        </w:rPr>
      </w:pPr>
    </w:p>
    <w:p w14:paraId="23D24FCA">
      <w:pPr>
        <w:keepNext w:val="0"/>
        <w:keepLines w:val="0"/>
        <w:pageBreakBefore w:val="0"/>
        <w:widowControl w:val="0"/>
        <w:kinsoku/>
        <w:wordWrap/>
        <w:overflowPunct/>
        <w:topLinePunct w:val="0"/>
        <w:bidi w:val="0"/>
        <w:spacing w:line="360" w:lineRule="auto"/>
        <w:ind w:firstLine="549" w:firstLineChars="229"/>
        <w:textAlignment w:val="auto"/>
        <w:rPr>
          <w:rFonts w:cs="仿宋" w:asciiTheme="majorEastAsia" w:hAnsiTheme="majorEastAsia" w:eastAsiaTheme="majorEastAsia"/>
          <w:color w:val="auto"/>
          <w:sz w:val="24"/>
          <w:highlight w:val="none"/>
        </w:rPr>
      </w:pPr>
    </w:p>
    <w:p w14:paraId="3E56F9A2">
      <w:pPr>
        <w:keepNext w:val="0"/>
        <w:keepLines w:val="0"/>
        <w:pageBreakBefore w:val="0"/>
        <w:widowControl w:val="0"/>
        <w:kinsoku/>
        <w:wordWrap/>
        <w:overflowPunct/>
        <w:topLinePunct w:val="0"/>
        <w:bidi w:val="0"/>
        <w:spacing w:line="360" w:lineRule="auto"/>
        <w:ind w:firstLine="549" w:firstLineChars="229"/>
        <w:textAlignment w:val="auto"/>
        <w:rPr>
          <w:rFonts w:cs="仿宋" w:asciiTheme="majorEastAsia" w:hAnsiTheme="majorEastAsia" w:eastAsiaTheme="majorEastAsia"/>
          <w:color w:val="auto"/>
          <w:sz w:val="24"/>
          <w:highlight w:val="none"/>
        </w:rPr>
      </w:pPr>
    </w:p>
    <w:p w14:paraId="0FD88443">
      <w:pPr>
        <w:keepNext w:val="0"/>
        <w:keepLines w:val="0"/>
        <w:pageBreakBefore w:val="0"/>
        <w:widowControl w:val="0"/>
        <w:kinsoku/>
        <w:wordWrap/>
        <w:overflowPunct/>
        <w:topLinePunct w:val="0"/>
        <w:bidi w:val="0"/>
        <w:spacing w:line="360" w:lineRule="auto"/>
        <w:ind w:firstLine="549" w:firstLineChars="229"/>
        <w:textAlignment w:val="auto"/>
        <w:rPr>
          <w:rFonts w:cs="仿宋" w:asciiTheme="majorEastAsia" w:hAnsiTheme="majorEastAsia" w:eastAsiaTheme="majorEastAsia"/>
          <w:color w:val="auto"/>
          <w:sz w:val="24"/>
          <w:highlight w:val="none"/>
        </w:rPr>
      </w:pPr>
    </w:p>
    <w:p w14:paraId="1DA6525F">
      <w:pPr>
        <w:keepNext w:val="0"/>
        <w:keepLines w:val="0"/>
        <w:pageBreakBefore w:val="0"/>
        <w:widowControl w:val="0"/>
        <w:kinsoku/>
        <w:wordWrap/>
        <w:overflowPunct/>
        <w:topLinePunct w:val="0"/>
        <w:bidi w:val="0"/>
        <w:spacing w:line="360" w:lineRule="auto"/>
        <w:ind w:firstLine="549" w:firstLineChars="229"/>
        <w:textAlignment w:val="auto"/>
        <w:rPr>
          <w:rFonts w:cs="仿宋" w:asciiTheme="majorEastAsia" w:hAnsiTheme="majorEastAsia" w:eastAsiaTheme="majorEastAsia"/>
          <w:color w:val="auto"/>
          <w:sz w:val="24"/>
          <w:highlight w:val="none"/>
        </w:rPr>
      </w:pPr>
    </w:p>
    <w:p w14:paraId="37CFB06D">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highlight w:val="none"/>
        </w:rPr>
      </w:pPr>
    </w:p>
    <w:p w14:paraId="1C45D501">
      <w:pPr>
        <w:keepNext w:val="0"/>
        <w:keepLines w:val="0"/>
        <w:pageBreakBefore w:val="0"/>
        <w:widowControl w:val="0"/>
        <w:kinsoku/>
        <w:wordWrap/>
        <w:overflowPunct/>
        <w:topLinePunct w:val="0"/>
        <w:bidi w:val="0"/>
        <w:spacing w:line="360" w:lineRule="auto"/>
        <w:jc w:val="center"/>
        <w:textAlignment w:val="auto"/>
        <w:outlineLvl w:val="0"/>
        <w:rPr>
          <w:rFonts w:cs="仿宋" w:asciiTheme="majorEastAsia" w:hAnsiTheme="majorEastAsia" w:eastAsiaTheme="majorEastAsia"/>
          <w:b/>
          <w:color w:val="auto"/>
          <w:sz w:val="36"/>
          <w:szCs w:val="20"/>
          <w:highlight w:val="none"/>
        </w:rPr>
      </w:pPr>
      <w:bookmarkStart w:id="3" w:name="第一部分"/>
      <w:r>
        <w:rPr>
          <w:rFonts w:hint="eastAsia" w:cs="仿宋" w:asciiTheme="majorEastAsia" w:hAnsiTheme="majorEastAsia" w:eastAsiaTheme="majorEastAsia"/>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cs="仿宋" w:asciiTheme="majorEastAsia" w:hAnsiTheme="majorEastAsia" w:eastAsiaTheme="majorEastAsia"/>
          <w:b/>
          <w:color w:val="auto"/>
          <w:sz w:val="36"/>
          <w:szCs w:val="20"/>
          <w:highlight w:val="none"/>
        </w:rPr>
        <w:t>第一部分 招标公告</w:t>
      </w:r>
    </w:p>
    <w:p w14:paraId="1B7E105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项目概况</w:t>
      </w:r>
    </w:p>
    <w:p w14:paraId="6272146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u w:val="single"/>
        </w:rPr>
      </w:pPr>
      <w:r>
        <w:rPr>
          <w:rFonts w:hint="eastAsia" w:cs="仿宋" w:asciiTheme="majorEastAsia" w:hAnsiTheme="majorEastAsia" w:eastAsiaTheme="majorEastAsia"/>
          <w:color w:val="auto"/>
          <w:sz w:val="24"/>
          <w:highlight w:val="none"/>
          <w:lang w:val="en-US" w:eastAsia="zh-CN"/>
        </w:rPr>
        <w:t xml:space="preserve"> 奉化区FH12-03-01b-1地块停车场交通安全设施及标线采购项目（重发）</w:t>
      </w:r>
      <w:r>
        <w:rPr>
          <w:rFonts w:hint="eastAsia" w:cs="仿宋" w:asciiTheme="majorEastAsia" w:hAnsiTheme="majorEastAsia" w:eastAsiaTheme="majorEastAsia"/>
          <w:color w:val="auto"/>
          <w:sz w:val="24"/>
          <w:highlight w:val="none"/>
        </w:rPr>
        <w:t>招标项目的潜在供应商应在</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平台（</w:t>
      </w:r>
      <w:r>
        <w:rPr>
          <w:color w:val="auto"/>
          <w:highlight w:val="none"/>
        </w:rPr>
        <w:fldChar w:fldCharType="begin"/>
      </w:r>
      <w:r>
        <w:rPr>
          <w:color w:val="auto"/>
          <w:highlight w:val="none"/>
        </w:rPr>
        <w:instrText xml:space="preserve"> HYPERLINK "https://www.zcygov.cn/）获取（下载）招标文件，并于2022年00月00日14点30分00秒" </w:instrText>
      </w:r>
      <w:r>
        <w:rPr>
          <w:color w:val="auto"/>
          <w:highlight w:val="none"/>
        </w:rPr>
        <w:fldChar w:fldCharType="separate"/>
      </w:r>
      <w:r>
        <w:rPr>
          <w:rStyle w:val="24"/>
          <w:rFonts w:hint="eastAsia" w:cs="仿宋" w:asciiTheme="majorEastAsia" w:hAnsiTheme="majorEastAsia" w:eastAsiaTheme="majorEastAsia"/>
          <w:color w:val="auto"/>
          <w:sz w:val="24"/>
          <w:szCs w:val="24"/>
          <w:highlight w:val="none"/>
        </w:rPr>
        <w:t>https://</w:t>
      </w:r>
      <w:r>
        <w:rPr>
          <w:rStyle w:val="24"/>
          <w:rFonts w:hint="eastAsia" w:cs="仿宋" w:asciiTheme="majorEastAsia" w:hAnsiTheme="majorEastAsia" w:eastAsiaTheme="majorEastAsia"/>
          <w:color w:val="auto"/>
          <w:sz w:val="24"/>
          <w:szCs w:val="24"/>
          <w:highlight w:val="none"/>
          <w:lang w:eastAsia="zh-CN"/>
        </w:rPr>
        <w:t>www.lecaiyun.com</w:t>
      </w:r>
      <w:r>
        <w:rPr>
          <w:rStyle w:val="24"/>
          <w:rFonts w:hint="eastAsia" w:cs="仿宋" w:asciiTheme="majorEastAsia" w:hAnsiTheme="majorEastAsia" w:eastAsiaTheme="majorEastAsia"/>
          <w:color w:val="auto"/>
          <w:sz w:val="24"/>
          <w:szCs w:val="24"/>
          <w:highlight w:val="none"/>
        </w:rPr>
        <w:t>/）获取（下载）招标文件，并于</w:t>
      </w:r>
      <w:r>
        <w:rPr>
          <w:rStyle w:val="24"/>
          <w:rFonts w:hint="eastAsia" w:cs="仿宋" w:asciiTheme="majorEastAsia" w:hAnsiTheme="majorEastAsia" w:eastAsiaTheme="majorEastAsia"/>
          <w:snapToGrid/>
          <w:color w:val="auto"/>
          <w:kern w:val="2"/>
          <w:sz w:val="24"/>
          <w:szCs w:val="24"/>
          <w:highlight w:val="none"/>
          <w:lang w:eastAsia="zh-CN"/>
        </w:rPr>
        <w:t>2025</w:t>
      </w:r>
      <w:r>
        <w:rPr>
          <w:rStyle w:val="24"/>
          <w:rFonts w:hint="eastAsia" w:cs="仿宋" w:asciiTheme="majorEastAsia" w:hAnsiTheme="majorEastAsia" w:eastAsiaTheme="majorEastAsia"/>
          <w:snapToGrid/>
          <w:color w:val="auto"/>
          <w:kern w:val="2"/>
          <w:sz w:val="24"/>
          <w:szCs w:val="24"/>
          <w:highlight w:val="none"/>
        </w:rPr>
        <w:t>年</w:t>
      </w:r>
      <w:r>
        <w:rPr>
          <w:rStyle w:val="24"/>
          <w:rFonts w:hint="eastAsia" w:cs="仿宋" w:asciiTheme="majorEastAsia" w:hAnsiTheme="majorEastAsia" w:eastAsiaTheme="majorEastAsia"/>
          <w:snapToGrid/>
          <w:color w:val="auto"/>
          <w:kern w:val="2"/>
          <w:sz w:val="24"/>
          <w:szCs w:val="24"/>
          <w:highlight w:val="none"/>
          <w:lang w:val="en-US" w:eastAsia="zh-CN"/>
        </w:rPr>
        <w:t>07</w:t>
      </w:r>
      <w:r>
        <w:rPr>
          <w:rStyle w:val="24"/>
          <w:rFonts w:hint="eastAsia" w:cs="仿宋" w:asciiTheme="majorEastAsia" w:hAnsiTheme="majorEastAsia" w:eastAsiaTheme="majorEastAsia"/>
          <w:snapToGrid/>
          <w:color w:val="auto"/>
          <w:kern w:val="2"/>
          <w:sz w:val="24"/>
          <w:szCs w:val="24"/>
          <w:highlight w:val="none"/>
        </w:rPr>
        <w:t>月</w:t>
      </w:r>
      <w:r>
        <w:rPr>
          <w:rStyle w:val="24"/>
          <w:rFonts w:hint="eastAsia" w:cs="仿宋" w:asciiTheme="majorEastAsia" w:hAnsiTheme="majorEastAsia" w:eastAsiaTheme="majorEastAsia"/>
          <w:snapToGrid/>
          <w:color w:val="auto"/>
          <w:kern w:val="2"/>
          <w:sz w:val="24"/>
          <w:szCs w:val="24"/>
          <w:highlight w:val="none"/>
          <w:lang w:val="en-US" w:eastAsia="zh-CN"/>
        </w:rPr>
        <w:t>03</w:t>
      </w:r>
      <w:r>
        <w:rPr>
          <w:rStyle w:val="24"/>
          <w:rFonts w:hint="eastAsia" w:cs="仿宋" w:asciiTheme="majorEastAsia" w:hAnsiTheme="majorEastAsia" w:eastAsiaTheme="majorEastAsia"/>
          <w:snapToGrid/>
          <w:color w:val="auto"/>
          <w:kern w:val="2"/>
          <w:sz w:val="24"/>
          <w:szCs w:val="24"/>
          <w:highlight w:val="none"/>
        </w:rPr>
        <w:t>日</w:t>
      </w:r>
      <w:r>
        <w:rPr>
          <w:rStyle w:val="24"/>
          <w:rFonts w:hint="eastAsia" w:cs="仿宋" w:asciiTheme="majorEastAsia" w:hAnsiTheme="majorEastAsia" w:eastAsiaTheme="majorEastAsia"/>
          <w:snapToGrid/>
          <w:color w:val="auto"/>
          <w:kern w:val="2"/>
          <w:sz w:val="24"/>
          <w:szCs w:val="24"/>
          <w:highlight w:val="none"/>
          <w:lang w:val="en-US" w:eastAsia="zh-CN"/>
        </w:rPr>
        <w:t>14</w:t>
      </w:r>
      <w:r>
        <w:rPr>
          <w:rStyle w:val="24"/>
          <w:rFonts w:hint="eastAsia" w:cs="仿宋" w:asciiTheme="majorEastAsia" w:hAnsiTheme="majorEastAsia" w:eastAsiaTheme="majorEastAsia"/>
          <w:snapToGrid/>
          <w:color w:val="auto"/>
          <w:kern w:val="2"/>
          <w:sz w:val="24"/>
          <w:szCs w:val="24"/>
          <w:highlight w:val="none"/>
          <w:lang w:eastAsia="zh-CN"/>
        </w:rPr>
        <w:t>：</w:t>
      </w:r>
      <w:r>
        <w:rPr>
          <w:rStyle w:val="24"/>
          <w:rFonts w:hint="eastAsia" w:cs="仿宋" w:asciiTheme="majorEastAsia" w:hAnsiTheme="majorEastAsia" w:eastAsiaTheme="majorEastAsia"/>
          <w:snapToGrid/>
          <w:color w:val="auto"/>
          <w:kern w:val="2"/>
          <w:sz w:val="24"/>
          <w:szCs w:val="24"/>
          <w:highlight w:val="none"/>
          <w:lang w:val="en-US" w:eastAsia="zh-CN"/>
        </w:rPr>
        <w:t>0</w:t>
      </w:r>
      <w:r>
        <w:rPr>
          <w:rStyle w:val="24"/>
          <w:rFonts w:hint="eastAsia" w:cs="仿宋" w:asciiTheme="majorEastAsia" w:hAnsiTheme="majorEastAsia" w:eastAsiaTheme="majorEastAsia"/>
          <w:bCs/>
          <w:snapToGrid/>
          <w:color w:val="auto"/>
          <w:kern w:val="2"/>
          <w:sz w:val="24"/>
          <w:szCs w:val="24"/>
          <w:highlight w:val="none"/>
        </w:rPr>
        <w:fldChar w:fldCharType="end"/>
      </w:r>
      <w:r>
        <w:rPr>
          <w:rStyle w:val="24"/>
          <w:rFonts w:hint="eastAsia" w:cs="仿宋" w:asciiTheme="majorEastAsia" w:hAnsiTheme="majorEastAsia" w:eastAsiaTheme="majorEastAsia"/>
          <w:bCs/>
          <w:snapToGrid/>
          <w:color w:val="auto"/>
          <w:kern w:val="2"/>
          <w:sz w:val="24"/>
          <w:szCs w:val="24"/>
          <w:highlight w:val="none"/>
          <w:lang w:val="en-US" w:eastAsia="zh-CN"/>
        </w:rPr>
        <w:t>0</w:t>
      </w:r>
      <w:r>
        <w:rPr>
          <w:rFonts w:hint="eastAsia" w:cs="仿宋" w:asciiTheme="majorEastAsia" w:hAnsiTheme="majorEastAsia" w:eastAsiaTheme="majorEastAsia"/>
          <w:bCs/>
          <w:color w:val="auto"/>
          <w:sz w:val="24"/>
          <w:highlight w:val="none"/>
        </w:rPr>
        <w:t>（北京时间）前</w:t>
      </w:r>
      <w:r>
        <w:rPr>
          <w:rFonts w:hint="eastAsia" w:cs="仿宋" w:asciiTheme="majorEastAsia" w:hAnsiTheme="majorEastAsia" w:eastAsiaTheme="majorEastAsia"/>
          <w:color w:val="auto"/>
          <w:sz w:val="24"/>
          <w:highlight w:val="none"/>
        </w:rPr>
        <w:t>递交（上传）投标文件。</w:t>
      </w:r>
    </w:p>
    <w:p w14:paraId="32ED4E47">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一、项目基本情况                                            </w:t>
      </w:r>
    </w:p>
    <w:p w14:paraId="6D2408B8">
      <w:pPr>
        <w:keepNext w:val="0"/>
        <w:keepLines w:val="0"/>
        <w:pageBreakBefore w:val="0"/>
        <w:widowControl w:val="0"/>
        <w:kinsoku/>
        <w:wordWrap/>
        <w:overflowPunct/>
        <w:topLinePunct w:val="0"/>
        <w:bidi w:val="0"/>
        <w:spacing w:line="360" w:lineRule="auto"/>
        <w:textAlignment w:val="auto"/>
        <w:rPr>
          <w:rFonts w:hint="default" w:cs="仿宋" w:asciiTheme="majorEastAsia" w:hAnsiTheme="majorEastAsia" w:eastAsiaTheme="majorEastAsia"/>
          <w:color w:val="auto"/>
          <w:sz w:val="24"/>
          <w:highlight w:val="yellow"/>
          <w:lang w:val="en-US" w:eastAsia="zh-CN"/>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项目编号：</w:t>
      </w:r>
      <w:r>
        <w:rPr>
          <w:rFonts w:cs="仿宋" w:asciiTheme="majorEastAsia" w:hAnsiTheme="majorEastAsia" w:eastAsiaTheme="majorEastAsia"/>
          <w:color w:val="auto"/>
          <w:sz w:val="24"/>
          <w:highlight w:val="none"/>
        </w:rPr>
        <w:t>FHGQZB(</w:t>
      </w:r>
      <w:r>
        <w:rPr>
          <w:rFonts w:hint="eastAsia" w:cs="仿宋" w:asciiTheme="majorEastAsia" w:hAnsiTheme="majorEastAsia" w:eastAsiaTheme="majorEastAsia"/>
          <w:color w:val="auto"/>
          <w:sz w:val="24"/>
          <w:highlight w:val="none"/>
          <w:lang w:eastAsia="zh-CN"/>
        </w:rPr>
        <w:t>2025</w:t>
      </w:r>
      <w:r>
        <w:rPr>
          <w:rFonts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lang w:val="en-US" w:eastAsia="zh-CN"/>
        </w:rPr>
        <w:t>146D-1</w:t>
      </w:r>
    </w:p>
    <w:p w14:paraId="32C56838">
      <w:pPr>
        <w:keepNext w:val="0"/>
        <w:keepLines w:val="0"/>
        <w:pageBreakBefore w:val="0"/>
        <w:widowControl w:val="0"/>
        <w:kinsoku/>
        <w:wordWrap/>
        <w:overflowPunct/>
        <w:topLinePunct w:val="0"/>
        <w:bidi w:val="0"/>
        <w:spacing w:line="360" w:lineRule="auto"/>
        <w:ind w:left="480" w:hanging="480" w:hangingChars="200"/>
        <w:textAlignment w:val="auto"/>
        <w:rPr>
          <w:rFonts w:hint="eastAsia"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 xml:space="preserve"> 项目名称：</w:t>
      </w:r>
      <w:r>
        <w:rPr>
          <w:rFonts w:hint="eastAsia" w:cs="仿宋" w:asciiTheme="majorEastAsia" w:hAnsiTheme="majorEastAsia" w:eastAsiaTheme="majorEastAsia"/>
          <w:color w:val="auto"/>
          <w:sz w:val="24"/>
          <w:highlight w:val="none"/>
          <w:lang w:val="en-US" w:eastAsia="zh-CN"/>
        </w:rPr>
        <w:t>奉化区FH12-03-01b-1地块停车场交通安全设施及标线采购项目（重发）</w:t>
      </w:r>
    </w:p>
    <w:p w14:paraId="52B935DF">
      <w:pPr>
        <w:keepNext w:val="0"/>
        <w:keepLines w:val="0"/>
        <w:pageBreakBefore w:val="0"/>
        <w:widowControl w:val="0"/>
        <w:kinsoku/>
        <w:wordWrap/>
        <w:overflowPunct/>
        <w:topLinePunct w:val="0"/>
        <w:bidi w:val="0"/>
        <w:spacing w:line="360" w:lineRule="auto"/>
        <w:ind w:left="480" w:hanging="480" w:hangingChars="200"/>
        <w:textAlignment w:val="auto"/>
        <w:rPr>
          <w:rFonts w:hint="eastAsia"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 xml:space="preserve"> 预算金额（元）</w:t>
      </w:r>
      <w:r>
        <w:rPr>
          <w:rFonts w:hint="eastAsia" w:cs="仿宋" w:asciiTheme="majorEastAsia" w:hAnsiTheme="majorEastAsia" w:eastAsiaTheme="majorEastAsia"/>
          <w:color w:val="auto"/>
          <w:sz w:val="24"/>
          <w:highlight w:val="none"/>
          <w:lang w:val="en-US" w:eastAsia="zh-CN"/>
        </w:rPr>
        <w:t xml:space="preserve">：580000元  </w:t>
      </w:r>
    </w:p>
    <w:p w14:paraId="6CC5623C">
      <w:pPr>
        <w:keepNext w:val="0"/>
        <w:keepLines w:val="0"/>
        <w:pageBreakBefore w:val="0"/>
        <w:widowControl w:val="0"/>
        <w:kinsoku/>
        <w:wordWrap/>
        <w:overflowPunct/>
        <w:topLinePunct w:val="0"/>
        <w:bidi w:val="0"/>
        <w:spacing w:line="360" w:lineRule="auto"/>
        <w:ind w:firstLine="480"/>
        <w:textAlignment w:val="auto"/>
        <w:rPr>
          <w:rFonts w:hint="default" w:cs="仿宋" w:asciiTheme="majorEastAsia" w:hAnsiTheme="majorEastAsia" w:eastAsiaTheme="majorEastAsia"/>
          <w:color w:val="auto"/>
          <w:sz w:val="24"/>
          <w:highlight w:val="yellow"/>
          <w:lang w:val="en-US" w:eastAsia="zh-CN"/>
        </w:rPr>
      </w:pPr>
      <w:r>
        <w:rPr>
          <w:rFonts w:hint="eastAsia" w:cs="仿宋" w:asciiTheme="majorEastAsia" w:hAnsiTheme="majorEastAsia" w:eastAsiaTheme="majorEastAsia"/>
          <w:b/>
          <w:color w:val="auto"/>
          <w:sz w:val="24"/>
          <w:highlight w:val="none"/>
        </w:rPr>
        <w:t>最高限价（元）：</w:t>
      </w:r>
      <w:r>
        <w:rPr>
          <w:rFonts w:hint="eastAsia" w:cs="仿宋" w:asciiTheme="majorEastAsia" w:hAnsiTheme="majorEastAsia" w:eastAsiaTheme="majorEastAsia"/>
          <w:color w:val="auto"/>
          <w:sz w:val="24"/>
          <w:highlight w:val="none"/>
          <w:lang w:val="en-US" w:eastAsia="zh-CN"/>
        </w:rPr>
        <w:t>556933元</w:t>
      </w:r>
    </w:p>
    <w:p w14:paraId="6E133096">
      <w:pPr>
        <w:pStyle w:val="6"/>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cs="仿宋" w:asciiTheme="majorEastAsia" w:hAnsiTheme="majorEastAsia" w:eastAsiaTheme="majorEastAsia"/>
          <w:bCs/>
          <w:snapToGrid/>
          <w:color w:val="auto"/>
          <w:kern w:val="2"/>
          <w:sz w:val="24"/>
          <w:szCs w:val="24"/>
          <w:highlight w:val="none"/>
        </w:rPr>
      </w:pPr>
      <w:r>
        <w:rPr>
          <w:rFonts w:hint="eastAsia" w:cs="仿宋" w:asciiTheme="majorEastAsia" w:hAnsiTheme="majorEastAsia" w:eastAsiaTheme="majorEastAsia"/>
          <w:b/>
          <w:color w:val="auto"/>
          <w:sz w:val="24"/>
          <w:highlight w:val="none"/>
        </w:rPr>
        <w:t>采购需求：</w:t>
      </w:r>
      <w:r>
        <w:rPr>
          <w:rFonts w:hint="eastAsia" w:cs="仿宋" w:asciiTheme="majorEastAsia" w:hAnsiTheme="majorEastAsia" w:eastAsiaTheme="majorEastAsia"/>
          <w:bCs/>
          <w:snapToGrid/>
          <w:color w:val="auto"/>
          <w:kern w:val="2"/>
          <w:sz w:val="24"/>
          <w:szCs w:val="24"/>
          <w:highlight w:val="none"/>
          <w:lang w:val="en-US" w:eastAsia="zh-CN"/>
        </w:rPr>
        <w:t>奉化区FH12-03-01b-1地块停车场交通安全设施及标线采购项目</w:t>
      </w:r>
      <w:r>
        <w:rPr>
          <w:rFonts w:hint="eastAsia" w:cs="仿宋" w:asciiTheme="majorEastAsia" w:hAnsiTheme="majorEastAsia" w:eastAsiaTheme="majorEastAsia"/>
          <w:color w:val="auto"/>
          <w:sz w:val="24"/>
          <w:highlight w:val="none"/>
          <w:lang w:val="en-US" w:eastAsia="zh-CN"/>
        </w:rPr>
        <w:t>（重发）</w:t>
      </w:r>
      <w:r>
        <w:rPr>
          <w:rFonts w:hint="eastAsia" w:cs="仿宋" w:asciiTheme="majorEastAsia" w:hAnsiTheme="majorEastAsia" w:eastAsiaTheme="majorEastAsia"/>
          <w:bCs/>
          <w:snapToGrid/>
          <w:color w:val="auto"/>
          <w:kern w:val="2"/>
          <w:sz w:val="24"/>
          <w:szCs w:val="24"/>
          <w:highlight w:val="none"/>
          <w:lang w:val="en-US" w:eastAsia="zh-CN"/>
        </w:rPr>
        <w:t xml:space="preserve">  </w:t>
      </w:r>
      <w:r>
        <w:rPr>
          <w:rFonts w:hint="eastAsia" w:cs="仿宋" w:asciiTheme="majorEastAsia" w:hAnsiTheme="majorEastAsia" w:eastAsiaTheme="majorEastAsia"/>
          <w:bCs/>
          <w:snapToGrid/>
          <w:color w:val="auto"/>
          <w:kern w:val="2"/>
          <w:sz w:val="24"/>
          <w:szCs w:val="24"/>
          <w:highlight w:val="none"/>
        </w:rPr>
        <w:t>主要内容：详见招标文件第三部分采购需求。</w:t>
      </w:r>
    </w:p>
    <w:p w14:paraId="5DC519C7">
      <w:pPr>
        <w:pStyle w:val="41"/>
        <w:keepNext w:val="0"/>
        <w:keepLines w:val="0"/>
        <w:pageBreakBefore w:val="0"/>
        <w:widowControl w:val="0"/>
        <w:kinsoku/>
        <w:wordWrap/>
        <w:overflowPunct/>
        <w:topLinePunct w:val="0"/>
        <w:autoSpaceDE/>
        <w:autoSpaceDN/>
        <w:bidi w:val="0"/>
        <w:adjustRightInd/>
        <w:spacing w:before="0"/>
        <w:ind w:firstLine="482"/>
        <w:textAlignment w:val="auto"/>
        <w:outlineLvl w:val="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合同履约期限：</w:t>
      </w:r>
      <w:r>
        <w:rPr>
          <w:rFonts w:hint="eastAsia" w:cs="仿宋" w:asciiTheme="majorEastAsia" w:hAnsiTheme="majorEastAsia" w:eastAsiaTheme="majorEastAsia"/>
          <w:bCs/>
          <w:snapToGrid/>
          <w:color w:val="auto"/>
          <w:kern w:val="2"/>
          <w:sz w:val="24"/>
          <w:szCs w:val="24"/>
          <w:highlight w:val="none"/>
        </w:rPr>
        <w:t>详见招标文件第三部分采购需求</w:t>
      </w:r>
      <w:r>
        <w:rPr>
          <w:rFonts w:cs="仿宋" w:asciiTheme="majorEastAsia" w:hAnsiTheme="majorEastAsia" w:eastAsiaTheme="majorEastAsia"/>
          <w:color w:val="auto"/>
          <w:highlight w:val="none"/>
        </w:rPr>
        <w:t xml:space="preserve"> </w:t>
      </w:r>
    </w:p>
    <w:p w14:paraId="3A0D5899">
      <w:pPr>
        <w:pStyle w:val="6"/>
        <w:keepNext w:val="0"/>
        <w:keepLines w:val="0"/>
        <w:pageBreakBefore w:val="0"/>
        <w:widowControl w:val="0"/>
        <w:kinsoku/>
        <w:wordWrap/>
        <w:overflowPunct/>
        <w:topLinePunct w:val="0"/>
        <w:bidi w:val="0"/>
        <w:spacing w:line="360" w:lineRule="auto"/>
        <w:ind w:firstLine="480"/>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本项目接受联合体投标：</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b/>
          <w:color w:val="auto"/>
          <w:sz w:val="24"/>
          <w:highlight w:val="none"/>
        </w:rPr>
        <w:t>是，</w:t>
      </w:r>
      <w:r>
        <w:rPr>
          <w:rFonts w:hint="eastAsia" w:cs="仿宋" w:asciiTheme="majorEastAsia" w:hAnsiTheme="majorEastAsia" w:eastAsiaTheme="majorEastAsia"/>
          <w:color w:val="auto"/>
          <w:kern w:val="0"/>
          <w:sz w:val="24"/>
          <w:highlight w:val="none"/>
        </w:rPr>
        <w:t xml:space="preserve"> </w:t>
      </w: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b/>
          <w:color w:val="auto"/>
          <w:sz w:val="24"/>
          <w:highlight w:val="none"/>
        </w:rPr>
        <w:t>否</w:t>
      </w:r>
      <w:r>
        <w:rPr>
          <w:rFonts w:hint="eastAsia" w:cs="仿宋" w:asciiTheme="majorEastAsia" w:hAnsiTheme="majorEastAsia" w:eastAsiaTheme="majorEastAsia"/>
          <w:color w:val="auto"/>
          <w:kern w:val="0"/>
          <w:sz w:val="24"/>
          <w:highlight w:val="none"/>
        </w:rPr>
        <w:t>。</w:t>
      </w:r>
    </w:p>
    <w:p w14:paraId="7D8B97F6">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二、申请人的资格要求：</w:t>
      </w:r>
    </w:p>
    <w:p w14:paraId="32BDEE83">
      <w:pPr>
        <w:keepNext w:val="0"/>
        <w:keepLines w:val="0"/>
        <w:pageBreakBefore w:val="0"/>
        <w:widowControl w:val="0"/>
        <w:kinsoku/>
        <w:wordWrap/>
        <w:overflowPunct/>
        <w:topLinePunct w:val="0"/>
        <w:bidi w:val="0"/>
        <w:spacing w:line="360" w:lineRule="auto"/>
        <w:ind w:firstLine="480"/>
        <w:textAlignment w:val="auto"/>
        <w:rPr>
          <w:rFonts w:cs="仿宋" w:asciiTheme="majorEastAsia" w:hAnsiTheme="majorEastAsia" w:eastAsiaTheme="majorEastAsia"/>
          <w:snapToGrid w:val="0"/>
          <w:color w:val="auto"/>
          <w:kern w:val="28"/>
          <w:sz w:val="24"/>
          <w:szCs w:val="20"/>
          <w:highlight w:val="none"/>
        </w:rPr>
      </w:pPr>
      <w:r>
        <w:rPr>
          <w:rFonts w:hint="eastAsia" w:cs="仿宋" w:asciiTheme="majorEastAsia" w:hAnsiTheme="majorEastAsia" w:eastAsiaTheme="maj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3331794">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snapToGrid w:val="0"/>
          <w:color w:val="auto"/>
          <w:kern w:val="28"/>
          <w:sz w:val="24"/>
          <w:szCs w:val="20"/>
          <w:highlight w:val="none"/>
        </w:rPr>
        <w:t xml:space="preserve">    2.落实政府采购政策需满足的资格要求：</w:t>
      </w:r>
      <w:r>
        <w:rPr>
          <w:rFonts w:hint="eastAsia" w:cs="仿宋" w:asciiTheme="majorEastAsia" w:hAnsiTheme="majorEastAsia" w:eastAsiaTheme="majorEastAsia"/>
          <w:color w:val="auto"/>
          <w:sz w:val="24"/>
          <w:highlight w:val="none"/>
        </w:rPr>
        <w:t>无；</w:t>
      </w:r>
    </w:p>
    <w:p w14:paraId="6EA0BDA6">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3.本项目的特定资格要求：投标人</w:t>
      </w:r>
      <w:r>
        <w:rPr>
          <w:rFonts w:hint="eastAsia" w:cs="仿宋" w:asciiTheme="majorEastAsia" w:hAnsiTheme="majorEastAsia" w:eastAsiaTheme="majorEastAsia"/>
          <w:color w:val="auto"/>
          <w:sz w:val="24"/>
          <w:highlight w:val="none"/>
          <w:lang w:val="en-US" w:eastAsia="zh-CN"/>
        </w:rPr>
        <w:t>须</w:t>
      </w:r>
      <w:r>
        <w:rPr>
          <w:rFonts w:hint="eastAsia" w:cs="仿宋" w:asciiTheme="majorEastAsia" w:hAnsiTheme="majorEastAsia" w:eastAsiaTheme="majorEastAsia"/>
          <w:color w:val="auto"/>
          <w:sz w:val="24"/>
          <w:highlight w:val="none"/>
        </w:rPr>
        <w:t>具有公路交通工程</w:t>
      </w:r>
      <w:r>
        <w:rPr>
          <w:rFonts w:hint="eastAsia" w:cs="仿宋" w:asciiTheme="majorEastAsia" w:hAnsiTheme="majorEastAsia" w:eastAsiaTheme="majorEastAsia"/>
          <w:color w:val="auto"/>
          <w:sz w:val="24"/>
          <w:highlight w:val="none"/>
          <w:lang w:val="en-US" w:eastAsia="zh-CN"/>
        </w:rPr>
        <w:t>专业承包</w:t>
      </w:r>
      <w:r>
        <w:rPr>
          <w:rFonts w:hint="eastAsia" w:cs="仿宋" w:asciiTheme="majorEastAsia" w:hAnsiTheme="majorEastAsia" w:eastAsiaTheme="majorEastAsia"/>
          <w:color w:val="auto"/>
          <w:sz w:val="24"/>
          <w:highlight w:val="none"/>
        </w:rPr>
        <w:t>（公路安全设施</w:t>
      </w:r>
      <w:r>
        <w:rPr>
          <w:rFonts w:hint="eastAsia" w:cs="仿宋" w:asciiTheme="majorEastAsia" w:hAnsiTheme="majorEastAsia" w:eastAsiaTheme="majorEastAsia"/>
          <w:color w:val="auto"/>
          <w:sz w:val="24"/>
          <w:highlight w:val="none"/>
          <w:lang w:val="en-US" w:eastAsia="zh-CN"/>
        </w:rPr>
        <w:t>分项）二级及以上</w:t>
      </w:r>
      <w:r>
        <w:rPr>
          <w:rFonts w:hint="eastAsia" w:cs="仿宋" w:asciiTheme="majorEastAsia" w:hAnsiTheme="majorEastAsia" w:eastAsiaTheme="majorEastAsia"/>
          <w:color w:val="auto"/>
          <w:sz w:val="24"/>
          <w:highlight w:val="none"/>
        </w:rPr>
        <w:t>资质。</w:t>
      </w:r>
    </w:p>
    <w:p w14:paraId="71AB95C7">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6E18749">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三、获取招标文件 </w:t>
      </w:r>
    </w:p>
    <w:p w14:paraId="3E18EBB0">
      <w:pPr>
        <w:keepNext w:val="0"/>
        <w:keepLines w:val="0"/>
        <w:pageBreakBefore w:val="0"/>
        <w:widowControl w:val="0"/>
        <w:kinsoku/>
        <w:wordWrap/>
        <w:overflowPunct/>
        <w:topLinePunct w:val="0"/>
        <w:bidi w:val="0"/>
        <w:spacing w:line="360" w:lineRule="auto"/>
        <w:ind w:firstLine="482"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时间：</w:t>
      </w:r>
      <w:r>
        <w:rPr>
          <w:rFonts w:hint="eastAsia" w:cs="仿宋" w:asciiTheme="minorEastAsia" w:hAnsiTheme="minorEastAsia" w:eastAsiaTheme="minorEastAsia"/>
          <w:color w:val="auto"/>
          <w:sz w:val="24"/>
          <w:highlight w:val="none"/>
          <w:u w:val="single"/>
        </w:rPr>
        <w:t>202</w:t>
      </w:r>
      <w:r>
        <w:rPr>
          <w:rFonts w:hint="eastAsia" w:cs="仿宋" w:asciiTheme="minorEastAsia" w:hAnsiTheme="minorEastAsia" w:eastAsiaTheme="minorEastAsia"/>
          <w:color w:val="auto"/>
          <w:sz w:val="24"/>
          <w:highlight w:val="none"/>
          <w:u w:val="single"/>
          <w:lang w:val="en-US" w:eastAsia="zh-CN"/>
        </w:rPr>
        <w:t>5</w:t>
      </w:r>
      <w:r>
        <w:rPr>
          <w:rFonts w:hint="eastAsia" w:cs="仿宋" w:asciiTheme="minorEastAsia" w:hAnsiTheme="minorEastAsia" w:eastAsiaTheme="minorEastAsia"/>
          <w:color w:val="auto"/>
          <w:sz w:val="24"/>
          <w:highlight w:val="none"/>
          <w:u w:val="single"/>
        </w:rPr>
        <w:t>年</w:t>
      </w:r>
      <w:r>
        <w:rPr>
          <w:rFonts w:hint="eastAsia" w:cs="仿宋" w:asciiTheme="minorEastAsia" w:hAnsiTheme="minorEastAsia" w:eastAsiaTheme="minorEastAsia"/>
          <w:color w:val="auto"/>
          <w:sz w:val="24"/>
          <w:highlight w:val="none"/>
          <w:u w:val="single"/>
          <w:lang w:val="en-US" w:eastAsia="zh-CN"/>
        </w:rPr>
        <w:t>06</w:t>
      </w:r>
      <w:r>
        <w:rPr>
          <w:rFonts w:hint="eastAsia" w:cs="仿宋" w:asciiTheme="minorEastAsia" w:hAnsiTheme="minorEastAsia" w:eastAsiaTheme="minorEastAsia"/>
          <w:color w:val="auto"/>
          <w:sz w:val="24"/>
          <w:highlight w:val="none"/>
          <w:u w:val="single"/>
        </w:rPr>
        <w:t>月</w:t>
      </w:r>
      <w:r>
        <w:rPr>
          <w:rFonts w:hint="eastAsia" w:cs="仿宋" w:asciiTheme="minorEastAsia" w:hAnsiTheme="minorEastAsia" w:eastAsiaTheme="minorEastAsia"/>
          <w:color w:val="auto"/>
          <w:sz w:val="24"/>
          <w:highlight w:val="none"/>
          <w:u w:val="single"/>
          <w:lang w:val="en-US" w:eastAsia="zh-CN"/>
        </w:rPr>
        <w:t>11</w:t>
      </w:r>
      <w:r>
        <w:rPr>
          <w:rFonts w:hint="eastAsia" w:cs="仿宋" w:asciiTheme="minorEastAsia" w:hAnsiTheme="minorEastAsia" w:eastAsiaTheme="minorEastAsia"/>
          <w:color w:val="auto"/>
          <w:sz w:val="24"/>
          <w:highlight w:val="none"/>
          <w:u w:val="single"/>
        </w:rPr>
        <w:t>日</w:t>
      </w:r>
      <w:r>
        <w:rPr>
          <w:rFonts w:hint="eastAsia" w:cs="仿宋" w:asciiTheme="majorEastAsia" w:hAnsiTheme="majorEastAsia" w:eastAsiaTheme="majorEastAsia"/>
          <w:color w:val="auto"/>
          <w:sz w:val="24"/>
          <w:highlight w:val="none"/>
        </w:rPr>
        <w:t>至</w:t>
      </w:r>
      <w:r>
        <w:rPr>
          <w:rFonts w:hint="eastAsia" w:cs="仿宋" w:asciiTheme="majorEastAsia" w:hAnsiTheme="majorEastAsia" w:eastAsiaTheme="majorEastAsia"/>
          <w:color w:val="auto"/>
          <w:sz w:val="24"/>
          <w:highlight w:val="none"/>
          <w:u w:val="single"/>
          <w:lang w:eastAsia="zh-CN"/>
        </w:rPr>
        <w:t>2025</w:t>
      </w:r>
      <w:r>
        <w:rPr>
          <w:rFonts w:hint="eastAsia" w:cs="仿宋" w:asciiTheme="majorEastAsia" w:hAnsiTheme="majorEastAsia" w:eastAsiaTheme="majorEastAsia"/>
          <w:color w:val="auto"/>
          <w:sz w:val="24"/>
          <w:highlight w:val="none"/>
          <w:u w:val="single"/>
        </w:rPr>
        <w:t>年</w:t>
      </w:r>
      <w:r>
        <w:rPr>
          <w:rFonts w:hint="eastAsia" w:cs="仿宋" w:asciiTheme="majorEastAsia" w:hAnsiTheme="majorEastAsia" w:eastAsiaTheme="majorEastAsia"/>
          <w:color w:val="auto"/>
          <w:sz w:val="24"/>
          <w:highlight w:val="none"/>
          <w:u w:val="single"/>
          <w:lang w:val="en-US" w:eastAsia="zh-CN"/>
        </w:rPr>
        <w:t>06</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18</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rPr>
        <w:t>，每天上午00:00至12:00 ，下午12:00至23:59（北京时间）。</w:t>
      </w:r>
    </w:p>
    <w:p w14:paraId="74AF5B46">
      <w:pPr>
        <w:keepNext w:val="0"/>
        <w:keepLines w:val="0"/>
        <w:pageBreakBefore w:val="0"/>
        <w:widowControl w:val="0"/>
        <w:kinsoku/>
        <w:wordWrap/>
        <w:overflowPunct/>
        <w:topLinePunct w:val="0"/>
        <w:bidi w:val="0"/>
        <w:spacing w:line="360" w:lineRule="auto"/>
        <w:ind w:firstLine="482"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地点（网址）：</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平台（https://</w:t>
      </w:r>
      <w:r>
        <w:rPr>
          <w:rFonts w:hint="eastAsia" w:cs="仿宋" w:asciiTheme="majorEastAsia" w:hAnsiTheme="majorEastAsia" w:eastAsiaTheme="majorEastAsia"/>
          <w:color w:val="auto"/>
          <w:sz w:val="24"/>
          <w:highlight w:val="none"/>
          <w:lang w:eastAsia="zh-CN"/>
        </w:rPr>
        <w:t>www.lecaiyun.com</w:t>
      </w:r>
      <w:r>
        <w:rPr>
          <w:rFonts w:hint="eastAsia" w:cs="仿宋" w:asciiTheme="majorEastAsia" w:hAnsiTheme="majorEastAsia" w:eastAsiaTheme="majorEastAsia"/>
          <w:color w:val="auto"/>
          <w:sz w:val="24"/>
          <w:highlight w:val="none"/>
        </w:rPr>
        <w:t>/）。</w:t>
      </w:r>
    </w:p>
    <w:p w14:paraId="737FA31D">
      <w:pPr>
        <w:keepNext w:val="0"/>
        <w:keepLines w:val="0"/>
        <w:pageBreakBefore w:val="0"/>
        <w:widowControl w:val="0"/>
        <w:kinsoku/>
        <w:wordWrap/>
        <w:overflowPunct/>
        <w:topLinePunct w:val="0"/>
        <w:bidi w:val="0"/>
        <w:spacing w:line="360" w:lineRule="auto"/>
        <w:ind w:firstLine="482"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方式：</w:t>
      </w:r>
      <w:r>
        <w:rPr>
          <w:rFonts w:hint="eastAsia" w:cs="仿宋" w:asciiTheme="majorEastAsia" w:hAnsiTheme="majorEastAsia" w:eastAsiaTheme="majorEastAsia"/>
          <w:color w:val="auto"/>
          <w:sz w:val="24"/>
          <w:highlight w:val="none"/>
        </w:rPr>
        <w:t>供应商登录</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平台https://</w:t>
      </w:r>
      <w:r>
        <w:rPr>
          <w:rFonts w:hint="eastAsia" w:cs="仿宋" w:asciiTheme="majorEastAsia" w:hAnsiTheme="majorEastAsia" w:eastAsiaTheme="majorEastAsia"/>
          <w:color w:val="auto"/>
          <w:sz w:val="24"/>
          <w:highlight w:val="none"/>
          <w:lang w:eastAsia="zh-CN"/>
        </w:rPr>
        <w:t>www.lecaiyun.com</w:t>
      </w:r>
      <w:r>
        <w:rPr>
          <w:rFonts w:hint="eastAsia" w:cs="仿宋" w:asciiTheme="majorEastAsia" w:hAnsiTheme="majorEastAsia" w:eastAsiaTheme="majorEastAsia"/>
          <w:color w:val="auto"/>
          <w:sz w:val="24"/>
          <w:highlight w:val="none"/>
        </w:rPr>
        <w:t xml:space="preserve">/在线申请获取招标文件（进入“项目采购”应用，在获取采购文件菜单中选择项目，申请获取招标文件）。 </w:t>
      </w:r>
    </w:p>
    <w:p w14:paraId="17ECEF4E">
      <w:pPr>
        <w:keepNext w:val="0"/>
        <w:keepLines w:val="0"/>
        <w:pageBreakBefore w:val="0"/>
        <w:widowControl w:val="0"/>
        <w:kinsoku/>
        <w:wordWrap/>
        <w:overflowPunct/>
        <w:topLinePunct w:val="0"/>
        <w:bidi w:val="0"/>
        <w:spacing w:line="360" w:lineRule="auto"/>
        <w:ind w:firstLine="482"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售价（元）：</w:t>
      </w:r>
      <w:r>
        <w:rPr>
          <w:rFonts w:hint="eastAsia" w:cs="仿宋" w:asciiTheme="majorEastAsia" w:hAnsiTheme="majorEastAsia" w:eastAsiaTheme="majorEastAsia"/>
          <w:color w:val="auto"/>
          <w:sz w:val="24"/>
          <w:highlight w:val="none"/>
        </w:rPr>
        <w:t xml:space="preserve">0 </w:t>
      </w:r>
      <w:r>
        <w:rPr>
          <w:rFonts w:hint="eastAsia" w:cs="仿宋" w:asciiTheme="majorEastAsia" w:hAnsiTheme="majorEastAsia" w:eastAsiaTheme="majorEastAsia"/>
          <w:color w:val="auto"/>
          <w:sz w:val="24"/>
          <w:highlight w:val="none"/>
        </w:rPr>
        <w:tab/>
      </w:r>
    </w:p>
    <w:p w14:paraId="333740E5">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b/>
          <w:color w:val="auto"/>
          <w:sz w:val="24"/>
          <w:highlight w:val="yellow"/>
        </w:rPr>
      </w:pPr>
      <w:r>
        <w:rPr>
          <w:rFonts w:hint="eastAsia" w:cs="仿宋" w:asciiTheme="majorEastAsia" w:hAnsiTheme="majorEastAsia" w:eastAsiaTheme="majorEastAsia"/>
          <w:b/>
          <w:color w:val="auto"/>
          <w:sz w:val="24"/>
          <w:highlight w:val="none"/>
        </w:rPr>
        <w:t>四、提交投标文件截止时间、开标时间和地点</w:t>
      </w:r>
    </w:p>
    <w:p w14:paraId="07681376">
      <w:pPr>
        <w:keepNext w:val="0"/>
        <w:keepLines w:val="0"/>
        <w:pageBreakBefore w:val="0"/>
        <w:widowControl w:val="0"/>
        <w:kinsoku/>
        <w:wordWrap/>
        <w:overflowPunct/>
        <w:topLinePunct w:val="0"/>
        <w:bidi w:val="0"/>
        <w:spacing w:line="360" w:lineRule="auto"/>
        <w:ind w:firstLine="482"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提交投标文件截止时间：</w:t>
      </w:r>
      <w:r>
        <w:rPr>
          <w:rFonts w:hint="eastAsia" w:cs="仿宋" w:asciiTheme="majorEastAsia" w:hAnsiTheme="majorEastAsia" w:eastAsiaTheme="majorEastAsia"/>
          <w:color w:val="auto"/>
          <w:sz w:val="24"/>
          <w:highlight w:val="none"/>
          <w:u w:val="single"/>
          <w:lang w:eastAsia="zh-CN"/>
        </w:rPr>
        <w:t>2025</w:t>
      </w:r>
      <w:r>
        <w:rPr>
          <w:rFonts w:hint="eastAsia" w:cs="仿宋" w:asciiTheme="majorEastAsia" w:hAnsiTheme="majorEastAsia" w:eastAsiaTheme="majorEastAsia"/>
          <w:color w:val="auto"/>
          <w:sz w:val="24"/>
          <w:highlight w:val="none"/>
          <w:u w:val="single"/>
        </w:rPr>
        <w:t>年</w:t>
      </w:r>
      <w:r>
        <w:rPr>
          <w:rFonts w:hint="eastAsia" w:cs="仿宋" w:asciiTheme="majorEastAsia" w:hAnsiTheme="majorEastAsia" w:eastAsiaTheme="majorEastAsia"/>
          <w:color w:val="auto"/>
          <w:sz w:val="24"/>
          <w:highlight w:val="none"/>
          <w:u w:val="single"/>
          <w:lang w:val="en-US" w:eastAsia="zh-CN"/>
        </w:rPr>
        <w:t>07</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03</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14</w:t>
      </w:r>
      <w:r>
        <w:rPr>
          <w:rFonts w:hint="eastAsia" w:cs="仿宋" w:asciiTheme="majorEastAsia" w:hAnsiTheme="majorEastAsia" w:eastAsiaTheme="majorEastAsia"/>
          <w:color w:val="auto"/>
          <w:sz w:val="24"/>
          <w:highlight w:val="none"/>
          <w:u w:val="single"/>
          <w:lang w:eastAsia="zh-CN"/>
        </w:rPr>
        <w:t>：</w:t>
      </w:r>
      <w:r>
        <w:rPr>
          <w:rFonts w:hint="eastAsia" w:cs="仿宋" w:asciiTheme="majorEastAsia" w:hAnsiTheme="majorEastAsia" w:eastAsiaTheme="majorEastAsia"/>
          <w:color w:val="auto"/>
          <w:sz w:val="24"/>
          <w:highlight w:val="none"/>
          <w:u w:val="single"/>
          <w:lang w:val="en-US" w:eastAsia="zh-CN"/>
        </w:rPr>
        <w:t>00</w:t>
      </w:r>
      <w:r>
        <w:rPr>
          <w:rFonts w:hint="eastAsia" w:cs="仿宋" w:asciiTheme="majorEastAsia" w:hAnsiTheme="majorEastAsia" w:eastAsiaTheme="majorEastAsia"/>
          <w:color w:val="auto"/>
          <w:sz w:val="24"/>
          <w:highlight w:val="none"/>
        </w:rPr>
        <w:t>（北京时间）。</w:t>
      </w:r>
    </w:p>
    <w:p w14:paraId="2AB95794">
      <w:pPr>
        <w:keepNext w:val="0"/>
        <w:keepLines w:val="0"/>
        <w:pageBreakBefore w:val="0"/>
        <w:widowControl w:val="0"/>
        <w:kinsoku/>
        <w:wordWrap/>
        <w:overflowPunct/>
        <w:topLinePunct w:val="0"/>
        <w:bidi w:val="0"/>
        <w:spacing w:line="360" w:lineRule="auto"/>
        <w:ind w:firstLine="482" w:firstLineChars="200"/>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投标地点（网址）：</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平台（https://</w:t>
      </w:r>
      <w:r>
        <w:rPr>
          <w:rFonts w:hint="eastAsia" w:cs="仿宋" w:asciiTheme="majorEastAsia" w:hAnsiTheme="majorEastAsia" w:eastAsiaTheme="majorEastAsia"/>
          <w:color w:val="auto"/>
          <w:sz w:val="24"/>
          <w:highlight w:val="none"/>
          <w:lang w:eastAsia="zh-CN"/>
        </w:rPr>
        <w:t>www.lecaiyun.com</w:t>
      </w:r>
      <w:r>
        <w:rPr>
          <w:rFonts w:hint="eastAsia" w:cs="仿宋" w:asciiTheme="majorEastAsia" w:hAnsiTheme="majorEastAsia" w:eastAsiaTheme="majorEastAsia"/>
          <w:color w:val="auto"/>
          <w:sz w:val="24"/>
          <w:highlight w:val="none"/>
        </w:rPr>
        <w:t>/）。</w:t>
      </w:r>
    </w:p>
    <w:p w14:paraId="0AC0532D">
      <w:pPr>
        <w:keepNext w:val="0"/>
        <w:keepLines w:val="0"/>
        <w:pageBreakBefore w:val="0"/>
        <w:widowControl w:val="0"/>
        <w:kinsoku/>
        <w:wordWrap/>
        <w:overflowPunct/>
        <w:topLinePunct w:val="0"/>
        <w:bidi w:val="0"/>
        <w:spacing w:line="360" w:lineRule="auto"/>
        <w:ind w:firstLine="482" w:firstLineChars="200"/>
        <w:textAlignment w:val="auto"/>
        <w:rPr>
          <w:rFonts w:cs="仿宋" w:asciiTheme="majorEastAsia" w:hAnsiTheme="majorEastAsia" w:eastAsiaTheme="majorEastAsia"/>
          <w:bCs/>
          <w:color w:val="auto"/>
          <w:sz w:val="24"/>
          <w:highlight w:val="none"/>
          <w:u w:val="single"/>
        </w:rPr>
      </w:pPr>
      <w:r>
        <w:rPr>
          <w:rFonts w:hint="eastAsia" w:cs="仿宋" w:asciiTheme="majorEastAsia" w:hAnsiTheme="majorEastAsia" w:eastAsiaTheme="majorEastAsia"/>
          <w:b/>
          <w:color w:val="auto"/>
          <w:sz w:val="24"/>
          <w:highlight w:val="none"/>
        </w:rPr>
        <w:t>开标时间：</w:t>
      </w:r>
      <w:r>
        <w:rPr>
          <w:rFonts w:hint="eastAsia" w:cs="仿宋" w:asciiTheme="majorEastAsia" w:hAnsiTheme="majorEastAsia" w:eastAsiaTheme="majorEastAsia"/>
          <w:color w:val="auto"/>
          <w:sz w:val="24"/>
          <w:highlight w:val="none"/>
          <w:u w:val="single"/>
          <w:lang w:eastAsia="zh-CN"/>
        </w:rPr>
        <w:t>2025</w:t>
      </w:r>
      <w:r>
        <w:rPr>
          <w:rFonts w:hint="eastAsia" w:cs="仿宋" w:asciiTheme="majorEastAsia" w:hAnsiTheme="majorEastAsia" w:eastAsiaTheme="majorEastAsia"/>
          <w:color w:val="auto"/>
          <w:sz w:val="24"/>
          <w:highlight w:val="none"/>
          <w:u w:val="single"/>
        </w:rPr>
        <w:t>年</w:t>
      </w:r>
      <w:r>
        <w:rPr>
          <w:rFonts w:hint="eastAsia" w:cs="仿宋" w:asciiTheme="majorEastAsia" w:hAnsiTheme="majorEastAsia" w:eastAsiaTheme="majorEastAsia"/>
          <w:color w:val="auto"/>
          <w:sz w:val="24"/>
          <w:highlight w:val="none"/>
          <w:u w:val="single"/>
          <w:lang w:val="en-US" w:eastAsia="zh-CN"/>
        </w:rPr>
        <w:t>07</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03</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14</w:t>
      </w:r>
      <w:r>
        <w:rPr>
          <w:rFonts w:hint="eastAsia" w:cs="仿宋" w:asciiTheme="majorEastAsia" w:hAnsiTheme="majorEastAsia" w:eastAsiaTheme="majorEastAsia"/>
          <w:color w:val="auto"/>
          <w:sz w:val="24"/>
          <w:highlight w:val="none"/>
          <w:u w:val="single"/>
          <w:lang w:eastAsia="zh-CN"/>
        </w:rPr>
        <w:t>：</w:t>
      </w:r>
      <w:r>
        <w:rPr>
          <w:rFonts w:hint="eastAsia" w:cs="仿宋" w:asciiTheme="majorEastAsia" w:hAnsiTheme="majorEastAsia" w:eastAsiaTheme="majorEastAsia"/>
          <w:color w:val="auto"/>
          <w:sz w:val="24"/>
          <w:highlight w:val="none"/>
          <w:u w:val="single"/>
          <w:lang w:val="en-US" w:eastAsia="zh-CN"/>
        </w:rPr>
        <w:t>00</w:t>
      </w:r>
      <w:r>
        <w:rPr>
          <w:rFonts w:hint="eastAsia" w:cs="仿宋" w:asciiTheme="majorEastAsia" w:hAnsiTheme="majorEastAsia" w:eastAsiaTheme="majorEastAsia"/>
          <w:bCs/>
          <w:color w:val="auto"/>
          <w:sz w:val="24"/>
          <w:highlight w:val="none"/>
        </w:rPr>
        <w:t>。</w:t>
      </w:r>
    </w:p>
    <w:p w14:paraId="44650D57">
      <w:pPr>
        <w:keepNext w:val="0"/>
        <w:keepLines w:val="0"/>
        <w:pageBreakBefore w:val="0"/>
        <w:widowControl w:val="0"/>
        <w:kinsoku/>
        <w:wordWrap/>
        <w:overflowPunct/>
        <w:topLinePunct w:val="0"/>
        <w:bidi w:val="0"/>
        <w:spacing w:line="360" w:lineRule="auto"/>
        <w:ind w:firstLine="482"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开标地点（网址）：</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平台（https://</w:t>
      </w:r>
      <w:r>
        <w:rPr>
          <w:rFonts w:hint="eastAsia" w:cs="仿宋" w:asciiTheme="majorEastAsia" w:hAnsiTheme="majorEastAsia" w:eastAsiaTheme="majorEastAsia"/>
          <w:color w:val="auto"/>
          <w:sz w:val="24"/>
          <w:highlight w:val="none"/>
          <w:lang w:eastAsia="zh-CN"/>
        </w:rPr>
        <w:t>www.lecaiyun.com</w:t>
      </w:r>
      <w:r>
        <w:rPr>
          <w:rFonts w:hint="eastAsia" w:cs="仿宋" w:asciiTheme="majorEastAsia" w:hAnsiTheme="majorEastAsia" w:eastAsiaTheme="majorEastAsia"/>
          <w:color w:val="auto"/>
          <w:sz w:val="24"/>
          <w:highlight w:val="none"/>
        </w:rPr>
        <w:t>/）。</w:t>
      </w:r>
    </w:p>
    <w:p w14:paraId="1F580A9F">
      <w:pPr>
        <w:keepNext w:val="0"/>
        <w:keepLines w:val="0"/>
        <w:pageBreakBefore w:val="0"/>
        <w:widowControl w:val="0"/>
        <w:kinsoku/>
        <w:wordWrap/>
        <w:overflowPunct/>
        <w:topLinePunct w:val="0"/>
        <w:bidi w:val="0"/>
        <w:spacing w:line="360" w:lineRule="auto"/>
        <w:ind w:firstLine="482" w:firstLineChars="200"/>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开标地点（线下）：</w:t>
      </w:r>
      <w:r>
        <w:rPr>
          <w:rFonts w:hint="eastAsia" w:cs="仿宋" w:asciiTheme="majorEastAsia" w:hAnsiTheme="majorEastAsia" w:eastAsiaTheme="majorEastAsia"/>
          <w:bCs/>
          <w:color w:val="auto"/>
          <w:sz w:val="24"/>
          <w:highlight w:val="none"/>
        </w:rPr>
        <w:t>宁波市奉化区政务服务中心（区公共资源交易中心</w:t>
      </w:r>
      <w:r>
        <w:rPr>
          <w:rFonts w:hint="eastAsia" w:cs="仿宋" w:asciiTheme="majorEastAsia" w:hAnsiTheme="majorEastAsia" w:eastAsiaTheme="majorEastAsia"/>
          <w:bCs/>
          <w:color w:val="auto"/>
          <w:sz w:val="24"/>
          <w:highlight w:val="none"/>
          <w:lang w:eastAsia="zh-CN"/>
        </w:rPr>
        <w:t>）</w:t>
      </w:r>
      <w:r>
        <w:rPr>
          <w:rFonts w:hint="eastAsia" w:cs="仿宋" w:asciiTheme="majorEastAsia" w:hAnsiTheme="majorEastAsia" w:eastAsiaTheme="majorEastAsia"/>
          <w:bCs/>
          <w:color w:val="auto"/>
          <w:sz w:val="24"/>
          <w:highlight w:val="none"/>
          <w:lang w:val="en-US" w:eastAsia="zh-CN"/>
        </w:rPr>
        <w:t>开</w:t>
      </w:r>
      <w:r>
        <w:rPr>
          <w:rFonts w:hint="eastAsia" w:cs="仿宋" w:asciiTheme="majorEastAsia" w:hAnsiTheme="majorEastAsia" w:eastAsiaTheme="majorEastAsia"/>
          <w:bCs/>
          <w:color w:val="auto"/>
          <w:sz w:val="24"/>
          <w:highlight w:val="none"/>
        </w:rPr>
        <w:t>标厅</w:t>
      </w:r>
      <w:r>
        <w:rPr>
          <w:rFonts w:hint="eastAsia" w:cs="仿宋" w:asciiTheme="majorEastAsia" w:hAnsiTheme="majorEastAsia" w:eastAsiaTheme="majorEastAsia"/>
          <w:bCs/>
          <w:color w:val="auto"/>
          <w:sz w:val="24"/>
          <w:highlight w:val="none"/>
          <w:lang w:val="en-US" w:eastAsia="zh-CN"/>
        </w:rPr>
        <w:t>二</w:t>
      </w:r>
      <w:r>
        <w:rPr>
          <w:rFonts w:hint="eastAsia" w:cs="仿宋" w:asciiTheme="majorEastAsia" w:hAnsiTheme="majorEastAsia" w:eastAsiaTheme="majorEastAsia"/>
          <w:bCs/>
          <w:color w:val="auto"/>
          <w:sz w:val="24"/>
          <w:highlight w:val="none"/>
        </w:rPr>
        <w:t>（大成东路277号裙楼4楼）</w:t>
      </w:r>
    </w:p>
    <w:p w14:paraId="470D1248">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 xml:space="preserve">五、公告期限 </w:t>
      </w:r>
    </w:p>
    <w:p w14:paraId="4C986E07">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自本公告发布之日起5个工作日。</w:t>
      </w:r>
    </w:p>
    <w:p w14:paraId="5B8C7852">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六、其他补充事宜</w:t>
      </w:r>
    </w:p>
    <w:p w14:paraId="7EE20D42">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color w:val="auto"/>
          <w:sz w:val="24"/>
          <w:highlight w:val="none"/>
          <w:lang w:eastAsia="zh-CN"/>
        </w:rPr>
      </w:pPr>
      <w:r>
        <w:rPr>
          <w:rFonts w:hint="eastAsia" w:cs="仿宋" w:asciiTheme="majorEastAsia" w:hAnsiTheme="majorEastAsia" w:eastAsiaTheme="majorEastAsia"/>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r>
        <w:rPr>
          <w:rFonts w:hint="eastAsia" w:cs="仿宋" w:asciiTheme="majorEastAsia" w:hAnsiTheme="majorEastAsia" w:eastAsiaTheme="majorEastAsia"/>
          <w:color w:val="auto"/>
          <w:sz w:val="24"/>
          <w:highlight w:val="none"/>
          <w:lang w:eastAsia="zh-CN"/>
        </w:rPr>
        <w:t>。</w:t>
      </w:r>
    </w:p>
    <w:p w14:paraId="02A8A5A7">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t>
      </w:r>
      <w:r>
        <w:rPr>
          <w:rFonts w:hint="eastAsia" w:cs="仿宋" w:asciiTheme="majorEastAsia" w:hAnsiTheme="majorEastAsia" w:eastAsiaTheme="majorEastAsia"/>
          <w:color w:val="auto"/>
          <w:sz w:val="24"/>
          <w:highlight w:val="none"/>
          <w:lang w:eastAsia="zh-CN"/>
        </w:rPr>
        <w:t>www.lecaiyun.com</w:t>
      </w:r>
      <w:r>
        <w:rPr>
          <w:rFonts w:hint="eastAsia" w:cs="仿宋" w:asciiTheme="majorEastAsia" w:hAnsiTheme="majorEastAsia" w:eastAsiaTheme="majorEastAsia"/>
          <w:color w:val="auto"/>
          <w:sz w:val="24"/>
          <w:highlight w:val="none"/>
        </w:rPr>
        <w:t>）”进行招投标活动，不接受纸质投标文件；②投标准备：注册账号--点击“商家入驻”，进行政府采购供应商资料填写；申领CA数字证书---申领流程详见“浙江政府采购网-下载专区-电子交易客户端-CA驱动和申领流程”；安装“</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电子交易客户端”----前往“</w:t>
      </w:r>
      <w:r>
        <w:rPr>
          <w:rFonts w:hint="eastAsia" w:cs="仿宋" w:asciiTheme="majorEastAsia" w:hAnsiTheme="majorEastAsia" w:eastAsiaTheme="majorEastAsia"/>
          <w:color w:val="auto"/>
          <w:sz w:val="24"/>
          <w:highlight w:val="none"/>
          <w:lang w:eastAsia="zh-CN"/>
        </w:rPr>
        <w:t>浙江企业采购信息服务网</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lang w:eastAsia="zh-CN"/>
        </w:rPr>
        <w:t>在线下载</w:t>
      </w:r>
      <w:r>
        <w:rPr>
          <w:rFonts w:hint="eastAsia" w:cs="仿宋" w:asciiTheme="majorEastAsia" w:hAnsiTheme="majorEastAsia" w:eastAsiaTheme="majorEastAsia"/>
          <w:color w:val="auto"/>
          <w:sz w:val="24"/>
          <w:highlight w:val="none"/>
        </w:rPr>
        <w:t>-电子交易客户端”进行下载并安装；</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在开标前应确保成为浙江省</w:t>
      </w:r>
      <w:r>
        <w:rPr>
          <w:rFonts w:hint="eastAsia" w:cs="仿宋" w:asciiTheme="majorEastAsia" w:hAnsiTheme="majorEastAsia" w:eastAsiaTheme="majorEastAsia"/>
          <w:color w:val="auto"/>
          <w:sz w:val="24"/>
          <w:highlight w:val="none"/>
          <w:lang w:val="en-US" w:eastAsia="zh-CN"/>
        </w:rPr>
        <w:t>乐采云平台</w:t>
      </w:r>
      <w:r>
        <w:rPr>
          <w:rFonts w:hint="eastAsia" w:cs="仿宋" w:asciiTheme="majorEastAsia" w:hAnsiTheme="majorEastAsia" w:eastAsiaTheme="majorEastAsia"/>
          <w:color w:val="auto"/>
          <w:sz w:val="24"/>
          <w:highlight w:val="none"/>
        </w:rPr>
        <w:t>正式注册入库供应商，并完成CA数字证书办理。完成CA数字证书办理在资料齐全的情况下预计7个工作日左右，请各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合理预估时间，及时办理。③招标文件的获取：使用账号登录或者使用CA登录</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平台；进入“项目采购”应用，在获取采购文件菜单中选择项目，获取招标文件；④投标文件的制作：在“</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电子交易客户端”中完成“填写基本信息”、“导入投标文件”、“标书关联”、“标书检查”、“电子签名”、“生成电子标书”等操作；⑤采购人、采购代理机构将依托</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按照平台提示和招标文件的规定在半小时内完成在线解密。⑨具体操作指南：详见</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平台“服务中心-帮助文档-项目采购-操作流程-电子招投标-政府采购项目电子交易管理操作指南-供应商”。</w:t>
      </w:r>
    </w:p>
    <w:p w14:paraId="151CFB2A">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七、对本次采购提出询问、质疑、投诉，请按以下方式联系</w:t>
      </w:r>
    </w:p>
    <w:p w14:paraId="644BACA1">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1.采购人信息</w:t>
      </w:r>
    </w:p>
    <w:p w14:paraId="30A9DC6F">
      <w:pPr>
        <w:keepNext w:val="0"/>
        <w:keepLines w:val="0"/>
        <w:pageBreakBefore w:val="0"/>
        <w:widowControl w:val="0"/>
        <w:kinsoku/>
        <w:wordWrap/>
        <w:overflowPunct/>
        <w:topLinePunct w:val="0"/>
        <w:bidi w:val="0"/>
        <w:spacing w:line="360" w:lineRule="auto"/>
        <w:ind w:firstLine="480"/>
        <w:textAlignment w:val="auto"/>
        <w:rPr>
          <w:rFonts w:hint="eastAsia"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rPr>
        <w:t>名    称：</w:t>
      </w:r>
      <w:r>
        <w:rPr>
          <w:rFonts w:hint="eastAsia" w:cs="仿宋" w:asciiTheme="majorEastAsia" w:hAnsiTheme="majorEastAsia" w:eastAsiaTheme="majorEastAsia"/>
          <w:color w:val="auto"/>
          <w:sz w:val="24"/>
          <w:highlight w:val="none"/>
          <w:lang w:val="en-US" w:eastAsia="zh-CN"/>
        </w:rPr>
        <w:t>宁波市兴奉开投建设有限公司</w:t>
      </w:r>
    </w:p>
    <w:p w14:paraId="5044B30E">
      <w:pPr>
        <w:keepNext w:val="0"/>
        <w:keepLines w:val="0"/>
        <w:pageBreakBefore w:val="0"/>
        <w:widowControl w:val="0"/>
        <w:kinsoku/>
        <w:wordWrap/>
        <w:overflowPunct/>
        <w:topLinePunct w:val="0"/>
        <w:bidi w:val="0"/>
        <w:spacing w:line="360" w:lineRule="auto"/>
        <w:ind w:firstLine="480"/>
        <w:textAlignment w:val="auto"/>
        <w:rPr>
          <w:rFonts w:hint="eastAsia"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lang w:val="en-US" w:eastAsia="zh-CN"/>
        </w:rPr>
        <w:t>地    址：</w:t>
      </w:r>
      <w:r>
        <w:rPr>
          <w:rFonts w:hint="eastAsia" w:ascii="宋体" w:hAnsi="宋体" w:eastAsia="宋体" w:cs="宋体"/>
          <w:color w:val="auto"/>
          <w:kern w:val="0"/>
          <w:sz w:val="24"/>
          <w:szCs w:val="24"/>
          <w:highlight w:val="none"/>
          <w:u w:val="none"/>
          <w:lang w:eastAsia="zh-CN" w:bidi="ar"/>
        </w:rPr>
        <w:t>宁波市奉化区岳林街道金峰路南段131号（复旦科技园浙江创新中心）17楼</w:t>
      </w:r>
    </w:p>
    <w:p w14:paraId="0E859CAD">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lang w:val="en-US" w:eastAsia="zh-CN"/>
        </w:rPr>
        <w:t>项目联系人（询问）：沈先生</w:t>
      </w:r>
    </w:p>
    <w:p w14:paraId="14CE0562">
      <w:pPr>
        <w:keepNext w:val="0"/>
        <w:keepLines w:val="0"/>
        <w:pageBreakBefore w:val="0"/>
        <w:widowControl w:val="0"/>
        <w:kinsoku/>
        <w:wordWrap/>
        <w:overflowPunct/>
        <w:topLinePunct w:val="0"/>
        <w:bidi w:val="0"/>
        <w:spacing w:line="360" w:lineRule="auto"/>
        <w:textAlignment w:val="auto"/>
        <w:rPr>
          <w:rFonts w:hint="default"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lang w:val="en-US" w:eastAsia="zh-CN"/>
        </w:rPr>
        <w:t xml:space="preserve">    项目联系方式（询问）：0574-88957866</w:t>
      </w:r>
    </w:p>
    <w:p w14:paraId="5631CBA2">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2.采购代理机构信息            </w:t>
      </w:r>
    </w:p>
    <w:p w14:paraId="03BB95B2">
      <w:pPr>
        <w:keepNext w:val="0"/>
        <w:keepLines w:val="0"/>
        <w:pageBreakBefore w:val="0"/>
        <w:widowControl w:val="0"/>
        <w:kinsoku/>
        <w:wordWrap/>
        <w:overflowPunct/>
        <w:topLinePunct w:val="0"/>
        <w:bidi w:val="0"/>
        <w:spacing w:line="360" w:lineRule="auto"/>
        <w:ind w:firstLine="48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名    称：</w:t>
      </w:r>
      <w:r>
        <w:rPr>
          <w:rFonts w:hint="eastAsia" w:cs="仿宋" w:asciiTheme="majorEastAsia" w:hAnsiTheme="majorEastAsia" w:eastAsiaTheme="majorEastAsia"/>
          <w:color w:val="auto"/>
          <w:sz w:val="24"/>
          <w:highlight w:val="none"/>
          <w:lang w:val="en-US" w:eastAsia="zh-CN"/>
        </w:rPr>
        <w:t>宁波锦业工程咨询管理有限公司</w:t>
      </w:r>
      <w:r>
        <w:rPr>
          <w:rFonts w:cs="仿宋" w:asciiTheme="majorEastAsia" w:hAnsiTheme="majorEastAsia" w:eastAsiaTheme="majorEastAsia"/>
          <w:color w:val="auto"/>
          <w:sz w:val="24"/>
          <w:highlight w:val="none"/>
        </w:rPr>
        <w:t xml:space="preserve"> </w:t>
      </w:r>
    </w:p>
    <w:p w14:paraId="6E735347">
      <w:pPr>
        <w:keepNext w:val="0"/>
        <w:keepLines w:val="0"/>
        <w:pageBreakBefore w:val="0"/>
        <w:widowControl w:val="0"/>
        <w:kinsoku/>
        <w:wordWrap/>
        <w:overflowPunct/>
        <w:topLinePunct w:val="0"/>
        <w:bidi w:val="0"/>
        <w:spacing w:line="360" w:lineRule="auto"/>
        <w:ind w:firstLine="48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地    址：宁波市奉化区岳林街道东郊工业开发区天峰路66号10号楼</w:t>
      </w:r>
    </w:p>
    <w:p w14:paraId="0C652949">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项目联系人（询问）：董炜</w:t>
      </w:r>
    </w:p>
    <w:p w14:paraId="54F3BBE9">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项目联系方式（询问）：15068136429</w:t>
      </w:r>
    </w:p>
    <w:p w14:paraId="7CA1178B">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质疑联系人：应维兰            </w:t>
      </w:r>
    </w:p>
    <w:p w14:paraId="5044C874">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rPr>
        <w:t>质疑联系方式：13777264083</w:t>
      </w:r>
    </w:p>
    <w:p w14:paraId="128E6F95">
      <w:pPr>
        <w:keepNext w:val="0"/>
        <w:keepLines w:val="0"/>
        <w:pageBreakBefore w:val="0"/>
        <w:widowControl w:val="0"/>
        <w:kinsoku/>
        <w:wordWrap/>
        <w:overflowPunct/>
        <w:topLinePunct w:val="0"/>
        <w:bidi w:val="0"/>
        <w:spacing w:line="360" w:lineRule="auto"/>
        <w:ind w:firstLine="48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3</w:t>
      </w:r>
      <w:r>
        <w:rPr>
          <w:rFonts w:hint="eastAsia" w:cs="仿宋" w:asciiTheme="majorEastAsia" w:hAnsiTheme="majorEastAsia" w:eastAsiaTheme="majorEastAsia"/>
          <w:color w:val="auto"/>
          <w:sz w:val="24"/>
          <w:highlight w:val="none"/>
        </w:rPr>
        <w:t xml:space="preserve">.同级监督管理部门            </w:t>
      </w:r>
    </w:p>
    <w:p w14:paraId="62BE4A0F">
      <w:pPr>
        <w:keepNext w:val="0"/>
        <w:keepLines w:val="0"/>
        <w:pageBreakBefore w:val="0"/>
        <w:widowControl w:val="0"/>
        <w:kinsoku/>
        <w:wordWrap/>
        <w:overflowPunct/>
        <w:topLinePunct w:val="0"/>
        <w:bidi w:val="0"/>
        <w:spacing w:line="360" w:lineRule="auto"/>
        <w:ind w:firstLine="480"/>
        <w:textAlignment w:val="auto"/>
        <w:rPr>
          <w:rFonts w:hint="eastAsia"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rPr>
        <w:t>名    称：宁波市兴奉投资控股集团有限公司纪检监察（审计）室</w:t>
      </w:r>
    </w:p>
    <w:p w14:paraId="67088E5B">
      <w:pPr>
        <w:keepNext w:val="0"/>
        <w:keepLines w:val="0"/>
        <w:pageBreakBefore w:val="0"/>
        <w:widowControl w:val="0"/>
        <w:kinsoku/>
        <w:wordWrap/>
        <w:overflowPunct/>
        <w:topLinePunct w:val="0"/>
        <w:bidi w:val="0"/>
        <w:spacing w:line="360" w:lineRule="auto"/>
        <w:ind w:firstLine="48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地    址：宁波市奉化区大成东路27</w:t>
      </w:r>
      <w:r>
        <w:rPr>
          <w:rFonts w:hint="eastAsia" w:cs="仿宋" w:asciiTheme="majorEastAsia" w:hAnsiTheme="majorEastAsia" w:eastAsiaTheme="majorEastAsia"/>
          <w:color w:val="auto"/>
          <w:sz w:val="24"/>
          <w:highlight w:val="none"/>
          <w:lang w:val="en-US" w:eastAsia="zh-CN"/>
        </w:rPr>
        <w:t>5</w:t>
      </w:r>
      <w:r>
        <w:rPr>
          <w:rFonts w:hint="eastAsia" w:cs="仿宋" w:asciiTheme="majorEastAsia" w:hAnsiTheme="majorEastAsia" w:eastAsiaTheme="majorEastAsia"/>
          <w:color w:val="auto"/>
          <w:sz w:val="24"/>
          <w:highlight w:val="none"/>
        </w:rPr>
        <w:t>号</w:t>
      </w:r>
    </w:p>
    <w:p w14:paraId="50B3F27B">
      <w:pPr>
        <w:keepNext w:val="0"/>
        <w:keepLines w:val="0"/>
        <w:pageBreakBefore w:val="0"/>
        <w:widowControl w:val="0"/>
        <w:kinsoku/>
        <w:wordWrap/>
        <w:overflowPunct/>
        <w:topLinePunct w:val="0"/>
        <w:bidi w:val="0"/>
        <w:spacing w:line="360" w:lineRule="auto"/>
        <w:ind w:firstLine="480"/>
        <w:textAlignment w:val="auto"/>
        <w:rPr>
          <w:rFonts w:hint="eastAsia" w:cs="仿宋" w:asciiTheme="majorEastAsia" w:hAnsiTheme="majorEastAsia" w:eastAsiaTheme="majorEastAsia"/>
          <w:color w:val="auto"/>
          <w:sz w:val="24"/>
          <w:highlight w:val="none"/>
          <w:lang w:eastAsia="zh-CN"/>
        </w:rPr>
      </w:pPr>
      <w:r>
        <w:rPr>
          <w:rFonts w:hint="eastAsia" w:cs="仿宋" w:asciiTheme="majorEastAsia" w:hAnsiTheme="majorEastAsia" w:eastAsiaTheme="majorEastAsia"/>
          <w:color w:val="auto"/>
          <w:sz w:val="24"/>
          <w:highlight w:val="none"/>
        </w:rPr>
        <w:t>联 系 人：吴</w:t>
      </w:r>
      <w:r>
        <w:rPr>
          <w:rFonts w:hint="eastAsia" w:cs="仿宋" w:asciiTheme="majorEastAsia" w:hAnsiTheme="majorEastAsia" w:eastAsiaTheme="majorEastAsia"/>
          <w:color w:val="auto"/>
          <w:sz w:val="24"/>
          <w:highlight w:val="none"/>
          <w:lang w:val="en-US" w:eastAsia="zh-CN"/>
        </w:rPr>
        <w:t>先生</w:t>
      </w:r>
    </w:p>
    <w:p w14:paraId="1D805B3A">
      <w:pPr>
        <w:keepNext w:val="0"/>
        <w:keepLines w:val="0"/>
        <w:pageBreakBefore w:val="0"/>
        <w:widowControl w:val="0"/>
        <w:kinsoku/>
        <w:wordWrap/>
        <w:overflowPunct/>
        <w:topLinePunct w:val="0"/>
        <w:bidi w:val="0"/>
        <w:spacing w:line="360" w:lineRule="auto"/>
        <w:ind w:firstLine="48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监督投诉电话：0574-88572835</w:t>
      </w:r>
    </w:p>
    <w:p w14:paraId="07CCA769">
      <w:pPr>
        <w:keepNext w:val="0"/>
        <w:keepLines w:val="0"/>
        <w:pageBreakBefore w:val="0"/>
        <w:widowControl w:val="0"/>
        <w:kinsoku/>
        <w:wordWrap/>
        <w:overflowPunct/>
        <w:topLinePunct w:val="0"/>
        <w:bidi w:val="0"/>
        <w:spacing w:line="360" w:lineRule="auto"/>
        <w:ind w:firstLine="48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若对项目采购电子交易系统操作有疑问，可登录</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（https://</w:t>
      </w:r>
      <w:r>
        <w:rPr>
          <w:rFonts w:hint="eastAsia" w:cs="仿宋" w:asciiTheme="majorEastAsia" w:hAnsiTheme="majorEastAsia" w:eastAsiaTheme="majorEastAsia"/>
          <w:color w:val="auto"/>
          <w:sz w:val="24"/>
          <w:highlight w:val="none"/>
          <w:lang w:eastAsia="zh-CN"/>
        </w:rPr>
        <w:t>www.lecaiyun.com</w:t>
      </w:r>
      <w:r>
        <w:rPr>
          <w:rFonts w:hint="eastAsia" w:cs="仿宋" w:asciiTheme="majorEastAsia" w:hAnsiTheme="majorEastAsia" w:eastAsiaTheme="majorEastAsia"/>
          <w:color w:val="auto"/>
          <w:sz w:val="24"/>
          <w:highlight w:val="none"/>
        </w:rPr>
        <w:t>/），点击右侧咨询小采，获取采小蜜智能服务管家帮助，或拨打</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服务热线</w:t>
      </w:r>
      <w:r>
        <w:rPr>
          <w:rFonts w:hint="eastAsia" w:cs="仿宋" w:asciiTheme="majorEastAsia" w:hAnsiTheme="majorEastAsia" w:eastAsiaTheme="majorEastAsia"/>
          <w:color w:val="auto"/>
          <w:sz w:val="24"/>
          <w:highlight w:val="none"/>
          <w:lang w:val="en-US" w:eastAsia="zh-CN"/>
        </w:rPr>
        <w:t>95763</w:t>
      </w:r>
      <w:r>
        <w:rPr>
          <w:rFonts w:hint="eastAsia" w:cs="仿宋" w:asciiTheme="majorEastAsia" w:hAnsiTheme="majorEastAsia" w:eastAsiaTheme="majorEastAsia"/>
          <w:color w:val="auto"/>
          <w:sz w:val="24"/>
          <w:highlight w:val="none"/>
        </w:rPr>
        <w:t>获取热线服务帮助。</w:t>
      </w:r>
    </w:p>
    <w:p w14:paraId="41BD9BBC">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CA问题联系电话（人工）：汇信CA 400-888-4636；天谷CA 400-087-8198。</w:t>
      </w:r>
    </w:p>
    <w:p w14:paraId="59D2CDE9">
      <w:pPr>
        <w:rPr>
          <w:rFonts w:hint="eastAsia"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br w:type="page"/>
      </w:r>
    </w:p>
    <w:p w14:paraId="40CD8DB4">
      <w:pPr>
        <w:keepNext w:val="0"/>
        <w:keepLines w:val="0"/>
        <w:pageBreakBefore w:val="0"/>
        <w:widowControl w:val="0"/>
        <w:kinsoku/>
        <w:wordWrap/>
        <w:overflowPunct/>
        <w:topLinePunct w:val="0"/>
        <w:bidi w:val="0"/>
        <w:spacing w:line="360" w:lineRule="auto"/>
        <w:jc w:val="center"/>
        <w:textAlignment w:val="auto"/>
        <w:outlineLvl w:val="0"/>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t>第二部分</w:t>
      </w:r>
      <w:bookmarkEnd w:id="8"/>
      <w:r>
        <w:rPr>
          <w:rFonts w:hint="eastAsia" w:cs="仿宋" w:asciiTheme="majorEastAsia" w:hAnsiTheme="majorEastAsia" w:eastAsiaTheme="majorEastAsia"/>
          <w:b/>
          <w:color w:val="auto"/>
          <w:sz w:val="36"/>
          <w:szCs w:val="20"/>
          <w:highlight w:val="none"/>
        </w:rPr>
        <w:t xml:space="preserve"> 投标须知</w:t>
      </w:r>
      <w:bookmarkEnd w:id="9"/>
    </w:p>
    <w:p w14:paraId="1C7AA930">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前附表</w:t>
      </w:r>
    </w:p>
    <w:tbl>
      <w:tblPr>
        <w:tblStyle w:val="20"/>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2B07A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646EBCC">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142CB59">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321CB598">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本项目的特别规定</w:t>
            </w:r>
          </w:p>
        </w:tc>
      </w:tr>
      <w:tr w14:paraId="55277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31A206EB">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p>
          <w:p w14:paraId="3DCE4085">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p>
          <w:p w14:paraId="256277EB">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p>
          <w:p w14:paraId="2C3D89D7">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p>
          <w:p w14:paraId="089CAA00">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p>
          <w:p w14:paraId="660233E6">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p>
          <w:p w14:paraId="1E125EC1">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p>
          <w:p w14:paraId="122FDC16">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09B8C60">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7C0C53DE">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sz w:val="24"/>
                <w:highlight w:val="none"/>
              </w:rPr>
              <w:t>开标一览表是报价的唯一载体</w:t>
            </w:r>
            <w:r>
              <w:rPr>
                <w:rFonts w:hint="eastAsia" w:ascii="宋体" w:hAnsi="宋体" w:eastAsia="宋体" w:cs="宋体"/>
                <w:color w:val="auto"/>
                <w:kern w:val="0"/>
                <w:sz w:val="24"/>
                <w:highlight w:val="none"/>
                <w:lang w:val="zh-CN"/>
              </w:rPr>
              <w:t>。投标文件中价格全部采用人民币报价。招标文件未列明，而供应商认为必需的费用也需列入报价。</w:t>
            </w:r>
          </w:p>
          <w:p w14:paraId="63DBA88E">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174A62F8">
            <w:pPr>
              <w:keepNext w:val="0"/>
              <w:keepLines w:val="0"/>
              <w:pageBreakBefore w:val="0"/>
              <w:widowControl w:val="0"/>
              <w:kinsoku/>
              <w:wordWrap/>
              <w:overflowPunct/>
              <w:topLinePunct w:val="0"/>
              <w:bidi w:val="0"/>
              <w:snapToGrid w:val="0"/>
              <w:spacing w:line="360" w:lineRule="auto"/>
              <w:ind w:firstLine="241" w:firstLineChars="1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70A2C67C">
            <w:pPr>
              <w:keepNext w:val="0"/>
              <w:keepLines w:val="0"/>
              <w:pageBreakBefore w:val="0"/>
              <w:widowControl w:val="0"/>
              <w:kinsoku/>
              <w:wordWrap/>
              <w:overflowPunct/>
              <w:topLinePunct w:val="0"/>
              <w:bidi w:val="0"/>
              <w:snapToGrid w:val="0"/>
              <w:spacing w:line="360" w:lineRule="auto"/>
              <w:ind w:firstLine="241" w:firstLineChars="100"/>
              <w:jc w:val="left"/>
              <w:textAlignment w:val="auto"/>
              <w:rPr>
                <w:rFonts w:hint="eastAsia" w:ascii="宋体" w:hAnsi="宋体" w:eastAsia="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r>
              <w:rPr>
                <w:rFonts w:hint="eastAsia" w:ascii="宋体" w:hAnsi="宋体" w:eastAsia="宋体" w:cs="宋体"/>
                <w:b/>
                <w:color w:val="auto"/>
                <w:kern w:val="0"/>
                <w:sz w:val="24"/>
                <w:highlight w:val="none"/>
                <w:lang w:val="zh-CN"/>
              </w:rPr>
              <w:t>;</w:t>
            </w:r>
          </w:p>
          <w:p w14:paraId="2B680A67">
            <w:pPr>
              <w:keepNext w:val="0"/>
              <w:keepLines w:val="0"/>
              <w:pageBreakBefore w:val="0"/>
              <w:widowControl w:val="0"/>
              <w:kinsoku/>
              <w:wordWrap/>
              <w:overflowPunct/>
              <w:topLinePunct w:val="0"/>
              <w:bidi w:val="0"/>
              <w:spacing w:line="360" w:lineRule="auto"/>
              <w:ind w:firstLine="241" w:firstLineChars="100"/>
              <w:textAlignment w:val="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1B29DD44">
            <w:pPr>
              <w:keepNext w:val="0"/>
              <w:keepLines w:val="0"/>
              <w:pageBreakBefore w:val="0"/>
              <w:widowControl w:val="0"/>
              <w:kinsoku/>
              <w:wordWrap/>
              <w:overflowPunct/>
              <w:topLinePunct w:val="0"/>
              <w:bidi w:val="0"/>
              <w:spacing w:line="360" w:lineRule="auto"/>
              <w:ind w:firstLine="241" w:firstLineChars="100"/>
              <w:textAlignment w:val="auto"/>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供应商对根据修正原则修正后的报价不确认的</w:t>
            </w:r>
            <w:r>
              <w:rPr>
                <w:rFonts w:hint="eastAsia" w:ascii="宋体" w:hAnsi="宋体" w:eastAsia="宋体" w:cs="宋体"/>
                <w:b/>
                <w:color w:val="auto"/>
                <w:sz w:val="24"/>
                <w:highlight w:val="none"/>
              </w:rPr>
              <w:t>。</w:t>
            </w:r>
          </w:p>
        </w:tc>
      </w:tr>
      <w:tr w14:paraId="3D943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6BD752">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1FE093C">
            <w:pPr>
              <w:pStyle w:val="12"/>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28"/>
                <w:sz w:val="24"/>
                <w:szCs w:val="24"/>
                <w:highlight w:val="none"/>
              </w:rPr>
              <w:t>投标保证金</w:t>
            </w:r>
          </w:p>
        </w:tc>
        <w:tc>
          <w:tcPr>
            <w:tcW w:w="6662" w:type="dxa"/>
            <w:tcBorders>
              <w:top w:val="single" w:color="000000" w:sz="8" w:space="0"/>
              <w:left w:val="single" w:color="000000" w:sz="2" w:space="0"/>
              <w:bottom w:val="single" w:color="000000" w:sz="8" w:space="0"/>
              <w:right w:val="single" w:color="000000" w:sz="8" w:space="0"/>
            </w:tcBorders>
            <w:vAlign w:val="center"/>
          </w:tcPr>
          <w:p w14:paraId="2CED5D8D">
            <w:pPr>
              <w:pStyle w:val="6"/>
              <w:keepNext w:val="0"/>
              <w:keepLines w:val="0"/>
              <w:pageBreakBefore w:val="0"/>
              <w:widowControl w:val="0"/>
              <w:kinsoku/>
              <w:wordWrap/>
              <w:overflowPunct/>
              <w:topLinePunct w:val="0"/>
              <w:bidi w:val="0"/>
              <w:spacing w:line="360" w:lineRule="auto"/>
              <w:ind w:firstLine="0"/>
              <w:jc w:val="left"/>
              <w:textAlignment w:val="auto"/>
              <w:rPr>
                <w:rFonts w:hint="eastAsia" w:ascii="宋体" w:hAnsi="宋体" w:eastAsia="宋体" w:cs="宋体"/>
                <w:b/>
                <w:color w:val="auto"/>
                <w:kern w:val="0"/>
                <w:sz w:val="24"/>
                <w:highlight w:val="none"/>
                <w:lang w:eastAsia="zh-CN"/>
              </w:rPr>
            </w:pPr>
            <w:r>
              <w:rPr>
                <w:rFonts w:hint="eastAsia" w:hAnsi="宋体" w:cs="宋体"/>
                <w:color w:val="auto"/>
                <w:sz w:val="24"/>
                <w:highlight w:val="none"/>
                <w:lang w:val="en-US" w:eastAsia="zh-CN"/>
              </w:rPr>
              <w:t>不适用</w:t>
            </w:r>
          </w:p>
        </w:tc>
      </w:tr>
      <w:tr w14:paraId="725E0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902FA0">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0E21FF7">
            <w:pPr>
              <w:keepNext w:val="0"/>
              <w:keepLines w:val="0"/>
              <w:pageBreakBefore w:val="0"/>
              <w:widowControl w:val="0"/>
              <w:kinsoku/>
              <w:wordWrap/>
              <w:overflowPunct/>
              <w:topLinePunct w:val="0"/>
              <w:bidi w:val="0"/>
              <w:snapToGrid w:val="0"/>
              <w:spacing w:line="360" w:lineRule="auto"/>
              <w:ind w:firstLine="482" w:firstLineChars="200"/>
              <w:jc w:val="left"/>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5B2FC09F">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不同意分包</w:t>
            </w:r>
          </w:p>
        </w:tc>
      </w:tr>
      <w:tr w14:paraId="1C8C9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3BB720">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C8CC42A">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4A09BAF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资格证明文件：见招标文件第二部分9.1。</w:t>
            </w:r>
          </w:p>
          <w:p w14:paraId="3CA9632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资格证明文件不全的或者不符合招标文件标明的资格要求的</w:t>
            </w:r>
            <w:r>
              <w:rPr>
                <w:rFonts w:hint="eastAsia" w:ascii="宋体" w:hAnsi="宋体" w:eastAsia="宋体" w:cs="宋体"/>
                <w:color w:val="auto"/>
                <w:sz w:val="24"/>
                <w:highlight w:val="none"/>
                <w:lang w:val="zh-CN"/>
              </w:rPr>
              <w:t>，视为供应商不具备招标文件中规定的资格要求，投标无效。</w:t>
            </w:r>
          </w:p>
        </w:tc>
      </w:tr>
      <w:tr w14:paraId="4CA97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7F953128">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p>
          <w:p w14:paraId="7B30D3DA">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BCCE5C9">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48583FF6">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不组织。</w:t>
            </w:r>
          </w:p>
        </w:tc>
      </w:tr>
      <w:tr w14:paraId="05D18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198D7F">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02FEC15">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样品</w:t>
            </w:r>
            <w:bookmarkStart w:id="423" w:name="_GoBack"/>
            <w:bookmarkEnd w:id="423"/>
            <w:r>
              <w:rPr>
                <w:rFonts w:hint="eastAsia" w:cs="仿宋" w:asciiTheme="majorEastAsia" w:hAnsiTheme="majorEastAsia" w:eastAsiaTheme="majorEastAsia"/>
                <w:b/>
                <w:color w:val="auto"/>
                <w:sz w:val="24"/>
                <w:highlight w:val="none"/>
              </w:rPr>
              <w:t>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24E20C74">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要求提供，</w:t>
            </w:r>
          </w:p>
          <w:p w14:paraId="4FADEBA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snapToGrid w:val="0"/>
                <w:color w:val="auto"/>
                <w:kern w:val="28"/>
                <w:sz w:val="24"/>
                <w:highlight w:val="none"/>
              </w:rPr>
              <w:t>样品：</w:t>
            </w:r>
            <w:r>
              <w:rPr>
                <w:rFonts w:hint="eastAsia" w:ascii="仿宋" w:hAnsi="仿宋" w:eastAsia="仿宋" w:cs="仿宋"/>
                <w:snapToGrid w:val="0"/>
                <w:color w:val="auto"/>
                <w:kern w:val="28"/>
                <w:sz w:val="24"/>
                <w:highlight w:val="none"/>
                <w:u w:val="single"/>
                <w:lang w:val="en-US" w:eastAsia="zh-CN"/>
              </w:rPr>
              <w:t>①热熔标线、②垂直人防车位地面喷涂标识、③电楼梯指示牌、④地下室挡车器（高强耐磨橡胶）</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en-US" w:eastAsia="zh-CN"/>
              </w:rPr>
              <w:t xml:space="preserve"> </w:t>
            </w:r>
          </w:p>
          <w:p w14:paraId="1FA6FB74">
            <w:pPr>
              <w:numPr>
                <w:ilvl w:val="0"/>
                <w:numId w:val="0"/>
              </w:numPr>
              <w:spacing w:line="36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（样品上须粘贴一张写有“项目名称”、“样品名称”及“投标人名称”的标识）；</w:t>
            </w:r>
          </w:p>
          <w:p w14:paraId="428817AF">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snapToGrid w:val="0"/>
                <w:color w:val="auto"/>
                <w:kern w:val="28"/>
                <w:sz w:val="24"/>
                <w:highlight w:val="none"/>
                <w:u w:val="single"/>
              </w:rPr>
              <w:t>详见</w:t>
            </w:r>
            <w:r>
              <w:rPr>
                <w:rFonts w:hint="eastAsia" w:ascii="仿宋" w:hAnsi="仿宋" w:eastAsia="仿宋" w:cs="仿宋"/>
                <w:color w:val="auto"/>
                <w:sz w:val="24"/>
                <w:highlight w:val="none"/>
                <w:u w:val="single"/>
              </w:rPr>
              <w:t xml:space="preserve">评标办法   </w:t>
            </w:r>
            <w:r>
              <w:rPr>
                <w:rFonts w:hint="eastAsia" w:ascii="仿宋" w:hAnsi="仿宋" w:eastAsia="仿宋" w:cs="仿宋"/>
                <w:color w:val="auto"/>
                <w:kern w:val="0"/>
                <w:sz w:val="24"/>
                <w:highlight w:val="none"/>
              </w:rPr>
              <w:t>；</w:t>
            </w:r>
          </w:p>
          <w:p w14:paraId="000E26E8">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w:t>
            </w:r>
            <w:r>
              <w:rPr>
                <w:rFonts w:hint="eastAsia" w:ascii="仿宋" w:hAnsi="仿宋" w:eastAsia="仿宋" w:cs="仿宋"/>
                <w:snapToGrid w:val="0"/>
                <w:color w:val="auto"/>
                <w:kern w:val="28"/>
                <w:sz w:val="24"/>
                <w:highlight w:val="none"/>
                <w:u w:val="singl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79D2A89A">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E0344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kern w:val="0"/>
                <w:sz w:val="24"/>
                <w:highlight w:val="none"/>
                <w:u w:val="single"/>
              </w:rPr>
              <w:t>投标截止时间前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宁波市奉化区大成东路277号裙楼4</w:t>
            </w:r>
            <w:r>
              <w:rPr>
                <w:rFonts w:hint="eastAsia" w:ascii="仿宋" w:hAnsi="仿宋" w:eastAsia="仿宋" w:cs="仿宋"/>
                <w:color w:val="auto"/>
                <w:kern w:val="0"/>
                <w:sz w:val="24"/>
                <w:highlight w:val="none"/>
                <w:u w:val="single"/>
                <w:lang w:val="en-US" w:eastAsia="zh-CN"/>
              </w:rPr>
              <w:t>楼（</w:t>
            </w:r>
            <w:r>
              <w:rPr>
                <w:rFonts w:hint="eastAsia" w:ascii="仿宋" w:hAnsi="仿宋" w:eastAsia="仿宋" w:cs="仿宋"/>
                <w:color w:val="auto"/>
                <w:kern w:val="0"/>
                <w:sz w:val="24"/>
                <w:highlight w:val="none"/>
                <w:u w:val="single"/>
              </w:rPr>
              <w:t>宁波市奉化区</w:t>
            </w:r>
            <w:r>
              <w:rPr>
                <w:rFonts w:hint="eastAsia" w:ascii="仿宋" w:hAnsi="仿宋" w:eastAsia="仿宋" w:cs="仿宋"/>
                <w:color w:val="auto"/>
                <w:kern w:val="0"/>
                <w:sz w:val="24"/>
                <w:highlight w:val="none"/>
                <w:u w:val="single"/>
                <w:lang w:val="en-US" w:eastAsia="zh-CN"/>
              </w:rPr>
              <w:t>公共资源交易中心）样品室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董先生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kern w:val="28"/>
                <w:sz w:val="24"/>
                <w:highlight w:val="none"/>
                <w:u w:val="single"/>
                <w:lang w:val="en-US" w:eastAsia="zh-CN"/>
              </w:rPr>
              <w:t>15068136429</w:t>
            </w:r>
            <w:r>
              <w:rPr>
                <w:rFonts w:hint="eastAsia" w:ascii="仿宋" w:hAnsi="仿宋" w:eastAsia="仿宋" w:cs="仿宋"/>
                <w:color w:val="auto"/>
                <w:sz w:val="24"/>
                <w:highlight w:val="none"/>
              </w:rPr>
              <w:t>。请</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在上述时间内提供样品并按规定位置安装完毕。超过截止时间的，采购人或采购代理机构将不予接收，并将清场并封闭样品现场。</w:t>
            </w:r>
          </w:p>
          <w:p w14:paraId="4C2D5E6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w:t>
            </w:r>
            <w:r>
              <w:rPr>
                <w:rFonts w:hint="eastAsia" w:ascii="仿宋" w:hAnsi="仿宋" w:eastAsia="仿宋" w:cs="仿宋"/>
                <w:color w:val="auto"/>
                <w:sz w:val="24"/>
                <w:highlight w:val="none"/>
                <w:lang w:eastAsia="zh-CN"/>
              </w:rPr>
              <w:t>代理</w:t>
            </w:r>
            <w:r>
              <w:rPr>
                <w:rFonts w:hint="eastAsia" w:ascii="仿宋" w:hAnsi="仿宋" w:eastAsia="仿宋" w:cs="仿宋"/>
                <w:color w:val="auto"/>
                <w:sz w:val="24"/>
                <w:highlight w:val="none"/>
              </w:rPr>
              <w:t>机构将通知未中标人在规定的时间内取回，逾期未取回的，采购人、采购</w:t>
            </w:r>
            <w:r>
              <w:rPr>
                <w:rFonts w:hint="eastAsia" w:ascii="仿宋" w:hAnsi="仿宋" w:eastAsia="仿宋" w:cs="仿宋"/>
                <w:color w:val="auto"/>
                <w:sz w:val="24"/>
                <w:highlight w:val="none"/>
                <w:lang w:eastAsia="zh-CN"/>
              </w:rPr>
              <w:t>代理</w:t>
            </w:r>
            <w:r>
              <w:rPr>
                <w:rFonts w:hint="eastAsia" w:ascii="仿宋" w:hAnsi="仿宋" w:eastAsia="仿宋" w:cs="仿宋"/>
                <w:color w:val="auto"/>
                <w:sz w:val="24"/>
                <w:highlight w:val="none"/>
              </w:rPr>
              <w:t>机构不负保管义务；对于中标人提供的样品，采购人将进行保管、封存，并作为履约验收的参考。</w:t>
            </w:r>
          </w:p>
          <w:p w14:paraId="4001043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color w:val="auto"/>
                <w:sz w:val="24"/>
                <w:highlight w:val="none"/>
              </w:rPr>
            </w:pPr>
            <w:r>
              <w:rPr>
                <w:rFonts w:hint="eastAsia" w:ascii="仿宋" w:hAnsi="仿宋" w:eastAsia="仿宋" w:cs="仿宋"/>
                <w:color w:val="auto"/>
                <w:sz w:val="24"/>
                <w:highlight w:val="none"/>
              </w:rPr>
              <w:t>（7）制作、运输、安装和保管样品所发生的一切费用由</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承担。</w:t>
            </w:r>
          </w:p>
        </w:tc>
      </w:tr>
      <w:tr w14:paraId="2B3A9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3951045">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4D7F2BB8">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
                <w:color w:val="auto"/>
                <w:sz w:val="24"/>
                <w:highlight w:val="none"/>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7D465108">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rPr>
              <w:t>不组织。</w:t>
            </w:r>
          </w:p>
        </w:tc>
      </w:tr>
      <w:tr w14:paraId="3C01C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476036">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1DEB48D3">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03EA1AC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本项目不允许采购进口产品。</w:t>
            </w:r>
          </w:p>
        </w:tc>
      </w:tr>
      <w:tr w14:paraId="7C3B6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A4A0C23">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0B8E1CE">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44E3279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货物类，单一产品或核心产品为：</w:t>
            </w:r>
            <w:r>
              <w:rPr>
                <w:rFonts w:hint="eastAsia" w:ascii="宋体" w:hAnsi="宋体" w:eastAsia="宋体" w:cs="宋体"/>
                <w:color w:val="auto"/>
                <w:sz w:val="24"/>
                <w:highlight w:val="none"/>
                <w:u w:val="single"/>
              </w:rPr>
              <w:t>挡车器、防撞护角</w:t>
            </w:r>
            <w:r>
              <w:rPr>
                <w:rFonts w:hint="eastAsia" w:ascii="宋体" w:hAnsi="宋体" w:eastAsia="宋体" w:cs="宋体"/>
                <w:color w:val="auto"/>
                <w:sz w:val="24"/>
                <w:highlight w:val="none"/>
              </w:rPr>
              <w:t>。</w:t>
            </w:r>
          </w:p>
          <w:p w14:paraId="3D0B0F6F">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多家</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kern w:val="0"/>
                <w:sz w:val="24"/>
                <w:highlight w:val="none"/>
              </w:rPr>
              <w:t>参加同一合同项下投标的，按一家</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kern w:val="0"/>
                <w:sz w:val="24"/>
                <w:highlight w:val="none"/>
              </w:rPr>
              <w:t>计算，评审后得分最高的同品牌</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kern w:val="0"/>
                <w:sz w:val="24"/>
                <w:highlight w:val="none"/>
              </w:rPr>
              <w:t>获得中标人推荐资格；评审得分相同的，报价评审得分最高的同品牌</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kern w:val="0"/>
                <w:sz w:val="24"/>
                <w:highlight w:val="none"/>
              </w:rPr>
              <w:t>获得中标人推荐资格；评审得分和报价评审得分均相同的，由采购人或评标委员会采取随机抽取方式确定，其他同品牌</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kern w:val="0"/>
                <w:sz w:val="24"/>
                <w:highlight w:val="none"/>
              </w:rPr>
              <w:t>不作为中标候选人。</w:t>
            </w:r>
          </w:p>
          <w:p w14:paraId="41B15CB8">
            <w:pPr>
              <w:pStyle w:val="2"/>
              <w:ind w:left="0" w:leftChars="0" w:firstLine="0" w:firstLineChars="0"/>
              <w:rPr>
                <w:rFonts w:hint="eastAsia" w:ascii="宋体" w:hAnsi="宋体" w:eastAsia="宋体" w:cs="宋体"/>
                <w:color w:val="auto"/>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14:paraId="4D6C6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DD8FF3">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0C1D1BB">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04EABD37">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标的：</w:t>
            </w:r>
            <w:r>
              <w:rPr>
                <w:rFonts w:hint="eastAsia" w:ascii="宋体" w:hAnsi="宋体" w:cs="宋体"/>
                <w:color w:val="auto"/>
                <w:kern w:val="0"/>
                <w:sz w:val="24"/>
                <w:highlight w:val="none"/>
                <w:u w:val="single"/>
                <w:lang w:val="en-US" w:eastAsia="zh-CN"/>
              </w:rPr>
              <w:t>详见采购清单</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工业</w:t>
            </w:r>
            <w:r>
              <w:rPr>
                <w:rFonts w:hint="eastAsia" w:ascii="宋体" w:hAnsi="宋体" w:eastAsia="宋体" w:cs="宋体"/>
                <w:color w:val="auto"/>
                <w:kern w:val="0"/>
                <w:sz w:val="24"/>
                <w:highlight w:val="none"/>
              </w:rPr>
              <w:t>行业；</w:t>
            </w:r>
          </w:p>
        </w:tc>
      </w:tr>
      <w:tr w14:paraId="1383A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684646D0">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4A125D8">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7C638194">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无。</w:t>
            </w:r>
          </w:p>
          <w:p w14:paraId="05C6E644">
            <w:pPr>
              <w:pStyle w:val="7"/>
              <w:rPr>
                <w:rFonts w:hint="eastAsia" w:ascii="宋体" w:hAnsi="宋体" w:eastAsia="宋体" w:cs="宋体"/>
                <w:color w:val="auto"/>
                <w:highlight w:val="none"/>
              </w:rPr>
            </w:pPr>
            <w:r>
              <w:rPr>
                <w:rFonts w:hint="eastAsia" w:ascii="宋体" w:hAnsi="宋体" w:eastAsia="宋体" w:cs="宋体"/>
                <w:color w:val="auto"/>
                <w:kern w:val="0"/>
                <w:szCs w:val="24"/>
                <w:highlight w:val="none"/>
                <w:lang w:val="en-US"/>
              </w:rPr>
              <w:sym w:font="Wingdings" w:char="00A8"/>
            </w:r>
            <w:r>
              <w:rPr>
                <w:rFonts w:hint="eastAsia" w:ascii="宋体" w:hAnsi="宋体" w:eastAsia="宋体" w:cs="宋体"/>
                <w:color w:val="auto"/>
                <w:kern w:val="28"/>
                <w:szCs w:val="24"/>
                <w:highlight w:val="none"/>
                <w:lang w:val="en-US"/>
              </w:rPr>
              <w:t>中标人向采购代理机构支付中标服务费</w:t>
            </w:r>
            <w:r>
              <w:rPr>
                <w:rFonts w:hint="eastAsia" w:hAnsi="宋体" w:cs="宋体"/>
                <w:color w:val="auto"/>
                <w:kern w:val="28"/>
                <w:szCs w:val="24"/>
                <w:highlight w:val="none"/>
                <w:u w:val="single"/>
                <w:lang w:val="en-US" w:eastAsia="zh-CN"/>
              </w:rPr>
              <w:t xml:space="preserve">      </w:t>
            </w:r>
            <w:r>
              <w:rPr>
                <w:rFonts w:hint="eastAsia" w:ascii="宋体" w:hAnsi="宋体" w:eastAsia="宋体" w:cs="宋体"/>
                <w:color w:val="auto"/>
                <w:kern w:val="28"/>
                <w:szCs w:val="24"/>
                <w:highlight w:val="none"/>
                <w:lang w:val="en-US"/>
              </w:rPr>
              <w:t>元。</w:t>
            </w:r>
          </w:p>
          <w:p w14:paraId="47F2EAF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Cs w:val="24"/>
                <w:highlight w:val="none"/>
                <w:lang w:val="en-US"/>
              </w:rPr>
              <w:sym w:font="Wingdings" w:char="00FE"/>
            </w:r>
            <w:r>
              <w:rPr>
                <w:rFonts w:hint="eastAsia" w:ascii="宋体" w:hAnsi="宋体" w:eastAsia="宋体" w:cs="宋体"/>
                <w:snapToGrid w:val="0"/>
                <w:color w:val="auto"/>
                <w:kern w:val="28"/>
                <w:sz w:val="24"/>
                <w:highlight w:val="none"/>
              </w:rPr>
              <w:t>根据国家发改委发改办价格[2003]857号通知和原国家计委计价格[2002]1980号文件规定的</w:t>
            </w:r>
            <w:r>
              <w:rPr>
                <w:rFonts w:hint="eastAsia" w:ascii="宋体" w:hAnsi="宋体" w:eastAsia="宋体" w:cs="宋体"/>
                <w:snapToGrid w:val="0"/>
                <w:color w:val="auto"/>
                <w:kern w:val="28"/>
                <w:sz w:val="24"/>
                <w:highlight w:val="none"/>
                <w:lang w:val="en-US" w:eastAsia="zh-CN"/>
              </w:rPr>
              <w:t>货物</w:t>
            </w:r>
            <w:r>
              <w:rPr>
                <w:rFonts w:hint="eastAsia" w:ascii="宋体" w:hAnsi="宋体" w:eastAsia="宋体" w:cs="宋体"/>
                <w:snapToGrid w:val="0"/>
                <w:color w:val="auto"/>
                <w:kern w:val="28"/>
                <w:sz w:val="24"/>
                <w:highlight w:val="none"/>
              </w:rPr>
              <w:t>招标费率标准收取中标服务费，按照中标通知书确定的中标价，向中标供应商收取中标服务费。中标通知书发出后5个工作日内，中标人向采购代理机构支付中标服务费。</w:t>
            </w:r>
          </w:p>
        </w:tc>
      </w:tr>
    </w:tbl>
    <w:p w14:paraId="199BD276">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color w:val="auto"/>
          <w:sz w:val="32"/>
          <w:szCs w:val="20"/>
          <w:highlight w:val="none"/>
        </w:rPr>
      </w:pPr>
    </w:p>
    <w:bookmarkEnd w:id="10"/>
    <w:p w14:paraId="11232FE6">
      <w:pPr>
        <w:keepNext w:val="0"/>
        <w:keepLines w:val="0"/>
        <w:pageBreakBefore w:val="0"/>
        <w:widowControl w:val="0"/>
        <w:kinsoku/>
        <w:wordWrap/>
        <w:overflowPunct/>
        <w:topLinePunct w:val="0"/>
        <w:bidi w:val="0"/>
        <w:spacing w:line="360" w:lineRule="auto"/>
        <w:ind w:firstLine="3845" w:firstLineChars="1197"/>
        <w:textAlignment w:val="auto"/>
        <w:outlineLvl w:val="0"/>
        <w:rPr>
          <w:rFonts w:cs="仿宋" w:asciiTheme="majorEastAsia" w:hAnsiTheme="majorEastAsia" w:eastAsiaTheme="majorEastAsia"/>
          <w:b/>
          <w:color w:val="auto"/>
          <w:sz w:val="32"/>
          <w:szCs w:val="20"/>
          <w:highlight w:val="none"/>
        </w:rPr>
      </w:pPr>
      <w:bookmarkStart w:id="11" w:name="第三部分"/>
      <w:bookmarkStart w:id="12" w:name="_Toc164416483"/>
      <w:r>
        <w:rPr>
          <w:rFonts w:hint="eastAsia" w:cs="仿宋" w:asciiTheme="majorEastAsia" w:hAnsiTheme="majorEastAsia" w:eastAsiaTheme="majorEastAsia"/>
          <w:b/>
          <w:color w:val="auto"/>
          <w:sz w:val="32"/>
          <w:szCs w:val="20"/>
          <w:highlight w:val="none"/>
        </w:rPr>
        <w:t>一、总则</w:t>
      </w:r>
    </w:p>
    <w:p w14:paraId="22AE65AB">
      <w:pPr>
        <w:keepNext w:val="0"/>
        <w:keepLines w:val="0"/>
        <w:pageBreakBefore w:val="0"/>
        <w:widowControl w:val="0"/>
        <w:numPr>
          <w:ilvl w:val="0"/>
          <w:numId w:val="2"/>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适用范围</w:t>
      </w:r>
    </w:p>
    <w:p w14:paraId="2DF4063C">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本招标文件适用于该项目的招标、投标、开标、资格审查及信用信息查询、评标、定标、合同、验收等行为（法律、法规另有规定的，从其规定）。</w:t>
      </w:r>
    </w:p>
    <w:p w14:paraId="1A8C0A42">
      <w:pPr>
        <w:keepNext w:val="0"/>
        <w:keepLines w:val="0"/>
        <w:pageBreakBefore w:val="0"/>
        <w:widowControl w:val="0"/>
        <w:numPr>
          <w:ilvl w:val="0"/>
          <w:numId w:val="2"/>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定义</w:t>
      </w:r>
    </w:p>
    <w:p w14:paraId="176AFFC8">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 “采购人”系指招标公告中载明的本项目的采购人。</w:t>
      </w:r>
    </w:p>
    <w:p w14:paraId="3017700B">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 “采购代理机构”系指招标公告中载明的本项目的采购代理机构。</w:t>
      </w:r>
    </w:p>
    <w:p w14:paraId="5A9FD880">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”系指是指响应招标、参加投标竞争的法人、其他组织或者自然人。</w:t>
      </w:r>
    </w:p>
    <w:p w14:paraId="42967F6A">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2.4 “负责人”系指法人企业的法定负责人，或其他组织为法律、行政法规规定代表单位行使职权的主要负责人，或自然人本人。</w:t>
      </w:r>
    </w:p>
    <w:p w14:paraId="578600C4">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2.5“电子签名”系指数据电文中以电子形式所含、所附用于识别签名人身份并表明签名人认可其中内容的数据；“公章”系指单位法定名称章。</w:t>
      </w:r>
    </w:p>
    <w:p w14:paraId="250B6E0E">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2.6“电子交易平台”是指本项目采购活动所依托的采购云平台（https://</w:t>
      </w:r>
      <w:r>
        <w:rPr>
          <w:rFonts w:hint="eastAsia" w:cs="仿宋" w:asciiTheme="majorEastAsia" w:hAnsiTheme="majorEastAsia" w:eastAsiaTheme="majorEastAsia"/>
          <w:color w:val="auto"/>
          <w:sz w:val="24"/>
          <w:highlight w:val="none"/>
          <w:lang w:eastAsia="zh-CN"/>
        </w:rPr>
        <w:t>www.lecaiyun.com</w:t>
      </w:r>
      <w:r>
        <w:rPr>
          <w:rFonts w:hint="eastAsia" w:cs="仿宋" w:asciiTheme="majorEastAsia" w:hAnsiTheme="majorEastAsia" w:eastAsiaTheme="majorEastAsia"/>
          <w:color w:val="auto"/>
          <w:sz w:val="24"/>
          <w:highlight w:val="none"/>
        </w:rPr>
        <w:t>/）。</w:t>
      </w:r>
    </w:p>
    <w:p w14:paraId="6187AB42">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2.7 “▲” 系指实质性要求条款，“</w:t>
      </w:r>
      <w:r>
        <w:rPr>
          <w:rFonts w:ascii="Wingdings" w:hAnsi="Wingdings" w:eastAsia="仿宋" w:cs="仿宋"/>
          <w:color w:val="auto"/>
          <w:kern w:val="0"/>
          <w:sz w:val="24"/>
          <w:highlight w:val="none"/>
        </w:rPr>
        <w:t></w:t>
      </w:r>
      <w:r>
        <w:rPr>
          <w:rFonts w:hint="eastAsia" w:ascii="仿宋" w:hAnsi="仿宋" w:eastAsia="仿宋" w:cs="仿宋"/>
          <w:color w:val="auto"/>
          <w:kern w:val="0"/>
          <w:sz w:val="24"/>
          <w:highlight w:val="none"/>
        </w:rPr>
        <w:t xml:space="preserve"> </w:t>
      </w:r>
      <w:r>
        <w:rPr>
          <w:rFonts w:hint="eastAsia" w:cs="仿宋" w:asciiTheme="majorEastAsia" w:hAnsiTheme="majorEastAsia" w:eastAsiaTheme="majorEastAsia"/>
          <w:color w:val="auto"/>
          <w:sz w:val="24"/>
          <w:highlight w:val="none"/>
        </w:rPr>
        <w:t>” 系指适用本项目的要求，“</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color w:val="auto"/>
          <w:sz w:val="24"/>
          <w:highlight w:val="none"/>
        </w:rPr>
        <w:t>” 系指不适用本项目的要求。</w:t>
      </w:r>
    </w:p>
    <w:p w14:paraId="0BF385AE">
      <w:pPr>
        <w:keepNext w:val="0"/>
        <w:keepLines w:val="0"/>
        <w:pageBreakBefore w:val="0"/>
        <w:widowControl w:val="0"/>
        <w:numPr>
          <w:ilvl w:val="0"/>
          <w:numId w:val="2"/>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采购项目需要落实的政府采购政策</w:t>
      </w:r>
    </w:p>
    <w:p w14:paraId="6D7BEA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3.1 本项目原则上采购本国生产的货物、工程和服务，不允许采购进口产品。除非采购人采购进口产品，已经在采购活动开始前向</w:t>
      </w:r>
      <w:r>
        <w:rPr>
          <w:rFonts w:hint="eastAsia" w:cs="仿宋" w:asciiTheme="majorEastAsia" w:hAnsiTheme="majorEastAsia" w:eastAsiaTheme="majorEastAsia"/>
          <w:color w:val="auto"/>
          <w:sz w:val="24"/>
          <w:highlight w:val="none"/>
          <w:lang w:eastAsia="zh-CN"/>
        </w:rPr>
        <w:t>监管部门</w:t>
      </w:r>
      <w:r>
        <w:rPr>
          <w:rFonts w:hint="eastAsia" w:cs="仿宋" w:asciiTheme="majorEastAsia" w:hAnsiTheme="majorEastAsia" w:eastAsiaTheme="majorEastAsia"/>
          <w:color w:val="auto"/>
          <w:sz w:val="24"/>
          <w:highlight w:val="none"/>
        </w:rPr>
        <w:t>提出申请并获得</w:t>
      </w:r>
      <w:r>
        <w:rPr>
          <w:rFonts w:hint="eastAsia" w:cs="仿宋" w:asciiTheme="majorEastAsia" w:hAnsiTheme="majorEastAsia" w:eastAsiaTheme="majorEastAsia"/>
          <w:color w:val="auto"/>
          <w:sz w:val="24"/>
          <w:highlight w:val="none"/>
          <w:lang w:eastAsia="zh-CN"/>
        </w:rPr>
        <w:t>监管部门</w:t>
      </w:r>
      <w:r>
        <w:rPr>
          <w:rFonts w:hint="eastAsia" w:cs="仿宋" w:asciiTheme="majorEastAsia" w:hAnsiTheme="majorEastAsia" w:eastAsiaTheme="majorEastAsia"/>
          <w:color w:val="auto"/>
          <w:sz w:val="24"/>
          <w:highlight w:val="none"/>
        </w:rPr>
        <w:t>审核同意，且在采购需求中明确规定可以采购进口产品（但如果因信息不对称等原因，仍有满足需求的国内产品要求参与采购竞争的，采购人、采购代理机构不会对其加以限制，仍将按照公平竞争原则实施采购）。</w:t>
      </w:r>
    </w:p>
    <w:p w14:paraId="4B3EE2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3.2 支持节能产品</w:t>
      </w:r>
    </w:p>
    <w:p w14:paraId="2C7E1A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3.3支持中小企业发展</w:t>
      </w:r>
    </w:p>
    <w:p w14:paraId="3101D5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D05D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符合中小企业划分标准的个体工商户，在政府采购活动中视同中小企业。</w:t>
      </w:r>
    </w:p>
    <w:p w14:paraId="377521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Cs/>
          <w:color w:val="auto"/>
          <w:sz w:val="24"/>
          <w:highlight w:val="none"/>
        </w:rPr>
        <w:t>3.3.2</w:t>
      </w:r>
      <w:r>
        <w:rPr>
          <w:rFonts w:hint="eastAsia" w:cs="仿宋" w:asciiTheme="majorEastAsia" w:hAnsiTheme="majorEastAsia" w:eastAsiaTheme="majorEastAsia"/>
          <w:color w:val="auto"/>
          <w:kern w:val="0"/>
          <w:sz w:val="24"/>
          <w:highlight w:val="none"/>
        </w:rPr>
        <w:t>在政府采购活动中，</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提供的货物、工程或者服务符合下列情形的，享受中小企业扶持政策：</w:t>
      </w:r>
    </w:p>
    <w:p w14:paraId="3286735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3.3.2.1在货物采购项目中，货物由中小企业制造，即货物由中小企业生产且使用该中小企业商号或者注册商标；</w:t>
      </w:r>
    </w:p>
    <w:p w14:paraId="0BE5CB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3.3.2.2在工程采购项目中，工程由中小企业承建，即工程施工单位为中小企业；</w:t>
      </w:r>
    </w:p>
    <w:p w14:paraId="0F90EF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3.3.2.3在服务采购项目中，服务由中小企业承接，即提供服务的人员为中小企业依照《中华人民共和国劳动合同法》订立劳动合同的从业人员。</w:t>
      </w:r>
    </w:p>
    <w:p w14:paraId="2428E9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在货物采购项目中，</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提供的货物既有中小企业制造货物，也有大型企业制造货物的，不享受中小企业扶持政策。</w:t>
      </w:r>
    </w:p>
    <w:p w14:paraId="0A46FB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以联合体形式参加政府采购活动，联合体各方均为中小企业的，联合体视同中小企业。其中，联合体各方均为小微企业的，联合体视同小微企业。</w:t>
      </w:r>
    </w:p>
    <w:p w14:paraId="168855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s="仿宋" w:asciiTheme="majorEastAsia" w:hAnsiTheme="majorEastAsia" w:eastAsiaTheme="majorEastAsia"/>
          <w:color w:val="auto"/>
          <w:sz w:val="24"/>
          <w:highlight w:val="none"/>
          <w:lang w:val="en-US" w:eastAsia="zh-CN"/>
        </w:rPr>
        <w:t>4</w:t>
      </w:r>
      <w:r>
        <w:rPr>
          <w:rFonts w:hint="eastAsia" w:cs="仿宋" w:asciiTheme="majorEastAsia" w:hAnsiTheme="majorEastAsia" w:eastAsiaTheme="majorEastAsia"/>
          <w:color w:val="auto"/>
          <w:sz w:val="24"/>
          <w:highlight w:val="none"/>
        </w:rPr>
        <w:t>%的扣除，用扣除后的价格参加评审。组成联合体或者接受分包的小微企业与联合体内其他企业、分包企业之间存在直接控股、管理关系的，不享受价格扣除优惠政策。</w:t>
      </w:r>
    </w:p>
    <w:p w14:paraId="2E89B7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3.3.4符合《关于促进残疾人就业政府采购政策的通知》（财库〔2017〕141号）规定的条件并提供《残疾人福利性单位声明函》的残疾人福利性单位视同小型、微型企业；</w:t>
      </w:r>
    </w:p>
    <w:p w14:paraId="19BA9BA7">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21DCD29">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3.3.6可享受中小企业扶持政策的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应按照招标文件格式要求提供《中小企业声明函》，</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提供的《中小企业声明函》与实际情况不符的，不享受中小企业扶持政策。声明内容不实的，属于提供虚假材料谋取中标、成交的，依法承担法律责任。</w:t>
      </w:r>
    </w:p>
    <w:p w14:paraId="66B674D1">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3.3.7中小企业享受扶持政策获得政府采购合同的，小微企业不得将合同分包给大中型企业，中型企业不得将合同分包给大型企业。</w:t>
      </w:r>
    </w:p>
    <w:p w14:paraId="4BC609E3">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3.4支持创新发展</w:t>
      </w:r>
    </w:p>
    <w:p w14:paraId="2FDA83DF">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4A5D28B8">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1B26CEF7">
      <w:pPr>
        <w:keepNext w:val="0"/>
        <w:keepLines w:val="0"/>
        <w:pageBreakBefore w:val="0"/>
        <w:widowControl w:val="0"/>
        <w:numPr>
          <w:ilvl w:val="0"/>
          <w:numId w:val="2"/>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特别说明</w:t>
      </w:r>
    </w:p>
    <w:p w14:paraId="0BFE0212">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4.1关于分公司投标</w:t>
      </w:r>
    </w:p>
    <w:p w14:paraId="6FCF11C7">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除银行、保险、石油石化、电力、电信等特殊行业外。法人的分支机构由于不能独立承担民事责任，不能以分支机构的身份参加政府采购，只能以法人身份参加。 </w:t>
      </w:r>
    </w:p>
    <w:p w14:paraId="7A140E6D">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4.2关于知识产权</w:t>
      </w:r>
    </w:p>
    <w:p w14:paraId="1DADD25E">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w:t>
      </w:r>
    </w:p>
    <w:p w14:paraId="38F441DC">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4.2.2 投标报价应包含所有应向所有权人支付的专利权、商标权或其它知识产权的一切相关费用。</w:t>
      </w:r>
    </w:p>
    <w:p w14:paraId="16C63236">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承担所有责任及费用。</w:t>
      </w:r>
    </w:p>
    <w:p w14:paraId="13E08C51">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的风险</w:t>
      </w:r>
    </w:p>
    <w:p w14:paraId="55F4193B">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承担,并对所提供的全部资料的真实性承担法律责任。</w:t>
      </w:r>
    </w:p>
    <w:p w14:paraId="12EC0152">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4.3.2 无论因何种原因导致本次采购活动终止致</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损失的，相关责任人均不承担任何责任。</w:t>
      </w:r>
    </w:p>
    <w:p w14:paraId="06548A9C">
      <w:pPr>
        <w:keepNext w:val="0"/>
        <w:keepLines w:val="0"/>
        <w:pageBreakBefore w:val="0"/>
        <w:widowControl w:val="0"/>
        <w:numPr>
          <w:ilvl w:val="0"/>
          <w:numId w:val="2"/>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询问、质疑、投诉</w:t>
      </w:r>
    </w:p>
    <w:p w14:paraId="143E34A1">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.1供应商询问</w:t>
      </w:r>
    </w:p>
    <w:p w14:paraId="1293642C">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465EA96">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.2供应商质疑</w:t>
      </w:r>
    </w:p>
    <w:p w14:paraId="5BBD9BA0">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.1提出质疑的供应商应当是参与所质疑项目采购活动的供应商。潜在供应商已依法获取其可质疑的招标文件的，可以对该文件提出质疑。</w:t>
      </w:r>
    </w:p>
    <w:p w14:paraId="47819958">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color w:val="auto"/>
          <w:sz w:val="24"/>
          <w:highlight w:val="none"/>
          <w:lang w:eastAsia="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r>
        <w:rPr>
          <w:rFonts w:hint="eastAsia" w:cs="仿宋" w:asciiTheme="majorEastAsia" w:hAnsiTheme="majorEastAsia" w:eastAsiaTheme="majorEastAsia"/>
          <w:color w:val="auto"/>
          <w:sz w:val="24"/>
          <w:highlight w:val="none"/>
          <w:lang w:eastAsia="zh-CN"/>
        </w:rPr>
        <w:t>。</w:t>
      </w:r>
    </w:p>
    <w:p w14:paraId="6DC9C1F8">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5.2.2.1对招标文件提出质疑的，质疑期限为供应商获得招标文件之日或者招标文件公告期限届满之日起计算。</w:t>
      </w:r>
    </w:p>
    <w:p w14:paraId="435138D5">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5.2.2.2对采购过程提出质疑的，质疑期限为各采购程序环节结束之日起计算。</w:t>
      </w:r>
    </w:p>
    <w:p w14:paraId="3BACE1E1">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5.2.2.3对采购结果提出质疑的，质疑期限自采购结果公告期限届满之日起计算。</w:t>
      </w:r>
    </w:p>
    <w:p w14:paraId="016ECB05">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5.2.2.4对同一采购程序环节的质疑，供应商须一次性提出。</w:t>
      </w:r>
    </w:p>
    <w:p w14:paraId="2858B2AD">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w:t>
      </w:r>
      <w:r>
        <w:rPr>
          <w:rFonts w:hint="eastAsia" w:cs="仿宋" w:asciiTheme="majorEastAsia" w:hAnsiTheme="majorEastAsia" w:eastAsiaTheme="majorEastAsia"/>
          <w:color w:val="auto"/>
          <w:sz w:val="24"/>
          <w:highlight w:val="none"/>
        </w:rPr>
        <w:t>供应商提出质疑应当提交质疑函和必要的证明材料。质疑函应当包括下列内容：</w:t>
      </w:r>
    </w:p>
    <w:p w14:paraId="30771A3C">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.2.3.1供应商的姓名或者名称、地址、邮编、联系人及联系电话；</w:t>
      </w:r>
    </w:p>
    <w:p w14:paraId="00396017">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.2.3.2质疑项目的名称、编号；</w:t>
      </w:r>
    </w:p>
    <w:p w14:paraId="515E316F">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.2.3.3具体、明确的质疑事项和与质疑事项相关的请求；</w:t>
      </w:r>
    </w:p>
    <w:p w14:paraId="7900FD96">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.2.3.4事实依据；</w:t>
      </w:r>
    </w:p>
    <w:p w14:paraId="25D1AF95">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.2.3.5必要的法律依据；</w:t>
      </w:r>
    </w:p>
    <w:p w14:paraId="5BB3D6A4">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.2.3.6提出质疑的日期。</w:t>
      </w:r>
    </w:p>
    <w:p w14:paraId="7E6B73C1">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5.2.3.7对招标文件提出质疑的需要提供在</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平台获取招标文件的截图。</w:t>
      </w:r>
    </w:p>
    <w:p w14:paraId="667E0768">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5536036A">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质疑函范本请到</w:t>
      </w:r>
      <w:r>
        <w:rPr>
          <w:rFonts w:hint="eastAsia" w:cs="仿宋" w:asciiTheme="majorEastAsia" w:hAnsiTheme="majorEastAsia" w:eastAsiaTheme="majorEastAsia"/>
          <w:color w:val="auto"/>
          <w:sz w:val="24"/>
          <w:highlight w:val="none"/>
          <w:lang w:eastAsia="zh-CN"/>
        </w:rPr>
        <w:t>浙江政府采购网下载专区</w:t>
      </w:r>
      <w:r>
        <w:rPr>
          <w:rFonts w:hint="eastAsia" w:cs="仿宋" w:asciiTheme="majorEastAsia" w:hAnsiTheme="majorEastAsia" w:eastAsiaTheme="majorEastAsia"/>
          <w:color w:val="auto"/>
          <w:sz w:val="24"/>
          <w:highlight w:val="none"/>
        </w:rPr>
        <w:t>下载。</w:t>
      </w:r>
    </w:p>
    <w:p w14:paraId="669DAACF">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669ECBA5">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.5询问或者质疑事项可能影响采购结果的，采购人应当暂停签订合同，已经签订合同的，应当中止履行合同。</w:t>
      </w:r>
    </w:p>
    <w:p w14:paraId="6FA7F35A">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.3供应商投诉</w:t>
      </w:r>
    </w:p>
    <w:p w14:paraId="196D5401">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5.</w:t>
      </w:r>
      <w:r>
        <w:rPr>
          <w:rFonts w:hint="eastAsia" w:cs="仿宋" w:asciiTheme="majorEastAsia" w:hAnsiTheme="majorEastAsia" w:eastAsiaTheme="majorEastAsia"/>
          <w:color w:val="auto"/>
          <w:sz w:val="24"/>
          <w:highlight w:val="none"/>
        </w:rPr>
        <w:t>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50EC703A">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5.</w:t>
      </w:r>
      <w:r>
        <w:rPr>
          <w:rFonts w:hint="eastAsia" w:cs="仿宋" w:asciiTheme="majorEastAsia" w:hAnsiTheme="majorEastAsia" w:eastAsiaTheme="majorEastAsia"/>
          <w:color w:val="auto"/>
          <w:sz w:val="24"/>
          <w:highlight w:val="none"/>
        </w:rPr>
        <w:t>3.</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供应商投诉的事项不得超出已质疑事项的范围，基于质疑答复内容提出的投诉事项除外。</w:t>
      </w:r>
    </w:p>
    <w:p w14:paraId="243AE3A9">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5.</w:t>
      </w:r>
      <w:r>
        <w:rPr>
          <w:rFonts w:hint="eastAsia" w:cs="仿宋" w:asciiTheme="majorEastAsia" w:hAnsiTheme="majorEastAsia" w:eastAsiaTheme="majorEastAsia"/>
          <w:color w:val="auto"/>
          <w:sz w:val="24"/>
          <w:highlight w:val="none"/>
        </w:rPr>
        <w:t>3.3供应商投诉应当有明确的请求和必要的证明材料。</w:t>
      </w:r>
    </w:p>
    <w:p w14:paraId="12427028">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5.</w:t>
      </w:r>
      <w:r>
        <w:rPr>
          <w:rFonts w:hint="eastAsia" w:cs="仿宋" w:asciiTheme="majorEastAsia" w:hAnsiTheme="majorEastAsia" w:eastAsiaTheme="majorEastAsia"/>
          <w:color w:val="auto"/>
          <w:sz w:val="24"/>
          <w:highlight w:val="none"/>
        </w:rPr>
        <w:t>3.4以联合体形式参加政府采购活动的，其投诉应当由组成联合体的所有供应商共同提出。</w:t>
      </w:r>
    </w:p>
    <w:p w14:paraId="44FC9EC1">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5.</w:t>
      </w:r>
      <w:r>
        <w:rPr>
          <w:rFonts w:hint="eastAsia" w:cs="仿宋" w:asciiTheme="majorEastAsia" w:hAnsiTheme="majorEastAsia" w:eastAsiaTheme="majorEastAsia"/>
          <w:color w:val="auto"/>
          <w:sz w:val="24"/>
          <w:highlight w:val="none"/>
        </w:rPr>
        <w:t>3.5投诉人对集团纪检部门的投诉处理决定不服或集团纪检部门逾期未作处理的，可以向区国资管理中心反映。供应商或相关厉害关系人在采购过程中发现涉及违法违纪行为或造成国有资产损失的，可以向纪检监察部门和区国资管理中心反映。举报违法行为，应提供有效线索和证明材料。</w:t>
      </w:r>
    </w:p>
    <w:p w14:paraId="45634BC3">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投诉书范本请到</w:t>
      </w:r>
      <w:r>
        <w:rPr>
          <w:rFonts w:hint="eastAsia" w:cs="仿宋" w:asciiTheme="majorEastAsia" w:hAnsiTheme="majorEastAsia" w:eastAsiaTheme="majorEastAsia"/>
          <w:color w:val="auto"/>
          <w:sz w:val="24"/>
          <w:highlight w:val="none"/>
          <w:lang w:eastAsia="zh-CN"/>
        </w:rPr>
        <w:t>浙江政府采购网下载专区</w:t>
      </w:r>
      <w:r>
        <w:rPr>
          <w:rFonts w:hint="eastAsia" w:cs="仿宋" w:asciiTheme="majorEastAsia" w:hAnsiTheme="majorEastAsia" w:eastAsiaTheme="majorEastAsia"/>
          <w:color w:val="auto"/>
          <w:sz w:val="24"/>
          <w:highlight w:val="none"/>
        </w:rPr>
        <w:t>下载。</w:t>
      </w:r>
    </w:p>
    <w:p w14:paraId="5F7AF48B">
      <w:pPr>
        <w:keepNext w:val="0"/>
        <w:keepLines w:val="0"/>
        <w:pageBreakBefore w:val="0"/>
        <w:widowControl w:val="0"/>
        <w:kinsoku/>
        <w:wordWrap/>
        <w:overflowPunct/>
        <w:topLinePunct w:val="0"/>
        <w:bidi w:val="0"/>
        <w:spacing w:line="360" w:lineRule="auto"/>
        <w:jc w:val="center"/>
        <w:textAlignment w:val="auto"/>
        <w:outlineLvl w:val="0"/>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 xml:space="preserve">      二、招标文件的构成、澄清、修改</w:t>
      </w:r>
    </w:p>
    <w:p w14:paraId="066133B3">
      <w:pPr>
        <w:keepNext w:val="0"/>
        <w:keepLines w:val="0"/>
        <w:pageBreakBefore w:val="0"/>
        <w:widowControl w:val="0"/>
        <w:numPr>
          <w:ilvl w:val="0"/>
          <w:numId w:val="2"/>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招标文件的构成</w:t>
      </w:r>
    </w:p>
    <w:p w14:paraId="61EB285E">
      <w:pPr>
        <w:pStyle w:val="12"/>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 招标文件包括下列文件及附件：</w:t>
      </w:r>
    </w:p>
    <w:p w14:paraId="6466F9F6">
      <w:pPr>
        <w:pStyle w:val="12"/>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6.1.1 招标公告；</w:t>
      </w:r>
    </w:p>
    <w:p w14:paraId="13F8A371">
      <w:pPr>
        <w:pStyle w:val="12"/>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 xml:space="preserve">6.1.2 </w:t>
      </w:r>
      <w:r>
        <w:rPr>
          <w:rFonts w:hint="eastAsia" w:cs="仿宋" w:asciiTheme="majorEastAsia" w:hAnsiTheme="majorEastAsia" w:eastAsiaTheme="majorEastAsia"/>
          <w:color w:val="auto"/>
          <w:sz w:val="24"/>
          <w:szCs w:val="24"/>
          <w:highlight w:val="none"/>
          <w:lang w:val="zh-CN"/>
        </w:rPr>
        <w:t>投标</w:t>
      </w:r>
      <w:r>
        <w:rPr>
          <w:rFonts w:hint="eastAsia" w:cs="仿宋" w:asciiTheme="majorEastAsia" w:hAnsiTheme="majorEastAsia" w:eastAsiaTheme="majorEastAsia"/>
          <w:color w:val="auto"/>
          <w:sz w:val="24"/>
          <w:szCs w:val="24"/>
          <w:highlight w:val="none"/>
        </w:rPr>
        <w:t>须知；</w:t>
      </w:r>
    </w:p>
    <w:p w14:paraId="3730BFC3">
      <w:pPr>
        <w:pStyle w:val="12"/>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6.1.3 采购需求；</w:t>
      </w:r>
    </w:p>
    <w:p w14:paraId="629E7675">
      <w:pPr>
        <w:pStyle w:val="12"/>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6.1.4 评标办法；</w:t>
      </w:r>
    </w:p>
    <w:p w14:paraId="09D855FD">
      <w:pPr>
        <w:pStyle w:val="12"/>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6.1.5 拟签订的合同文本；</w:t>
      </w:r>
    </w:p>
    <w:p w14:paraId="6C8505BA">
      <w:pPr>
        <w:pStyle w:val="12"/>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color w:val="auto"/>
          <w:sz w:val="24"/>
          <w:szCs w:val="24"/>
          <w:highlight w:val="none"/>
          <w:lang w:val="en-US" w:eastAsia="zh-CN"/>
        </w:rPr>
      </w:pPr>
      <w:r>
        <w:rPr>
          <w:rFonts w:hint="eastAsia" w:cs="仿宋" w:asciiTheme="majorEastAsia" w:hAnsiTheme="majorEastAsia" w:eastAsiaTheme="majorEastAsia"/>
          <w:color w:val="auto"/>
          <w:sz w:val="24"/>
          <w:szCs w:val="24"/>
          <w:highlight w:val="none"/>
        </w:rPr>
        <w:t>6.1.6 应提交的有关格式范例</w:t>
      </w:r>
      <w:r>
        <w:rPr>
          <w:rFonts w:hint="eastAsia" w:cs="仿宋" w:asciiTheme="majorEastAsia" w:hAnsiTheme="majorEastAsia" w:eastAsiaTheme="majorEastAsia"/>
          <w:color w:val="auto"/>
          <w:sz w:val="24"/>
          <w:szCs w:val="24"/>
          <w:highlight w:val="none"/>
          <w:lang w:val="en-US" w:eastAsia="zh-CN"/>
        </w:rPr>
        <w:t xml:space="preserve">； </w:t>
      </w:r>
    </w:p>
    <w:p w14:paraId="112D5CDD">
      <w:pPr>
        <w:pStyle w:val="12"/>
        <w:keepNext w:val="0"/>
        <w:keepLines w:val="0"/>
        <w:pageBreakBefore w:val="0"/>
        <w:widowControl w:val="0"/>
        <w:kinsoku/>
        <w:wordWrap/>
        <w:overflowPunct/>
        <w:topLinePunct w:val="0"/>
        <w:bidi w:val="0"/>
        <w:spacing w:line="360" w:lineRule="auto"/>
        <w:ind w:firstLine="480" w:firstLineChars="200"/>
        <w:textAlignment w:val="auto"/>
        <w:rPr>
          <w:rFonts w:hint="default" w:cs="仿宋" w:asciiTheme="majorEastAsia" w:hAnsiTheme="majorEastAsia" w:eastAsiaTheme="majorEastAsia"/>
          <w:color w:val="auto"/>
          <w:sz w:val="24"/>
          <w:szCs w:val="24"/>
          <w:highlight w:val="none"/>
          <w:lang w:val="en-US" w:eastAsia="zh-CN"/>
        </w:rPr>
      </w:pPr>
      <w:r>
        <w:rPr>
          <w:rFonts w:hint="eastAsia" w:cs="仿宋" w:asciiTheme="majorEastAsia" w:hAnsiTheme="majorEastAsia" w:eastAsiaTheme="majorEastAsia"/>
          <w:color w:val="auto"/>
          <w:sz w:val="24"/>
          <w:szCs w:val="24"/>
          <w:highlight w:val="none"/>
          <w:lang w:val="en-US" w:eastAsia="zh-CN"/>
        </w:rPr>
        <w:t>6.1.7附件（如有）。</w:t>
      </w:r>
    </w:p>
    <w:p w14:paraId="1CB7A8C5">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6.2与本项目有关的</w:t>
      </w:r>
      <w:r>
        <w:rPr>
          <w:rFonts w:hint="eastAsia" w:cs="仿宋" w:asciiTheme="majorEastAsia" w:hAnsiTheme="majorEastAsia" w:eastAsiaTheme="majorEastAsia"/>
          <w:bCs/>
          <w:color w:val="auto"/>
          <w:sz w:val="24"/>
          <w:highlight w:val="none"/>
        </w:rPr>
        <w:t>澄清或者修改的内容为招标文件的组成部分</w:t>
      </w:r>
      <w:r>
        <w:rPr>
          <w:rFonts w:hint="eastAsia" w:cs="仿宋" w:asciiTheme="majorEastAsia" w:hAnsiTheme="majorEastAsia" w:eastAsiaTheme="majorEastAsia"/>
          <w:color w:val="auto"/>
          <w:sz w:val="24"/>
          <w:highlight w:val="none"/>
        </w:rPr>
        <w:t>。</w:t>
      </w:r>
    </w:p>
    <w:p w14:paraId="50F56223">
      <w:pPr>
        <w:keepNext w:val="0"/>
        <w:keepLines w:val="0"/>
        <w:pageBreakBefore w:val="0"/>
        <w:widowControl w:val="0"/>
        <w:numPr>
          <w:ilvl w:val="0"/>
          <w:numId w:val="2"/>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招标文件的澄清、修改</w:t>
      </w:r>
    </w:p>
    <w:p w14:paraId="6AAFA23E">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6036600F">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39F8CF96">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7.3 如更正公告有重新发布电子招标文件的，</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应下载最新发布的电子招标文件制作投标文件。</w:t>
      </w:r>
    </w:p>
    <w:p w14:paraId="78F3A2E9">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7.4 已获取招标文件的潜在</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，若有问题需要澄清，应于投标截止时间前，以书面形式向采购代理机构提出。</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w:t>
      </w:r>
    </w:p>
    <w:p w14:paraId="43FCBEB3">
      <w:pPr>
        <w:pStyle w:val="12"/>
        <w:rPr>
          <w:rFonts w:hint="eastAsia"/>
          <w:color w:val="auto"/>
          <w:highlight w:val="none"/>
        </w:rPr>
      </w:pPr>
    </w:p>
    <w:p w14:paraId="09EFF820">
      <w:pPr>
        <w:keepNext w:val="0"/>
        <w:keepLines w:val="0"/>
        <w:pageBreakBefore w:val="0"/>
        <w:widowControl w:val="0"/>
        <w:kinsoku/>
        <w:wordWrap/>
        <w:overflowPunct/>
        <w:topLinePunct w:val="0"/>
        <w:bidi w:val="0"/>
        <w:snapToGrid w:val="0"/>
        <w:spacing w:line="360" w:lineRule="auto"/>
        <w:jc w:val="center"/>
        <w:textAlignment w:val="auto"/>
        <w:rPr>
          <w:rFonts w:hint="eastAsia"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三、投标</w:t>
      </w:r>
    </w:p>
    <w:p w14:paraId="4059DBDD">
      <w:pPr>
        <w:keepNext w:val="0"/>
        <w:keepLines w:val="0"/>
        <w:pageBreakBefore w:val="0"/>
        <w:widowControl w:val="0"/>
        <w:numPr>
          <w:ilvl w:val="0"/>
          <w:numId w:val="2"/>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投标文件的语言</w:t>
      </w:r>
    </w:p>
    <w:p w14:paraId="7D9E0DC5">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投标文件及</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与采购有关的来往通知、函件和文件均应使用中文。</w:t>
      </w:r>
    </w:p>
    <w:p w14:paraId="0ED01DA3">
      <w:pPr>
        <w:keepNext w:val="0"/>
        <w:keepLines w:val="0"/>
        <w:pageBreakBefore w:val="0"/>
        <w:widowControl w:val="0"/>
        <w:numPr>
          <w:ilvl w:val="0"/>
          <w:numId w:val="2"/>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投标文件的组成</w:t>
      </w:r>
    </w:p>
    <w:p w14:paraId="40525AE1">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9.1 </w:t>
      </w:r>
      <w:r>
        <w:rPr>
          <w:rFonts w:hint="eastAsia" w:cs="仿宋" w:asciiTheme="majorEastAsia" w:hAnsiTheme="majorEastAsia" w:eastAsiaTheme="majorEastAsia"/>
          <w:b/>
          <w:color w:val="auto"/>
          <w:sz w:val="24"/>
          <w:highlight w:val="none"/>
        </w:rPr>
        <w:t>资格文件</w:t>
      </w:r>
      <w:r>
        <w:rPr>
          <w:rFonts w:hint="eastAsia" w:cs="仿宋" w:asciiTheme="majorEastAsia" w:hAnsiTheme="majorEastAsia" w:eastAsiaTheme="majorEastAsia"/>
          <w:color w:val="auto"/>
          <w:sz w:val="24"/>
          <w:highlight w:val="none"/>
        </w:rPr>
        <w:t>：</w:t>
      </w:r>
    </w:p>
    <w:p w14:paraId="5ED45F09">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9.1.1有效的企业法人营业执照（或事业法人登记证）、其他组织（个体工商户）的营业执照或者民办非企业单位登记证书；</w:t>
      </w:r>
    </w:p>
    <w:p w14:paraId="35E2A6B3">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9.1.2符合参加政府采购活动应当具备的一般条件的承诺函(格式见第六部分)；</w:t>
      </w:r>
    </w:p>
    <w:p w14:paraId="1675E938">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9.1.3本项目的特定资格要求。</w:t>
      </w:r>
    </w:p>
    <w:p w14:paraId="5CFF99AC">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b/>
          <w:bCs/>
          <w:color w:val="auto"/>
          <w:sz w:val="24"/>
          <w:highlight w:val="none"/>
          <w:lang w:val="zh-CN"/>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b/>
          <w:bCs/>
          <w:color w:val="auto"/>
          <w:sz w:val="24"/>
          <w:highlight w:val="none"/>
        </w:rPr>
        <w:t>商务技术</w:t>
      </w:r>
      <w:r>
        <w:rPr>
          <w:rFonts w:hint="eastAsia" w:cs="仿宋" w:asciiTheme="majorEastAsia" w:hAnsiTheme="majorEastAsia" w:eastAsiaTheme="majorEastAsia"/>
          <w:b/>
          <w:bCs/>
          <w:color w:val="auto"/>
          <w:sz w:val="24"/>
          <w:highlight w:val="none"/>
          <w:lang w:val="zh-CN"/>
        </w:rPr>
        <w:t>文件：</w:t>
      </w:r>
    </w:p>
    <w:p w14:paraId="531DA3D9">
      <w:pPr>
        <w:snapToGrid w:val="0"/>
        <w:spacing w:line="360" w:lineRule="auto"/>
        <w:ind w:firstLine="480" w:firstLineChars="200"/>
        <w:rPr>
          <w:rFonts w:hint="default"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lang w:val="en-US" w:eastAsia="zh-CN"/>
        </w:rPr>
        <w:t>9.2.1评审索引表；</w:t>
      </w:r>
    </w:p>
    <w:p w14:paraId="57CE1C26">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w:t>
      </w:r>
      <w:r>
        <w:rPr>
          <w:rFonts w:hint="eastAsia" w:cs="仿宋" w:asciiTheme="majorEastAsia" w:hAnsiTheme="majorEastAsia" w:eastAsiaTheme="majorEastAsia"/>
          <w:color w:val="auto"/>
          <w:sz w:val="24"/>
          <w:highlight w:val="none"/>
          <w:lang w:val="en-US" w:eastAsia="zh-CN"/>
        </w:rPr>
        <w:t>2</w:t>
      </w:r>
      <w:r>
        <w:rPr>
          <w:rFonts w:hint="eastAsia" w:cs="仿宋" w:asciiTheme="majorEastAsia" w:hAnsiTheme="majorEastAsia" w:eastAsiaTheme="majorEastAsia"/>
          <w:color w:val="auto"/>
          <w:sz w:val="24"/>
          <w:highlight w:val="none"/>
        </w:rPr>
        <w:t xml:space="preserve"> 符合性自查表；</w:t>
      </w:r>
    </w:p>
    <w:p w14:paraId="4C438246">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w:t>
      </w:r>
      <w:r>
        <w:rPr>
          <w:rFonts w:hint="eastAsia" w:cs="仿宋" w:asciiTheme="majorEastAsia" w:hAnsiTheme="majorEastAsia" w:eastAsiaTheme="majorEastAsia"/>
          <w:color w:val="auto"/>
          <w:sz w:val="24"/>
          <w:highlight w:val="none"/>
          <w:lang w:val="en-US" w:eastAsia="zh-CN"/>
        </w:rPr>
        <w:t>3</w:t>
      </w:r>
      <w:r>
        <w:rPr>
          <w:rFonts w:hint="eastAsia" w:cs="仿宋" w:asciiTheme="majorEastAsia" w:hAnsiTheme="majorEastAsia" w:eastAsiaTheme="majorEastAsia"/>
          <w:color w:val="auto"/>
          <w:sz w:val="24"/>
          <w:highlight w:val="none"/>
        </w:rPr>
        <w:t xml:space="preserve"> 投标函；</w:t>
      </w:r>
      <w:r>
        <w:rPr>
          <w:rFonts w:hint="eastAsia" w:cs="仿宋" w:asciiTheme="majorEastAsia" w:hAnsiTheme="majorEastAsia" w:eastAsiaTheme="majorEastAsia"/>
          <w:color w:val="auto"/>
          <w:sz w:val="24"/>
          <w:highlight w:val="none"/>
          <w:lang w:val="zh-CN"/>
        </w:rPr>
        <w:t xml:space="preserve"> </w:t>
      </w:r>
    </w:p>
    <w:p w14:paraId="481910C2">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w:t>
      </w:r>
      <w:r>
        <w:rPr>
          <w:rFonts w:hint="eastAsia" w:cs="仿宋" w:asciiTheme="majorEastAsia" w:hAnsiTheme="majorEastAsia" w:eastAsiaTheme="majorEastAsia"/>
          <w:color w:val="auto"/>
          <w:sz w:val="24"/>
          <w:highlight w:val="none"/>
          <w:lang w:val="en-US" w:eastAsia="zh-CN"/>
        </w:rPr>
        <w:t>4</w:t>
      </w:r>
      <w:r>
        <w:rPr>
          <w:rFonts w:hint="eastAsia" w:cs="仿宋" w:asciiTheme="majorEastAsia" w:hAnsiTheme="majorEastAsia" w:eastAsiaTheme="majorEastAsia"/>
          <w:color w:val="auto"/>
          <w:sz w:val="24"/>
          <w:highlight w:val="none"/>
        </w:rPr>
        <w:t xml:space="preserve"> 授权委托书或法定代表人（单位负责人、自然人本人）身份证明；</w:t>
      </w:r>
    </w:p>
    <w:p w14:paraId="79FAFDD7">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w:t>
      </w:r>
      <w:r>
        <w:rPr>
          <w:rFonts w:hint="eastAsia" w:cs="仿宋" w:asciiTheme="majorEastAsia" w:hAnsiTheme="majorEastAsia" w:eastAsiaTheme="majorEastAsia"/>
          <w:color w:val="auto"/>
          <w:sz w:val="24"/>
          <w:highlight w:val="none"/>
          <w:lang w:val="en-US" w:eastAsia="zh-CN"/>
        </w:rPr>
        <w:t>5</w:t>
      </w:r>
      <w:r>
        <w:rPr>
          <w:rFonts w:hint="eastAsia" w:cs="仿宋" w:asciiTheme="majorEastAsia" w:hAnsiTheme="majorEastAsia" w:eastAsiaTheme="majorEastAsia"/>
          <w:color w:val="auto"/>
          <w:sz w:val="24"/>
          <w:highlight w:val="none"/>
        </w:rPr>
        <w:t xml:space="preserve"> 供应商情况表；</w:t>
      </w:r>
    </w:p>
    <w:p w14:paraId="637F3A65">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w:t>
      </w:r>
      <w:r>
        <w:rPr>
          <w:rFonts w:hint="eastAsia" w:cs="仿宋" w:asciiTheme="majorEastAsia" w:hAnsiTheme="majorEastAsia" w:eastAsiaTheme="majorEastAsia"/>
          <w:color w:val="auto"/>
          <w:sz w:val="24"/>
          <w:highlight w:val="none"/>
          <w:lang w:val="en-US" w:eastAsia="zh-CN"/>
        </w:rPr>
        <w:t>6</w:t>
      </w:r>
      <w:r>
        <w:rPr>
          <w:rFonts w:hint="eastAsia" w:cs="仿宋" w:asciiTheme="majorEastAsia" w:hAnsiTheme="majorEastAsia" w:eastAsiaTheme="majorEastAsia"/>
          <w:color w:val="auto"/>
          <w:sz w:val="24"/>
          <w:highlight w:val="none"/>
        </w:rPr>
        <w:t xml:space="preserve"> 距采购人最近或者能为本项目提供最优服务的网点情况表；</w:t>
      </w:r>
    </w:p>
    <w:p w14:paraId="7F651CEB">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lang w:val="en-US" w:eastAsia="zh-CN"/>
        </w:rPr>
        <w:t>7</w:t>
      </w:r>
      <w:r>
        <w:rPr>
          <w:rFonts w:hint="eastAsia" w:cs="仿宋" w:asciiTheme="majorEastAsia" w:hAnsiTheme="majorEastAsia" w:eastAsiaTheme="majorEastAsia"/>
          <w:color w:val="auto"/>
          <w:sz w:val="24"/>
          <w:highlight w:val="none"/>
        </w:rPr>
        <w:t xml:space="preserve"> 评标标准相应的商务技术资料；</w:t>
      </w:r>
    </w:p>
    <w:p w14:paraId="7192C843">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w:t>
      </w:r>
      <w:r>
        <w:rPr>
          <w:rFonts w:hint="eastAsia" w:cs="仿宋" w:asciiTheme="majorEastAsia" w:hAnsiTheme="majorEastAsia" w:eastAsiaTheme="majorEastAsia"/>
          <w:color w:val="auto"/>
          <w:sz w:val="24"/>
          <w:highlight w:val="none"/>
          <w:lang w:val="en-US" w:eastAsia="zh-CN"/>
        </w:rPr>
        <w:t>8</w:t>
      </w:r>
      <w:r>
        <w:rPr>
          <w:rFonts w:hint="eastAsia" w:cs="仿宋" w:asciiTheme="majorEastAsia" w:hAnsiTheme="majorEastAsia" w:eastAsiaTheme="majorEastAsia"/>
          <w:color w:val="auto"/>
          <w:sz w:val="24"/>
          <w:highlight w:val="none"/>
        </w:rPr>
        <w:t xml:space="preserve"> 商务</w:t>
      </w:r>
      <w:r>
        <w:rPr>
          <w:rFonts w:hint="eastAsia" w:cs="仿宋" w:asciiTheme="majorEastAsia" w:hAnsiTheme="majorEastAsia" w:eastAsiaTheme="majorEastAsia"/>
          <w:color w:val="auto"/>
          <w:sz w:val="24"/>
          <w:highlight w:val="none"/>
          <w:lang w:eastAsia="zh-CN"/>
        </w:rPr>
        <w:t>响应</w:t>
      </w:r>
      <w:r>
        <w:rPr>
          <w:rFonts w:hint="eastAsia" w:cs="仿宋" w:asciiTheme="majorEastAsia" w:hAnsiTheme="majorEastAsia" w:eastAsiaTheme="majorEastAsia"/>
          <w:color w:val="auto"/>
          <w:sz w:val="24"/>
          <w:highlight w:val="none"/>
        </w:rPr>
        <w:t>表；</w:t>
      </w:r>
    </w:p>
    <w:p w14:paraId="7CCCC312">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w:t>
      </w:r>
      <w:r>
        <w:rPr>
          <w:rFonts w:hint="eastAsia" w:cs="仿宋" w:asciiTheme="majorEastAsia" w:hAnsiTheme="majorEastAsia" w:eastAsiaTheme="majorEastAsia"/>
          <w:color w:val="auto"/>
          <w:sz w:val="24"/>
          <w:highlight w:val="none"/>
          <w:lang w:val="en-US" w:eastAsia="zh-CN"/>
        </w:rPr>
        <w:t>9</w:t>
      </w:r>
      <w:r>
        <w:rPr>
          <w:rFonts w:hint="eastAsia" w:cs="仿宋" w:asciiTheme="majorEastAsia" w:hAnsiTheme="majorEastAsia" w:eastAsiaTheme="majorEastAsia"/>
          <w:color w:val="auto"/>
          <w:sz w:val="24"/>
          <w:highlight w:val="none"/>
        </w:rPr>
        <w:t xml:space="preserve"> 技术</w:t>
      </w:r>
      <w:r>
        <w:rPr>
          <w:rFonts w:hint="eastAsia" w:cs="仿宋" w:asciiTheme="majorEastAsia" w:hAnsiTheme="majorEastAsia" w:eastAsiaTheme="majorEastAsia"/>
          <w:color w:val="auto"/>
          <w:sz w:val="24"/>
          <w:highlight w:val="none"/>
          <w:lang w:eastAsia="zh-CN"/>
        </w:rPr>
        <w:t>响应</w:t>
      </w:r>
      <w:r>
        <w:rPr>
          <w:rFonts w:hint="eastAsia" w:cs="仿宋" w:asciiTheme="majorEastAsia" w:hAnsiTheme="majorEastAsia" w:eastAsiaTheme="majorEastAsia"/>
          <w:color w:val="auto"/>
          <w:sz w:val="24"/>
          <w:highlight w:val="none"/>
        </w:rPr>
        <w:t>表；</w:t>
      </w:r>
    </w:p>
    <w:p w14:paraId="4495B75C">
      <w:pPr>
        <w:snapToGrid w:val="0"/>
        <w:spacing w:line="360" w:lineRule="auto"/>
        <w:ind w:firstLine="480" w:firstLineChars="200"/>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w:t>
      </w:r>
      <w:r>
        <w:rPr>
          <w:rFonts w:hint="eastAsia" w:cs="仿宋" w:asciiTheme="majorEastAsia" w:hAnsiTheme="majorEastAsia" w:eastAsiaTheme="majorEastAsia"/>
          <w:color w:val="auto"/>
          <w:sz w:val="24"/>
          <w:highlight w:val="none"/>
          <w:lang w:val="en-US" w:eastAsia="zh-CN"/>
        </w:rPr>
        <w:t>10</w:t>
      </w:r>
      <w:r>
        <w:rPr>
          <w:rFonts w:hint="eastAsia" w:cs="仿宋" w:asciiTheme="majorEastAsia" w:hAnsiTheme="majorEastAsia" w:eastAsiaTheme="majorEastAsia"/>
          <w:color w:val="auto"/>
          <w:sz w:val="24"/>
          <w:highlight w:val="none"/>
        </w:rPr>
        <w:t xml:space="preserve"> 同类业绩情况一览表；</w:t>
      </w:r>
    </w:p>
    <w:p w14:paraId="7CEE6765">
      <w:pPr>
        <w:snapToGrid w:val="0"/>
        <w:spacing w:line="360" w:lineRule="auto"/>
        <w:ind w:firstLine="480" w:firstLineChars="200"/>
        <w:rPr>
          <w:rFonts w:hint="default" w:cs="仿宋" w:asciiTheme="majorEastAsia" w:hAnsiTheme="majorEastAsia" w:eastAsiaTheme="majorEastAsia"/>
          <w:color w:val="auto"/>
          <w:sz w:val="24"/>
          <w:highlight w:val="none"/>
          <w:lang w:val="en-US"/>
        </w:rPr>
      </w:pPr>
      <w:r>
        <w:rPr>
          <w:rFonts w:hint="eastAsia" w:cs="仿宋" w:asciiTheme="majorEastAsia" w:hAnsiTheme="majorEastAsia" w:eastAsiaTheme="majorEastAsia"/>
          <w:color w:val="auto"/>
          <w:sz w:val="24"/>
          <w:highlight w:val="none"/>
        </w:rPr>
        <w:t>9.2.</w:t>
      </w:r>
      <w:r>
        <w:rPr>
          <w:rFonts w:hint="eastAsia" w:cs="仿宋" w:asciiTheme="majorEastAsia" w:hAnsiTheme="majorEastAsia" w:eastAsiaTheme="majorEastAsia"/>
          <w:color w:val="auto"/>
          <w:sz w:val="24"/>
          <w:highlight w:val="none"/>
          <w:lang w:val="en-US" w:eastAsia="zh-CN"/>
        </w:rPr>
        <w:t xml:space="preserve">11 </w:t>
      </w:r>
      <w:r>
        <w:rPr>
          <w:rFonts w:hint="eastAsia" w:cs="仿宋" w:asciiTheme="majorEastAsia" w:hAnsiTheme="majorEastAsia" w:eastAsiaTheme="majorEastAsia"/>
          <w:color w:val="auto"/>
          <w:sz w:val="24"/>
          <w:highlight w:val="none"/>
          <w:lang w:val="zh-CN"/>
        </w:rPr>
        <w:t>项目实施人员一览表；</w:t>
      </w:r>
    </w:p>
    <w:p w14:paraId="15F98AFB">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w:t>
      </w:r>
      <w:r>
        <w:rPr>
          <w:rFonts w:hint="eastAsia" w:cs="仿宋" w:asciiTheme="majorEastAsia" w:hAnsiTheme="majorEastAsia" w:eastAsiaTheme="majorEastAsia"/>
          <w:color w:val="auto"/>
          <w:sz w:val="24"/>
          <w:highlight w:val="none"/>
          <w:lang w:val="en-US" w:eastAsia="zh-CN"/>
        </w:rPr>
        <w:t xml:space="preserve">2 </w:t>
      </w:r>
      <w:r>
        <w:rPr>
          <w:rFonts w:hint="eastAsia" w:cs="仿宋" w:asciiTheme="majorEastAsia" w:hAnsiTheme="majorEastAsia" w:eastAsiaTheme="majorEastAsia"/>
          <w:color w:val="auto"/>
          <w:sz w:val="24"/>
          <w:highlight w:val="none"/>
          <w:lang w:val="zh-CN"/>
        </w:rPr>
        <w:t>政府采购供应商廉洁自律承诺书；</w:t>
      </w:r>
    </w:p>
    <w:p w14:paraId="12AE5C2E">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w:t>
      </w:r>
      <w:r>
        <w:rPr>
          <w:rFonts w:hint="eastAsia" w:cs="仿宋" w:asciiTheme="majorEastAsia" w:hAnsiTheme="majorEastAsia" w:eastAsiaTheme="majorEastAsia"/>
          <w:color w:val="auto"/>
          <w:sz w:val="24"/>
          <w:highlight w:val="none"/>
          <w:lang w:val="en-US" w:eastAsia="zh-CN"/>
        </w:rPr>
        <w:t xml:space="preserve">3 </w:t>
      </w:r>
      <w:r>
        <w:rPr>
          <w:rFonts w:hint="eastAsia" w:cs="仿宋" w:asciiTheme="majorEastAsia" w:hAnsiTheme="majorEastAsia" w:eastAsiaTheme="majorEastAsia"/>
          <w:color w:val="auto"/>
          <w:sz w:val="24"/>
          <w:highlight w:val="none"/>
        </w:rPr>
        <w:t>其他资料（如有）。</w:t>
      </w:r>
    </w:p>
    <w:p w14:paraId="411DFBBF">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kern w:val="0"/>
          <w:sz w:val="24"/>
          <w:highlight w:val="none"/>
        </w:rPr>
        <w:t>9</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kern w:val="0"/>
          <w:sz w:val="24"/>
          <w:highlight w:val="none"/>
        </w:rPr>
        <w:t xml:space="preserve">3 </w:t>
      </w:r>
      <w:r>
        <w:rPr>
          <w:rFonts w:hint="eastAsia" w:cs="仿宋" w:asciiTheme="majorEastAsia" w:hAnsiTheme="majorEastAsia" w:eastAsiaTheme="majorEastAsia"/>
          <w:b/>
          <w:color w:val="auto"/>
          <w:sz w:val="24"/>
          <w:highlight w:val="none"/>
        </w:rPr>
        <w:t>报价文件：</w:t>
      </w:r>
      <w:r>
        <w:rPr>
          <w:rFonts w:hint="eastAsia" w:cs="仿宋" w:asciiTheme="majorEastAsia" w:hAnsiTheme="majorEastAsia" w:eastAsiaTheme="majorEastAsia"/>
          <w:color w:val="auto"/>
          <w:sz w:val="24"/>
          <w:highlight w:val="none"/>
        </w:rPr>
        <w:t xml:space="preserve"> </w:t>
      </w:r>
    </w:p>
    <w:p w14:paraId="510AD889">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9.3.1 开标一览表；</w:t>
      </w:r>
    </w:p>
    <w:p w14:paraId="39872AA2">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9.3.2 投标报价明细表；</w:t>
      </w:r>
    </w:p>
    <w:p w14:paraId="155D3B7E">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9.3.3 中小企业声明函（如有）；</w:t>
      </w:r>
    </w:p>
    <w:p w14:paraId="64C3B643">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9.3.4 残疾人福利性单位声明函（如有）；</w:t>
      </w:r>
    </w:p>
    <w:p w14:paraId="58B609EE">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9.3.5 监狱企业的证明文件（如有）；</w:t>
      </w:r>
    </w:p>
    <w:p w14:paraId="1F7C64C5">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9.3.6 政府采购统计基础信息表；</w:t>
      </w:r>
    </w:p>
    <w:p w14:paraId="197A851B">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9.3.7其他资料（如有）。</w:t>
      </w:r>
    </w:p>
    <w:p w14:paraId="5CE2F742">
      <w:pPr>
        <w:keepNext w:val="0"/>
        <w:keepLines w:val="0"/>
        <w:pageBreakBefore w:val="0"/>
        <w:widowControl w:val="0"/>
        <w:numPr>
          <w:ilvl w:val="0"/>
          <w:numId w:val="2"/>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投标文件的编制</w:t>
      </w:r>
    </w:p>
    <w:p w14:paraId="5CBFB018">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color w:val="auto"/>
          <w:kern w:val="0"/>
          <w:sz w:val="24"/>
          <w:highlight w:val="none"/>
        </w:rPr>
        <w:t>未有规定格式的资料，</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应自行编制，但至少须包含</w:t>
      </w:r>
      <w:r>
        <w:rPr>
          <w:rFonts w:hint="eastAsia" w:cs="仿宋" w:asciiTheme="majorEastAsia" w:hAnsiTheme="majorEastAsia" w:eastAsiaTheme="majorEastAsia"/>
          <w:color w:val="auto"/>
          <w:kern w:val="0"/>
          <w:sz w:val="24"/>
          <w:highlight w:val="none"/>
          <w:lang w:val="en-US" w:eastAsia="zh-CN"/>
        </w:rPr>
        <w:t>9.</w:t>
      </w:r>
      <w:r>
        <w:rPr>
          <w:rFonts w:hint="eastAsia" w:cs="仿宋" w:asciiTheme="majorEastAsia" w:hAnsiTheme="majorEastAsia" w:eastAsiaTheme="majorEastAsia"/>
          <w:color w:val="auto"/>
          <w:kern w:val="0"/>
          <w:sz w:val="24"/>
          <w:highlight w:val="none"/>
        </w:rPr>
        <w:t>投标文件组成中的内容。</w:t>
      </w:r>
      <w:r>
        <w:rPr>
          <w:rFonts w:hint="eastAsia" w:cs="仿宋" w:asciiTheme="majorEastAsia" w:hAnsiTheme="majorEastAsia" w:eastAsiaTheme="majorEastAsia"/>
          <w:color w:val="auto"/>
          <w:kern w:val="0"/>
          <w:sz w:val="24"/>
          <w:highlight w:val="none"/>
          <w:lang w:val="zh-CN"/>
        </w:rPr>
        <w:t>混乱的编排导致投标文件被误读或评标委员会查找不到有效文件是供应商的风险。</w:t>
      </w:r>
    </w:p>
    <w:p w14:paraId="736A50EA">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.2供应商进行电子投标应安装客户端软件—“乐采云电子交易客户端”（</w:t>
      </w:r>
      <w:r>
        <w:rPr>
          <w:rFonts w:hint="eastAsia" w:cs="仿宋" w:asciiTheme="majorEastAsia" w:hAnsiTheme="majorEastAsia" w:eastAsiaTheme="majorEastAsia"/>
          <w:color w:val="auto"/>
          <w:kern w:val="0"/>
          <w:sz w:val="24"/>
          <w:highlight w:val="none"/>
          <w:lang w:val="en-US" w:eastAsia="zh-CN"/>
        </w:rPr>
        <w:t>下载地址：https://b.zhengcaiyun.cn/luban/category?parentId=550045&amp;childrenCode=qicaiCategory17&amp;utm=luban.luban-PC-39026.959-pc-websitegroup-navBar-front.8.ebdec73052c711ef9ade896d008b9248</w:t>
      </w:r>
      <w:r>
        <w:rPr>
          <w:rFonts w:hint="eastAsia" w:cs="仿宋" w:asciiTheme="majorEastAsia" w:hAnsiTheme="majorEastAsia" w:eastAsiaTheme="majorEastAsia"/>
          <w:color w:val="auto"/>
          <w:kern w:val="0"/>
          <w:sz w:val="24"/>
          <w:highlight w:val="none"/>
          <w:lang w:val="zh-CN"/>
        </w:rPr>
        <w:t>），并按照招标文件和电子交易平台的要求编制并加密投标文件。供应商未按规定加密的投标文件，电子交易平台将拒收并提示。</w:t>
      </w:r>
    </w:p>
    <w:p w14:paraId="59303BB7">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.3使用“乐采云电子交易客户端”需要提前申领CA数字证书，申领流程请自行前往“浙江政府采购网-下载专区-电子交易客户端-CA驱动和申领流程”进行查阅。</w:t>
      </w:r>
    </w:p>
    <w:p w14:paraId="4B254AFA">
      <w:pPr>
        <w:keepNext w:val="0"/>
        <w:keepLines w:val="0"/>
        <w:pageBreakBefore w:val="0"/>
        <w:widowControl w:val="0"/>
        <w:numPr>
          <w:ilvl w:val="0"/>
          <w:numId w:val="2"/>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投标文件的签署、盖章</w:t>
      </w:r>
    </w:p>
    <w:p w14:paraId="2464D265">
      <w:pPr>
        <w:pStyle w:val="41"/>
        <w:keepNext w:val="0"/>
        <w:keepLines w:val="0"/>
        <w:pageBreakBefore w:val="0"/>
        <w:widowControl w:val="0"/>
        <w:kinsoku/>
        <w:wordWrap/>
        <w:overflowPunct/>
        <w:topLinePunct w:val="0"/>
        <w:bidi w:val="0"/>
        <w:snapToGrid w:val="0"/>
        <w:spacing w:before="0"/>
        <w:ind w:firstLine="480"/>
        <w:textAlignment w:val="auto"/>
        <w:rPr>
          <w:rFonts w:cs="仿宋" w:asciiTheme="majorEastAsia" w:hAnsiTheme="majorEastAsia" w:eastAsiaTheme="majorEastAsia"/>
          <w:b/>
          <w:color w:val="auto"/>
          <w:highlight w:val="none"/>
        </w:rPr>
      </w:pPr>
      <w:r>
        <w:rPr>
          <w:rFonts w:hint="eastAsia" w:cs="仿宋" w:asciiTheme="majorEastAsia" w:hAnsiTheme="majorEastAsia" w:eastAsiaTheme="majorEastAsia"/>
          <w:color w:val="auto"/>
          <w:szCs w:val="24"/>
          <w:highlight w:val="none"/>
        </w:rPr>
        <w:t>11.1投标文件按照招标文件第六部分格式要</w:t>
      </w:r>
      <w:r>
        <w:rPr>
          <w:rFonts w:hint="eastAsia" w:cs="仿宋" w:asciiTheme="majorEastAsia" w:hAnsiTheme="majorEastAsia" w:eastAsiaTheme="majorEastAsia"/>
          <w:color w:val="auto"/>
          <w:highlight w:val="none"/>
        </w:rPr>
        <w:t>求进行签署、盖章。</w:t>
      </w:r>
      <w:r>
        <w:rPr>
          <w:rFonts w:hint="eastAsia" w:cs="仿宋" w:asciiTheme="majorEastAsia" w:hAnsiTheme="majorEastAsia" w:eastAsiaTheme="majorEastAsia"/>
          <w:b/>
          <w:color w:val="auto"/>
          <w:highlight w:val="none"/>
        </w:rPr>
        <w:t>▲供应商的投标文件未按照招标文件要求签署、盖章的，其投标无效</w:t>
      </w:r>
      <w:r>
        <w:rPr>
          <w:rFonts w:hint="eastAsia" w:cs="仿宋" w:asciiTheme="majorEastAsia" w:hAnsiTheme="majorEastAsia" w:eastAsiaTheme="majorEastAsia"/>
          <w:color w:val="auto"/>
          <w:szCs w:val="24"/>
          <w:highlight w:val="none"/>
        </w:rPr>
        <w:t>。</w:t>
      </w:r>
    </w:p>
    <w:p w14:paraId="3D0975F5">
      <w:pPr>
        <w:pStyle w:val="41"/>
        <w:keepNext w:val="0"/>
        <w:keepLines w:val="0"/>
        <w:pageBreakBefore w:val="0"/>
        <w:widowControl w:val="0"/>
        <w:kinsoku/>
        <w:wordWrap/>
        <w:overflowPunct/>
        <w:topLinePunct w:val="0"/>
        <w:bidi w:val="0"/>
        <w:snapToGrid w:val="0"/>
        <w:spacing w:before="0"/>
        <w:ind w:firstLine="480"/>
        <w:textAlignment w:val="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11.2为确保网上操作合法、有效和安全，</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应当在投标截止时间前完成在“政府采购云平台”的身份认证，确保在电子投标过程中能够对相关数据电文进行加密和使用电子签名。</w:t>
      </w:r>
    </w:p>
    <w:p w14:paraId="14CFC2AD">
      <w:pPr>
        <w:pStyle w:val="41"/>
        <w:keepNext w:val="0"/>
        <w:keepLines w:val="0"/>
        <w:pageBreakBefore w:val="0"/>
        <w:widowControl w:val="0"/>
        <w:kinsoku/>
        <w:wordWrap/>
        <w:overflowPunct/>
        <w:topLinePunct w:val="0"/>
        <w:bidi w:val="0"/>
        <w:snapToGrid w:val="0"/>
        <w:spacing w:before="0"/>
        <w:ind w:firstLine="480"/>
        <w:textAlignment w:val="auto"/>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highlight w:val="none"/>
        </w:rPr>
        <w:t>11.3招标文件对投标文件签署、盖章的要求适用于电子签名。</w:t>
      </w:r>
    </w:p>
    <w:p w14:paraId="3413E61C">
      <w:pPr>
        <w:keepNext w:val="0"/>
        <w:keepLines w:val="0"/>
        <w:pageBreakBefore w:val="0"/>
        <w:widowControl w:val="0"/>
        <w:numPr>
          <w:ilvl w:val="0"/>
          <w:numId w:val="2"/>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投标文件的提交、补充、修改、撤回</w:t>
      </w:r>
    </w:p>
    <w:p w14:paraId="4290BD75">
      <w:pPr>
        <w:pStyle w:val="41"/>
        <w:keepNext w:val="0"/>
        <w:keepLines w:val="0"/>
        <w:pageBreakBefore w:val="0"/>
        <w:widowControl w:val="0"/>
        <w:kinsoku/>
        <w:wordWrap/>
        <w:overflowPunct/>
        <w:topLinePunct w:val="0"/>
        <w:bidi w:val="0"/>
        <w:ind w:firstLine="480"/>
        <w:textAlignment w:val="auto"/>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92800AC">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12.2电子交易平台收到投标文件，将妥善保存并即时向供应商发出确认回执通知。在投标截止时间前，除供应商补充、修改或者撤回投标文件外，任何单位和个人不得解密或提取投标文件。</w:t>
      </w:r>
    </w:p>
    <w:p w14:paraId="2F8C5BB2">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12.3采购人、采购代理机构可以视情况延长投标文件提交的截止时间。在上述情况下，采购代理机构与</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szCs w:val="24"/>
          <w:highlight w:val="none"/>
        </w:rPr>
        <w:t>以前在投标截止期方面的全部权利、责任和义务，将适用于延长至新的投标截止期。</w:t>
      </w:r>
    </w:p>
    <w:p w14:paraId="45311AF1">
      <w:pPr>
        <w:keepNext w:val="0"/>
        <w:keepLines w:val="0"/>
        <w:pageBreakBefore w:val="0"/>
        <w:widowControl w:val="0"/>
        <w:numPr>
          <w:ilvl w:val="0"/>
          <w:numId w:val="2"/>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投标有效期</w:t>
      </w:r>
    </w:p>
    <w:p w14:paraId="634BE386">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b/>
          <w:color w:val="auto"/>
          <w:sz w:val="24"/>
          <w:szCs w:val="21"/>
          <w:highlight w:val="none"/>
        </w:rPr>
      </w:pPr>
      <w:r>
        <w:rPr>
          <w:rFonts w:hint="eastAsia" w:cs="仿宋" w:asciiTheme="majorEastAsia" w:hAnsiTheme="majorEastAsia" w:eastAsiaTheme="majorEastAsia"/>
          <w:color w:val="auto"/>
          <w:sz w:val="24"/>
          <w:szCs w:val="20"/>
          <w:highlight w:val="none"/>
        </w:rPr>
        <w:t>投标有效期为从提交投标文件的截止之日起90天。▲</w:t>
      </w:r>
      <w:r>
        <w:rPr>
          <w:rFonts w:hint="eastAsia" w:cs="仿宋" w:asciiTheme="majorEastAsia" w:hAnsiTheme="majorEastAsia" w:eastAsiaTheme="majorEastAsia"/>
          <w:b/>
          <w:color w:val="auto"/>
          <w:sz w:val="24"/>
          <w:szCs w:val="20"/>
          <w:highlight w:val="none"/>
        </w:rPr>
        <w:t>供应商的投标文件中承</w:t>
      </w:r>
      <w:r>
        <w:rPr>
          <w:rFonts w:hint="eastAsia" w:cs="仿宋" w:asciiTheme="majorEastAsia" w:hAnsiTheme="majorEastAsia" w:eastAsiaTheme="majorEastAsia"/>
          <w:b/>
          <w:color w:val="auto"/>
          <w:sz w:val="24"/>
          <w:szCs w:val="21"/>
          <w:highlight w:val="none"/>
        </w:rPr>
        <w:t>诺的投标有效期少于招标文件中载明的投标有效期的，投标无效。</w:t>
      </w:r>
    </w:p>
    <w:p w14:paraId="012B5655">
      <w:pPr>
        <w:pStyle w:val="41"/>
        <w:keepNext w:val="0"/>
        <w:keepLines w:val="0"/>
        <w:pageBreakBefore w:val="0"/>
        <w:widowControl w:val="0"/>
        <w:kinsoku/>
        <w:wordWrap/>
        <w:overflowPunct/>
        <w:topLinePunct w:val="0"/>
        <w:bidi w:val="0"/>
        <w:spacing w:before="0"/>
        <w:ind w:firstLine="643"/>
        <w:textAlignment w:val="auto"/>
        <w:rPr>
          <w:rFonts w:cs="仿宋" w:asciiTheme="majorEastAsia" w:hAnsiTheme="majorEastAsia" w:eastAsiaTheme="majorEastAsia"/>
          <w:b/>
          <w:color w:val="auto"/>
          <w:sz w:val="32"/>
          <w:highlight w:val="none"/>
        </w:rPr>
      </w:pPr>
    </w:p>
    <w:p w14:paraId="126495C6">
      <w:pPr>
        <w:pStyle w:val="41"/>
        <w:keepNext w:val="0"/>
        <w:keepLines w:val="0"/>
        <w:pageBreakBefore w:val="0"/>
        <w:widowControl w:val="0"/>
        <w:kinsoku/>
        <w:wordWrap/>
        <w:overflowPunct/>
        <w:topLinePunct w:val="0"/>
        <w:bidi w:val="0"/>
        <w:spacing w:before="0"/>
        <w:ind w:firstLine="1928" w:firstLineChars="600"/>
        <w:textAlignment w:val="auto"/>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四、开标、资格审查与信用信息查询</w:t>
      </w:r>
    </w:p>
    <w:p w14:paraId="6EC1FC66">
      <w:pPr>
        <w:keepNext w:val="0"/>
        <w:keepLines w:val="0"/>
        <w:pageBreakBefore w:val="0"/>
        <w:widowControl w:val="0"/>
        <w:numPr>
          <w:ilvl w:val="0"/>
          <w:numId w:val="2"/>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开标 </w:t>
      </w:r>
    </w:p>
    <w:p w14:paraId="05C096BE">
      <w:pPr>
        <w:pStyle w:val="36"/>
        <w:keepNext w:val="0"/>
        <w:keepLines w:val="0"/>
        <w:pageBreakBefore w:val="0"/>
        <w:widowControl w:val="0"/>
        <w:kinsoku/>
        <w:wordWrap/>
        <w:overflowPunct/>
        <w:topLinePunct w:val="0"/>
        <w:bidi w:val="0"/>
        <w:spacing w:before="0" w:line="360" w:lineRule="auto"/>
        <w:ind w:left="0" w:firstLine="480" w:firstLineChars="200"/>
        <w:contextualSpacing/>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14.1采购代理机构按照招标文件规定的时间通过电子交易平台组织开标，所有</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均应当准时在线参加。</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不足3家的，不得开标。</w:t>
      </w:r>
    </w:p>
    <w:p w14:paraId="63DD5F76">
      <w:pPr>
        <w:pStyle w:val="36"/>
        <w:keepNext w:val="0"/>
        <w:keepLines w:val="0"/>
        <w:pageBreakBefore w:val="0"/>
        <w:widowControl w:val="0"/>
        <w:kinsoku/>
        <w:wordWrap/>
        <w:overflowPunct/>
        <w:topLinePunct w:val="0"/>
        <w:bidi w:val="0"/>
        <w:spacing w:before="0" w:line="360" w:lineRule="auto"/>
        <w:ind w:left="0" w:firstLine="240" w:firstLineChars="100"/>
        <w:contextualSpacing/>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14.2开标时，电子交易平台按开标时间自动提取所有投标文件。采购代理机构依托电子交易平台发起开始解密指令，</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w:t>
      </w:r>
    </w:p>
    <w:p w14:paraId="56147DCF">
      <w:pPr>
        <w:keepNext w:val="0"/>
        <w:keepLines w:val="0"/>
        <w:pageBreakBefore w:val="0"/>
        <w:widowControl w:val="0"/>
        <w:numPr>
          <w:ilvl w:val="0"/>
          <w:numId w:val="2"/>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资格审查</w:t>
      </w:r>
    </w:p>
    <w:p w14:paraId="6FF7B970">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15.1开标后，采购人或采购代理机构依据法律法规和招标文件的规定，对供应商的资格条件进行审查。</w:t>
      </w:r>
    </w:p>
    <w:p w14:paraId="144667D3">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2对未通过资格审查的供应商，采购人或采购代理机构告知其未通过的原因。</w:t>
      </w:r>
    </w:p>
    <w:p w14:paraId="235541DB">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3合格供应商不足3家的，不再评标。</w:t>
      </w:r>
    </w:p>
    <w:p w14:paraId="0444C6DA">
      <w:pPr>
        <w:keepNext w:val="0"/>
        <w:keepLines w:val="0"/>
        <w:pageBreakBefore w:val="0"/>
        <w:widowControl w:val="0"/>
        <w:numPr>
          <w:ilvl w:val="0"/>
          <w:numId w:val="2"/>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信用信息查询</w:t>
      </w:r>
    </w:p>
    <w:p w14:paraId="7F4270F9">
      <w:pPr>
        <w:pStyle w:val="41"/>
        <w:keepNext w:val="0"/>
        <w:keepLines w:val="0"/>
        <w:pageBreakBefore w:val="0"/>
        <w:widowControl w:val="0"/>
        <w:kinsoku/>
        <w:wordWrap/>
        <w:overflowPunct/>
        <w:topLinePunct w:val="0"/>
        <w:bidi w:val="0"/>
        <w:spacing w:before="0"/>
        <w:ind w:firstLine="495" w:firstLineChars="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16.1信用信息查询渠道及截止时间：采购代理机构将通过“信用中国”网站(www.creditchina.gov.cn)、中国政府采购网(www.ccgp.gov.cn)渠道查询供应商投标截止时间当天的信用记录。</w:t>
      </w:r>
    </w:p>
    <w:p w14:paraId="7B08D8C9">
      <w:pPr>
        <w:pStyle w:val="41"/>
        <w:keepNext w:val="0"/>
        <w:keepLines w:val="0"/>
        <w:pageBreakBefore w:val="0"/>
        <w:widowControl w:val="0"/>
        <w:kinsoku/>
        <w:wordWrap/>
        <w:overflowPunct/>
        <w:topLinePunct w:val="0"/>
        <w:bidi w:val="0"/>
        <w:spacing w:before="0"/>
        <w:ind w:firstLine="495" w:firstLineChars="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16.2信用信息的使用规则：经查询列入失信被执行人名单、重大税收违法案件当事人名单、政府采购严重违法失信行为记录名单的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将被拒绝参与政府采购活动。</w:t>
      </w:r>
    </w:p>
    <w:p w14:paraId="4D15E7B9">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color w:val="auto"/>
          <w:highlight w:val="none"/>
        </w:rPr>
        <w:t>。</w:t>
      </w:r>
    </w:p>
    <w:p w14:paraId="736C31F4">
      <w:pPr>
        <w:keepNext w:val="0"/>
        <w:keepLines w:val="0"/>
        <w:pageBreakBefore w:val="0"/>
        <w:widowControl w:val="0"/>
        <w:kinsoku/>
        <w:wordWrap/>
        <w:overflowPunct/>
        <w:topLinePunct w:val="0"/>
        <w:bidi w:val="0"/>
        <w:snapToGrid w:val="0"/>
        <w:spacing w:line="360" w:lineRule="auto"/>
        <w:jc w:val="center"/>
        <w:textAlignment w:val="auto"/>
        <w:outlineLvl w:val="0"/>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五、评标</w:t>
      </w:r>
    </w:p>
    <w:p w14:paraId="5E6C1F91">
      <w:pPr>
        <w:keepNext w:val="0"/>
        <w:keepLines w:val="0"/>
        <w:pageBreakBefore w:val="0"/>
        <w:widowControl w:val="0"/>
        <w:numPr>
          <w:ilvl w:val="0"/>
          <w:numId w:val="2"/>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color w:val="auto"/>
          <w:sz w:val="24"/>
          <w:highlight w:val="none"/>
        </w:rPr>
      </w:pPr>
      <w:bookmarkStart w:id="13" w:name="_Toc91899903"/>
      <w:r>
        <w:rPr>
          <w:rFonts w:hint="eastAsia" w:cs="仿宋" w:asciiTheme="majorEastAsia" w:hAnsiTheme="majorEastAsia" w:eastAsiaTheme="majorEastAsia"/>
          <w:b/>
          <w:color w:val="auto"/>
          <w:sz w:val="24"/>
          <w:highlight w:val="none"/>
        </w:rPr>
        <w:t>评标委员会</w:t>
      </w:r>
    </w:p>
    <w:p w14:paraId="3856165E">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17.1 本次招标依法组建评标委员会。评标委员会由采购人代表和评审专家组成，评审专家从专家库随机抽取。</w:t>
      </w:r>
    </w:p>
    <w:p w14:paraId="2963A5CD">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1A2EF49C">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 评审专家有下列情形之一的，受到邀请应主动提出回避，采购当事人也可以要求该评审专家回避：</w:t>
      </w:r>
    </w:p>
    <w:p w14:paraId="400F90D8">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17.3.1 参加采购活动前三年内，与供应商存在劳动关系，或者担任过供应商的董事、监事，或者是供应商的控股股东或实际控制人；</w:t>
      </w:r>
    </w:p>
    <w:p w14:paraId="51A1C871">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17.3.2 与供应商的法定代表人或者负责人有夫妻、直系血亲、三代以内旁系血亲或者近姻亲关系；</w:t>
      </w:r>
    </w:p>
    <w:p w14:paraId="513102F8">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17.3.3 任职单位与参加该采购项目供应商存在行政隶属关系；</w:t>
      </w:r>
    </w:p>
    <w:p w14:paraId="0249D049">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17.3.4 曾经参加过该采购项目的进口产品或招标文件、采购需求、采购方式的论证和咨询服务工作；</w:t>
      </w:r>
    </w:p>
    <w:p w14:paraId="05ACE4D3">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17.3.5 是参加该采购项目供应商的上级主管部门、控股或参股单位的工作人员，或与该供应商存在其他经济利益关系；</w:t>
      </w:r>
    </w:p>
    <w:p w14:paraId="1F7D6965">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17.3.6 评标委员会成员之间具有配偶、近亲属关系等；</w:t>
      </w:r>
    </w:p>
    <w:p w14:paraId="0B2D0C51">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17.3.7 法律、法规、规章规定应当回避以及其他可能影响政府采购活动公平、公正进行的关系。</w:t>
      </w:r>
    </w:p>
    <w:p w14:paraId="31BCF243">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17.4 评标委员会判断投标文件的有效性、合格性和响应情况，仅依据投标人所递交一切文件的真实表述，不受与本项目无直接关联的外部信息、传言而影响自身的专业判断。</w:t>
      </w:r>
    </w:p>
    <w:p w14:paraId="3D1C9D66">
      <w:pPr>
        <w:pStyle w:val="41"/>
        <w:keepNext w:val="0"/>
        <w:keepLines w:val="0"/>
        <w:pageBreakBefore w:val="0"/>
        <w:widowControl w:val="0"/>
        <w:kinsoku/>
        <w:wordWrap/>
        <w:overflowPunct/>
        <w:topLinePunct w:val="0"/>
        <w:bidi w:val="0"/>
        <w:spacing w:before="0"/>
        <w:ind w:firstLine="480"/>
        <w:textAlignment w:val="auto"/>
        <w:rPr>
          <w:rFonts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34030B0C">
      <w:pPr>
        <w:keepNext w:val="0"/>
        <w:keepLines w:val="0"/>
        <w:pageBreakBefore w:val="0"/>
        <w:widowControl w:val="0"/>
        <w:numPr>
          <w:ilvl w:val="0"/>
          <w:numId w:val="2"/>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评标</w:t>
      </w:r>
    </w:p>
    <w:p w14:paraId="23C8E584">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评标委员会将根据招标文件和有关规定，履行评标工作职责，并按照评标方法及评分标准，全面衡量各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对招标文件的响应情况。对实质上响应招标文件的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，按照评审因素的量化指标推荐综合得分排名第一的为中标候选人。</w:t>
      </w:r>
    </w:p>
    <w:p w14:paraId="221ECAE0">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为排名第一的中标候选人。</w:t>
      </w:r>
    </w:p>
    <w:p w14:paraId="3306E854">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详见招标文件第四部分评标办法。</w:t>
      </w:r>
    </w:p>
    <w:p w14:paraId="4812FDDF">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b/>
          <w:color w:val="auto"/>
          <w:sz w:val="24"/>
          <w:highlight w:val="none"/>
        </w:rPr>
      </w:pPr>
    </w:p>
    <w:p w14:paraId="4B74CCF3">
      <w:pPr>
        <w:keepNext w:val="0"/>
        <w:keepLines w:val="0"/>
        <w:pageBreakBefore w:val="0"/>
        <w:widowControl w:val="0"/>
        <w:kinsoku/>
        <w:wordWrap/>
        <w:overflowPunct/>
        <w:topLinePunct w:val="0"/>
        <w:bidi w:val="0"/>
        <w:snapToGrid w:val="0"/>
        <w:spacing w:line="360" w:lineRule="auto"/>
        <w:jc w:val="center"/>
        <w:textAlignment w:val="auto"/>
        <w:outlineLvl w:val="0"/>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六、定 标</w:t>
      </w:r>
    </w:p>
    <w:p w14:paraId="0BE1B92B">
      <w:pPr>
        <w:keepNext w:val="0"/>
        <w:keepLines w:val="0"/>
        <w:pageBreakBefore w:val="0"/>
        <w:widowControl w:val="0"/>
        <w:numPr>
          <w:ilvl w:val="0"/>
          <w:numId w:val="2"/>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确定中标供应商</w:t>
      </w:r>
    </w:p>
    <w:p w14:paraId="195BF698">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本项目由评标委员会推荐一个中标候选人，采购人不得在评标委员会推荐的中标候选人以外确定中标候选人。</w:t>
      </w:r>
    </w:p>
    <w:p w14:paraId="6CFA53E7">
      <w:pPr>
        <w:keepNext w:val="0"/>
        <w:keepLines w:val="0"/>
        <w:pageBreakBefore w:val="0"/>
        <w:widowControl w:val="0"/>
        <w:numPr>
          <w:ilvl w:val="0"/>
          <w:numId w:val="2"/>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中标通知与中标结果公告</w:t>
      </w:r>
    </w:p>
    <w:p w14:paraId="4EF708AC">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20.1自中标人确定之日起2个工作日内，采购代理机构通过电子交易平台向中标人发出中标通知书，同时编制发布采购结果公告。采购代理机构也可以以纸质形式进行中标通知。</w:t>
      </w:r>
    </w:p>
    <w:p w14:paraId="5778DFE7">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4390D4E5">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20.3公告期限为1个工作日。</w:t>
      </w:r>
    </w:p>
    <w:p w14:paraId="193626CF">
      <w:pPr>
        <w:keepNext w:val="0"/>
        <w:keepLines w:val="0"/>
        <w:pageBreakBefore w:val="0"/>
        <w:widowControl w:val="0"/>
        <w:kinsoku/>
        <w:wordWrap/>
        <w:overflowPunct/>
        <w:topLinePunct w:val="0"/>
        <w:bidi w:val="0"/>
        <w:snapToGrid w:val="0"/>
        <w:spacing w:line="360" w:lineRule="auto"/>
        <w:ind w:left="120" w:leftChars="57" w:firstLine="482" w:firstLineChars="150"/>
        <w:jc w:val="center"/>
        <w:textAlignment w:val="auto"/>
        <w:rPr>
          <w:rFonts w:cs="仿宋" w:asciiTheme="majorEastAsia" w:hAnsiTheme="majorEastAsia" w:eastAsiaTheme="majorEastAsia"/>
          <w:b/>
          <w:color w:val="auto"/>
          <w:sz w:val="32"/>
          <w:highlight w:val="none"/>
        </w:rPr>
      </w:pPr>
    </w:p>
    <w:p w14:paraId="6379E4C1">
      <w:pPr>
        <w:keepNext w:val="0"/>
        <w:keepLines w:val="0"/>
        <w:pageBreakBefore w:val="0"/>
        <w:widowControl w:val="0"/>
        <w:kinsoku/>
        <w:wordWrap/>
        <w:overflowPunct/>
        <w:topLinePunct w:val="0"/>
        <w:bidi w:val="0"/>
        <w:snapToGrid w:val="0"/>
        <w:spacing w:line="360" w:lineRule="auto"/>
        <w:ind w:left="120" w:leftChars="57" w:firstLine="482" w:firstLineChars="150"/>
        <w:jc w:val="center"/>
        <w:textAlignment w:val="auto"/>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七、合同授予</w:t>
      </w:r>
    </w:p>
    <w:p w14:paraId="7CA1D694">
      <w:pPr>
        <w:keepNext w:val="0"/>
        <w:keepLines w:val="0"/>
        <w:pageBreakBefore w:val="0"/>
        <w:widowControl w:val="0"/>
        <w:numPr>
          <w:ilvl w:val="0"/>
          <w:numId w:val="2"/>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合同授予</w:t>
      </w:r>
    </w:p>
    <w:p w14:paraId="1B9DCBE9">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合同主要条款详见第五部分拟签订的合同文本。</w:t>
      </w:r>
    </w:p>
    <w:p w14:paraId="0C5D2A9D">
      <w:pPr>
        <w:keepNext w:val="0"/>
        <w:keepLines w:val="0"/>
        <w:pageBreakBefore w:val="0"/>
        <w:widowControl w:val="0"/>
        <w:numPr>
          <w:ilvl w:val="0"/>
          <w:numId w:val="2"/>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合同的签订</w:t>
      </w:r>
    </w:p>
    <w:p w14:paraId="1B077B77">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22.1 采购人与中标供应商应当通过电子交易平台在中标通知书发出之日起三十日内，按照招标文件及中标供应商的投标文件确定的事项签订采购合同，并在合同签订之日起2个工作日内依法发布合同公告。</w:t>
      </w:r>
    </w:p>
    <w:p w14:paraId="1CC3E45F">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lang w:val="zh-CN"/>
        </w:rPr>
        <w:t>2</w:t>
      </w:r>
      <w:r>
        <w:rPr>
          <w:rFonts w:hint="eastAsia" w:cs="仿宋" w:asciiTheme="majorEastAsia" w:hAnsiTheme="majorEastAsia" w:eastAsiaTheme="majorEastAsia"/>
          <w:color w:val="auto"/>
          <w:kern w:val="0"/>
          <w:szCs w:val="24"/>
          <w:highlight w:val="none"/>
        </w:rPr>
        <w:t>2</w:t>
      </w:r>
      <w:r>
        <w:rPr>
          <w:rFonts w:hint="eastAsia" w:cs="仿宋" w:asciiTheme="majorEastAsia" w:hAnsiTheme="majorEastAsia" w:eastAsiaTheme="majorEastAsia"/>
          <w:color w:val="auto"/>
          <w:kern w:val="0"/>
          <w:szCs w:val="24"/>
          <w:highlight w:val="none"/>
          <w:lang w:val="zh-CN"/>
        </w:rPr>
        <w:t>.2中标供应商按规定的日期、时间、地点，由法定代表人或其授权代表与采购人代表签订合同。如中标人为联合体的，由联合体成员各方法定代表人或其授权代表与采购人代表签订合同。</w:t>
      </w:r>
    </w:p>
    <w:p w14:paraId="39828579">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22.3如签订合同并生效后，供应商无故拒绝或延期，除按照合同条款处理外，列入不良行为记录名单，并给予通报。</w:t>
      </w:r>
    </w:p>
    <w:p w14:paraId="7B4E86F0">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22.4中标供应商拒绝与采购人签订合同的，列入不良行为记录名单，采购人、采购代理机构重新开展政府采购活动。</w:t>
      </w:r>
    </w:p>
    <w:p w14:paraId="7C58AF5D">
      <w:pPr>
        <w:keepNext w:val="0"/>
        <w:keepLines w:val="0"/>
        <w:pageBreakBefore w:val="0"/>
        <w:widowControl w:val="0"/>
        <w:numPr>
          <w:ilvl w:val="0"/>
          <w:numId w:val="2"/>
        </w:numPr>
        <w:kinsoku/>
        <w:wordWrap/>
        <w:overflowPunct/>
        <w:topLinePunct w:val="0"/>
        <w:bidi w:val="0"/>
        <w:adjustRightInd w:val="0"/>
        <w:snapToGrid w:val="0"/>
        <w:spacing w:before="120" w:beforeLines="50" w:line="360" w:lineRule="auto"/>
        <w:ind w:firstLine="482" w:firstLineChars="200"/>
        <w:jc w:val="left"/>
        <w:textAlignment w:val="auto"/>
        <w:outlineLvl w:val="1"/>
        <w:rPr>
          <w:rFonts w:hint="eastAsia" w:cs="仿宋" w:asciiTheme="majorEastAsia" w:hAnsiTheme="majorEastAsia" w:eastAsiaTheme="majorEastAsia"/>
          <w:b/>
          <w:bCs/>
          <w:color w:val="auto"/>
          <w:kern w:val="0"/>
          <w:sz w:val="24"/>
          <w:szCs w:val="24"/>
          <w:highlight w:val="none"/>
          <w:lang w:val="en-US" w:eastAsia="zh-CN" w:bidi="ar-SA"/>
        </w:rPr>
      </w:pPr>
      <w:r>
        <w:rPr>
          <w:rFonts w:hint="eastAsia" w:cs="仿宋" w:asciiTheme="majorEastAsia" w:hAnsiTheme="majorEastAsia" w:eastAsiaTheme="majorEastAsia"/>
          <w:b/>
          <w:bCs/>
          <w:color w:val="auto"/>
          <w:kern w:val="0"/>
          <w:sz w:val="24"/>
          <w:szCs w:val="24"/>
          <w:highlight w:val="none"/>
          <w:lang w:val="en-US" w:eastAsia="zh-CN" w:bidi="ar-SA"/>
        </w:rPr>
        <w:t>投标保证金的交纳与退还</w:t>
      </w:r>
    </w:p>
    <w:p w14:paraId="1721067C">
      <w:pPr>
        <w:pStyle w:val="41"/>
        <w:keepNext w:val="0"/>
        <w:keepLines w:val="0"/>
        <w:pageBreakBefore w:val="0"/>
        <w:widowControl w:val="0"/>
        <w:kinsoku/>
        <w:wordWrap/>
        <w:overflowPunct/>
        <w:topLinePunct w:val="0"/>
        <w:bidi w:val="0"/>
        <w:spacing w:before="0"/>
        <w:ind w:firstLine="480"/>
        <w:textAlignment w:val="auto"/>
        <w:rPr>
          <w:rFonts w:hint="eastAsia" w:eastAsia="宋体" w:cs="仿宋" w:asciiTheme="majorEastAsia" w:hAnsiTheme="majorEastAsia"/>
          <w:b w:val="0"/>
          <w:bCs/>
          <w:color w:val="auto"/>
          <w:kern w:val="0"/>
          <w:szCs w:val="24"/>
          <w:highlight w:val="none"/>
          <w:lang w:val="en-US" w:eastAsia="zh-CN"/>
        </w:rPr>
      </w:pPr>
      <w:r>
        <w:rPr>
          <w:rFonts w:hint="eastAsia" w:cs="仿宋" w:asciiTheme="majorEastAsia" w:hAnsiTheme="majorEastAsia" w:eastAsiaTheme="majorEastAsia"/>
          <w:color w:val="auto"/>
          <w:kern w:val="0"/>
          <w:szCs w:val="24"/>
          <w:highlight w:val="none"/>
          <w:lang w:val="en-US" w:eastAsia="zh-CN"/>
        </w:rPr>
        <w:t>23.1 ▲投标人须按规定提交投标保证金，</w:t>
      </w:r>
      <w:r>
        <w:rPr>
          <w:rFonts w:hint="eastAsia" w:hAnsi="宋体"/>
          <w:b w:val="0"/>
          <w:bCs/>
          <w:color w:val="auto"/>
          <w:sz w:val="24"/>
          <w:highlight w:val="none"/>
        </w:rPr>
        <w:t>超时的作无效标处理</w:t>
      </w:r>
      <w:r>
        <w:rPr>
          <w:rFonts w:hint="eastAsia" w:hAnsi="宋体"/>
          <w:b w:val="0"/>
          <w:bCs/>
          <w:color w:val="auto"/>
          <w:sz w:val="24"/>
          <w:highlight w:val="none"/>
          <w:lang w:eastAsia="zh-CN"/>
        </w:rPr>
        <w:t>。</w:t>
      </w:r>
    </w:p>
    <w:p w14:paraId="402E8764">
      <w:pPr>
        <w:pStyle w:val="41"/>
        <w:keepNext w:val="0"/>
        <w:keepLines w:val="0"/>
        <w:pageBreakBefore w:val="0"/>
        <w:widowControl w:val="0"/>
        <w:kinsoku/>
        <w:wordWrap/>
        <w:overflowPunct/>
        <w:topLinePunct w:val="0"/>
        <w:bidi w:val="0"/>
        <w:spacing w:before="0"/>
        <w:ind w:firstLine="480"/>
        <w:textAlignment w:val="auto"/>
        <w:rPr>
          <w:rFonts w:hint="eastAsia" w:cs="仿宋" w:asciiTheme="majorEastAsia" w:hAnsiTheme="majorEastAsia" w:eastAsiaTheme="majorEastAsia"/>
          <w:color w:val="auto"/>
          <w:kern w:val="0"/>
          <w:szCs w:val="24"/>
          <w:highlight w:val="none"/>
          <w:lang w:val="en-US" w:eastAsia="zh-CN"/>
        </w:rPr>
      </w:pPr>
      <w:r>
        <w:rPr>
          <w:rFonts w:hint="eastAsia" w:cs="仿宋" w:asciiTheme="majorEastAsia" w:hAnsiTheme="majorEastAsia" w:eastAsiaTheme="majorEastAsia"/>
          <w:color w:val="auto"/>
          <w:kern w:val="0"/>
          <w:szCs w:val="24"/>
          <w:highlight w:val="none"/>
          <w:lang w:val="en-US" w:eastAsia="zh-CN"/>
        </w:rPr>
        <w:t>23.2保证金形式：单位网银、转账支票、汇票、汇兑。</w:t>
      </w:r>
    </w:p>
    <w:p w14:paraId="6AB44D7E">
      <w:pPr>
        <w:pStyle w:val="41"/>
        <w:keepNext w:val="0"/>
        <w:keepLines w:val="0"/>
        <w:pageBreakBefore w:val="0"/>
        <w:widowControl w:val="0"/>
        <w:kinsoku/>
        <w:wordWrap/>
        <w:overflowPunct/>
        <w:topLinePunct w:val="0"/>
        <w:bidi w:val="0"/>
        <w:spacing w:before="0"/>
        <w:ind w:firstLine="480"/>
        <w:textAlignment w:val="auto"/>
        <w:rPr>
          <w:rFonts w:hint="eastAsia" w:cs="仿宋" w:asciiTheme="majorEastAsia" w:hAnsiTheme="majorEastAsia" w:eastAsiaTheme="majorEastAsia"/>
          <w:color w:val="auto"/>
          <w:kern w:val="0"/>
          <w:szCs w:val="24"/>
          <w:highlight w:val="none"/>
          <w:lang w:val="en-US" w:eastAsia="zh-CN"/>
        </w:rPr>
      </w:pPr>
      <w:r>
        <w:rPr>
          <w:rFonts w:hint="eastAsia" w:cs="仿宋" w:asciiTheme="majorEastAsia" w:hAnsiTheme="majorEastAsia" w:eastAsiaTheme="majorEastAsia"/>
          <w:color w:val="auto"/>
          <w:kern w:val="0"/>
          <w:szCs w:val="24"/>
          <w:highlight w:val="none"/>
          <w:lang w:val="en-US" w:eastAsia="zh-CN"/>
        </w:rPr>
        <w:t>23.3未中标人的投标保证金在中标通知书发出后5个工作日内退还。</w:t>
      </w:r>
    </w:p>
    <w:p w14:paraId="2C6627B3">
      <w:pPr>
        <w:pStyle w:val="41"/>
        <w:keepNext w:val="0"/>
        <w:keepLines w:val="0"/>
        <w:pageBreakBefore w:val="0"/>
        <w:widowControl w:val="0"/>
        <w:kinsoku/>
        <w:wordWrap/>
        <w:overflowPunct/>
        <w:topLinePunct w:val="0"/>
        <w:bidi w:val="0"/>
        <w:spacing w:before="0"/>
        <w:ind w:firstLine="480"/>
        <w:textAlignment w:val="auto"/>
        <w:rPr>
          <w:rFonts w:hint="eastAsia" w:cs="仿宋" w:asciiTheme="majorEastAsia" w:hAnsiTheme="majorEastAsia" w:eastAsiaTheme="majorEastAsia"/>
          <w:color w:val="auto"/>
          <w:kern w:val="0"/>
          <w:szCs w:val="24"/>
          <w:highlight w:val="none"/>
          <w:lang w:val="en-US" w:eastAsia="zh-CN"/>
        </w:rPr>
      </w:pPr>
      <w:r>
        <w:rPr>
          <w:rFonts w:hint="eastAsia" w:cs="仿宋" w:asciiTheme="majorEastAsia" w:hAnsiTheme="majorEastAsia" w:eastAsiaTheme="majorEastAsia"/>
          <w:color w:val="auto"/>
          <w:kern w:val="0"/>
          <w:szCs w:val="24"/>
          <w:highlight w:val="none"/>
          <w:lang w:val="en-US" w:eastAsia="zh-CN"/>
        </w:rPr>
        <w:t>23.4中标人应在中标通知书发出后按招标文件规定的时间内与招标人签订合同，并交纳招标文件规定的履约保证金，中标人的投标保证金在合同签订后5个工作日内退还。</w:t>
      </w:r>
    </w:p>
    <w:p w14:paraId="7A30D231">
      <w:pPr>
        <w:pStyle w:val="41"/>
        <w:keepNext w:val="0"/>
        <w:keepLines w:val="0"/>
        <w:pageBreakBefore w:val="0"/>
        <w:widowControl w:val="0"/>
        <w:kinsoku/>
        <w:wordWrap/>
        <w:overflowPunct/>
        <w:topLinePunct w:val="0"/>
        <w:bidi w:val="0"/>
        <w:spacing w:before="0"/>
        <w:ind w:firstLine="480"/>
        <w:textAlignment w:val="auto"/>
        <w:rPr>
          <w:rFonts w:hint="eastAsia" w:cs="仿宋" w:asciiTheme="majorEastAsia" w:hAnsiTheme="majorEastAsia" w:eastAsiaTheme="majorEastAsia"/>
          <w:color w:val="auto"/>
          <w:kern w:val="0"/>
          <w:szCs w:val="24"/>
          <w:highlight w:val="none"/>
          <w:lang w:val="en-US" w:eastAsia="zh-CN"/>
        </w:rPr>
      </w:pPr>
      <w:r>
        <w:rPr>
          <w:rFonts w:hint="eastAsia" w:cs="仿宋" w:asciiTheme="majorEastAsia" w:hAnsiTheme="majorEastAsia" w:eastAsiaTheme="majorEastAsia"/>
          <w:color w:val="auto"/>
          <w:kern w:val="0"/>
          <w:szCs w:val="24"/>
          <w:highlight w:val="none"/>
          <w:lang w:val="en-US" w:eastAsia="zh-CN"/>
        </w:rPr>
        <w:t>23.5保证金不计息。</w:t>
      </w:r>
    </w:p>
    <w:p w14:paraId="49511254">
      <w:pPr>
        <w:pStyle w:val="41"/>
        <w:keepNext w:val="0"/>
        <w:keepLines w:val="0"/>
        <w:pageBreakBefore w:val="0"/>
        <w:widowControl w:val="0"/>
        <w:kinsoku/>
        <w:wordWrap/>
        <w:overflowPunct/>
        <w:topLinePunct w:val="0"/>
        <w:bidi w:val="0"/>
        <w:spacing w:before="0"/>
        <w:ind w:firstLine="480"/>
        <w:textAlignment w:val="auto"/>
        <w:rPr>
          <w:rFonts w:hint="eastAsia" w:cs="仿宋" w:asciiTheme="majorEastAsia" w:hAnsiTheme="majorEastAsia" w:eastAsiaTheme="majorEastAsia"/>
          <w:color w:val="auto"/>
          <w:kern w:val="0"/>
          <w:szCs w:val="24"/>
          <w:highlight w:val="none"/>
          <w:lang w:val="en-US" w:eastAsia="zh-CN"/>
        </w:rPr>
      </w:pPr>
      <w:r>
        <w:rPr>
          <w:rFonts w:hint="eastAsia" w:cs="仿宋" w:asciiTheme="majorEastAsia" w:hAnsiTheme="majorEastAsia" w:eastAsiaTheme="majorEastAsia"/>
          <w:color w:val="auto"/>
          <w:kern w:val="0"/>
          <w:szCs w:val="24"/>
          <w:highlight w:val="none"/>
          <w:lang w:val="en-US" w:eastAsia="zh-CN"/>
        </w:rPr>
        <w:t>23.6投标人有下列情形之一的，投标保证金将不予退还：</w:t>
      </w:r>
    </w:p>
    <w:p w14:paraId="593C45DA">
      <w:pPr>
        <w:pStyle w:val="41"/>
        <w:keepNext w:val="0"/>
        <w:keepLines w:val="0"/>
        <w:pageBreakBefore w:val="0"/>
        <w:widowControl w:val="0"/>
        <w:kinsoku/>
        <w:wordWrap/>
        <w:overflowPunct/>
        <w:topLinePunct w:val="0"/>
        <w:bidi w:val="0"/>
        <w:spacing w:before="0"/>
        <w:ind w:firstLine="480"/>
        <w:textAlignment w:val="auto"/>
        <w:rPr>
          <w:rFonts w:hint="eastAsia" w:cs="仿宋" w:asciiTheme="majorEastAsia" w:hAnsiTheme="majorEastAsia" w:eastAsiaTheme="majorEastAsia"/>
          <w:color w:val="auto"/>
          <w:kern w:val="0"/>
          <w:szCs w:val="24"/>
          <w:highlight w:val="none"/>
          <w:lang w:val="en-US" w:eastAsia="zh-CN"/>
        </w:rPr>
      </w:pPr>
      <w:r>
        <w:rPr>
          <w:rFonts w:hint="eastAsia" w:cs="仿宋" w:asciiTheme="majorEastAsia" w:hAnsiTheme="majorEastAsia" w:eastAsiaTheme="majorEastAsia"/>
          <w:color w:val="auto"/>
          <w:kern w:val="0"/>
          <w:szCs w:val="24"/>
          <w:highlight w:val="none"/>
          <w:lang w:val="en-US" w:eastAsia="zh-CN"/>
        </w:rPr>
        <w:t>23.6.1投标人在投标有效期内撤回投标文件的；</w:t>
      </w:r>
    </w:p>
    <w:p w14:paraId="2E34363C">
      <w:pPr>
        <w:pStyle w:val="41"/>
        <w:keepNext w:val="0"/>
        <w:keepLines w:val="0"/>
        <w:pageBreakBefore w:val="0"/>
        <w:widowControl w:val="0"/>
        <w:kinsoku/>
        <w:wordWrap/>
        <w:overflowPunct/>
        <w:topLinePunct w:val="0"/>
        <w:bidi w:val="0"/>
        <w:spacing w:before="0"/>
        <w:ind w:firstLine="480"/>
        <w:textAlignment w:val="auto"/>
        <w:rPr>
          <w:rFonts w:hint="eastAsia" w:cs="仿宋" w:asciiTheme="majorEastAsia" w:hAnsiTheme="majorEastAsia" w:eastAsiaTheme="majorEastAsia"/>
          <w:color w:val="auto"/>
          <w:kern w:val="0"/>
          <w:szCs w:val="24"/>
          <w:highlight w:val="none"/>
          <w:lang w:val="en-US" w:eastAsia="zh-CN"/>
        </w:rPr>
      </w:pPr>
      <w:r>
        <w:rPr>
          <w:rFonts w:hint="eastAsia" w:cs="仿宋" w:asciiTheme="majorEastAsia" w:hAnsiTheme="majorEastAsia" w:eastAsiaTheme="majorEastAsia"/>
          <w:color w:val="auto"/>
          <w:kern w:val="0"/>
          <w:szCs w:val="24"/>
          <w:highlight w:val="none"/>
          <w:lang w:val="en-US" w:eastAsia="zh-CN"/>
        </w:rPr>
        <w:t>23.6.2未按规定提交履约保证金的；</w:t>
      </w:r>
    </w:p>
    <w:p w14:paraId="18165DDF">
      <w:pPr>
        <w:pStyle w:val="41"/>
        <w:keepNext w:val="0"/>
        <w:keepLines w:val="0"/>
        <w:pageBreakBefore w:val="0"/>
        <w:widowControl w:val="0"/>
        <w:kinsoku/>
        <w:wordWrap/>
        <w:overflowPunct/>
        <w:topLinePunct w:val="0"/>
        <w:bidi w:val="0"/>
        <w:spacing w:before="0"/>
        <w:ind w:firstLine="480"/>
        <w:textAlignment w:val="auto"/>
        <w:rPr>
          <w:rFonts w:hint="eastAsia" w:cs="仿宋" w:asciiTheme="majorEastAsia" w:hAnsiTheme="majorEastAsia" w:eastAsiaTheme="majorEastAsia"/>
          <w:color w:val="auto"/>
          <w:kern w:val="0"/>
          <w:szCs w:val="24"/>
          <w:highlight w:val="none"/>
          <w:lang w:val="en-US" w:eastAsia="zh-CN"/>
        </w:rPr>
      </w:pPr>
      <w:r>
        <w:rPr>
          <w:rFonts w:hint="eastAsia" w:cs="仿宋" w:asciiTheme="majorEastAsia" w:hAnsiTheme="majorEastAsia" w:eastAsiaTheme="majorEastAsia"/>
          <w:color w:val="auto"/>
          <w:kern w:val="0"/>
          <w:szCs w:val="24"/>
          <w:highlight w:val="none"/>
          <w:lang w:val="en-US" w:eastAsia="zh-CN"/>
        </w:rPr>
        <w:t>23.6.3投标人在投标过程中弄虚作假，提供虚假材料的；</w:t>
      </w:r>
    </w:p>
    <w:p w14:paraId="413C50CB">
      <w:pPr>
        <w:pStyle w:val="41"/>
        <w:keepNext w:val="0"/>
        <w:keepLines w:val="0"/>
        <w:pageBreakBefore w:val="0"/>
        <w:widowControl w:val="0"/>
        <w:kinsoku/>
        <w:wordWrap/>
        <w:overflowPunct/>
        <w:topLinePunct w:val="0"/>
        <w:bidi w:val="0"/>
        <w:spacing w:before="0"/>
        <w:ind w:firstLine="480"/>
        <w:textAlignment w:val="auto"/>
        <w:rPr>
          <w:rFonts w:hint="eastAsia" w:cs="仿宋" w:asciiTheme="majorEastAsia" w:hAnsiTheme="majorEastAsia" w:eastAsiaTheme="majorEastAsia"/>
          <w:color w:val="auto"/>
          <w:kern w:val="0"/>
          <w:szCs w:val="24"/>
          <w:highlight w:val="none"/>
          <w:lang w:val="en-US" w:eastAsia="zh-CN"/>
        </w:rPr>
      </w:pPr>
      <w:r>
        <w:rPr>
          <w:rFonts w:hint="eastAsia" w:cs="仿宋" w:asciiTheme="majorEastAsia" w:hAnsiTheme="majorEastAsia" w:eastAsiaTheme="majorEastAsia"/>
          <w:color w:val="auto"/>
          <w:kern w:val="0"/>
          <w:szCs w:val="24"/>
          <w:highlight w:val="none"/>
          <w:lang w:val="en-US" w:eastAsia="zh-CN"/>
        </w:rPr>
        <w:t>23.6.4中标人无正当理由不与招标人签订合同的；</w:t>
      </w:r>
    </w:p>
    <w:p w14:paraId="6F4F4C04">
      <w:pPr>
        <w:pStyle w:val="41"/>
        <w:keepNext w:val="0"/>
        <w:keepLines w:val="0"/>
        <w:pageBreakBefore w:val="0"/>
        <w:widowControl w:val="0"/>
        <w:kinsoku/>
        <w:wordWrap/>
        <w:overflowPunct/>
        <w:topLinePunct w:val="0"/>
        <w:bidi w:val="0"/>
        <w:spacing w:before="0"/>
        <w:ind w:firstLine="480"/>
        <w:textAlignment w:val="auto"/>
        <w:rPr>
          <w:rFonts w:hint="default" w:cs="仿宋" w:asciiTheme="majorEastAsia" w:hAnsiTheme="majorEastAsia" w:eastAsiaTheme="majorEastAsia"/>
          <w:color w:val="auto"/>
          <w:kern w:val="0"/>
          <w:szCs w:val="24"/>
          <w:highlight w:val="none"/>
          <w:lang w:val="en-US" w:eastAsia="zh-CN"/>
        </w:rPr>
      </w:pPr>
      <w:r>
        <w:rPr>
          <w:rFonts w:hint="eastAsia" w:cs="仿宋" w:asciiTheme="majorEastAsia" w:hAnsiTheme="majorEastAsia" w:eastAsiaTheme="majorEastAsia"/>
          <w:color w:val="auto"/>
          <w:kern w:val="0"/>
          <w:szCs w:val="24"/>
          <w:highlight w:val="none"/>
          <w:lang w:val="en-US" w:eastAsia="zh-CN"/>
        </w:rPr>
        <w:t>23.6.5其他严重扰乱招投标程序的。</w:t>
      </w:r>
    </w:p>
    <w:p w14:paraId="2D56FBB3">
      <w:pPr>
        <w:keepNext w:val="0"/>
        <w:keepLines w:val="0"/>
        <w:pageBreakBefore w:val="0"/>
        <w:widowControl w:val="0"/>
        <w:numPr>
          <w:ilvl w:val="0"/>
          <w:numId w:val="2"/>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履约保证金</w:t>
      </w:r>
    </w:p>
    <w:p w14:paraId="17D20E1C">
      <w:pPr>
        <w:keepNext w:val="0"/>
        <w:keepLines w:val="0"/>
        <w:pageBreakBefore w:val="0"/>
        <w:widowControl w:val="0"/>
        <w:tabs>
          <w:tab w:val="left" w:pos="0"/>
        </w:tabs>
        <w:kinsoku/>
        <w:wordWrap/>
        <w:overflowPunct/>
        <w:topLinePunct w:val="0"/>
        <w:bidi w:val="0"/>
        <w:spacing w:line="360" w:lineRule="auto"/>
        <w:ind w:firstLine="482"/>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cs="仿宋" w:asciiTheme="majorEastAsia" w:hAnsiTheme="majorEastAsia" w:eastAsiaTheme="majorEastAsia"/>
          <w:color w:val="auto"/>
          <w:sz w:val="24"/>
          <w:highlight w:val="none"/>
        </w:rPr>
        <w:t>。履约保证金的数额不得超过政府采购合同金额的</w:t>
      </w:r>
      <w:r>
        <w:rPr>
          <w:rFonts w:hint="eastAsia" w:cs="仿宋" w:asciiTheme="majorEastAsia" w:hAnsiTheme="majorEastAsia" w:eastAsiaTheme="majorEastAsia"/>
          <w:color w:val="auto"/>
          <w:sz w:val="24"/>
          <w:highlight w:val="none"/>
          <w:lang w:val="en-US" w:eastAsia="zh-CN"/>
        </w:rPr>
        <w:t>2.5</w:t>
      </w:r>
      <w:r>
        <w:rPr>
          <w:rFonts w:hint="eastAsia" w:cs="仿宋" w:asciiTheme="majorEastAsia" w:hAnsiTheme="majorEastAsia" w:eastAsiaTheme="majorEastAsia"/>
          <w:color w:val="auto"/>
          <w:sz w:val="24"/>
          <w:highlight w:val="none"/>
        </w:rPr>
        <w:t>%。鼓励和支持供应商以银行、保险公司出具的保函形式提供履约保证金。</w:t>
      </w:r>
      <w:r>
        <w:rPr>
          <w:rFonts w:hint="eastAsia" w:cs="仿宋" w:asciiTheme="majorEastAsia" w:hAnsiTheme="majorEastAsia" w:eastAsiaTheme="majorEastAsia"/>
          <w:b/>
          <w:color w:val="auto"/>
          <w:sz w:val="24"/>
          <w:highlight w:val="none"/>
        </w:rPr>
        <w:t>采购人不得拒收履约保函。</w:t>
      </w:r>
    </w:p>
    <w:p w14:paraId="6CA3C6EF">
      <w:pPr>
        <w:pStyle w:val="7"/>
        <w:keepNext w:val="0"/>
        <w:keepLines w:val="0"/>
        <w:pageBreakBefore w:val="0"/>
        <w:widowControl w:val="0"/>
        <w:kinsoku/>
        <w:wordWrap/>
        <w:overflowPunct/>
        <w:topLinePunct w:val="0"/>
        <w:bidi w:val="0"/>
        <w:textAlignment w:val="auto"/>
        <w:rPr>
          <w:rFonts w:asciiTheme="majorEastAsia" w:hAnsiTheme="majorEastAsia" w:eastAsiaTheme="majorEastAsia"/>
          <w:color w:val="auto"/>
          <w:highlight w:val="none"/>
        </w:rPr>
      </w:pPr>
    </w:p>
    <w:p w14:paraId="57D75C0A">
      <w:pPr>
        <w:keepNext w:val="0"/>
        <w:keepLines w:val="0"/>
        <w:pageBreakBefore w:val="0"/>
        <w:widowControl w:val="0"/>
        <w:kinsoku/>
        <w:wordWrap/>
        <w:overflowPunct/>
        <w:topLinePunct w:val="0"/>
        <w:bidi w:val="0"/>
        <w:snapToGrid w:val="0"/>
        <w:spacing w:line="360" w:lineRule="auto"/>
        <w:ind w:firstLine="3357" w:firstLineChars="1045"/>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32"/>
          <w:highlight w:val="none"/>
        </w:rPr>
        <w:t>八、电子交易活动的中止</w:t>
      </w:r>
    </w:p>
    <w:p w14:paraId="3D5AB975">
      <w:pPr>
        <w:keepNext w:val="0"/>
        <w:keepLines w:val="0"/>
        <w:pageBreakBefore w:val="0"/>
        <w:widowControl w:val="0"/>
        <w:numPr>
          <w:ilvl w:val="0"/>
          <w:numId w:val="2"/>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电子交易活动的中止</w:t>
      </w:r>
    </w:p>
    <w:p w14:paraId="24073688">
      <w:pPr>
        <w:keepNext w:val="0"/>
        <w:keepLines w:val="0"/>
        <w:pageBreakBefore w:val="0"/>
        <w:widowControl w:val="0"/>
        <w:tabs>
          <w:tab w:val="left" w:pos="0"/>
        </w:tabs>
        <w:kinsoku/>
        <w:wordWrap/>
        <w:overflowPunct/>
        <w:topLinePunct w:val="0"/>
        <w:bidi w:val="0"/>
        <w:spacing w:line="360" w:lineRule="auto"/>
        <w:ind w:firstLine="48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采购过程中出现以下情形，导致电子交易平台无法正常运行，或者无法保证电子交易的公平、公正和安全时，采购代理机构可中止电子交易活动：</w:t>
      </w:r>
    </w:p>
    <w:p w14:paraId="56C4CC5B">
      <w:pPr>
        <w:pStyle w:val="41"/>
        <w:keepNext w:val="0"/>
        <w:keepLines w:val="0"/>
        <w:pageBreakBefore w:val="0"/>
        <w:widowControl w:val="0"/>
        <w:kinsoku/>
        <w:wordWrap/>
        <w:overflowPunct/>
        <w:topLinePunct w:val="0"/>
        <w:bidi w:val="0"/>
        <w:snapToGrid w:val="0"/>
        <w:spacing w:before="0"/>
        <w:ind w:firstLine="480"/>
        <w:textAlignment w:val="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w:t>
      </w:r>
      <w:r>
        <w:rPr>
          <w:rFonts w:hint="eastAsia" w:cs="仿宋" w:asciiTheme="majorEastAsia" w:hAnsiTheme="majorEastAsia" w:eastAsiaTheme="majorEastAsia"/>
          <w:color w:val="auto"/>
          <w:highlight w:val="none"/>
          <w:lang w:val="en-US" w:eastAsia="zh-CN"/>
        </w:rPr>
        <w:t>5</w:t>
      </w:r>
      <w:r>
        <w:rPr>
          <w:rFonts w:hint="eastAsia" w:cs="仿宋" w:asciiTheme="majorEastAsia" w:hAnsiTheme="majorEastAsia" w:eastAsiaTheme="majorEastAsia"/>
          <w:color w:val="auto"/>
          <w:highlight w:val="none"/>
        </w:rPr>
        <w:t xml:space="preserve">.1电子交易平台发生故障而无法登录访问的； </w:t>
      </w:r>
    </w:p>
    <w:p w14:paraId="75C79577">
      <w:pPr>
        <w:pStyle w:val="41"/>
        <w:keepNext w:val="0"/>
        <w:keepLines w:val="0"/>
        <w:pageBreakBefore w:val="0"/>
        <w:widowControl w:val="0"/>
        <w:kinsoku/>
        <w:wordWrap/>
        <w:overflowPunct/>
        <w:topLinePunct w:val="0"/>
        <w:bidi w:val="0"/>
        <w:snapToGrid w:val="0"/>
        <w:spacing w:before="0"/>
        <w:ind w:firstLine="480"/>
        <w:textAlignment w:val="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w:t>
      </w:r>
      <w:r>
        <w:rPr>
          <w:rFonts w:hint="eastAsia" w:cs="仿宋" w:asciiTheme="majorEastAsia" w:hAnsiTheme="majorEastAsia" w:eastAsiaTheme="majorEastAsia"/>
          <w:color w:val="auto"/>
          <w:highlight w:val="none"/>
          <w:lang w:val="en-US" w:eastAsia="zh-CN"/>
        </w:rPr>
        <w:t>5</w:t>
      </w:r>
      <w:r>
        <w:rPr>
          <w:rFonts w:hint="eastAsia" w:cs="仿宋" w:asciiTheme="majorEastAsia" w:hAnsiTheme="majorEastAsia" w:eastAsiaTheme="majorEastAsia"/>
          <w:color w:val="auto"/>
          <w:highlight w:val="none"/>
        </w:rPr>
        <w:t>.2电子交易平台应用或数据库出现错误，不能进行正常操作的；</w:t>
      </w:r>
    </w:p>
    <w:p w14:paraId="23FF332B">
      <w:pPr>
        <w:pStyle w:val="41"/>
        <w:keepNext w:val="0"/>
        <w:keepLines w:val="0"/>
        <w:pageBreakBefore w:val="0"/>
        <w:widowControl w:val="0"/>
        <w:kinsoku/>
        <w:wordWrap/>
        <w:overflowPunct/>
        <w:topLinePunct w:val="0"/>
        <w:bidi w:val="0"/>
        <w:snapToGrid w:val="0"/>
        <w:spacing w:before="0"/>
        <w:ind w:firstLine="480"/>
        <w:textAlignment w:val="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w:t>
      </w:r>
      <w:r>
        <w:rPr>
          <w:rFonts w:hint="eastAsia" w:cs="仿宋" w:asciiTheme="majorEastAsia" w:hAnsiTheme="majorEastAsia" w:eastAsiaTheme="majorEastAsia"/>
          <w:color w:val="auto"/>
          <w:highlight w:val="none"/>
          <w:lang w:val="en-US" w:eastAsia="zh-CN"/>
        </w:rPr>
        <w:t>5</w:t>
      </w:r>
      <w:r>
        <w:rPr>
          <w:rFonts w:hint="eastAsia" w:cs="仿宋" w:asciiTheme="majorEastAsia" w:hAnsiTheme="majorEastAsia" w:eastAsiaTheme="majorEastAsia"/>
          <w:color w:val="auto"/>
          <w:highlight w:val="none"/>
        </w:rPr>
        <w:t>.3电子交易平台发现严重安全漏洞，有潜在泄密危险的；</w:t>
      </w:r>
    </w:p>
    <w:p w14:paraId="51C40987">
      <w:pPr>
        <w:pStyle w:val="41"/>
        <w:keepNext w:val="0"/>
        <w:keepLines w:val="0"/>
        <w:pageBreakBefore w:val="0"/>
        <w:widowControl w:val="0"/>
        <w:kinsoku/>
        <w:wordWrap/>
        <w:overflowPunct/>
        <w:topLinePunct w:val="0"/>
        <w:bidi w:val="0"/>
        <w:snapToGrid w:val="0"/>
        <w:spacing w:before="0"/>
        <w:ind w:firstLine="480"/>
        <w:textAlignment w:val="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w:t>
      </w:r>
      <w:r>
        <w:rPr>
          <w:rFonts w:hint="eastAsia" w:cs="仿宋" w:asciiTheme="majorEastAsia" w:hAnsiTheme="majorEastAsia" w:eastAsiaTheme="majorEastAsia"/>
          <w:color w:val="auto"/>
          <w:highlight w:val="none"/>
          <w:lang w:val="en-US" w:eastAsia="zh-CN"/>
        </w:rPr>
        <w:t>5</w:t>
      </w:r>
      <w:r>
        <w:rPr>
          <w:rFonts w:hint="eastAsia" w:cs="仿宋" w:asciiTheme="majorEastAsia" w:hAnsiTheme="majorEastAsia" w:eastAsiaTheme="majorEastAsia"/>
          <w:color w:val="auto"/>
          <w:highlight w:val="none"/>
        </w:rPr>
        <w:t xml:space="preserve">.4病毒发作导致不能进行正常操作的； </w:t>
      </w:r>
    </w:p>
    <w:p w14:paraId="204D17C5">
      <w:pPr>
        <w:pStyle w:val="41"/>
        <w:keepNext w:val="0"/>
        <w:keepLines w:val="0"/>
        <w:pageBreakBefore w:val="0"/>
        <w:widowControl w:val="0"/>
        <w:kinsoku/>
        <w:wordWrap/>
        <w:overflowPunct/>
        <w:topLinePunct w:val="0"/>
        <w:bidi w:val="0"/>
        <w:snapToGrid w:val="0"/>
        <w:spacing w:before="0"/>
        <w:ind w:firstLine="480"/>
        <w:textAlignment w:val="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w:t>
      </w:r>
      <w:r>
        <w:rPr>
          <w:rFonts w:hint="eastAsia" w:cs="仿宋" w:asciiTheme="majorEastAsia" w:hAnsiTheme="majorEastAsia" w:eastAsiaTheme="majorEastAsia"/>
          <w:color w:val="auto"/>
          <w:highlight w:val="none"/>
          <w:lang w:val="en-US" w:eastAsia="zh-CN"/>
        </w:rPr>
        <w:t>5</w:t>
      </w:r>
      <w:r>
        <w:rPr>
          <w:rFonts w:hint="eastAsia" w:cs="仿宋" w:asciiTheme="majorEastAsia" w:hAnsiTheme="majorEastAsia" w:eastAsiaTheme="majorEastAsia"/>
          <w:color w:val="auto"/>
          <w:highlight w:val="none"/>
        </w:rPr>
        <w:t>.5其他无法保证电子交易的公平、公正和安全的情况。</w:t>
      </w:r>
    </w:p>
    <w:p w14:paraId="25315D19">
      <w:pPr>
        <w:keepNext w:val="0"/>
        <w:keepLines w:val="0"/>
        <w:pageBreakBefore w:val="0"/>
        <w:widowControl w:val="0"/>
        <w:tabs>
          <w:tab w:val="left" w:pos="0"/>
        </w:tabs>
        <w:kinsoku/>
        <w:wordWrap/>
        <w:overflowPunct/>
        <w:topLinePunct w:val="0"/>
        <w:bidi w:val="0"/>
        <w:spacing w:line="360" w:lineRule="auto"/>
        <w:ind w:firstLine="480"/>
        <w:textAlignment w:val="auto"/>
        <w:rPr>
          <w:rFonts w:cs="仿宋" w:asciiTheme="majorEastAsia" w:hAnsiTheme="majorEastAsia" w:eastAsiaTheme="majorEastAsia"/>
          <w:color w:val="auto"/>
          <w:sz w:val="24"/>
          <w:highlight w:val="none"/>
        </w:rPr>
      </w:pPr>
    </w:p>
    <w:p w14:paraId="6743E492">
      <w:pPr>
        <w:keepNext w:val="0"/>
        <w:keepLines w:val="0"/>
        <w:pageBreakBefore w:val="0"/>
        <w:widowControl w:val="0"/>
        <w:kinsoku/>
        <w:wordWrap/>
        <w:overflowPunct/>
        <w:topLinePunct w:val="0"/>
        <w:bidi w:val="0"/>
        <w:snapToGrid w:val="0"/>
        <w:spacing w:line="360" w:lineRule="auto"/>
        <w:ind w:left="120" w:leftChars="57" w:firstLine="482" w:firstLineChars="150"/>
        <w:jc w:val="center"/>
        <w:textAlignment w:val="auto"/>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九、验收</w:t>
      </w:r>
    </w:p>
    <w:p w14:paraId="524F2738">
      <w:pPr>
        <w:keepNext w:val="0"/>
        <w:keepLines w:val="0"/>
        <w:pageBreakBefore w:val="0"/>
        <w:widowControl w:val="0"/>
        <w:numPr>
          <w:ilvl w:val="0"/>
          <w:numId w:val="2"/>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验收</w:t>
      </w:r>
    </w:p>
    <w:p w14:paraId="40548F4B">
      <w:pPr>
        <w:keepNext w:val="0"/>
        <w:keepLines w:val="0"/>
        <w:pageBreakBefore w:val="0"/>
        <w:widowControl w:val="0"/>
        <w:tabs>
          <w:tab w:val="left" w:pos="0"/>
        </w:tabs>
        <w:kinsoku/>
        <w:wordWrap/>
        <w:overflowPunct/>
        <w:topLinePunct w:val="0"/>
        <w:bidi w:val="0"/>
        <w:spacing w:line="360" w:lineRule="auto"/>
        <w:ind w:firstLine="48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w:t>
      </w:r>
      <w:r>
        <w:rPr>
          <w:rFonts w:hint="eastAsia" w:cs="仿宋" w:asciiTheme="majorEastAsia" w:hAnsiTheme="majorEastAsia" w:eastAsiaTheme="majorEastAsia"/>
          <w:color w:val="auto"/>
          <w:kern w:val="0"/>
          <w:sz w:val="24"/>
          <w:highlight w:val="none"/>
          <w:lang w:val="en-US" w:eastAsia="zh-CN"/>
        </w:rPr>
        <w:t>6</w:t>
      </w:r>
      <w:r>
        <w:rPr>
          <w:rFonts w:hint="eastAsia" w:cs="仿宋" w:asciiTheme="majorEastAsia" w:hAnsiTheme="majorEastAsia" w:eastAsiaTheme="majorEastAsia"/>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4CC6B95">
      <w:pPr>
        <w:keepNext w:val="0"/>
        <w:keepLines w:val="0"/>
        <w:pageBreakBefore w:val="0"/>
        <w:widowControl w:val="0"/>
        <w:tabs>
          <w:tab w:val="left" w:pos="0"/>
        </w:tabs>
        <w:kinsoku/>
        <w:wordWrap/>
        <w:overflowPunct/>
        <w:topLinePunct w:val="0"/>
        <w:bidi w:val="0"/>
        <w:spacing w:line="360" w:lineRule="auto"/>
        <w:ind w:firstLine="48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w:t>
      </w:r>
      <w:r>
        <w:rPr>
          <w:rFonts w:hint="eastAsia" w:cs="仿宋" w:asciiTheme="majorEastAsia" w:hAnsiTheme="majorEastAsia" w:eastAsiaTheme="majorEastAsia"/>
          <w:color w:val="auto"/>
          <w:kern w:val="0"/>
          <w:sz w:val="24"/>
          <w:highlight w:val="none"/>
          <w:lang w:val="en-US" w:eastAsia="zh-CN"/>
        </w:rPr>
        <w:t>6</w:t>
      </w:r>
      <w:r>
        <w:rPr>
          <w:rFonts w:hint="eastAsia" w:cs="仿宋" w:asciiTheme="majorEastAsia" w:hAnsiTheme="majorEastAsia" w:eastAsiaTheme="majorEastAsia"/>
          <w:color w:val="auto"/>
          <w:kern w:val="0"/>
          <w:sz w:val="24"/>
          <w:highlight w:val="none"/>
        </w:rPr>
        <w:t>.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13AED56">
      <w:pPr>
        <w:keepNext w:val="0"/>
        <w:keepLines w:val="0"/>
        <w:pageBreakBefore w:val="0"/>
        <w:widowControl w:val="0"/>
        <w:tabs>
          <w:tab w:val="left" w:pos="0"/>
        </w:tabs>
        <w:kinsoku/>
        <w:wordWrap/>
        <w:overflowPunct/>
        <w:topLinePunct w:val="0"/>
        <w:bidi w:val="0"/>
        <w:spacing w:line="360" w:lineRule="auto"/>
        <w:ind w:firstLine="48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w:t>
      </w:r>
      <w:r>
        <w:rPr>
          <w:rFonts w:hint="eastAsia" w:cs="仿宋" w:asciiTheme="majorEastAsia" w:hAnsiTheme="majorEastAsia" w:eastAsiaTheme="majorEastAsia"/>
          <w:color w:val="auto"/>
          <w:kern w:val="0"/>
          <w:sz w:val="24"/>
          <w:highlight w:val="none"/>
          <w:lang w:val="en-US" w:eastAsia="zh-CN"/>
        </w:rPr>
        <w:t>6</w:t>
      </w:r>
      <w:r>
        <w:rPr>
          <w:rFonts w:hint="eastAsia" w:cs="仿宋" w:asciiTheme="majorEastAsia" w:hAnsiTheme="majorEastAsia" w:eastAsiaTheme="majorEastAsia"/>
          <w:color w:val="auto"/>
          <w:kern w:val="0"/>
          <w:sz w:val="24"/>
          <w:highlight w:val="none"/>
        </w:rPr>
        <w:t>.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w:t>
      </w:r>
      <w:r>
        <w:rPr>
          <w:rFonts w:hint="eastAsia" w:cs="仿宋" w:asciiTheme="majorEastAsia" w:hAnsiTheme="majorEastAsia" w:eastAsiaTheme="majorEastAsia"/>
          <w:color w:val="auto"/>
          <w:kern w:val="0"/>
          <w:sz w:val="24"/>
          <w:highlight w:val="none"/>
          <w:lang w:val="en-US" w:eastAsia="zh-CN"/>
        </w:rPr>
        <w:t>监督</w:t>
      </w:r>
      <w:r>
        <w:rPr>
          <w:rFonts w:hint="eastAsia" w:cs="仿宋" w:asciiTheme="majorEastAsia" w:hAnsiTheme="majorEastAsia" w:eastAsiaTheme="majorEastAsia"/>
          <w:color w:val="auto"/>
          <w:kern w:val="0"/>
          <w:sz w:val="24"/>
          <w:highlight w:val="none"/>
          <w:lang w:eastAsia="zh-CN"/>
        </w:rPr>
        <w:t>管</w:t>
      </w:r>
      <w:r>
        <w:rPr>
          <w:rFonts w:hint="eastAsia" w:cs="仿宋" w:asciiTheme="majorEastAsia" w:hAnsiTheme="majorEastAsia" w:eastAsiaTheme="majorEastAsia"/>
          <w:color w:val="auto"/>
          <w:kern w:val="0"/>
          <w:sz w:val="24"/>
          <w:highlight w:val="none"/>
          <w:lang w:val="en-US" w:eastAsia="zh-CN"/>
        </w:rPr>
        <w:t>理</w:t>
      </w:r>
      <w:r>
        <w:rPr>
          <w:rFonts w:hint="eastAsia" w:cs="仿宋" w:asciiTheme="majorEastAsia" w:hAnsiTheme="majorEastAsia" w:eastAsiaTheme="majorEastAsia"/>
          <w:color w:val="auto"/>
          <w:kern w:val="0"/>
          <w:sz w:val="24"/>
          <w:highlight w:val="none"/>
          <w:lang w:eastAsia="zh-CN"/>
        </w:rPr>
        <w:t>部门</w:t>
      </w:r>
      <w:r>
        <w:rPr>
          <w:rFonts w:hint="eastAsia" w:cs="仿宋" w:asciiTheme="majorEastAsia" w:hAnsiTheme="majorEastAsia" w:eastAsiaTheme="majorEastAsia"/>
          <w:color w:val="auto"/>
          <w:kern w:val="0"/>
          <w:sz w:val="24"/>
          <w:highlight w:val="none"/>
        </w:rPr>
        <w:t>。</w:t>
      </w:r>
      <w:bookmarkEnd w:id="11"/>
      <w:bookmarkEnd w:id="12"/>
      <w:bookmarkEnd w:id="13"/>
      <w:bookmarkStart w:id="14" w:name="_Hlt74730295"/>
      <w:bookmarkEnd w:id="14"/>
      <w:bookmarkStart w:id="15" w:name="_Hlt68073093"/>
      <w:bookmarkEnd w:id="15"/>
      <w:bookmarkStart w:id="16" w:name="_Hlt68072998"/>
      <w:bookmarkEnd w:id="16"/>
      <w:bookmarkStart w:id="17" w:name="_Hlt68057669"/>
      <w:bookmarkEnd w:id="17"/>
      <w:bookmarkStart w:id="18" w:name="_Hlt74729768"/>
      <w:bookmarkEnd w:id="18"/>
      <w:bookmarkStart w:id="19" w:name="_Hlt68403820"/>
      <w:bookmarkEnd w:id="19"/>
      <w:bookmarkStart w:id="20" w:name="_Hlt68072990"/>
      <w:bookmarkEnd w:id="20"/>
      <w:bookmarkStart w:id="21" w:name="_Hlt75236290"/>
      <w:bookmarkEnd w:id="21"/>
      <w:bookmarkStart w:id="22" w:name="_Hlt75236011"/>
      <w:bookmarkEnd w:id="22"/>
      <w:bookmarkStart w:id="23" w:name="_Hlt74714665"/>
      <w:bookmarkEnd w:id="23"/>
      <w:bookmarkStart w:id="24" w:name="_Hlt75236101"/>
      <w:bookmarkEnd w:id="24"/>
      <w:bookmarkStart w:id="25" w:name="_Hlt74707468"/>
      <w:bookmarkEnd w:id="25"/>
      <w:bookmarkStart w:id="26" w:name="第四部分"/>
    </w:p>
    <w:p w14:paraId="4D1C76F5">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br w:type="page"/>
      </w:r>
    </w:p>
    <w:p w14:paraId="3902A85F">
      <w:pPr>
        <w:keepNext w:val="0"/>
        <w:keepLines w:val="0"/>
        <w:pageBreakBefore w:val="0"/>
        <w:widowControl w:val="0"/>
        <w:tabs>
          <w:tab w:val="left" w:pos="0"/>
        </w:tabs>
        <w:kinsoku/>
        <w:wordWrap/>
        <w:overflowPunct/>
        <w:topLinePunct w:val="0"/>
        <w:bidi w:val="0"/>
        <w:spacing w:line="360" w:lineRule="auto"/>
        <w:jc w:val="center"/>
        <w:textAlignment w:val="auto"/>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第三部分   采购需求</w:t>
      </w:r>
    </w:p>
    <w:p w14:paraId="440007EE">
      <w:pPr>
        <w:spacing w:line="360" w:lineRule="auto"/>
        <w:jc w:val="left"/>
        <w:rPr>
          <w:rFonts w:hint="eastAsia" w:ascii="宋体" w:hAnsi="宋体" w:eastAsia="宋体" w:cs="宋体"/>
          <w:b/>
          <w:color w:val="auto"/>
          <w:sz w:val="32"/>
          <w:szCs w:val="32"/>
          <w:highlight w:val="none"/>
          <w:lang w:val="en-US" w:eastAsia="zh-CN"/>
        </w:rPr>
      </w:pPr>
      <w:bookmarkStart w:id="27" w:name="_Toc500353170"/>
      <w:r>
        <w:rPr>
          <w:rFonts w:hint="eastAsia" w:ascii="宋体" w:hAnsi="宋体" w:eastAsia="宋体" w:cs="宋体"/>
          <w:b/>
          <w:color w:val="auto"/>
          <w:sz w:val="32"/>
          <w:szCs w:val="32"/>
          <w:highlight w:val="none"/>
        </w:rPr>
        <w:t>一、</w:t>
      </w:r>
      <w:r>
        <w:rPr>
          <w:rFonts w:hint="eastAsia" w:ascii="宋体" w:hAnsi="宋体" w:eastAsia="宋体" w:cs="宋体"/>
          <w:b/>
          <w:color w:val="auto"/>
          <w:sz w:val="32"/>
          <w:szCs w:val="32"/>
          <w:highlight w:val="none"/>
          <w:lang w:val="en-US" w:eastAsia="zh-CN"/>
        </w:rPr>
        <w:t>技术要求</w:t>
      </w:r>
    </w:p>
    <w:p w14:paraId="2C979CAC">
      <w:pPr>
        <w:spacing w:line="360" w:lineRule="auto"/>
        <w:jc w:val="left"/>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val="en-US" w:eastAsia="zh-CN"/>
        </w:rPr>
        <w:t>1、采购</w:t>
      </w:r>
      <w:r>
        <w:rPr>
          <w:rFonts w:hint="eastAsia" w:ascii="宋体" w:hAnsi="宋体" w:cs="Times New Roman"/>
          <w:b/>
          <w:color w:val="auto"/>
          <w:sz w:val="24"/>
          <w:szCs w:val="24"/>
          <w:highlight w:val="none"/>
          <w:lang w:val="en-US" w:eastAsia="zh-CN"/>
        </w:rPr>
        <w:t>内容与规范</w:t>
      </w:r>
    </w:p>
    <w:p w14:paraId="26D59EE9">
      <w:pPr>
        <w:spacing w:line="360" w:lineRule="auto"/>
        <w:jc w:val="left"/>
        <w:rPr>
          <w:rFonts w:hint="eastAsia" w:ascii="宋体" w:hAnsi="宋体" w:eastAsia="宋体"/>
          <w:b/>
          <w:color w:val="auto"/>
          <w:szCs w:val="21"/>
          <w:highlight w:val="none"/>
          <w:lang w:eastAsia="zh-CN"/>
        </w:rPr>
      </w:pPr>
      <w:r>
        <w:rPr>
          <w:rFonts w:hint="eastAsia" w:ascii="宋体" w:hAnsi="宋体" w:eastAsia="宋体" w:cs="Times New Roman"/>
          <w:b/>
          <w:color w:val="auto"/>
          <w:szCs w:val="21"/>
          <w:highlight w:val="none"/>
          <w:lang w:val="en-US" w:eastAsia="zh-CN"/>
        </w:rPr>
        <w:t>1.1</w:t>
      </w:r>
      <w:r>
        <w:rPr>
          <w:rFonts w:hint="eastAsia" w:ascii="宋体" w:hAnsi="宋体" w:eastAsia="宋体" w:cs="Times New Roman"/>
          <w:b/>
          <w:color w:val="auto"/>
          <w:szCs w:val="21"/>
          <w:highlight w:val="none"/>
        </w:rPr>
        <w:t>交通</w:t>
      </w:r>
      <w:r>
        <w:rPr>
          <w:rFonts w:hint="eastAsia" w:ascii="宋体" w:hAnsi="宋体" w:cs="Times New Roman"/>
          <w:b/>
          <w:color w:val="auto"/>
          <w:szCs w:val="21"/>
          <w:highlight w:val="none"/>
          <w:lang w:val="en-US" w:eastAsia="zh-CN"/>
        </w:rPr>
        <w:t>标线</w:t>
      </w:r>
    </w:p>
    <w:p w14:paraId="0176C845">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交通标线主要包括：机动车停车位标线、可跨越对向车道分界线、导向箭头标记。 </w:t>
      </w:r>
    </w:p>
    <w:p w14:paraId="1F709FCE">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1）、机动车停车位标线线宽15cm，白色。 </w:t>
      </w:r>
    </w:p>
    <w:p w14:paraId="597294B5">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2）、可跨越对向车道分界线采用“2m/4m”间隔的虚线，线宽15cm，黄色。</w:t>
      </w:r>
    </w:p>
    <w:p w14:paraId="26C53E89">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3）、导向箭头长3米，白色。 </w:t>
      </w:r>
    </w:p>
    <w:p w14:paraId="1FEBFCDD">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4）、标线采用热熔材料，预混及面撒反光玻璃珠。涂料中含20%的玻璃珠,施工时撒布玻璃珠与热熔涂料上。热熔型标线涂料干膜厚度为1.5mm~2.0mm。</w:t>
      </w:r>
    </w:p>
    <w:p w14:paraId="7632E08E">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热熔反光型涂料:</w:t>
      </w:r>
    </w:p>
    <w:p w14:paraId="2DD04A5F">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★要求道路标线涂料按行标GA/T298-2001,要求出具具有CMA和CNAS等标志的第三方检测机构出具的检测报告。</w:t>
      </w:r>
    </w:p>
    <w:p w14:paraId="1998F6D0">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★路面标线用玻璃珠按GB/T24722、JT/T446-2001,要求出具具有CMA和CNAS等标志的第三方检测机构出具的检测报告。</w:t>
      </w:r>
    </w:p>
    <w:p w14:paraId="5CEB39E5">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涂料密度：g/cm3  18~2.3,  厚度≥1.8mm。</w:t>
      </w:r>
    </w:p>
    <w:p w14:paraId="66C78A75">
      <w:pPr>
        <w:spacing w:line="360" w:lineRule="auto"/>
        <w:ind w:firstLine="420" w:firstLineChars="200"/>
        <w:rPr>
          <w:rFonts w:hint="eastAsia" w:ascii="宋体" w:hAnsi="宋体" w:cs="宋体"/>
          <w:color w:val="auto"/>
          <w:kern w:val="0"/>
          <w:szCs w:val="21"/>
          <w:highlight w:val="yellow"/>
          <w:lang w:val="en-US" w:eastAsia="zh-CN"/>
        </w:rPr>
      </w:pPr>
      <w:r>
        <w:rPr>
          <w:rFonts w:hint="eastAsia" w:ascii="宋体" w:hAnsi="宋体" w:cs="宋体"/>
          <w:color w:val="auto"/>
          <w:kern w:val="0"/>
          <w:szCs w:val="21"/>
          <w:highlight w:val="none"/>
          <w:lang w:val="en-US" w:eastAsia="zh-CN"/>
        </w:rPr>
        <w:t>具体技术要求应满足《路面标线涂料》（JT/T280-2004）。</w:t>
      </w:r>
    </w:p>
    <w:p w14:paraId="4D446D3C">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5）、标线漆划采用一次常温漆，一次热熔漆。使用的标线涂料应耐久、耐磨耗、耐腐蚀、抗滑，与路面粘结力强、干燥快。标线应具备良好的视认性，宽度一致，间隔相等，边缘整齐。</w:t>
      </w:r>
    </w:p>
    <w:p w14:paraId="657C0405">
      <w:pPr>
        <w:spacing w:line="360" w:lineRule="auto"/>
        <w:jc w:val="left"/>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1.2交通标志</w:t>
      </w:r>
    </w:p>
    <w:p w14:paraId="08A1EEA8">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本工程标志反光膜除地面标志牌及坡道龙门牌采用IV类反光膜外其余均采用I类工程级反光膜。</w:t>
      </w:r>
    </w:p>
    <w:p w14:paraId="754B7C91">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标志版：停车牌及龙门牌采用1.5mm厚铝板,其余采用1.2mm厚铝板。禁令标志为白底、红圈、红杠黑图案、图案压杠；指路标志采用蓝底、白字、白图案；指示标志采用蓝底、白图案。</w:t>
      </w:r>
    </w:p>
    <w:p w14:paraId="5CEF1619">
      <w:pPr>
        <w:spacing w:line="360" w:lineRule="auto"/>
        <w:ind w:firstLine="480" w:firstLineChars="200"/>
        <w:rPr>
          <w:rFonts w:hint="eastAsia" w:ascii="宋体" w:hAnsi="宋体" w:cs="宋体"/>
          <w:color w:val="auto"/>
          <w:kern w:val="0"/>
          <w:szCs w:val="21"/>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w:t>
      </w:r>
      <w:r>
        <w:rPr>
          <w:rFonts w:hint="eastAsia" w:ascii="宋体" w:hAnsi="宋体" w:cs="宋体"/>
          <w:color w:val="auto"/>
          <w:kern w:val="0"/>
          <w:szCs w:val="21"/>
          <w:highlight w:val="none"/>
          <w:lang w:val="en-US" w:eastAsia="zh-CN"/>
        </w:rPr>
        <w:t xml:space="preserve">具体技术标准应满足《公路交通标志反光膜》（GB-/T18833-2012）中技术要求。 </w:t>
      </w:r>
    </w:p>
    <w:p w14:paraId="065E574B">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标志标杆结构：标志牌采用塑料膨胀螺丝安装于墙面或者采用角铁支架安装于地库顶板,所有钢构件均采用热镀锌处理。</w:t>
      </w:r>
    </w:p>
    <w:p w14:paraId="476F85D7">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 xml:space="preserve">1）、线形诱导标志设置在通道两侧柱体或墙体上，采用300mm×500mm、800mm×500mm，设置在防撞护角以上，距离地面约1200mm位置。 </w:t>
      </w:r>
    </w:p>
    <w:p w14:paraId="05601546">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 xml:space="preserve">2）、地下车库通道交叉及出口处设置机动车出口指示标志，具体尺寸有400×600mm。 </w:t>
      </w:r>
    </w:p>
    <w:p w14:paraId="172ACDFF">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 xml:space="preserve">3）、人行通道指示标志设置在地下车库人行通道入口处，采用400mm×800mm。 </w:t>
      </w:r>
    </w:p>
    <w:p w14:paraId="043AAC44">
      <w:pPr>
        <w:spacing w:line="360" w:lineRule="auto"/>
        <w:ind w:firstLine="420" w:firstLineChars="200"/>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4）、车库入口指示标志设置在汽车坡道入口处墙面，尺寸6000mm×1000mm, 采用膨胀螺丝固定。</w:t>
      </w:r>
    </w:p>
    <w:p w14:paraId="130098D1">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 xml:space="preserve">5）、地面车库入口设置限速、限高、禁鸣、禁止烟火、注意双向通行、出口、禁止驶入等标志。 </w:t>
      </w:r>
    </w:p>
    <w:p w14:paraId="5B6E2113">
      <w:pPr>
        <w:spacing w:line="360" w:lineRule="auto"/>
        <w:rPr>
          <w:rFonts w:hint="eastAsia" w:ascii="宋体" w:hAnsi="宋体" w:eastAsia="宋体"/>
          <w:b/>
          <w:color w:val="auto"/>
          <w:szCs w:val="21"/>
          <w:highlight w:val="none"/>
          <w:lang w:eastAsia="zh-CN"/>
        </w:rPr>
      </w:pPr>
      <w:r>
        <w:rPr>
          <w:rFonts w:hint="eastAsia" w:ascii="宋体" w:hAnsi="宋体"/>
          <w:b/>
          <w:color w:val="auto"/>
          <w:szCs w:val="21"/>
          <w:highlight w:val="none"/>
          <w:lang w:val="en-US" w:eastAsia="zh-CN"/>
        </w:rPr>
        <w:t>1.3防撞护角</w:t>
      </w:r>
    </w:p>
    <w:p w14:paraId="53C74FB5">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地下车库内主体四角设置和墙角边设置防撞护角，防撞护角采用高强耐磨橡胶制作，表面为IV类超强级反光膜，护角尺寸为800×100×10mm，距离地面20cm位置。</w:t>
      </w:r>
    </w:p>
    <w:p w14:paraId="583E2D11">
      <w:pPr>
        <w:spacing w:line="360" w:lineRule="auto"/>
        <w:ind w:firstLine="480" w:firstLineChars="200"/>
        <w:rPr>
          <w:rFonts w:hint="eastAsia" w:ascii="宋体" w:hAnsi="宋体" w:cs="宋体"/>
          <w:color w:val="auto"/>
          <w:kern w:val="0"/>
          <w:szCs w:val="21"/>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w:t>
      </w:r>
      <w:r>
        <w:rPr>
          <w:rFonts w:hint="eastAsia" w:ascii="宋体" w:hAnsi="宋体" w:cs="宋体"/>
          <w:color w:val="auto"/>
          <w:kern w:val="0"/>
          <w:szCs w:val="21"/>
          <w:highlight w:val="none"/>
          <w:lang w:val="en-US" w:eastAsia="zh-CN"/>
        </w:rPr>
        <w:t>其性能参照《橡胶减速垄》（GA/T487-2004）中的技术要求。</w:t>
      </w:r>
    </w:p>
    <w:p w14:paraId="18927B48">
      <w:pPr>
        <w:spacing w:line="360" w:lineRule="auto"/>
        <w:ind w:firstLine="420" w:firstLineChars="200"/>
        <w:rPr>
          <w:color w:val="auto"/>
          <w:highlight w:val="none"/>
        </w:rPr>
      </w:pPr>
      <w:r>
        <w:rPr>
          <w:rFonts w:hint="eastAsia" w:ascii="宋体" w:hAnsi="宋体" w:cs="宋体"/>
          <w:color w:val="auto"/>
          <w:kern w:val="0"/>
          <w:szCs w:val="21"/>
          <w:highlight w:val="none"/>
          <w:lang w:val="en-US" w:eastAsia="zh-CN"/>
        </w:rPr>
        <w:t>防撞护角外立面亦为15cm黑、黄相间，安装方向与立柱上警示墙体标线一致。</w:t>
      </w:r>
    </w:p>
    <w:p w14:paraId="4E71926E">
      <w:pPr>
        <w:spacing w:line="360" w:lineRule="auto"/>
        <w:rPr>
          <w:rFonts w:ascii="宋体" w:hAnsi="宋体"/>
          <w:b/>
          <w:color w:val="auto"/>
          <w:szCs w:val="21"/>
          <w:highlight w:val="none"/>
        </w:rPr>
      </w:pPr>
      <w:r>
        <w:rPr>
          <w:rFonts w:hint="eastAsia" w:ascii="宋体" w:hAnsi="宋体"/>
          <w:b/>
          <w:color w:val="auto"/>
          <w:szCs w:val="21"/>
          <w:highlight w:val="none"/>
          <w:lang w:val="en-US" w:eastAsia="zh-CN"/>
        </w:rPr>
        <w:t>1.4</w:t>
      </w:r>
      <w:r>
        <w:rPr>
          <w:rFonts w:hint="eastAsia" w:ascii="宋体" w:hAnsi="宋体"/>
          <w:b/>
          <w:color w:val="auto"/>
          <w:szCs w:val="21"/>
          <w:highlight w:val="none"/>
        </w:rPr>
        <w:t>车轮定位器</w:t>
      </w:r>
    </w:p>
    <w:p w14:paraId="5D6846CF">
      <w:pPr>
        <w:spacing w:line="360" w:lineRule="auto"/>
        <w:ind w:firstLine="420" w:firstLineChars="200"/>
        <w:rPr>
          <w:rFonts w:hint="eastAsia" w:ascii="宋体" w:hAnsi="宋体" w:cs="宋体"/>
          <w:color w:val="auto"/>
          <w:kern w:val="0"/>
          <w:szCs w:val="21"/>
          <w:highlight w:val="yellow"/>
          <w:lang w:val="en-US" w:eastAsia="zh-CN"/>
        </w:rPr>
      </w:pPr>
      <w:r>
        <w:rPr>
          <w:rFonts w:hint="eastAsia" w:ascii="宋体" w:hAnsi="宋体" w:cs="宋体"/>
          <w:color w:val="auto"/>
          <w:kern w:val="0"/>
          <w:szCs w:val="21"/>
          <w:highlight w:val="none"/>
          <w:lang w:val="en-US" w:eastAsia="zh-CN"/>
        </w:rPr>
        <w:t>设置在停车位标线底线1.1米处，地下车位采用高强橡胶制作，尺寸为600×160×100mm，安装于停车位尾部，保证机动车的安全停车间距，采用膨胀螺丝固定。</w:t>
      </w:r>
    </w:p>
    <w:p w14:paraId="015D0195">
      <w:pPr>
        <w:spacing w:line="360" w:lineRule="auto"/>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1.5广角镜</w:t>
      </w:r>
    </w:p>
    <w:p w14:paraId="462D4182">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在地下车库内弯道处以及视线不良的转角处，采用PVC材质，具有易安装、防碎、能吸收多余的紫外线，能形成更好的倒影，可以扩大司机的视角，及早发现对向车辆，以便减少交通事故。</w:t>
      </w:r>
    </w:p>
    <w:p w14:paraId="3E817808">
      <w:pPr>
        <w:spacing w:line="360" w:lineRule="auto"/>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1.6轮廓标</w:t>
      </w:r>
    </w:p>
    <w:p w14:paraId="24EE17E8">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轮廓标坚向安装于坡道两侧的墙面,安装高度为底部距地面650mm,水平间距2000mm间隔安装，轮廓标反射体大小为180×40mm，反射体反光等级为一级。</w:t>
      </w:r>
    </w:p>
    <w:p w14:paraId="7785170D">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轮廓标所用材料应符合《轮廓标技术条件》（JT/T388—1999）的技术条件。</w:t>
      </w:r>
    </w:p>
    <w:p w14:paraId="14B607B3">
      <w:pPr>
        <w:spacing w:line="360" w:lineRule="auto"/>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1.7橡胶减速垄</w:t>
      </w:r>
    </w:p>
    <w:p w14:paraId="7536F4B5">
      <w:pPr>
        <w:spacing w:line="360" w:lineRule="auto"/>
        <w:ind w:firstLine="480" w:firstLineChars="200"/>
        <w:rPr>
          <w:rFonts w:hint="eastAsia" w:ascii="宋体" w:hAnsi="宋体" w:cs="宋体"/>
          <w:color w:val="auto"/>
          <w:kern w:val="0"/>
          <w:szCs w:val="21"/>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w:t>
      </w:r>
      <w:r>
        <w:rPr>
          <w:rFonts w:hint="eastAsia" w:ascii="宋体" w:hAnsi="宋体" w:cs="宋体"/>
          <w:color w:val="auto"/>
          <w:kern w:val="0"/>
          <w:szCs w:val="21"/>
          <w:highlight w:val="none"/>
          <w:lang w:val="en-US" w:eastAsia="zh-CN"/>
        </w:rPr>
        <w:t>车库出入口坡脚处和需要减速的地下车库通道位置设置橡胶减速垄，橡胶减速垄采用高强耐磨橡胶制作，其性能应满足《橡胶减速垄》（GA/T487-2004）中的技术要求。</w:t>
      </w:r>
    </w:p>
    <w:p w14:paraId="01E79F93">
      <w:pPr>
        <w:spacing w:line="360" w:lineRule="auto"/>
        <w:jc w:val="left"/>
        <w:rPr>
          <w:rFonts w:hint="eastAsia" w:ascii="宋体" w:hAnsi="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val="en-US" w:eastAsia="zh-CN"/>
        </w:rPr>
        <w:t>注：</w:t>
      </w:r>
      <w:r>
        <w:rPr>
          <w:rFonts w:hint="eastAsia" w:ascii="宋体" w:hAnsi="宋体" w:cs="Times New Roman"/>
          <w:b/>
          <w:color w:val="auto"/>
          <w:sz w:val="24"/>
          <w:szCs w:val="24"/>
          <w:highlight w:val="none"/>
          <w:lang w:val="en-US" w:eastAsia="zh-CN"/>
        </w:rPr>
        <w:t>1、其它以及具体施工内容规范详见施工图，如有冲突，以施工图为准。</w:t>
      </w:r>
    </w:p>
    <w:p w14:paraId="2DF34967">
      <w:pPr>
        <w:spacing w:line="360" w:lineRule="auto"/>
        <w:ind w:firstLine="482" w:firstLineChars="200"/>
        <w:jc w:val="left"/>
        <w:rPr>
          <w:rFonts w:hint="default" w:ascii="宋体" w:hAnsi="宋体" w:cs="Times New Roman"/>
          <w:b/>
          <w:color w:val="auto"/>
          <w:sz w:val="24"/>
          <w:szCs w:val="24"/>
          <w:highlight w:val="none"/>
          <w:lang w:val="en-US" w:eastAsia="zh-CN"/>
        </w:rPr>
      </w:pPr>
      <w:r>
        <w:rPr>
          <w:rFonts w:hint="eastAsia" w:ascii="宋体" w:hAnsi="宋体" w:cs="Times New Roman"/>
          <w:b/>
          <w:color w:val="auto"/>
          <w:sz w:val="24"/>
          <w:szCs w:val="24"/>
          <w:highlight w:val="none"/>
          <w:lang w:val="en-US" w:eastAsia="zh-CN"/>
        </w:rPr>
        <w:t>2、若上述规范存在更新，以最新规范为准。</w:t>
      </w:r>
    </w:p>
    <w:p w14:paraId="19A6B758">
      <w:pPr>
        <w:spacing w:line="360" w:lineRule="auto"/>
        <w:jc w:val="left"/>
        <w:rPr>
          <w:rFonts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、验收要求</w:t>
      </w:r>
    </w:p>
    <w:p w14:paraId="78024B74">
      <w:pPr>
        <w:snapToGrid w:val="0"/>
        <w:spacing w:line="360" w:lineRule="auto"/>
        <w:ind w:firstLine="420" w:firstLineChars="200"/>
        <w:jc w:val="left"/>
        <w:rPr>
          <w:color w:val="auto"/>
          <w:highlight w:val="none"/>
        </w:rPr>
      </w:pPr>
      <w:r>
        <w:rPr>
          <w:rFonts w:hint="eastAsia"/>
          <w:color w:val="auto"/>
          <w:highlight w:val="none"/>
        </w:rPr>
        <w:t>本项目由交警部门进行验收。由于中标人原因造成的验收未通过（如整改、返工等）而产生的费用由中标人自行承担。</w:t>
      </w:r>
    </w:p>
    <w:p w14:paraId="1D3F45BE">
      <w:pPr>
        <w:spacing w:line="360" w:lineRule="auto"/>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3、采购清单</w:t>
      </w:r>
    </w:p>
    <w:p w14:paraId="182B29B1">
      <w:pPr>
        <w:spacing w:line="360" w:lineRule="auto"/>
        <w:jc w:val="center"/>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地面部分</w:t>
      </w:r>
    </w:p>
    <w:tbl>
      <w:tblPr>
        <w:tblStyle w:val="20"/>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1469"/>
        <w:gridCol w:w="2496"/>
        <w:gridCol w:w="954"/>
        <w:gridCol w:w="968"/>
        <w:gridCol w:w="955"/>
        <w:gridCol w:w="1650"/>
      </w:tblGrid>
      <w:tr w14:paraId="1A04B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80F3">
            <w:pPr>
              <w:keepNext w:val="0"/>
              <w:keepLines w:val="0"/>
              <w:widowControl/>
              <w:suppressLineNumbers w:val="0"/>
              <w:jc w:val="center"/>
              <w:textAlignment w:val="center"/>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序号</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45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名称</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1F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简图</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3E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规格</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09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 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5E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数量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02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备注</w:t>
            </w:r>
          </w:p>
        </w:tc>
      </w:tr>
      <w:tr w14:paraId="0D30C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30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13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直左(右)箭头</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73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73660</wp:posOffset>
                  </wp:positionH>
                  <wp:positionV relativeFrom="paragraph">
                    <wp:posOffset>-51435</wp:posOffset>
                  </wp:positionV>
                  <wp:extent cx="1265555" cy="354330"/>
                  <wp:effectExtent l="0" t="0" r="10795" b="7620"/>
                  <wp:wrapNone/>
                  <wp:docPr id="52" name="图片_19"/>
                  <wp:cNvGraphicFramePr/>
                  <a:graphic xmlns:a="http://schemas.openxmlformats.org/drawingml/2006/main">
                    <a:graphicData uri="http://schemas.openxmlformats.org/drawingml/2006/picture">
                      <pic:pic xmlns:pic="http://schemas.openxmlformats.org/drawingml/2006/picture">
                        <pic:nvPicPr>
                          <pic:cNvPr id="52" name="图片_19"/>
                          <pic:cNvPicPr/>
                        </pic:nvPicPr>
                        <pic:blipFill>
                          <a:blip r:embed="rId12"/>
                          <a:stretch>
                            <a:fillRect/>
                          </a:stretch>
                        </pic:blipFill>
                        <pic:spPr>
                          <a:xfrm>
                            <a:off x="0" y="0"/>
                            <a:ext cx="1265555" cy="354330"/>
                          </a:xfrm>
                          <a:prstGeom prst="rect">
                            <a:avLst/>
                          </a:prstGeom>
                          <a:noFill/>
                          <a:ln>
                            <a:noFill/>
                          </a:ln>
                        </pic:spPr>
                      </pic:pic>
                    </a:graphicData>
                  </a:graphic>
                </wp:anchor>
              </w:drawing>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F1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长3m</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79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23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D63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热熔标线</w:t>
            </w:r>
          </w:p>
        </w:tc>
      </w:tr>
      <w:tr w14:paraId="43141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A6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01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左右箭头</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0F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400050</wp:posOffset>
                  </wp:positionH>
                  <wp:positionV relativeFrom="paragraph">
                    <wp:posOffset>66040</wp:posOffset>
                  </wp:positionV>
                  <wp:extent cx="701040" cy="332105"/>
                  <wp:effectExtent l="0" t="0" r="3810" b="10795"/>
                  <wp:wrapNone/>
                  <wp:docPr id="59" name="图片_15"/>
                  <wp:cNvGraphicFramePr/>
                  <a:graphic xmlns:a="http://schemas.openxmlformats.org/drawingml/2006/main">
                    <a:graphicData uri="http://schemas.openxmlformats.org/drawingml/2006/picture">
                      <pic:pic xmlns:pic="http://schemas.openxmlformats.org/drawingml/2006/picture">
                        <pic:nvPicPr>
                          <pic:cNvPr id="59" name="图片_15"/>
                          <pic:cNvPicPr/>
                        </pic:nvPicPr>
                        <pic:blipFill>
                          <a:blip r:embed="rId13"/>
                          <a:stretch>
                            <a:fillRect/>
                          </a:stretch>
                        </pic:blipFill>
                        <pic:spPr>
                          <a:xfrm>
                            <a:off x="0" y="0"/>
                            <a:ext cx="701040" cy="332105"/>
                          </a:xfrm>
                          <a:prstGeom prst="rect">
                            <a:avLst/>
                          </a:prstGeom>
                          <a:noFill/>
                          <a:ln>
                            <a:noFill/>
                          </a:ln>
                        </pic:spPr>
                      </pic:pic>
                    </a:graphicData>
                  </a:graphic>
                </wp:anchor>
              </w:drawing>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A2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长3m</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E7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CBC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99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热熔标线</w:t>
            </w:r>
          </w:p>
        </w:tc>
      </w:tr>
      <w:tr w14:paraId="3242C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66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55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直行箭头</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33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158115</wp:posOffset>
                  </wp:positionV>
                  <wp:extent cx="738505" cy="299720"/>
                  <wp:effectExtent l="0" t="0" r="4445" b="5080"/>
                  <wp:wrapNone/>
                  <wp:docPr id="53" name="图片_20"/>
                  <wp:cNvGraphicFramePr/>
                  <a:graphic xmlns:a="http://schemas.openxmlformats.org/drawingml/2006/main">
                    <a:graphicData uri="http://schemas.openxmlformats.org/drawingml/2006/picture">
                      <pic:pic xmlns:pic="http://schemas.openxmlformats.org/drawingml/2006/picture">
                        <pic:nvPicPr>
                          <pic:cNvPr id="53" name="图片_20"/>
                          <pic:cNvPicPr/>
                        </pic:nvPicPr>
                        <pic:blipFill>
                          <a:blip r:embed="rId14"/>
                          <a:stretch>
                            <a:fillRect/>
                          </a:stretch>
                        </pic:blipFill>
                        <pic:spPr>
                          <a:xfrm>
                            <a:off x="0" y="0"/>
                            <a:ext cx="738505" cy="299720"/>
                          </a:xfrm>
                          <a:prstGeom prst="rect">
                            <a:avLst/>
                          </a:prstGeom>
                          <a:noFill/>
                          <a:ln>
                            <a:noFill/>
                          </a:ln>
                        </pic:spPr>
                      </pic:pic>
                    </a:graphicData>
                  </a:graphic>
                </wp:anchor>
              </w:drawing>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B6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长3m</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E5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02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38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热熔标线</w:t>
            </w:r>
          </w:p>
        </w:tc>
      </w:tr>
      <w:tr w14:paraId="0F201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DE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16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左(右)箭头</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A5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264795</wp:posOffset>
                  </wp:positionH>
                  <wp:positionV relativeFrom="paragraph">
                    <wp:posOffset>120015</wp:posOffset>
                  </wp:positionV>
                  <wp:extent cx="833120" cy="339725"/>
                  <wp:effectExtent l="0" t="0" r="5080" b="3175"/>
                  <wp:wrapNone/>
                  <wp:docPr id="49" name="图片_18"/>
                  <wp:cNvGraphicFramePr/>
                  <a:graphic xmlns:a="http://schemas.openxmlformats.org/drawingml/2006/main">
                    <a:graphicData uri="http://schemas.openxmlformats.org/drawingml/2006/picture">
                      <pic:pic xmlns:pic="http://schemas.openxmlformats.org/drawingml/2006/picture">
                        <pic:nvPicPr>
                          <pic:cNvPr id="49" name="图片_18"/>
                          <pic:cNvPicPr/>
                        </pic:nvPicPr>
                        <pic:blipFill>
                          <a:blip r:embed="rId15"/>
                          <a:stretch>
                            <a:fillRect/>
                          </a:stretch>
                        </pic:blipFill>
                        <pic:spPr>
                          <a:xfrm>
                            <a:off x="0" y="0"/>
                            <a:ext cx="833120" cy="339725"/>
                          </a:xfrm>
                          <a:prstGeom prst="rect">
                            <a:avLst/>
                          </a:prstGeom>
                          <a:noFill/>
                          <a:ln>
                            <a:noFill/>
                          </a:ln>
                        </pic:spPr>
                      </pic:pic>
                    </a:graphicData>
                  </a:graphic>
                </wp:anchor>
              </w:drawing>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70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长3m</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B5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48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5F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热熔标线</w:t>
            </w:r>
          </w:p>
        </w:tc>
      </w:tr>
      <w:tr w14:paraId="3A2A5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C1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2C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车道边线</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FF4E">
            <w:pPr>
              <w:jc w:val="center"/>
              <w:rPr>
                <w:rFonts w:hint="default" w:ascii="Arial" w:hAnsi="Arial" w:cs="Arial"/>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B0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150mm</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49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91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262.5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0F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热熔标线</w:t>
            </w:r>
          </w:p>
        </w:tc>
      </w:tr>
      <w:tr w14:paraId="65E65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CC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E4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消防通道标记</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EA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208280</wp:posOffset>
                  </wp:positionH>
                  <wp:positionV relativeFrom="paragraph">
                    <wp:posOffset>81280</wp:posOffset>
                  </wp:positionV>
                  <wp:extent cx="1012190" cy="828675"/>
                  <wp:effectExtent l="0" t="0" r="16510" b="9525"/>
                  <wp:wrapNone/>
                  <wp:docPr id="57" name="图片_1"/>
                  <wp:cNvGraphicFramePr/>
                  <a:graphic xmlns:a="http://schemas.openxmlformats.org/drawingml/2006/main">
                    <a:graphicData uri="http://schemas.openxmlformats.org/drawingml/2006/picture">
                      <pic:pic xmlns:pic="http://schemas.openxmlformats.org/drawingml/2006/picture">
                        <pic:nvPicPr>
                          <pic:cNvPr id="57" name="图片_1"/>
                          <pic:cNvPicPr/>
                        </pic:nvPicPr>
                        <pic:blipFill>
                          <a:blip r:embed="rId16"/>
                          <a:stretch>
                            <a:fillRect/>
                          </a:stretch>
                        </pic:blipFill>
                        <pic:spPr>
                          <a:xfrm>
                            <a:off x="0" y="0"/>
                            <a:ext cx="1012190" cy="828675"/>
                          </a:xfrm>
                          <a:prstGeom prst="rect">
                            <a:avLst/>
                          </a:prstGeom>
                          <a:noFill/>
                          <a:ln>
                            <a:noFill/>
                          </a:ln>
                        </pic:spPr>
                      </pic:pic>
                    </a:graphicData>
                  </a:graphic>
                </wp:anchor>
              </w:drawing>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C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高度</w:t>
            </w:r>
            <w:r>
              <w:rPr>
                <w:rFonts w:hint="default" w:ascii="Arial" w:hAnsi="Arial" w:eastAsia="宋体" w:cs="Arial"/>
                <w:i w:val="0"/>
                <w:iCs w:val="0"/>
                <w:color w:val="000000"/>
                <w:kern w:val="0"/>
                <w:sz w:val="20"/>
                <w:szCs w:val="20"/>
                <w:u w:val="none"/>
                <w:lang w:val="en-US" w:eastAsia="zh-CN" w:bidi="ar"/>
              </w:rPr>
              <w:t>50cm</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AF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4D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14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热熔标线</w:t>
            </w:r>
          </w:p>
        </w:tc>
      </w:tr>
      <w:tr w14:paraId="43965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D4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8C48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停车位划线</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0745">
            <w:pPr>
              <w:jc w:val="center"/>
              <w:rPr>
                <w:rFonts w:hint="default" w:ascii="Arial" w:hAnsi="Arial" w:cs="Arial"/>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0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线宽</w:t>
            </w:r>
            <w:r>
              <w:rPr>
                <w:rFonts w:hint="default" w:ascii="Arial" w:hAnsi="Arial" w:eastAsia="宋体" w:cs="Arial"/>
                <w:i w:val="0"/>
                <w:iCs w:val="0"/>
                <w:color w:val="000000"/>
                <w:kern w:val="0"/>
                <w:sz w:val="20"/>
                <w:szCs w:val="20"/>
                <w:u w:val="none"/>
                <w:lang w:val="en-US" w:eastAsia="zh-CN" w:bidi="ar"/>
              </w:rPr>
              <w:t>15cm</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0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65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133.02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65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热熔标线</w:t>
            </w:r>
          </w:p>
        </w:tc>
      </w:tr>
      <w:tr w14:paraId="69A89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A8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2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消防登高台</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消防通道</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消防回车场地</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4A3F">
            <w:pPr>
              <w:jc w:val="center"/>
              <w:rPr>
                <w:rFonts w:hint="default" w:ascii="Arial" w:hAnsi="Arial" w:cs="Arial"/>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81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黄实线,宽15cm</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35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19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1478.26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6DD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热熔标线</w:t>
            </w:r>
          </w:p>
        </w:tc>
      </w:tr>
      <w:tr w14:paraId="7BC84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07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AB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停止线</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6233">
            <w:pPr>
              <w:jc w:val="center"/>
              <w:rPr>
                <w:rFonts w:hint="default" w:ascii="Arial" w:hAnsi="Arial" w:cs="Arial"/>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2C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白实线,宽30cm</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B6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84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F0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热熔标线</w:t>
            </w:r>
          </w:p>
        </w:tc>
      </w:tr>
      <w:tr w14:paraId="22131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63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13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让行标线</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CA4B">
            <w:pPr>
              <w:jc w:val="center"/>
              <w:rPr>
                <w:rFonts w:hint="default" w:ascii="Arial" w:hAnsi="Arial" w:cs="Arial"/>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F4E0">
            <w:pPr>
              <w:jc w:val="center"/>
              <w:rPr>
                <w:rFonts w:hint="default" w:ascii="Arial" w:hAnsi="Arial" w:cs="Arial"/>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1C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3A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E3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热熔标线</w:t>
            </w:r>
          </w:p>
        </w:tc>
      </w:tr>
      <w:tr w14:paraId="644E8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20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1469" w:type="dxa"/>
            <w:tcBorders>
              <w:top w:val="nil"/>
              <w:left w:val="nil"/>
              <w:bottom w:val="nil"/>
              <w:right w:val="nil"/>
            </w:tcBorders>
            <w:shd w:val="clear" w:color="auto" w:fill="auto"/>
            <w:noWrap/>
            <w:vAlign w:val="center"/>
          </w:tcPr>
          <w:p w14:paraId="11F45EF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定位器</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B2B6">
            <w:pPr>
              <w:jc w:val="center"/>
              <w:rPr>
                <w:rFonts w:hint="default" w:ascii="Arial" w:hAnsi="Arial" w:cs="Arial"/>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F8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φ76*2.0*2000*100mm</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B8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F5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2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采用热镀锌管(水泥路面采用法兰膨胀螺丝固定,沥青路面采用开孔埋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入式,买入深度30cm。)</w:t>
            </w:r>
          </w:p>
        </w:tc>
      </w:tr>
      <w:tr w14:paraId="0B41F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E9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B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停车牌(按序停放)</w:t>
            </w:r>
            <w:r>
              <w:rPr>
                <w:rFonts w:hint="default" w:ascii="Arial" w:hAnsi="Arial" w:eastAsia="宋体" w:cs="Arial"/>
                <w:i w:val="0"/>
                <w:iCs w:val="0"/>
                <w:color w:val="000000"/>
                <w:kern w:val="0"/>
                <w:sz w:val="20"/>
                <w:szCs w:val="20"/>
                <w:u w:val="none"/>
                <w:lang w:val="en-US" w:eastAsia="zh-CN" w:bidi="ar"/>
              </w:rPr>
              <w:t>(φ76)</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42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-43180</wp:posOffset>
                  </wp:positionH>
                  <wp:positionV relativeFrom="paragraph">
                    <wp:posOffset>48260</wp:posOffset>
                  </wp:positionV>
                  <wp:extent cx="1544320" cy="543560"/>
                  <wp:effectExtent l="0" t="0" r="17780" b="8890"/>
                  <wp:wrapNone/>
                  <wp:docPr id="46" name="图片_7"/>
                  <wp:cNvGraphicFramePr/>
                  <a:graphic xmlns:a="http://schemas.openxmlformats.org/drawingml/2006/main">
                    <a:graphicData uri="http://schemas.openxmlformats.org/drawingml/2006/picture">
                      <pic:pic xmlns:pic="http://schemas.openxmlformats.org/drawingml/2006/picture">
                        <pic:nvPicPr>
                          <pic:cNvPr id="46" name="图片_7"/>
                          <pic:cNvPicPr/>
                        </pic:nvPicPr>
                        <pic:blipFill>
                          <a:blip r:embed="rId17"/>
                          <a:stretch>
                            <a:fillRect/>
                          </a:stretch>
                        </pic:blipFill>
                        <pic:spPr>
                          <a:xfrm>
                            <a:off x="0" y="0"/>
                            <a:ext cx="1544320" cy="543560"/>
                          </a:xfrm>
                          <a:prstGeom prst="rect">
                            <a:avLst/>
                          </a:prstGeom>
                          <a:noFill/>
                          <a:ln>
                            <a:noFill/>
                          </a:ln>
                        </pic:spPr>
                      </pic:pic>
                    </a:graphicData>
                  </a:graphic>
                </wp:anchor>
              </w:drawing>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C0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600×900mm</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F9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06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650" w:type="dxa"/>
            <w:vMerge w:val="restart"/>
            <w:tcBorders>
              <w:top w:val="nil"/>
              <w:left w:val="single" w:color="000000" w:sz="4" w:space="0"/>
              <w:bottom w:val="single" w:color="000000" w:sz="4" w:space="0"/>
              <w:right w:val="single" w:color="000000" w:sz="4" w:space="0"/>
            </w:tcBorders>
            <w:shd w:val="clear" w:color="auto" w:fill="auto"/>
            <w:vAlign w:val="center"/>
          </w:tcPr>
          <w:p w14:paraId="11498A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φ76*3500</w:t>
            </w:r>
            <w:r>
              <w:rPr>
                <w:rFonts w:hint="eastAsia" w:ascii="宋体" w:hAnsi="宋体" w:eastAsia="宋体" w:cs="宋体"/>
                <w:i w:val="0"/>
                <w:iCs w:val="0"/>
                <w:color w:val="000000"/>
                <w:kern w:val="0"/>
                <w:sz w:val="20"/>
                <w:szCs w:val="20"/>
                <w:u w:val="none"/>
                <w:lang w:val="en-US" w:eastAsia="zh-CN" w:bidi="ar"/>
              </w:rPr>
              <w:t>直埋杆，Ⅳ类反光膜铝板厚度不小于</w:t>
            </w:r>
            <w:r>
              <w:rPr>
                <w:rFonts w:hint="default" w:ascii="Arial" w:hAnsi="Arial" w:eastAsia="宋体" w:cs="Arial"/>
                <w:i w:val="0"/>
                <w:iCs w:val="0"/>
                <w:color w:val="000000"/>
                <w:kern w:val="0"/>
                <w:sz w:val="20"/>
                <w:szCs w:val="20"/>
                <w:u w:val="none"/>
                <w:lang w:val="en-US" w:eastAsia="zh-CN" w:bidi="ar"/>
              </w:rPr>
              <w:t xml:space="preserve">1.5mm  </w:t>
            </w:r>
            <w:r>
              <w:rPr>
                <w:rFonts w:hint="eastAsia" w:ascii="宋体" w:hAnsi="宋体" w:eastAsia="宋体" w:cs="宋体"/>
                <w:i w:val="0"/>
                <w:iCs w:val="0"/>
                <w:color w:val="000000"/>
                <w:kern w:val="0"/>
                <w:sz w:val="20"/>
                <w:szCs w:val="20"/>
                <w:u w:val="none"/>
                <w:lang w:val="en-US" w:eastAsia="zh-CN" w:bidi="ar"/>
              </w:rPr>
              <w:t>热镀锌钢管，壁</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厚不小于</w:t>
            </w:r>
            <w:r>
              <w:rPr>
                <w:rFonts w:hint="default" w:ascii="Arial" w:hAnsi="Arial" w:eastAsia="宋体" w:cs="Arial"/>
                <w:i w:val="0"/>
                <w:iCs w:val="0"/>
                <w:color w:val="000000"/>
                <w:kern w:val="0"/>
                <w:sz w:val="20"/>
                <w:szCs w:val="20"/>
                <w:u w:val="none"/>
                <w:lang w:val="en-US" w:eastAsia="zh-CN" w:bidi="ar"/>
              </w:rPr>
              <w:t>3.0mm(</w:t>
            </w:r>
            <w:r>
              <w:rPr>
                <w:rFonts w:hint="eastAsia" w:ascii="宋体" w:hAnsi="宋体" w:eastAsia="宋体" w:cs="宋体"/>
                <w:i w:val="0"/>
                <w:iCs w:val="0"/>
                <w:color w:val="000000"/>
                <w:kern w:val="0"/>
                <w:sz w:val="20"/>
                <w:szCs w:val="20"/>
                <w:u w:val="none"/>
                <w:lang w:val="en-US" w:eastAsia="zh-CN" w:bidi="ar"/>
              </w:rPr>
              <w:t>含基础</w:t>
            </w:r>
            <w:r>
              <w:rPr>
                <w:rFonts w:hint="default" w:ascii="Arial" w:hAnsi="Arial" w:eastAsia="宋体" w:cs="Arial"/>
                <w:i w:val="0"/>
                <w:iCs w:val="0"/>
                <w:color w:val="000000"/>
                <w:kern w:val="0"/>
                <w:sz w:val="20"/>
                <w:szCs w:val="20"/>
                <w:u w:val="none"/>
                <w:lang w:val="en-US" w:eastAsia="zh-CN" w:bidi="ar"/>
              </w:rPr>
              <w:t>)</w:t>
            </w:r>
          </w:p>
        </w:tc>
      </w:tr>
      <w:tr w14:paraId="0F641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CF6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D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停车牌(后退式停放)  </w:t>
            </w:r>
            <w:r>
              <w:rPr>
                <w:rFonts w:hint="default" w:ascii="Arial" w:hAnsi="Arial" w:eastAsia="宋体" w:cs="Arial"/>
                <w:i w:val="0"/>
                <w:iCs w:val="0"/>
                <w:color w:val="000000"/>
                <w:kern w:val="0"/>
                <w:sz w:val="20"/>
                <w:szCs w:val="20"/>
                <w:u w:val="none"/>
                <w:lang w:val="en-US" w:eastAsia="zh-CN" w:bidi="ar"/>
              </w:rPr>
              <w:t>(φ76)</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17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-4445</wp:posOffset>
                  </wp:positionH>
                  <wp:positionV relativeFrom="paragraph">
                    <wp:posOffset>101600</wp:posOffset>
                  </wp:positionV>
                  <wp:extent cx="1492885" cy="549910"/>
                  <wp:effectExtent l="0" t="0" r="12065" b="2540"/>
                  <wp:wrapNone/>
                  <wp:docPr id="55" name="图片_8"/>
                  <wp:cNvGraphicFramePr/>
                  <a:graphic xmlns:a="http://schemas.openxmlformats.org/drawingml/2006/main">
                    <a:graphicData uri="http://schemas.openxmlformats.org/drawingml/2006/picture">
                      <pic:pic xmlns:pic="http://schemas.openxmlformats.org/drawingml/2006/picture">
                        <pic:nvPicPr>
                          <pic:cNvPr id="55" name="图片_8"/>
                          <pic:cNvPicPr/>
                        </pic:nvPicPr>
                        <pic:blipFill>
                          <a:blip r:embed="rId18"/>
                          <a:stretch>
                            <a:fillRect/>
                          </a:stretch>
                        </pic:blipFill>
                        <pic:spPr>
                          <a:xfrm>
                            <a:off x="0" y="0"/>
                            <a:ext cx="1492885" cy="549910"/>
                          </a:xfrm>
                          <a:prstGeom prst="rect">
                            <a:avLst/>
                          </a:prstGeom>
                          <a:noFill/>
                          <a:ln>
                            <a:noFill/>
                          </a:ln>
                        </pic:spPr>
                      </pic:pic>
                    </a:graphicData>
                  </a:graphic>
                </wp:anchor>
              </w:drawing>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D9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600×900mm</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35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05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650" w:type="dxa"/>
            <w:vMerge w:val="continue"/>
            <w:tcBorders>
              <w:top w:val="nil"/>
              <w:left w:val="single" w:color="000000" w:sz="4" w:space="0"/>
              <w:bottom w:val="single" w:color="000000" w:sz="4" w:space="0"/>
              <w:right w:val="single" w:color="000000" w:sz="4" w:space="0"/>
            </w:tcBorders>
            <w:shd w:val="clear" w:color="auto" w:fill="auto"/>
            <w:vAlign w:val="center"/>
          </w:tcPr>
          <w:p w14:paraId="69375236">
            <w:pPr>
              <w:jc w:val="center"/>
              <w:rPr>
                <w:rFonts w:hint="default" w:ascii="Arial" w:hAnsi="Arial" w:cs="Arial"/>
                <w:i w:val="0"/>
                <w:iCs w:val="0"/>
                <w:color w:val="000000"/>
                <w:sz w:val="20"/>
                <w:szCs w:val="20"/>
                <w:u w:val="none"/>
              </w:rPr>
            </w:pPr>
          </w:p>
        </w:tc>
      </w:tr>
      <w:tr w14:paraId="23F1F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EA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E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停车指示牌</w:t>
            </w:r>
            <w:r>
              <w:rPr>
                <w:rFonts w:hint="default" w:ascii="Arial" w:hAnsi="Arial" w:eastAsia="宋体" w:cs="Arial"/>
                <w:i w:val="0"/>
                <w:iCs w:val="0"/>
                <w:color w:val="000000"/>
                <w:kern w:val="0"/>
                <w:sz w:val="20"/>
                <w:szCs w:val="20"/>
                <w:u w:val="none"/>
                <w:lang w:val="en-US" w:eastAsia="zh-CN" w:bidi="ar"/>
              </w:rPr>
              <w:t>(φ76)</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54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-42545</wp:posOffset>
                  </wp:positionH>
                  <wp:positionV relativeFrom="paragraph">
                    <wp:posOffset>51435</wp:posOffset>
                  </wp:positionV>
                  <wp:extent cx="1510030" cy="588645"/>
                  <wp:effectExtent l="0" t="0" r="13970" b="1905"/>
                  <wp:wrapNone/>
                  <wp:docPr id="60" name="图片_9"/>
                  <wp:cNvGraphicFramePr/>
                  <a:graphic xmlns:a="http://schemas.openxmlformats.org/drawingml/2006/main">
                    <a:graphicData uri="http://schemas.openxmlformats.org/drawingml/2006/picture">
                      <pic:pic xmlns:pic="http://schemas.openxmlformats.org/drawingml/2006/picture">
                        <pic:nvPicPr>
                          <pic:cNvPr id="60" name="图片_9"/>
                          <pic:cNvPicPr/>
                        </pic:nvPicPr>
                        <pic:blipFill>
                          <a:blip r:embed="rId19"/>
                          <a:stretch>
                            <a:fillRect/>
                          </a:stretch>
                        </pic:blipFill>
                        <pic:spPr>
                          <a:xfrm>
                            <a:off x="0" y="0"/>
                            <a:ext cx="1510030" cy="588645"/>
                          </a:xfrm>
                          <a:prstGeom prst="rect">
                            <a:avLst/>
                          </a:prstGeom>
                          <a:noFill/>
                          <a:ln>
                            <a:noFill/>
                          </a:ln>
                        </pic:spPr>
                      </pic:pic>
                    </a:graphicData>
                  </a:graphic>
                </wp:anchor>
              </w:drawing>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3C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600×900mm</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B7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16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650" w:type="dxa"/>
            <w:vMerge w:val="continue"/>
            <w:tcBorders>
              <w:top w:val="nil"/>
              <w:left w:val="single" w:color="000000" w:sz="4" w:space="0"/>
              <w:bottom w:val="single" w:color="000000" w:sz="4" w:space="0"/>
              <w:right w:val="single" w:color="000000" w:sz="4" w:space="0"/>
            </w:tcBorders>
            <w:shd w:val="clear" w:color="auto" w:fill="auto"/>
            <w:vAlign w:val="center"/>
          </w:tcPr>
          <w:p w14:paraId="738D0968">
            <w:pPr>
              <w:jc w:val="center"/>
              <w:rPr>
                <w:rFonts w:hint="default" w:ascii="Arial" w:hAnsi="Arial" w:cs="Arial"/>
                <w:i w:val="0"/>
                <w:iCs w:val="0"/>
                <w:color w:val="000000"/>
                <w:sz w:val="20"/>
                <w:szCs w:val="20"/>
                <w:u w:val="none"/>
              </w:rPr>
            </w:pPr>
          </w:p>
        </w:tc>
      </w:tr>
      <w:tr w14:paraId="0D2C7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F8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7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停车指示牌</w:t>
            </w:r>
            <w:r>
              <w:rPr>
                <w:rFonts w:hint="default" w:ascii="Arial" w:hAnsi="Arial" w:eastAsia="宋体" w:cs="Arial"/>
                <w:i w:val="0"/>
                <w:iCs w:val="0"/>
                <w:color w:val="000000"/>
                <w:kern w:val="0"/>
                <w:sz w:val="20"/>
                <w:szCs w:val="20"/>
                <w:u w:val="none"/>
                <w:lang w:val="en-US" w:eastAsia="zh-CN" w:bidi="ar"/>
              </w:rPr>
              <w:t>(φ76)</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5A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-20955</wp:posOffset>
                  </wp:positionH>
                  <wp:positionV relativeFrom="paragraph">
                    <wp:posOffset>94615</wp:posOffset>
                  </wp:positionV>
                  <wp:extent cx="1437640" cy="585470"/>
                  <wp:effectExtent l="0" t="0" r="10160" b="5080"/>
                  <wp:wrapNone/>
                  <wp:docPr id="61" name="图片_10"/>
                  <wp:cNvGraphicFramePr/>
                  <a:graphic xmlns:a="http://schemas.openxmlformats.org/drawingml/2006/main">
                    <a:graphicData uri="http://schemas.openxmlformats.org/drawingml/2006/picture">
                      <pic:pic xmlns:pic="http://schemas.openxmlformats.org/drawingml/2006/picture">
                        <pic:nvPicPr>
                          <pic:cNvPr id="61" name="图片_10"/>
                          <pic:cNvPicPr/>
                        </pic:nvPicPr>
                        <pic:blipFill>
                          <a:blip r:embed="rId20"/>
                          <a:stretch>
                            <a:fillRect/>
                          </a:stretch>
                        </pic:blipFill>
                        <pic:spPr>
                          <a:xfrm>
                            <a:off x="0" y="0"/>
                            <a:ext cx="1437640" cy="585470"/>
                          </a:xfrm>
                          <a:prstGeom prst="rect">
                            <a:avLst/>
                          </a:prstGeom>
                          <a:noFill/>
                          <a:ln>
                            <a:noFill/>
                          </a:ln>
                        </pic:spPr>
                      </pic:pic>
                    </a:graphicData>
                  </a:graphic>
                </wp:anchor>
              </w:drawing>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2F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600×900mm</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38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F2F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650" w:type="dxa"/>
            <w:vMerge w:val="continue"/>
            <w:tcBorders>
              <w:top w:val="nil"/>
              <w:left w:val="single" w:color="000000" w:sz="4" w:space="0"/>
              <w:bottom w:val="single" w:color="000000" w:sz="4" w:space="0"/>
              <w:right w:val="single" w:color="000000" w:sz="4" w:space="0"/>
            </w:tcBorders>
            <w:shd w:val="clear" w:color="auto" w:fill="auto"/>
            <w:vAlign w:val="center"/>
          </w:tcPr>
          <w:p w14:paraId="3C087D7F">
            <w:pPr>
              <w:jc w:val="center"/>
              <w:rPr>
                <w:rFonts w:hint="default" w:ascii="Arial" w:hAnsi="Arial" w:cs="Arial"/>
                <w:i w:val="0"/>
                <w:iCs w:val="0"/>
                <w:color w:val="000000"/>
                <w:sz w:val="20"/>
                <w:szCs w:val="20"/>
                <w:u w:val="none"/>
              </w:rPr>
            </w:pPr>
          </w:p>
        </w:tc>
      </w:tr>
      <w:tr w14:paraId="4B433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8A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4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消防登高面标志牌</w:t>
            </w:r>
            <w:r>
              <w:rPr>
                <w:rFonts w:hint="default" w:ascii="Arial" w:hAnsi="Arial" w:eastAsia="宋体" w:cs="Arial"/>
                <w:i w:val="0"/>
                <w:iCs w:val="0"/>
                <w:color w:val="000000"/>
                <w:kern w:val="0"/>
                <w:sz w:val="20"/>
                <w:szCs w:val="20"/>
                <w:u w:val="none"/>
                <w:lang w:val="en-US" w:eastAsia="zh-CN" w:bidi="ar"/>
              </w:rPr>
              <w:t>(φ76)</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D0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wp:posOffset>
                  </wp:positionH>
                  <wp:positionV relativeFrom="paragraph">
                    <wp:posOffset>75565</wp:posOffset>
                  </wp:positionV>
                  <wp:extent cx="1406525" cy="562610"/>
                  <wp:effectExtent l="0" t="0" r="3175" b="8890"/>
                  <wp:wrapNone/>
                  <wp:docPr id="58" name="图片_1_SpCnt_1"/>
                  <wp:cNvGraphicFramePr/>
                  <a:graphic xmlns:a="http://schemas.openxmlformats.org/drawingml/2006/main">
                    <a:graphicData uri="http://schemas.openxmlformats.org/drawingml/2006/picture">
                      <pic:pic xmlns:pic="http://schemas.openxmlformats.org/drawingml/2006/picture">
                        <pic:nvPicPr>
                          <pic:cNvPr id="58" name="图片_1_SpCnt_1"/>
                          <pic:cNvPicPr/>
                        </pic:nvPicPr>
                        <pic:blipFill>
                          <a:blip r:embed="rId21"/>
                          <a:stretch>
                            <a:fillRect/>
                          </a:stretch>
                        </pic:blipFill>
                        <pic:spPr>
                          <a:xfrm>
                            <a:off x="0" y="0"/>
                            <a:ext cx="1406525" cy="562610"/>
                          </a:xfrm>
                          <a:prstGeom prst="rect">
                            <a:avLst/>
                          </a:prstGeom>
                          <a:noFill/>
                          <a:ln>
                            <a:noFill/>
                          </a:ln>
                        </pic:spPr>
                      </pic:pic>
                    </a:graphicData>
                  </a:graphic>
                </wp:anchor>
              </w:drawing>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8F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600×800mm</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A6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75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1650" w:type="dxa"/>
            <w:vMerge w:val="continue"/>
            <w:tcBorders>
              <w:top w:val="nil"/>
              <w:left w:val="single" w:color="000000" w:sz="4" w:space="0"/>
              <w:bottom w:val="single" w:color="000000" w:sz="4" w:space="0"/>
              <w:right w:val="single" w:color="000000" w:sz="4" w:space="0"/>
            </w:tcBorders>
            <w:shd w:val="clear" w:color="auto" w:fill="auto"/>
            <w:vAlign w:val="center"/>
          </w:tcPr>
          <w:p w14:paraId="47A7AD38">
            <w:pPr>
              <w:jc w:val="center"/>
              <w:rPr>
                <w:rFonts w:hint="default" w:ascii="Arial" w:hAnsi="Arial" w:cs="Arial"/>
                <w:i w:val="0"/>
                <w:iCs w:val="0"/>
                <w:color w:val="000000"/>
                <w:sz w:val="20"/>
                <w:szCs w:val="20"/>
                <w:u w:val="none"/>
              </w:rPr>
            </w:pPr>
          </w:p>
        </w:tc>
      </w:tr>
      <w:tr w14:paraId="0F486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F4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F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消防车道警示牌</w:t>
            </w:r>
            <w:r>
              <w:rPr>
                <w:rFonts w:hint="default" w:ascii="Arial" w:hAnsi="Arial" w:eastAsia="宋体" w:cs="Arial"/>
                <w:i w:val="0"/>
                <w:iCs w:val="0"/>
                <w:color w:val="000000"/>
                <w:kern w:val="0"/>
                <w:sz w:val="20"/>
                <w:szCs w:val="20"/>
                <w:u w:val="none"/>
                <w:lang w:val="en-US" w:eastAsia="zh-CN" w:bidi="ar"/>
              </w:rPr>
              <w:t>(φ76)</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2F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87630</wp:posOffset>
                  </wp:positionH>
                  <wp:positionV relativeFrom="paragraph">
                    <wp:posOffset>108585</wp:posOffset>
                  </wp:positionV>
                  <wp:extent cx="992505" cy="568960"/>
                  <wp:effectExtent l="0" t="0" r="17145" b="2540"/>
                  <wp:wrapNone/>
                  <wp:docPr id="62" name="图片_4"/>
                  <wp:cNvGraphicFramePr/>
                  <a:graphic xmlns:a="http://schemas.openxmlformats.org/drawingml/2006/main">
                    <a:graphicData uri="http://schemas.openxmlformats.org/drawingml/2006/picture">
                      <pic:pic xmlns:pic="http://schemas.openxmlformats.org/drawingml/2006/picture">
                        <pic:nvPicPr>
                          <pic:cNvPr id="62" name="图片_4"/>
                          <pic:cNvPicPr/>
                        </pic:nvPicPr>
                        <pic:blipFill>
                          <a:blip r:embed="rId22"/>
                          <a:stretch>
                            <a:fillRect/>
                          </a:stretch>
                        </pic:blipFill>
                        <pic:spPr>
                          <a:xfrm>
                            <a:off x="0" y="0"/>
                            <a:ext cx="992505" cy="568960"/>
                          </a:xfrm>
                          <a:prstGeom prst="rect">
                            <a:avLst/>
                          </a:prstGeom>
                          <a:noFill/>
                          <a:ln>
                            <a:noFill/>
                          </a:ln>
                        </pic:spPr>
                      </pic:pic>
                    </a:graphicData>
                  </a:graphic>
                </wp:anchor>
              </w:drawing>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4F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1000×600mm</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CB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E2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650" w:type="dxa"/>
            <w:vMerge w:val="continue"/>
            <w:tcBorders>
              <w:top w:val="nil"/>
              <w:left w:val="single" w:color="000000" w:sz="4" w:space="0"/>
              <w:bottom w:val="single" w:color="000000" w:sz="4" w:space="0"/>
              <w:right w:val="single" w:color="000000" w:sz="4" w:space="0"/>
            </w:tcBorders>
            <w:shd w:val="clear" w:color="auto" w:fill="auto"/>
            <w:vAlign w:val="center"/>
          </w:tcPr>
          <w:p w14:paraId="39B345A7">
            <w:pPr>
              <w:jc w:val="center"/>
              <w:rPr>
                <w:rFonts w:hint="default" w:ascii="Arial" w:hAnsi="Arial" w:cs="Arial"/>
                <w:i w:val="0"/>
                <w:iCs w:val="0"/>
                <w:color w:val="000000"/>
                <w:sz w:val="20"/>
                <w:szCs w:val="20"/>
                <w:u w:val="none"/>
              </w:rPr>
            </w:pPr>
          </w:p>
        </w:tc>
      </w:tr>
      <w:tr w14:paraId="0B95F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DB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7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限速禁鸣牌</w:t>
            </w:r>
            <w:r>
              <w:rPr>
                <w:rFonts w:hint="default" w:ascii="Arial" w:hAnsi="Arial" w:eastAsia="宋体" w:cs="Arial"/>
                <w:i w:val="0"/>
                <w:iCs w:val="0"/>
                <w:color w:val="000000"/>
                <w:kern w:val="0"/>
                <w:sz w:val="20"/>
                <w:szCs w:val="20"/>
                <w:u w:val="none"/>
                <w:lang w:val="en-US" w:eastAsia="zh-CN" w:bidi="ar"/>
              </w:rPr>
              <w:t>(φ</w:t>
            </w:r>
            <w:r>
              <w:rPr>
                <w:rFonts w:hint="eastAsia" w:ascii="宋体" w:hAnsi="宋体" w:eastAsia="宋体" w:cs="宋体"/>
                <w:i w:val="0"/>
                <w:iCs w:val="0"/>
                <w:color w:val="000000"/>
                <w:kern w:val="0"/>
                <w:sz w:val="20"/>
                <w:szCs w:val="20"/>
                <w:u w:val="none"/>
                <w:lang w:val="en-US" w:eastAsia="zh-CN" w:bidi="ar"/>
              </w:rPr>
              <w:t>76</w:t>
            </w:r>
            <w:r>
              <w:rPr>
                <w:rFonts w:hint="default" w:ascii="Arial" w:hAnsi="Arial" w:eastAsia="宋体" w:cs="Arial"/>
                <w:i w:val="0"/>
                <w:iCs w:val="0"/>
                <w:color w:val="000000"/>
                <w:kern w:val="0"/>
                <w:sz w:val="20"/>
                <w:szCs w:val="20"/>
                <w:u w:val="none"/>
                <w:lang w:val="en-US" w:eastAsia="zh-CN" w:bidi="ar"/>
              </w:rPr>
              <w:t>)*2</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0E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20955</wp:posOffset>
                  </wp:positionH>
                  <wp:positionV relativeFrom="paragraph">
                    <wp:posOffset>67310</wp:posOffset>
                  </wp:positionV>
                  <wp:extent cx="1430655" cy="532130"/>
                  <wp:effectExtent l="0" t="0" r="17145" b="1270"/>
                  <wp:wrapNone/>
                  <wp:docPr id="54" name="图片_2"/>
                  <wp:cNvGraphicFramePr/>
                  <a:graphic xmlns:a="http://schemas.openxmlformats.org/drawingml/2006/main">
                    <a:graphicData uri="http://schemas.openxmlformats.org/drawingml/2006/picture">
                      <pic:pic xmlns:pic="http://schemas.openxmlformats.org/drawingml/2006/picture">
                        <pic:nvPicPr>
                          <pic:cNvPr id="54" name="图片_2"/>
                          <pic:cNvPicPr/>
                        </pic:nvPicPr>
                        <pic:blipFill>
                          <a:blip r:embed="rId23"/>
                          <a:stretch>
                            <a:fillRect/>
                          </a:stretch>
                        </pic:blipFill>
                        <pic:spPr>
                          <a:xfrm>
                            <a:off x="0" y="0"/>
                            <a:ext cx="1430655" cy="532130"/>
                          </a:xfrm>
                          <a:prstGeom prst="rect">
                            <a:avLst/>
                          </a:prstGeom>
                          <a:noFill/>
                          <a:ln>
                            <a:noFill/>
                          </a:ln>
                        </pic:spPr>
                      </pic:pic>
                    </a:graphicData>
                  </a:graphic>
                </wp:anchor>
              </w:drawing>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8A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D800mm</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8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B3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650" w:type="dxa"/>
            <w:vMerge w:val="continue"/>
            <w:tcBorders>
              <w:top w:val="nil"/>
              <w:left w:val="single" w:color="000000" w:sz="4" w:space="0"/>
              <w:bottom w:val="single" w:color="000000" w:sz="4" w:space="0"/>
              <w:right w:val="single" w:color="000000" w:sz="4" w:space="0"/>
            </w:tcBorders>
            <w:shd w:val="clear" w:color="auto" w:fill="auto"/>
            <w:vAlign w:val="center"/>
          </w:tcPr>
          <w:p w14:paraId="12E844F3">
            <w:pPr>
              <w:jc w:val="center"/>
              <w:rPr>
                <w:rFonts w:hint="default" w:ascii="Arial" w:hAnsi="Arial" w:cs="Arial"/>
                <w:i w:val="0"/>
                <w:iCs w:val="0"/>
                <w:color w:val="000000"/>
                <w:sz w:val="20"/>
                <w:szCs w:val="20"/>
                <w:u w:val="none"/>
              </w:rPr>
            </w:pPr>
          </w:p>
        </w:tc>
      </w:tr>
      <w:tr w14:paraId="51E14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C6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4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禁止左转</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右转牌</w:t>
            </w:r>
            <w:r>
              <w:rPr>
                <w:rFonts w:hint="default" w:ascii="Arial" w:hAnsi="Arial" w:eastAsia="宋体" w:cs="Arial"/>
                <w:i w:val="0"/>
                <w:iCs w:val="0"/>
                <w:color w:val="000000"/>
                <w:kern w:val="0"/>
                <w:sz w:val="20"/>
                <w:szCs w:val="20"/>
                <w:u w:val="none"/>
                <w:lang w:val="en-US" w:eastAsia="zh-CN" w:bidi="ar"/>
              </w:rPr>
              <w:t>(φ76)</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B4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-13970</wp:posOffset>
                  </wp:positionH>
                  <wp:positionV relativeFrom="paragraph">
                    <wp:posOffset>106045</wp:posOffset>
                  </wp:positionV>
                  <wp:extent cx="1447165" cy="562610"/>
                  <wp:effectExtent l="0" t="0" r="635" b="8890"/>
                  <wp:wrapNone/>
                  <wp:docPr id="56" name="图片_3"/>
                  <wp:cNvGraphicFramePr/>
                  <a:graphic xmlns:a="http://schemas.openxmlformats.org/drawingml/2006/main">
                    <a:graphicData uri="http://schemas.openxmlformats.org/drawingml/2006/picture">
                      <pic:pic xmlns:pic="http://schemas.openxmlformats.org/drawingml/2006/picture">
                        <pic:nvPicPr>
                          <pic:cNvPr id="56" name="图片_3"/>
                          <pic:cNvPicPr/>
                        </pic:nvPicPr>
                        <pic:blipFill>
                          <a:blip r:embed="rId24"/>
                          <a:stretch>
                            <a:fillRect/>
                          </a:stretch>
                        </pic:blipFill>
                        <pic:spPr>
                          <a:xfrm>
                            <a:off x="0" y="0"/>
                            <a:ext cx="1447165" cy="562610"/>
                          </a:xfrm>
                          <a:prstGeom prst="rect">
                            <a:avLst/>
                          </a:prstGeom>
                          <a:noFill/>
                          <a:ln>
                            <a:noFill/>
                          </a:ln>
                        </pic:spPr>
                      </pic:pic>
                    </a:graphicData>
                  </a:graphic>
                </wp:anchor>
              </w:drawing>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DB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D800mm</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7A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C3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650" w:type="dxa"/>
            <w:vMerge w:val="continue"/>
            <w:tcBorders>
              <w:top w:val="nil"/>
              <w:left w:val="single" w:color="000000" w:sz="4" w:space="0"/>
              <w:bottom w:val="single" w:color="000000" w:sz="4" w:space="0"/>
              <w:right w:val="single" w:color="000000" w:sz="4" w:space="0"/>
            </w:tcBorders>
            <w:shd w:val="clear" w:color="auto" w:fill="auto"/>
            <w:vAlign w:val="center"/>
          </w:tcPr>
          <w:p w14:paraId="7FAEB7C0">
            <w:pPr>
              <w:jc w:val="center"/>
              <w:rPr>
                <w:rFonts w:hint="default" w:ascii="Arial" w:hAnsi="Arial" w:cs="Arial"/>
                <w:i w:val="0"/>
                <w:iCs w:val="0"/>
                <w:color w:val="000000"/>
                <w:sz w:val="20"/>
                <w:szCs w:val="20"/>
                <w:u w:val="none"/>
              </w:rPr>
            </w:pPr>
          </w:p>
        </w:tc>
      </w:tr>
      <w:tr w14:paraId="43438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EE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A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让行标志牌</w:t>
            </w:r>
            <w:r>
              <w:rPr>
                <w:rFonts w:hint="default" w:ascii="Arial" w:hAnsi="Arial" w:eastAsia="宋体" w:cs="Arial"/>
                <w:i w:val="0"/>
                <w:iCs w:val="0"/>
                <w:color w:val="000000"/>
                <w:kern w:val="0"/>
                <w:sz w:val="20"/>
                <w:szCs w:val="20"/>
                <w:u w:val="none"/>
                <w:lang w:val="en-US" w:eastAsia="zh-CN" w:bidi="ar"/>
              </w:rPr>
              <w:t>(φ76)</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71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245745</wp:posOffset>
                  </wp:positionH>
                  <wp:positionV relativeFrom="paragraph">
                    <wp:posOffset>64135</wp:posOffset>
                  </wp:positionV>
                  <wp:extent cx="814070" cy="546100"/>
                  <wp:effectExtent l="0" t="0" r="5080" b="6350"/>
                  <wp:wrapNone/>
                  <wp:docPr id="45" name="图片_3_SpCnt_1"/>
                  <wp:cNvGraphicFramePr/>
                  <a:graphic xmlns:a="http://schemas.openxmlformats.org/drawingml/2006/main">
                    <a:graphicData uri="http://schemas.openxmlformats.org/drawingml/2006/picture">
                      <pic:pic xmlns:pic="http://schemas.openxmlformats.org/drawingml/2006/picture">
                        <pic:nvPicPr>
                          <pic:cNvPr id="45" name="图片_3_SpCnt_1"/>
                          <pic:cNvPicPr/>
                        </pic:nvPicPr>
                        <pic:blipFill>
                          <a:blip r:embed="rId25"/>
                          <a:stretch>
                            <a:fillRect/>
                          </a:stretch>
                        </pic:blipFill>
                        <pic:spPr>
                          <a:xfrm>
                            <a:off x="0" y="0"/>
                            <a:ext cx="814070" cy="546100"/>
                          </a:xfrm>
                          <a:prstGeom prst="rect">
                            <a:avLst/>
                          </a:prstGeom>
                          <a:noFill/>
                          <a:ln>
                            <a:noFill/>
                          </a:ln>
                        </pic:spPr>
                      </pic:pic>
                    </a:graphicData>
                  </a:graphic>
                </wp:anchor>
              </w:drawing>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BA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△700mm</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C0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FF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650" w:type="dxa"/>
            <w:vMerge w:val="continue"/>
            <w:tcBorders>
              <w:top w:val="nil"/>
              <w:left w:val="single" w:color="000000" w:sz="4" w:space="0"/>
              <w:bottom w:val="single" w:color="000000" w:sz="4" w:space="0"/>
              <w:right w:val="single" w:color="000000" w:sz="4" w:space="0"/>
            </w:tcBorders>
            <w:shd w:val="clear" w:color="auto" w:fill="auto"/>
            <w:vAlign w:val="center"/>
          </w:tcPr>
          <w:p w14:paraId="70350984">
            <w:pPr>
              <w:jc w:val="center"/>
              <w:rPr>
                <w:rFonts w:hint="default" w:ascii="Arial" w:hAnsi="Arial" w:cs="Arial"/>
                <w:i w:val="0"/>
                <w:iCs w:val="0"/>
                <w:color w:val="000000"/>
                <w:sz w:val="20"/>
                <w:szCs w:val="20"/>
                <w:u w:val="none"/>
              </w:rPr>
            </w:pPr>
          </w:p>
        </w:tc>
      </w:tr>
      <w:tr w14:paraId="46A3B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F4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D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爆闪灯</w:t>
            </w:r>
            <w:r>
              <w:rPr>
                <w:rFonts w:hint="default" w:ascii="Arial" w:hAnsi="Arial" w:eastAsia="宋体" w:cs="Arial"/>
                <w:i w:val="0"/>
                <w:iCs w:val="0"/>
                <w:color w:val="000000"/>
                <w:kern w:val="0"/>
                <w:sz w:val="20"/>
                <w:szCs w:val="20"/>
                <w:u w:val="none"/>
                <w:lang w:val="en-US" w:eastAsia="zh-CN" w:bidi="ar"/>
              </w:rPr>
              <w:t>(φ76)</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2B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120650</wp:posOffset>
                  </wp:positionH>
                  <wp:positionV relativeFrom="paragraph">
                    <wp:posOffset>52705</wp:posOffset>
                  </wp:positionV>
                  <wp:extent cx="1114425" cy="508000"/>
                  <wp:effectExtent l="0" t="0" r="9525" b="6350"/>
                  <wp:wrapNone/>
                  <wp:docPr id="51" name="图片_2_SpCnt_1"/>
                  <wp:cNvGraphicFramePr/>
                  <a:graphic xmlns:a="http://schemas.openxmlformats.org/drawingml/2006/main">
                    <a:graphicData uri="http://schemas.openxmlformats.org/drawingml/2006/picture">
                      <pic:pic xmlns:pic="http://schemas.openxmlformats.org/drawingml/2006/picture">
                        <pic:nvPicPr>
                          <pic:cNvPr id="51" name="图片_2_SpCnt_1"/>
                          <pic:cNvPicPr/>
                        </pic:nvPicPr>
                        <pic:blipFill>
                          <a:blip r:embed="rId26"/>
                          <a:stretch>
                            <a:fillRect/>
                          </a:stretch>
                        </pic:blipFill>
                        <pic:spPr>
                          <a:xfrm>
                            <a:off x="0" y="0"/>
                            <a:ext cx="1114425" cy="508000"/>
                          </a:xfrm>
                          <a:prstGeom prst="rect">
                            <a:avLst/>
                          </a:prstGeom>
                          <a:noFill/>
                          <a:ln>
                            <a:noFill/>
                          </a:ln>
                        </pic:spPr>
                      </pic:pic>
                    </a:graphicData>
                  </a:graphic>
                </wp:anchor>
              </w:drawing>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EE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200×400mm</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A8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D87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F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φ76*3500直埋杆，Ⅳ类反光膜铝板厚度不小于1.5mm，热镀锌钢管，壁厚不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小于3.0mm，包含立柱及基础</w:t>
            </w:r>
          </w:p>
        </w:tc>
      </w:tr>
      <w:tr w14:paraId="62066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A8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70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橡胶减速垄</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E3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-40640</wp:posOffset>
                  </wp:positionH>
                  <wp:positionV relativeFrom="paragraph">
                    <wp:posOffset>112395</wp:posOffset>
                  </wp:positionV>
                  <wp:extent cx="1522730" cy="205105"/>
                  <wp:effectExtent l="0" t="0" r="1270" b="4445"/>
                  <wp:wrapNone/>
                  <wp:docPr id="50" name="图片_1_SpCnt_2"/>
                  <wp:cNvGraphicFramePr/>
                  <a:graphic xmlns:a="http://schemas.openxmlformats.org/drawingml/2006/main">
                    <a:graphicData uri="http://schemas.openxmlformats.org/drawingml/2006/picture">
                      <pic:pic xmlns:pic="http://schemas.openxmlformats.org/drawingml/2006/picture">
                        <pic:nvPicPr>
                          <pic:cNvPr id="50" name="图片_1_SpCnt_2"/>
                          <pic:cNvPicPr/>
                        </pic:nvPicPr>
                        <pic:blipFill>
                          <a:blip r:embed="rId27"/>
                          <a:stretch>
                            <a:fillRect/>
                          </a:stretch>
                        </pic:blipFill>
                        <pic:spPr>
                          <a:xfrm>
                            <a:off x="0" y="0"/>
                            <a:ext cx="1522730" cy="205105"/>
                          </a:xfrm>
                          <a:prstGeom prst="rect">
                            <a:avLst/>
                          </a:prstGeom>
                          <a:noFill/>
                          <a:ln>
                            <a:noFill/>
                          </a:ln>
                        </pic:spPr>
                      </pic:pic>
                    </a:graphicData>
                  </a:graphic>
                </wp:anchor>
              </w:drawing>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984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1000×350×40mm</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68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A4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8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优质橡胶</w:t>
            </w:r>
          </w:p>
        </w:tc>
      </w:tr>
      <w:tr w14:paraId="7BE33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76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5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室外广角镜(φ76)</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B6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223520</wp:posOffset>
                  </wp:positionH>
                  <wp:positionV relativeFrom="paragraph">
                    <wp:posOffset>79375</wp:posOffset>
                  </wp:positionV>
                  <wp:extent cx="1066165" cy="549910"/>
                  <wp:effectExtent l="0" t="0" r="635" b="2540"/>
                  <wp:wrapNone/>
                  <wp:docPr id="48" name="图片_5"/>
                  <wp:cNvGraphicFramePr/>
                  <a:graphic xmlns:a="http://schemas.openxmlformats.org/drawingml/2006/main">
                    <a:graphicData uri="http://schemas.openxmlformats.org/drawingml/2006/picture">
                      <pic:pic xmlns:pic="http://schemas.openxmlformats.org/drawingml/2006/picture">
                        <pic:nvPicPr>
                          <pic:cNvPr id="48" name="图片_5"/>
                          <pic:cNvPicPr/>
                        </pic:nvPicPr>
                        <pic:blipFill>
                          <a:blip r:embed="rId28"/>
                          <a:stretch>
                            <a:fillRect/>
                          </a:stretch>
                        </pic:blipFill>
                        <pic:spPr>
                          <a:xfrm>
                            <a:off x="0" y="0"/>
                            <a:ext cx="1066165" cy="549910"/>
                          </a:xfrm>
                          <a:prstGeom prst="rect">
                            <a:avLst/>
                          </a:prstGeom>
                          <a:noFill/>
                          <a:ln>
                            <a:noFill/>
                          </a:ln>
                        </pic:spPr>
                      </pic:pic>
                    </a:graphicData>
                  </a:graphic>
                </wp:anchor>
              </w:drawing>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46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D800mm</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B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AB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D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亚克力材质，φ76*3000直埋杆，热镀锌钢管，壁厚不小于3.0mm，包含立柱及基础</w:t>
            </w:r>
          </w:p>
        </w:tc>
      </w:tr>
      <w:tr w14:paraId="484CF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65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83A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道口标注</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BB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wp:posOffset>
                  </wp:positionH>
                  <wp:positionV relativeFrom="paragraph">
                    <wp:posOffset>148590</wp:posOffset>
                  </wp:positionV>
                  <wp:extent cx="1495425" cy="342265"/>
                  <wp:effectExtent l="0" t="0" r="9525" b="635"/>
                  <wp:wrapNone/>
                  <wp:docPr id="47" name="图片_6"/>
                  <wp:cNvGraphicFramePr/>
                  <a:graphic xmlns:a="http://schemas.openxmlformats.org/drawingml/2006/main">
                    <a:graphicData uri="http://schemas.openxmlformats.org/drawingml/2006/picture">
                      <pic:pic xmlns:pic="http://schemas.openxmlformats.org/drawingml/2006/picture">
                        <pic:nvPicPr>
                          <pic:cNvPr id="47" name="图片_6"/>
                          <pic:cNvPicPr/>
                        </pic:nvPicPr>
                        <pic:blipFill>
                          <a:blip r:embed="rId29"/>
                          <a:stretch>
                            <a:fillRect/>
                          </a:stretch>
                        </pic:blipFill>
                        <pic:spPr>
                          <a:xfrm>
                            <a:off x="0" y="0"/>
                            <a:ext cx="1495425" cy="342265"/>
                          </a:xfrm>
                          <a:prstGeom prst="rect">
                            <a:avLst/>
                          </a:prstGeom>
                          <a:noFill/>
                          <a:ln>
                            <a:noFill/>
                          </a:ln>
                        </pic:spPr>
                      </pic:pic>
                    </a:graphicData>
                  </a:graphic>
                </wp:anchor>
              </w:drawing>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1E5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φ114*1200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A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BE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F2700D">
            <w:pPr>
              <w:keepNext w:val="0"/>
              <w:keepLines w:val="0"/>
              <w:widowControl/>
              <w:suppressLineNumbers w:val="0"/>
              <w:jc w:val="center"/>
              <w:textAlignment w:val="bottom"/>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工程级反光膜,热镀锌钢管,壁厚不小于1.8mm</w:t>
            </w:r>
          </w:p>
        </w:tc>
      </w:tr>
    </w:tbl>
    <w:p w14:paraId="2288982F">
      <w:pPr>
        <w:spacing w:line="360" w:lineRule="auto"/>
        <w:jc w:val="center"/>
        <w:rPr>
          <w:rFonts w:hint="eastAsia" w:ascii="宋体" w:hAnsi="宋体" w:eastAsia="宋体" w:cs="宋体"/>
          <w:b/>
          <w:color w:val="auto"/>
          <w:sz w:val="24"/>
          <w:highlight w:val="none"/>
          <w:lang w:val="en-US" w:eastAsia="zh-CN"/>
        </w:rPr>
      </w:pPr>
    </w:p>
    <w:p w14:paraId="5ABC0F45">
      <w:pP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br w:type="page"/>
      </w:r>
    </w:p>
    <w:p w14:paraId="77985F4B">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地下室部分</w:t>
      </w:r>
    </w:p>
    <w:tbl>
      <w:tblPr>
        <w:tblStyle w:val="2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1"/>
        <w:gridCol w:w="1633"/>
        <w:gridCol w:w="1974"/>
        <w:gridCol w:w="1632"/>
        <w:gridCol w:w="548"/>
        <w:gridCol w:w="997"/>
        <w:gridCol w:w="1874"/>
      </w:tblGrid>
      <w:tr w14:paraId="5967D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25B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C2A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B83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简图</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A56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201A7">
            <w:pPr>
              <w:keepNext w:val="0"/>
              <w:keepLines w:val="0"/>
              <w:widowControl/>
              <w:suppressLineNumbers w:val="0"/>
              <w:jc w:val="center"/>
              <w:textAlignment w:val="center"/>
              <w:rPr>
                <w:rFonts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单位</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8AC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7AF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46F45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E98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FBF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直行箭头</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FCB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117475</wp:posOffset>
                  </wp:positionH>
                  <wp:positionV relativeFrom="paragraph">
                    <wp:posOffset>83185</wp:posOffset>
                  </wp:positionV>
                  <wp:extent cx="737870" cy="302895"/>
                  <wp:effectExtent l="0" t="0" r="5080" b="1905"/>
                  <wp:wrapNone/>
                  <wp:docPr id="71" name="图片_11"/>
                  <wp:cNvGraphicFramePr/>
                  <a:graphic xmlns:a="http://schemas.openxmlformats.org/drawingml/2006/main">
                    <a:graphicData uri="http://schemas.openxmlformats.org/drawingml/2006/picture">
                      <pic:pic xmlns:pic="http://schemas.openxmlformats.org/drawingml/2006/picture">
                        <pic:nvPicPr>
                          <pic:cNvPr id="71" name="图片_11"/>
                          <pic:cNvPicPr/>
                        </pic:nvPicPr>
                        <pic:blipFill>
                          <a:blip r:embed="rId30"/>
                          <a:stretch>
                            <a:fillRect/>
                          </a:stretch>
                        </pic:blipFill>
                        <pic:spPr>
                          <a:xfrm>
                            <a:off x="0" y="0"/>
                            <a:ext cx="737870" cy="302895"/>
                          </a:xfrm>
                          <a:prstGeom prst="rect">
                            <a:avLst/>
                          </a:prstGeom>
                          <a:noFill/>
                          <a:ln>
                            <a:noFill/>
                          </a:ln>
                        </pic:spPr>
                      </pic:pic>
                    </a:graphicData>
                  </a:graphic>
                </wp:anchor>
              </w:drawing>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87C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长3m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70FF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8F3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680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热熔标线</w:t>
            </w:r>
          </w:p>
        </w:tc>
      </w:tr>
      <w:tr w14:paraId="70016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EEF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2AA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左(右)箭头</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6AC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40640</wp:posOffset>
                  </wp:positionH>
                  <wp:positionV relativeFrom="paragraph">
                    <wp:posOffset>106680</wp:posOffset>
                  </wp:positionV>
                  <wp:extent cx="833120" cy="339725"/>
                  <wp:effectExtent l="0" t="0" r="5080" b="3175"/>
                  <wp:wrapNone/>
                  <wp:docPr id="73" name="图片_16"/>
                  <wp:cNvGraphicFramePr/>
                  <a:graphic xmlns:a="http://schemas.openxmlformats.org/drawingml/2006/main">
                    <a:graphicData uri="http://schemas.openxmlformats.org/drawingml/2006/picture">
                      <pic:pic xmlns:pic="http://schemas.openxmlformats.org/drawingml/2006/picture">
                        <pic:nvPicPr>
                          <pic:cNvPr id="73" name="图片_16"/>
                          <pic:cNvPicPr/>
                        </pic:nvPicPr>
                        <pic:blipFill>
                          <a:blip r:embed="rId15"/>
                          <a:stretch>
                            <a:fillRect/>
                          </a:stretch>
                        </pic:blipFill>
                        <pic:spPr>
                          <a:xfrm>
                            <a:off x="0" y="0"/>
                            <a:ext cx="833120" cy="339725"/>
                          </a:xfrm>
                          <a:prstGeom prst="rect">
                            <a:avLst/>
                          </a:prstGeom>
                          <a:noFill/>
                          <a:ln>
                            <a:noFill/>
                          </a:ln>
                        </pic:spPr>
                      </pic:pic>
                    </a:graphicData>
                  </a:graphic>
                </wp:anchor>
              </w:drawing>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A42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长3m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2CE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B40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036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热熔标线</w:t>
            </w:r>
          </w:p>
        </w:tc>
      </w:tr>
      <w:tr w14:paraId="7D75F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382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FC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右</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箭头</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658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-20320</wp:posOffset>
                  </wp:positionH>
                  <wp:positionV relativeFrom="paragraph">
                    <wp:posOffset>69215</wp:posOffset>
                  </wp:positionV>
                  <wp:extent cx="1040765" cy="501015"/>
                  <wp:effectExtent l="0" t="0" r="6985" b="13335"/>
                  <wp:wrapNone/>
                  <wp:docPr id="82" name="图片_3"/>
                  <wp:cNvGraphicFramePr/>
                  <a:graphic xmlns:a="http://schemas.openxmlformats.org/drawingml/2006/main">
                    <a:graphicData uri="http://schemas.openxmlformats.org/drawingml/2006/picture">
                      <pic:pic xmlns:pic="http://schemas.openxmlformats.org/drawingml/2006/picture">
                        <pic:nvPicPr>
                          <pic:cNvPr id="82" name="图片_3"/>
                          <pic:cNvPicPr/>
                        </pic:nvPicPr>
                        <pic:blipFill>
                          <a:blip r:embed="rId12"/>
                          <a:stretch>
                            <a:fillRect/>
                          </a:stretch>
                        </pic:blipFill>
                        <pic:spPr>
                          <a:xfrm>
                            <a:off x="0" y="0"/>
                            <a:ext cx="1040765" cy="501015"/>
                          </a:xfrm>
                          <a:prstGeom prst="rect">
                            <a:avLst/>
                          </a:prstGeom>
                          <a:noFill/>
                          <a:ln>
                            <a:noFill/>
                          </a:ln>
                        </pic:spPr>
                      </pic:pic>
                    </a:graphicData>
                  </a:graphic>
                </wp:anchor>
              </w:drawing>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F4A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长3m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EBE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4CE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898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热熔标线</w:t>
            </w:r>
          </w:p>
        </w:tc>
      </w:tr>
      <w:tr w14:paraId="18349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15B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E17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左右箭头</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8C8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124460</wp:posOffset>
                  </wp:positionH>
                  <wp:positionV relativeFrom="paragraph">
                    <wp:posOffset>89535</wp:posOffset>
                  </wp:positionV>
                  <wp:extent cx="700405" cy="334645"/>
                  <wp:effectExtent l="0" t="0" r="4445" b="8255"/>
                  <wp:wrapNone/>
                  <wp:docPr id="85" name="图片_12"/>
                  <wp:cNvGraphicFramePr/>
                  <a:graphic xmlns:a="http://schemas.openxmlformats.org/drawingml/2006/main">
                    <a:graphicData uri="http://schemas.openxmlformats.org/drawingml/2006/picture">
                      <pic:pic xmlns:pic="http://schemas.openxmlformats.org/drawingml/2006/picture">
                        <pic:nvPicPr>
                          <pic:cNvPr id="85" name="图片_12"/>
                          <pic:cNvPicPr/>
                        </pic:nvPicPr>
                        <pic:blipFill>
                          <a:blip r:embed="rId31"/>
                          <a:stretch>
                            <a:fillRect/>
                          </a:stretch>
                        </pic:blipFill>
                        <pic:spPr>
                          <a:xfrm>
                            <a:off x="0" y="0"/>
                            <a:ext cx="700405" cy="334645"/>
                          </a:xfrm>
                          <a:prstGeom prst="rect">
                            <a:avLst/>
                          </a:prstGeom>
                          <a:noFill/>
                          <a:ln>
                            <a:noFill/>
                          </a:ln>
                        </pic:spPr>
                      </pic:pic>
                    </a:graphicData>
                  </a:graphic>
                </wp:anchor>
              </w:drawing>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89F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长3m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488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0C2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CC4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热熔标线</w:t>
            </w:r>
          </w:p>
        </w:tc>
      </w:tr>
      <w:tr w14:paraId="397E5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30F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1A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中心线</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B3A5B">
            <w:pPr>
              <w:jc w:val="center"/>
              <w:rPr>
                <w:rFonts w:hint="default" w:ascii="Arial" w:hAnsi="Arial" w:cs="Arial"/>
                <w:i w:val="0"/>
                <w:iCs w:val="0"/>
                <w:color w:val="000000"/>
                <w:sz w:val="20"/>
                <w:szCs w:val="20"/>
                <w:u w:val="none"/>
              </w:rPr>
            </w:pP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1F1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宽150mm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DDF3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FFD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D4E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热熔标线</w:t>
            </w:r>
          </w:p>
        </w:tc>
      </w:tr>
      <w:tr w14:paraId="5162C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513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87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车位标号</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ADF7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79375</wp:posOffset>
                  </wp:positionH>
                  <wp:positionV relativeFrom="paragraph">
                    <wp:posOffset>98425</wp:posOffset>
                  </wp:positionV>
                  <wp:extent cx="834390" cy="328295"/>
                  <wp:effectExtent l="0" t="0" r="3810" b="14605"/>
                  <wp:wrapNone/>
                  <wp:docPr id="63" name="图片_10"/>
                  <wp:cNvGraphicFramePr/>
                  <a:graphic xmlns:a="http://schemas.openxmlformats.org/drawingml/2006/main">
                    <a:graphicData uri="http://schemas.openxmlformats.org/drawingml/2006/picture">
                      <pic:pic xmlns:pic="http://schemas.openxmlformats.org/drawingml/2006/picture">
                        <pic:nvPicPr>
                          <pic:cNvPr id="63" name="图片_10"/>
                          <pic:cNvPicPr/>
                        </pic:nvPicPr>
                        <pic:blipFill>
                          <a:blip r:embed="rId32"/>
                          <a:stretch>
                            <a:fillRect/>
                          </a:stretch>
                        </pic:blipFill>
                        <pic:spPr>
                          <a:xfrm>
                            <a:off x="0" y="0"/>
                            <a:ext cx="834390" cy="328295"/>
                          </a:xfrm>
                          <a:prstGeom prst="rect">
                            <a:avLst/>
                          </a:prstGeom>
                          <a:noFill/>
                          <a:ln>
                            <a:noFill/>
                          </a:ln>
                        </pic:spPr>
                      </pic:pic>
                    </a:graphicData>
                  </a:graphic>
                </wp:anchor>
              </w:drawing>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58F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单字20cm*40cm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FC8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E4B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770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9E7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冷涂</w:t>
            </w:r>
          </w:p>
        </w:tc>
      </w:tr>
      <w:tr w14:paraId="67CED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E74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879" w:type="pct"/>
            <w:tcBorders>
              <w:top w:val="nil"/>
              <w:left w:val="nil"/>
              <w:bottom w:val="nil"/>
              <w:right w:val="nil"/>
            </w:tcBorders>
            <w:shd w:val="clear" w:color="auto" w:fill="auto"/>
            <w:noWrap/>
            <w:vAlign w:val="center"/>
          </w:tcPr>
          <w:p w14:paraId="03116B1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车位划线</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23C71">
            <w:pPr>
              <w:jc w:val="center"/>
              <w:rPr>
                <w:rFonts w:hint="default" w:ascii="Arial" w:hAnsi="Arial" w:cs="Arial"/>
                <w:i w:val="0"/>
                <w:iCs w:val="0"/>
                <w:color w:val="000000"/>
                <w:sz w:val="20"/>
                <w:szCs w:val="20"/>
                <w:u w:val="none"/>
              </w:rPr>
            </w:pP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A3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线宽</w:t>
            </w:r>
            <w:r>
              <w:rPr>
                <w:rFonts w:hint="default" w:ascii="Arial" w:hAnsi="Arial" w:eastAsia="宋体" w:cs="Arial"/>
                <w:i w:val="0"/>
                <w:iCs w:val="0"/>
                <w:color w:val="000000"/>
                <w:kern w:val="0"/>
                <w:sz w:val="20"/>
                <w:szCs w:val="20"/>
                <w:u w:val="none"/>
                <w:lang w:val="en-US" w:eastAsia="zh-CN" w:bidi="ar"/>
              </w:rPr>
              <w:t>15cm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0F7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w:t>
            </w:r>
            <w:r>
              <w:rPr>
                <w:rFonts w:hint="default" w:ascii="Arial" w:hAnsi="Arial" w:eastAsia="宋体" w:cs="Arial"/>
                <w:i w:val="0"/>
                <w:iCs w:val="0"/>
                <w:color w:val="000000"/>
                <w:kern w:val="0"/>
                <w:sz w:val="20"/>
                <w:szCs w:val="20"/>
                <w:u w:val="none"/>
                <w:vertAlign w:val="superscript"/>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262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1901.715</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EDA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热熔标线</w:t>
            </w:r>
          </w:p>
        </w:tc>
      </w:tr>
      <w:tr w14:paraId="47211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1AB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A2C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防撞护角</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4D6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532130</wp:posOffset>
                  </wp:positionH>
                  <wp:positionV relativeFrom="paragraph">
                    <wp:posOffset>140335</wp:posOffset>
                  </wp:positionV>
                  <wp:extent cx="246380" cy="226060"/>
                  <wp:effectExtent l="0" t="0" r="1270" b="2540"/>
                  <wp:wrapNone/>
                  <wp:docPr id="67" name="图片_18"/>
                  <wp:cNvGraphicFramePr/>
                  <a:graphic xmlns:a="http://schemas.openxmlformats.org/drawingml/2006/main">
                    <a:graphicData uri="http://schemas.openxmlformats.org/drawingml/2006/picture">
                      <pic:pic xmlns:pic="http://schemas.openxmlformats.org/drawingml/2006/picture">
                        <pic:nvPicPr>
                          <pic:cNvPr id="67" name="图片_18"/>
                          <pic:cNvPicPr/>
                        </pic:nvPicPr>
                        <pic:blipFill>
                          <a:blip r:embed="rId33"/>
                          <a:stretch>
                            <a:fillRect/>
                          </a:stretch>
                        </pic:blipFill>
                        <pic:spPr>
                          <a:xfrm>
                            <a:off x="0" y="0"/>
                            <a:ext cx="246380" cy="226060"/>
                          </a:xfrm>
                          <a:prstGeom prst="rect">
                            <a:avLst/>
                          </a:prstGeom>
                          <a:noFill/>
                          <a:ln>
                            <a:noFill/>
                          </a:ln>
                        </pic:spPr>
                      </pic:pic>
                    </a:graphicData>
                  </a:graphic>
                </wp:anchor>
              </w:drawing>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824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800×100×10mm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2FA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29B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F16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高强耐磨橡塑</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+工程级反光膜</w:t>
            </w:r>
          </w:p>
        </w:tc>
      </w:tr>
      <w:tr w14:paraId="0CB34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50E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157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广角镜</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5DB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396875</wp:posOffset>
                  </wp:positionH>
                  <wp:positionV relativeFrom="paragraph">
                    <wp:posOffset>80010</wp:posOffset>
                  </wp:positionV>
                  <wp:extent cx="313690" cy="274955"/>
                  <wp:effectExtent l="0" t="0" r="10160" b="10795"/>
                  <wp:wrapNone/>
                  <wp:docPr id="68" name="图片_17"/>
                  <wp:cNvGraphicFramePr/>
                  <a:graphic xmlns:a="http://schemas.openxmlformats.org/drawingml/2006/main">
                    <a:graphicData uri="http://schemas.openxmlformats.org/drawingml/2006/picture">
                      <pic:pic xmlns:pic="http://schemas.openxmlformats.org/drawingml/2006/picture">
                        <pic:nvPicPr>
                          <pic:cNvPr id="68" name="图片_17"/>
                          <pic:cNvPicPr/>
                        </pic:nvPicPr>
                        <pic:blipFill>
                          <a:blip r:embed="rId34"/>
                          <a:stretch>
                            <a:fillRect/>
                          </a:stretch>
                        </pic:blipFill>
                        <pic:spPr>
                          <a:xfrm>
                            <a:off x="0" y="0"/>
                            <a:ext cx="313690" cy="274955"/>
                          </a:xfrm>
                          <a:prstGeom prst="rect">
                            <a:avLst/>
                          </a:prstGeom>
                          <a:noFill/>
                          <a:ln>
                            <a:noFill/>
                          </a:ln>
                        </pic:spPr>
                      </pic:pic>
                    </a:graphicData>
                  </a:graphic>
                </wp:anchor>
              </w:drawing>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E1D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φ800mm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904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3D5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E02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进口PVC一次成型</w:t>
            </w:r>
          </w:p>
        </w:tc>
      </w:tr>
      <w:tr w14:paraId="01377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4C3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15B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橡胶减速垄</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0058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94615</wp:posOffset>
                  </wp:positionH>
                  <wp:positionV relativeFrom="paragraph">
                    <wp:posOffset>118110</wp:posOffset>
                  </wp:positionV>
                  <wp:extent cx="732790" cy="250825"/>
                  <wp:effectExtent l="0" t="0" r="10160" b="15875"/>
                  <wp:wrapNone/>
                  <wp:docPr id="77" name="图片_19"/>
                  <wp:cNvGraphicFramePr/>
                  <a:graphic xmlns:a="http://schemas.openxmlformats.org/drawingml/2006/main">
                    <a:graphicData uri="http://schemas.openxmlformats.org/drawingml/2006/picture">
                      <pic:pic xmlns:pic="http://schemas.openxmlformats.org/drawingml/2006/picture">
                        <pic:nvPicPr>
                          <pic:cNvPr id="77" name="图片_19"/>
                          <pic:cNvPicPr/>
                        </pic:nvPicPr>
                        <pic:blipFill>
                          <a:blip r:embed="rId35"/>
                          <a:stretch>
                            <a:fillRect/>
                          </a:stretch>
                        </pic:blipFill>
                        <pic:spPr>
                          <a:xfrm>
                            <a:off x="0" y="0"/>
                            <a:ext cx="732790" cy="250825"/>
                          </a:xfrm>
                          <a:prstGeom prst="rect">
                            <a:avLst/>
                          </a:prstGeom>
                          <a:noFill/>
                          <a:ln>
                            <a:noFill/>
                          </a:ln>
                        </pic:spPr>
                      </pic:pic>
                    </a:graphicData>
                  </a:graphic>
                </wp:anchor>
              </w:drawing>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544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1000×350×45mm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69B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1219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248</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AB1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高强耐磨橡胶</w:t>
            </w:r>
          </w:p>
        </w:tc>
      </w:tr>
      <w:tr w14:paraId="0BFD9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E49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185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出入口禁令标志</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D9A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5080</wp:posOffset>
                  </wp:positionH>
                  <wp:positionV relativeFrom="paragraph">
                    <wp:posOffset>-10160</wp:posOffset>
                  </wp:positionV>
                  <wp:extent cx="1037590" cy="574040"/>
                  <wp:effectExtent l="0" t="0" r="10160" b="16510"/>
                  <wp:wrapNone/>
                  <wp:docPr id="70" name="图片_1"/>
                  <wp:cNvGraphicFramePr/>
                  <a:graphic xmlns:a="http://schemas.openxmlformats.org/drawingml/2006/main">
                    <a:graphicData uri="http://schemas.openxmlformats.org/drawingml/2006/picture">
                      <pic:pic xmlns:pic="http://schemas.openxmlformats.org/drawingml/2006/picture">
                        <pic:nvPicPr>
                          <pic:cNvPr id="70" name="图片_1"/>
                          <pic:cNvPicPr/>
                        </pic:nvPicPr>
                        <pic:blipFill>
                          <a:blip r:embed="rId36"/>
                          <a:stretch>
                            <a:fillRect/>
                          </a:stretch>
                        </pic:blipFill>
                        <pic:spPr>
                          <a:xfrm>
                            <a:off x="0" y="0"/>
                            <a:ext cx="1037590" cy="574040"/>
                          </a:xfrm>
                          <a:prstGeom prst="rect">
                            <a:avLst/>
                          </a:prstGeom>
                          <a:noFill/>
                          <a:ln>
                            <a:noFill/>
                          </a:ln>
                        </pic:spPr>
                      </pic:pic>
                    </a:graphicData>
                  </a:graphic>
                </wp:anchor>
              </w:drawing>
            </w:r>
            <w:r>
              <w:rPr>
                <w:rFonts w:hint="default" w:ascii="Arial" w:hAnsi="Arial" w:eastAsia="宋体" w:cs="Arial"/>
                <w:i w:val="0"/>
                <w:iCs w:val="0"/>
                <w:color w:val="000000"/>
                <w:kern w:val="0"/>
                <w:sz w:val="20"/>
                <w:szCs w:val="20"/>
                <w:u w:val="none"/>
                <w:lang w:val="en-US" w:eastAsia="zh-CN" w:bidi="ar"/>
              </w:rPr>
              <w:t>出口 2 入口</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EXIT</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15 2m ENTER</w:t>
            </w:r>
          </w:p>
        </w:tc>
        <w:tc>
          <w:tcPr>
            <w:tcW w:w="879" w:type="pct"/>
            <w:tcBorders>
              <w:top w:val="single" w:color="000000" w:sz="4" w:space="0"/>
              <w:left w:val="single" w:color="000000" w:sz="4" w:space="0"/>
              <w:bottom w:val="nil"/>
              <w:right w:val="nil"/>
            </w:tcBorders>
            <w:shd w:val="clear" w:color="auto" w:fill="auto"/>
            <w:vAlign w:val="center"/>
          </w:tcPr>
          <w:p w14:paraId="0DB0EA36">
            <w:pPr>
              <w:jc w:val="center"/>
              <w:rPr>
                <w:rFonts w:hint="default" w:ascii="Arial" w:hAnsi="Arial" w:cs="Arial"/>
                <w:i w:val="0"/>
                <w:iCs w:val="0"/>
                <w:color w:val="000000"/>
                <w:sz w:val="20"/>
                <w:szCs w:val="20"/>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ACD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2266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314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1000mm*6000</w:t>
            </w:r>
            <w:r>
              <w:rPr>
                <w:rFonts w:hint="eastAsia" w:ascii="Arial" w:hAnsi="Arial" w:cs="Arial"/>
                <w:i w:val="0"/>
                <w:iCs w:val="0"/>
                <w:color w:val="000000"/>
                <w:kern w:val="0"/>
                <w:sz w:val="20"/>
                <w:szCs w:val="20"/>
                <w:u w:val="none"/>
                <w:lang w:val="en-US" w:eastAsia="zh-CN" w:bidi="ar"/>
              </w:rPr>
              <w:t>mm</w:t>
            </w:r>
            <w:r>
              <w:rPr>
                <w:rFonts w:hint="default" w:ascii="Arial" w:hAnsi="Arial" w:eastAsia="宋体" w:cs="Arial"/>
                <w:i w:val="0"/>
                <w:iCs w:val="0"/>
                <w:color w:val="000000"/>
                <w:kern w:val="0"/>
                <w:sz w:val="20"/>
                <w:szCs w:val="20"/>
                <w:u w:val="none"/>
                <w:lang w:val="en-US" w:eastAsia="zh-CN" w:bidi="ar"/>
              </w:rPr>
              <w:t>*1.5</w:t>
            </w:r>
          </w:p>
        </w:tc>
      </w:tr>
      <w:tr w14:paraId="4C7FC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CD8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41C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坡道分道垄</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DBA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-13335</wp:posOffset>
                  </wp:positionH>
                  <wp:positionV relativeFrom="paragraph">
                    <wp:posOffset>88900</wp:posOffset>
                  </wp:positionV>
                  <wp:extent cx="917575" cy="390525"/>
                  <wp:effectExtent l="0" t="0" r="15875" b="9525"/>
                  <wp:wrapNone/>
                  <wp:docPr id="76" name="图片_45"/>
                  <wp:cNvGraphicFramePr/>
                  <a:graphic xmlns:a="http://schemas.openxmlformats.org/drawingml/2006/main">
                    <a:graphicData uri="http://schemas.openxmlformats.org/drawingml/2006/picture">
                      <pic:pic xmlns:pic="http://schemas.openxmlformats.org/drawingml/2006/picture">
                        <pic:nvPicPr>
                          <pic:cNvPr id="76" name="图片_45"/>
                          <pic:cNvPicPr/>
                        </pic:nvPicPr>
                        <pic:blipFill>
                          <a:blip r:embed="rId37"/>
                          <a:stretch>
                            <a:fillRect/>
                          </a:stretch>
                        </pic:blipFill>
                        <pic:spPr>
                          <a:xfrm>
                            <a:off x="0" y="0"/>
                            <a:ext cx="917575" cy="390525"/>
                          </a:xfrm>
                          <a:prstGeom prst="rect">
                            <a:avLst/>
                          </a:prstGeom>
                          <a:noFill/>
                          <a:ln>
                            <a:noFill/>
                          </a:ln>
                        </pic:spPr>
                      </pic:pic>
                    </a:graphicData>
                  </a:graphic>
                </wp:anchor>
              </w:drawing>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53F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800×320×60mm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D05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CD5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112</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A9B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高强耐磨橡胶</w:t>
            </w:r>
          </w:p>
        </w:tc>
      </w:tr>
      <w:tr w14:paraId="066DC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A17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0B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柱子及墙体彩色油漆</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2BFC3">
            <w:pPr>
              <w:jc w:val="center"/>
              <w:rPr>
                <w:rFonts w:hint="default" w:ascii="Arial" w:hAnsi="Arial" w:cs="Arial"/>
                <w:i w:val="0"/>
                <w:iCs w:val="0"/>
                <w:color w:val="000000"/>
                <w:sz w:val="20"/>
                <w:szCs w:val="20"/>
                <w:u w:val="none"/>
              </w:rPr>
            </w:pP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72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w:t>
            </w:r>
            <w:r>
              <w:rPr>
                <w:rFonts w:hint="default" w:ascii="Arial" w:hAnsi="Arial" w:eastAsia="宋体" w:cs="Arial"/>
                <w:i w:val="0"/>
                <w:iCs w:val="0"/>
                <w:color w:val="000000"/>
                <w:kern w:val="0"/>
                <w:sz w:val="20"/>
                <w:szCs w:val="20"/>
                <w:u w:val="none"/>
                <w:lang w:val="en-US" w:eastAsia="zh-CN" w:bidi="ar"/>
              </w:rPr>
              <w:t>0.9m+0.15m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319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DBC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8C7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彩色油漆</w:t>
            </w:r>
          </w:p>
        </w:tc>
      </w:tr>
      <w:tr w14:paraId="4F35F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492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A9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文字标记</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D7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人防区域车位</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95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单字</w:t>
            </w:r>
            <w:r>
              <w:rPr>
                <w:rFonts w:hint="default" w:ascii="Arial" w:hAnsi="Arial" w:eastAsia="宋体" w:cs="Arial"/>
                <w:i w:val="0"/>
                <w:iCs w:val="0"/>
                <w:color w:val="000000"/>
                <w:kern w:val="0"/>
                <w:sz w:val="20"/>
                <w:szCs w:val="20"/>
                <w:u w:val="none"/>
                <w:lang w:val="en-US" w:eastAsia="zh-CN" w:bidi="ar"/>
              </w:rPr>
              <w:t>20cm*20cm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08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456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139</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23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冷刷</w:t>
            </w:r>
          </w:p>
        </w:tc>
      </w:tr>
      <w:tr w14:paraId="18AF5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3B5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C3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人防车位地坪漆</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01539">
            <w:pPr>
              <w:jc w:val="center"/>
              <w:rPr>
                <w:rFonts w:hint="default" w:ascii="Arial" w:hAnsi="Arial" w:cs="Arial"/>
                <w:i w:val="0"/>
                <w:iCs w:val="0"/>
                <w:color w:val="000000"/>
                <w:sz w:val="20"/>
                <w:szCs w:val="20"/>
                <w:u w:val="none"/>
              </w:rPr>
            </w:pP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0749C">
            <w:pPr>
              <w:jc w:val="center"/>
              <w:rPr>
                <w:rFonts w:hint="default" w:ascii="Arial" w:hAnsi="Arial" w:cs="Arial"/>
                <w:i w:val="0"/>
                <w:iCs w:val="0"/>
                <w:color w:val="000000"/>
                <w:sz w:val="20"/>
                <w:szCs w:val="20"/>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56C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w:t>
            </w:r>
            <w:r>
              <w:rPr>
                <w:rFonts w:hint="default" w:ascii="Arial" w:hAnsi="Arial" w:eastAsia="宋体" w:cs="Arial"/>
                <w:i w:val="0"/>
                <w:iCs w:val="0"/>
                <w:color w:val="000000"/>
                <w:kern w:val="0"/>
                <w:sz w:val="20"/>
                <w:szCs w:val="20"/>
                <w:u w:val="none"/>
                <w:vertAlign w:val="superscript"/>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FC57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1810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24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阻燃环氧地坪</w:t>
            </w:r>
          </w:p>
        </w:tc>
      </w:tr>
      <w:tr w14:paraId="71433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670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94A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轮廓标</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A04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67945</wp:posOffset>
                  </wp:positionH>
                  <wp:positionV relativeFrom="paragraph">
                    <wp:posOffset>50800</wp:posOffset>
                  </wp:positionV>
                  <wp:extent cx="957580" cy="582930"/>
                  <wp:effectExtent l="0" t="0" r="13970" b="7620"/>
                  <wp:wrapNone/>
                  <wp:docPr id="80" name="图片_43"/>
                  <wp:cNvGraphicFramePr/>
                  <a:graphic xmlns:a="http://schemas.openxmlformats.org/drawingml/2006/main">
                    <a:graphicData uri="http://schemas.openxmlformats.org/drawingml/2006/picture">
                      <pic:pic xmlns:pic="http://schemas.openxmlformats.org/drawingml/2006/picture">
                        <pic:nvPicPr>
                          <pic:cNvPr id="80" name="图片_43"/>
                          <pic:cNvPicPr/>
                        </pic:nvPicPr>
                        <pic:blipFill>
                          <a:blip r:embed="rId38"/>
                          <a:stretch>
                            <a:fillRect/>
                          </a:stretch>
                        </pic:blipFill>
                        <pic:spPr>
                          <a:xfrm>
                            <a:off x="0" y="0"/>
                            <a:ext cx="957580" cy="582930"/>
                          </a:xfrm>
                          <a:prstGeom prst="rect">
                            <a:avLst/>
                          </a:prstGeom>
                          <a:noFill/>
                          <a:ln>
                            <a:noFill/>
                          </a:ln>
                        </pic:spPr>
                      </pic:pic>
                    </a:graphicData>
                  </a:graphic>
                </wp:anchor>
              </w:drawing>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81E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180×40mm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73D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E92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112</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6F8C0">
            <w:pPr>
              <w:jc w:val="center"/>
              <w:rPr>
                <w:rFonts w:hint="default" w:ascii="Arial" w:hAnsi="Arial" w:cs="Arial"/>
                <w:i w:val="0"/>
                <w:iCs w:val="0"/>
                <w:color w:val="000000"/>
                <w:sz w:val="20"/>
                <w:szCs w:val="20"/>
                <w:u w:val="none"/>
              </w:rPr>
            </w:pPr>
          </w:p>
        </w:tc>
      </w:tr>
      <w:tr w14:paraId="22341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6B0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BC7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挡车器</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EB5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112395</wp:posOffset>
                  </wp:positionH>
                  <wp:positionV relativeFrom="paragraph">
                    <wp:posOffset>85090</wp:posOffset>
                  </wp:positionV>
                  <wp:extent cx="819785" cy="459105"/>
                  <wp:effectExtent l="0" t="0" r="18415" b="17145"/>
                  <wp:wrapNone/>
                  <wp:docPr id="66" name="图片_46"/>
                  <wp:cNvGraphicFramePr/>
                  <a:graphic xmlns:a="http://schemas.openxmlformats.org/drawingml/2006/main">
                    <a:graphicData uri="http://schemas.openxmlformats.org/drawingml/2006/picture">
                      <pic:pic xmlns:pic="http://schemas.openxmlformats.org/drawingml/2006/picture">
                        <pic:nvPicPr>
                          <pic:cNvPr id="66" name="图片_46"/>
                          <pic:cNvPicPr/>
                        </pic:nvPicPr>
                        <pic:blipFill>
                          <a:blip r:embed="rId39"/>
                          <a:stretch>
                            <a:fillRect/>
                          </a:stretch>
                        </pic:blipFill>
                        <pic:spPr>
                          <a:xfrm>
                            <a:off x="0" y="0"/>
                            <a:ext cx="819785" cy="459105"/>
                          </a:xfrm>
                          <a:prstGeom prst="rect">
                            <a:avLst/>
                          </a:prstGeom>
                          <a:noFill/>
                          <a:ln>
                            <a:noFill/>
                          </a:ln>
                        </pic:spPr>
                      </pic:pic>
                    </a:graphicData>
                  </a:graphic>
                </wp:anchor>
              </w:drawing>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4EE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550×150×100mm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908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1B2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1820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391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高强耐磨橡胶</w:t>
            </w:r>
          </w:p>
        </w:tc>
      </w:tr>
      <w:tr w14:paraId="0FA1A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0D6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94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车位编号牌</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A48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136525</wp:posOffset>
                  </wp:positionH>
                  <wp:positionV relativeFrom="paragraph">
                    <wp:posOffset>98425</wp:posOffset>
                  </wp:positionV>
                  <wp:extent cx="760095" cy="454025"/>
                  <wp:effectExtent l="0" t="0" r="1905" b="3175"/>
                  <wp:wrapNone/>
                  <wp:docPr id="74" name="图片_3_SpCnt_1"/>
                  <wp:cNvGraphicFramePr/>
                  <a:graphic xmlns:a="http://schemas.openxmlformats.org/drawingml/2006/main">
                    <a:graphicData uri="http://schemas.openxmlformats.org/drawingml/2006/picture">
                      <pic:pic xmlns:pic="http://schemas.openxmlformats.org/drawingml/2006/picture">
                        <pic:nvPicPr>
                          <pic:cNvPr id="74" name="图片_3_SpCnt_1"/>
                          <pic:cNvPicPr/>
                        </pic:nvPicPr>
                        <pic:blipFill>
                          <a:blip r:embed="rId40"/>
                          <a:stretch>
                            <a:fillRect/>
                          </a:stretch>
                        </pic:blipFill>
                        <pic:spPr>
                          <a:xfrm>
                            <a:off x="0" y="0"/>
                            <a:ext cx="760095" cy="454025"/>
                          </a:xfrm>
                          <a:prstGeom prst="rect">
                            <a:avLst/>
                          </a:prstGeom>
                          <a:noFill/>
                          <a:ln>
                            <a:noFill/>
                          </a:ln>
                        </pic:spPr>
                      </pic:pic>
                    </a:graphicData>
                  </a:graphic>
                </wp:anchor>
              </w:drawing>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ACE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200*400*1.2mm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17C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29B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39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铝型材</w:t>
            </w:r>
          </w:p>
        </w:tc>
      </w:tr>
      <w:tr w14:paraId="3390D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086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7C8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踢脚线(铝板)</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E9F12">
            <w:pPr>
              <w:jc w:val="center"/>
              <w:rPr>
                <w:rFonts w:hint="default" w:ascii="Arial" w:hAnsi="Arial" w:cs="Arial"/>
                <w:i w:val="0"/>
                <w:iCs w:val="0"/>
                <w:color w:val="000000"/>
                <w:sz w:val="20"/>
                <w:szCs w:val="20"/>
                <w:u w:val="none"/>
              </w:rPr>
            </w:pP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30D8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高20cm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B2A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0CF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339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高强度铝板1.0mm</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+工程级反光膜</w:t>
            </w:r>
          </w:p>
        </w:tc>
      </w:tr>
      <w:tr w14:paraId="573DC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6C4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7E8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指示标志</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346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138430</wp:posOffset>
                  </wp:positionH>
                  <wp:positionV relativeFrom="paragraph">
                    <wp:posOffset>137795</wp:posOffset>
                  </wp:positionV>
                  <wp:extent cx="892175" cy="742315"/>
                  <wp:effectExtent l="0" t="0" r="3175" b="635"/>
                  <wp:wrapNone/>
                  <wp:docPr id="69" name="图片_2"/>
                  <wp:cNvGraphicFramePr/>
                  <a:graphic xmlns:a="http://schemas.openxmlformats.org/drawingml/2006/main">
                    <a:graphicData uri="http://schemas.openxmlformats.org/drawingml/2006/picture">
                      <pic:pic xmlns:pic="http://schemas.openxmlformats.org/drawingml/2006/picture">
                        <pic:nvPicPr>
                          <pic:cNvPr id="69" name="图片_2"/>
                          <pic:cNvPicPr/>
                        </pic:nvPicPr>
                        <pic:blipFill>
                          <a:blip r:embed="rId41"/>
                          <a:stretch>
                            <a:fillRect/>
                          </a:stretch>
                        </pic:blipFill>
                        <pic:spPr>
                          <a:xfrm>
                            <a:off x="0" y="0"/>
                            <a:ext cx="892175" cy="742315"/>
                          </a:xfrm>
                          <a:prstGeom prst="rect">
                            <a:avLst/>
                          </a:prstGeom>
                          <a:noFill/>
                          <a:ln>
                            <a:noFill/>
                          </a:ln>
                        </pic:spPr>
                      </pic:pic>
                    </a:graphicData>
                  </a:graphic>
                </wp:anchor>
              </w:drawing>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E19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500×1000mm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E0D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669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83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高强度铝板1.2mm，工程级反光膜，采用T型支架安装于汽车坡道往地库方向靠近地库一侧,离地间距≥2200mm。</w:t>
            </w:r>
          </w:p>
        </w:tc>
      </w:tr>
      <w:tr w14:paraId="35D98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11B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7FC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出口方向标牌 </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3A4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73660</wp:posOffset>
                  </wp:positionH>
                  <wp:positionV relativeFrom="paragraph">
                    <wp:posOffset>80645</wp:posOffset>
                  </wp:positionV>
                  <wp:extent cx="1076960" cy="694690"/>
                  <wp:effectExtent l="0" t="0" r="8890" b="10160"/>
                  <wp:wrapNone/>
                  <wp:docPr id="84" name="图片_2_SpCnt_1"/>
                  <wp:cNvGraphicFramePr/>
                  <a:graphic xmlns:a="http://schemas.openxmlformats.org/drawingml/2006/main">
                    <a:graphicData uri="http://schemas.openxmlformats.org/drawingml/2006/picture">
                      <pic:pic xmlns:pic="http://schemas.openxmlformats.org/drawingml/2006/picture">
                        <pic:nvPicPr>
                          <pic:cNvPr id="84" name="图片_2_SpCnt_1"/>
                          <pic:cNvPicPr/>
                        </pic:nvPicPr>
                        <pic:blipFill>
                          <a:blip r:embed="rId42"/>
                          <a:stretch>
                            <a:fillRect/>
                          </a:stretch>
                        </pic:blipFill>
                        <pic:spPr>
                          <a:xfrm>
                            <a:off x="0" y="0"/>
                            <a:ext cx="1076960" cy="694690"/>
                          </a:xfrm>
                          <a:prstGeom prst="rect">
                            <a:avLst/>
                          </a:prstGeom>
                          <a:noFill/>
                          <a:ln>
                            <a:noFill/>
                          </a:ln>
                        </pic:spPr>
                      </pic:pic>
                    </a:graphicData>
                  </a:graphic>
                </wp:anchor>
              </w:drawing>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266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400×600mm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6AF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9BE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1009" w:type="pct"/>
            <w:tcBorders>
              <w:top w:val="single" w:color="000000" w:sz="4" w:space="0"/>
              <w:left w:val="single" w:color="000000" w:sz="4" w:space="0"/>
              <w:bottom w:val="nil"/>
              <w:right w:val="single" w:color="000000" w:sz="4" w:space="0"/>
            </w:tcBorders>
            <w:shd w:val="clear" w:color="auto" w:fill="auto"/>
            <w:vAlign w:val="center"/>
          </w:tcPr>
          <w:p w14:paraId="53876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高强度铝板</w:t>
            </w:r>
            <w:r>
              <w:rPr>
                <w:rFonts w:hint="default" w:ascii="Arial" w:hAnsi="Arial" w:eastAsia="宋体" w:cs="Arial"/>
                <w:i w:val="0"/>
                <w:iCs w:val="0"/>
                <w:color w:val="000000"/>
                <w:kern w:val="0"/>
                <w:sz w:val="20"/>
                <w:szCs w:val="20"/>
                <w:u w:val="none"/>
                <w:lang w:val="en-US" w:eastAsia="zh-CN" w:bidi="ar"/>
              </w:rPr>
              <w:t>1.5mm</w:t>
            </w:r>
            <w:r>
              <w:rPr>
                <w:rFonts w:hint="eastAsia" w:ascii="宋体" w:hAnsi="宋体" w:eastAsia="宋体" w:cs="宋体"/>
                <w:i w:val="0"/>
                <w:iCs w:val="0"/>
                <w:color w:val="000000"/>
                <w:kern w:val="0"/>
                <w:sz w:val="20"/>
                <w:szCs w:val="20"/>
                <w:u w:val="none"/>
                <w:lang w:val="en-US" w:eastAsia="zh-CN" w:bidi="ar"/>
              </w:rPr>
              <w:t>，工程级反光膜，激光裁板，电脑割字，机械贴膜（含悬牌、吊架）</w:t>
            </w:r>
          </w:p>
        </w:tc>
      </w:tr>
      <w:tr w14:paraId="024D5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436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DDE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掉头牌</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7C5A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292100</wp:posOffset>
                  </wp:positionH>
                  <wp:positionV relativeFrom="paragraph">
                    <wp:posOffset>68580</wp:posOffset>
                  </wp:positionV>
                  <wp:extent cx="589915" cy="570865"/>
                  <wp:effectExtent l="0" t="0" r="635" b="635"/>
                  <wp:wrapNone/>
                  <wp:docPr id="78" name="图片_3_SpCnt_2"/>
                  <wp:cNvGraphicFramePr/>
                  <a:graphic xmlns:a="http://schemas.openxmlformats.org/drawingml/2006/main">
                    <a:graphicData uri="http://schemas.openxmlformats.org/drawingml/2006/picture">
                      <pic:pic xmlns:pic="http://schemas.openxmlformats.org/drawingml/2006/picture">
                        <pic:nvPicPr>
                          <pic:cNvPr id="78" name="图片_3_SpCnt_2"/>
                          <pic:cNvPicPr/>
                        </pic:nvPicPr>
                        <pic:blipFill>
                          <a:blip r:embed="rId43"/>
                          <a:stretch>
                            <a:fillRect/>
                          </a:stretch>
                        </pic:blipFill>
                        <pic:spPr>
                          <a:xfrm>
                            <a:off x="0" y="0"/>
                            <a:ext cx="589915" cy="570865"/>
                          </a:xfrm>
                          <a:prstGeom prst="rect">
                            <a:avLst/>
                          </a:prstGeom>
                          <a:noFill/>
                          <a:ln>
                            <a:noFill/>
                          </a:ln>
                        </pic:spPr>
                      </pic:pic>
                    </a:graphicData>
                  </a:graphic>
                </wp:anchor>
              </w:drawing>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E49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D600mm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482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1C8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29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高强度铝板</w:t>
            </w:r>
            <w:r>
              <w:rPr>
                <w:rFonts w:hint="default" w:ascii="Arial" w:hAnsi="Arial" w:eastAsia="宋体" w:cs="Arial"/>
                <w:i w:val="0"/>
                <w:iCs w:val="0"/>
                <w:color w:val="000000"/>
                <w:kern w:val="0"/>
                <w:sz w:val="20"/>
                <w:szCs w:val="20"/>
                <w:u w:val="none"/>
                <w:lang w:val="en-US" w:eastAsia="zh-CN" w:bidi="ar"/>
              </w:rPr>
              <w:t>1.2mm</w:t>
            </w:r>
          </w:p>
        </w:tc>
      </w:tr>
      <w:tr w14:paraId="51FC2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DB7C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D2B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楼号引导牌</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C6C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35560</wp:posOffset>
                  </wp:positionH>
                  <wp:positionV relativeFrom="paragraph">
                    <wp:posOffset>79375</wp:posOffset>
                  </wp:positionV>
                  <wp:extent cx="1085850" cy="618490"/>
                  <wp:effectExtent l="0" t="0" r="0" b="10160"/>
                  <wp:wrapNone/>
                  <wp:docPr id="64" name="图片_4"/>
                  <wp:cNvGraphicFramePr/>
                  <a:graphic xmlns:a="http://schemas.openxmlformats.org/drawingml/2006/main">
                    <a:graphicData uri="http://schemas.openxmlformats.org/drawingml/2006/picture">
                      <pic:pic xmlns:pic="http://schemas.openxmlformats.org/drawingml/2006/picture">
                        <pic:nvPicPr>
                          <pic:cNvPr id="64" name="图片_4"/>
                          <pic:cNvPicPr/>
                        </pic:nvPicPr>
                        <pic:blipFill>
                          <a:blip r:embed="rId44"/>
                          <a:stretch>
                            <a:fillRect/>
                          </a:stretch>
                        </pic:blipFill>
                        <pic:spPr>
                          <a:xfrm>
                            <a:off x="0" y="0"/>
                            <a:ext cx="1085850" cy="618490"/>
                          </a:xfrm>
                          <a:prstGeom prst="rect">
                            <a:avLst/>
                          </a:prstGeom>
                          <a:noFill/>
                          <a:ln>
                            <a:noFill/>
                          </a:ln>
                        </pic:spPr>
                      </pic:pic>
                    </a:graphicData>
                  </a:graphic>
                </wp:anchor>
              </w:drawing>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6E6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600×1200</w:t>
            </w:r>
            <w:r>
              <w:rPr>
                <w:rFonts w:hint="eastAsia" w:ascii="Arial" w:hAnsi="Arial" w:cs="Arial"/>
                <w:i w:val="0"/>
                <w:iCs w:val="0"/>
                <w:color w:val="000000"/>
                <w:kern w:val="0"/>
                <w:sz w:val="20"/>
                <w:szCs w:val="20"/>
                <w:u w:val="none"/>
                <w:lang w:val="en-US" w:eastAsia="zh-CN" w:bidi="ar"/>
              </w:rPr>
              <w:t>mm</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单面</w:t>
            </w:r>
            <w:r>
              <w:rPr>
                <w:rFonts w:hint="default" w:ascii="Arial" w:hAnsi="Arial" w:eastAsia="宋体" w:cs="Arial"/>
                <w:i w:val="0"/>
                <w:iCs w:val="0"/>
                <w:color w:val="000000"/>
                <w:kern w:val="0"/>
                <w:sz w:val="20"/>
                <w:szCs w:val="20"/>
                <w:u w:val="none"/>
                <w:lang w:val="en-US" w:eastAsia="zh-CN" w:bidi="ar"/>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9DE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7D5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D5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高强度铝板</w:t>
            </w:r>
            <w:r>
              <w:rPr>
                <w:rFonts w:hint="default" w:ascii="Arial" w:hAnsi="Arial" w:eastAsia="宋体" w:cs="Arial"/>
                <w:i w:val="0"/>
                <w:iCs w:val="0"/>
                <w:color w:val="000000"/>
                <w:kern w:val="0"/>
                <w:sz w:val="20"/>
                <w:szCs w:val="20"/>
                <w:u w:val="none"/>
                <w:lang w:val="en-US" w:eastAsia="zh-CN" w:bidi="ar"/>
              </w:rPr>
              <w:t>1.2mm</w:t>
            </w:r>
          </w:p>
        </w:tc>
      </w:tr>
      <w:tr w14:paraId="2A36B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3E5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D00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电楼梯</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指示牌</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35C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-43815</wp:posOffset>
                  </wp:positionH>
                  <wp:positionV relativeFrom="paragraph">
                    <wp:posOffset>124460</wp:posOffset>
                  </wp:positionV>
                  <wp:extent cx="1158875" cy="767080"/>
                  <wp:effectExtent l="0" t="0" r="3175" b="13970"/>
                  <wp:wrapNone/>
                  <wp:docPr id="79" name="图片_5"/>
                  <wp:cNvGraphicFramePr/>
                  <a:graphic xmlns:a="http://schemas.openxmlformats.org/drawingml/2006/main">
                    <a:graphicData uri="http://schemas.openxmlformats.org/drawingml/2006/picture">
                      <pic:pic xmlns:pic="http://schemas.openxmlformats.org/drawingml/2006/picture">
                        <pic:nvPicPr>
                          <pic:cNvPr id="79" name="图片_5"/>
                          <pic:cNvPicPr/>
                        </pic:nvPicPr>
                        <pic:blipFill>
                          <a:blip r:embed="rId45"/>
                          <a:stretch>
                            <a:fillRect/>
                          </a:stretch>
                        </pic:blipFill>
                        <pic:spPr>
                          <a:xfrm>
                            <a:off x="0" y="0"/>
                            <a:ext cx="1158875" cy="767080"/>
                          </a:xfrm>
                          <a:prstGeom prst="rect">
                            <a:avLst/>
                          </a:prstGeom>
                          <a:noFill/>
                          <a:ln>
                            <a:noFill/>
                          </a:ln>
                        </pic:spPr>
                      </pic:pic>
                    </a:graphicData>
                  </a:graphic>
                </wp:anchor>
              </w:drawing>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5D0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800×400mm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9EA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79D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E1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高强度铝板</w:t>
            </w:r>
            <w:r>
              <w:rPr>
                <w:rFonts w:hint="default" w:ascii="Arial" w:hAnsi="Arial" w:eastAsia="宋体" w:cs="Arial"/>
                <w:i w:val="0"/>
                <w:iCs w:val="0"/>
                <w:color w:val="000000"/>
                <w:kern w:val="0"/>
                <w:sz w:val="20"/>
                <w:szCs w:val="20"/>
                <w:u w:val="none"/>
                <w:lang w:val="en-US" w:eastAsia="zh-CN" w:bidi="ar"/>
              </w:rPr>
              <w:t>1.2mm</w:t>
            </w:r>
          </w:p>
        </w:tc>
      </w:tr>
      <w:tr w14:paraId="03468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748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68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入户牌</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EC4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-30480</wp:posOffset>
                  </wp:positionH>
                  <wp:positionV relativeFrom="paragraph">
                    <wp:posOffset>38100</wp:posOffset>
                  </wp:positionV>
                  <wp:extent cx="1096645" cy="829945"/>
                  <wp:effectExtent l="0" t="0" r="8255" b="8255"/>
                  <wp:wrapNone/>
                  <wp:docPr id="65" name="图片_6"/>
                  <wp:cNvGraphicFramePr/>
                  <a:graphic xmlns:a="http://schemas.openxmlformats.org/drawingml/2006/main">
                    <a:graphicData uri="http://schemas.openxmlformats.org/drawingml/2006/picture">
                      <pic:pic xmlns:pic="http://schemas.openxmlformats.org/drawingml/2006/picture">
                        <pic:nvPicPr>
                          <pic:cNvPr id="65" name="图片_6"/>
                          <pic:cNvPicPr/>
                        </pic:nvPicPr>
                        <pic:blipFill>
                          <a:blip r:embed="rId46"/>
                          <a:stretch>
                            <a:fillRect/>
                          </a:stretch>
                        </pic:blipFill>
                        <pic:spPr>
                          <a:xfrm>
                            <a:off x="0" y="0"/>
                            <a:ext cx="1096645" cy="829945"/>
                          </a:xfrm>
                          <a:prstGeom prst="rect">
                            <a:avLst/>
                          </a:prstGeom>
                          <a:noFill/>
                          <a:ln>
                            <a:noFill/>
                          </a:ln>
                        </pic:spPr>
                      </pic:pic>
                    </a:graphicData>
                  </a:graphic>
                </wp:anchor>
              </w:drawing>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1AC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1200×600mm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5D8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7E7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C2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高强度铝板</w:t>
            </w:r>
            <w:r>
              <w:rPr>
                <w:rFonts w:hint="default" w:ascii="Arial" w:hAnsi="Arial" w:eastAsia="宋体" w:cs="Arial"/>
                <w:i w:val="0"/>
                <w:iCs w:val="0"/>
                <w:color w:val="000000"/>
                <w:kern w:val="0"/>
                <w:sz w:val="20"/>
                <w:szCs w:val="20"/>
                <w:u w:val="none"/>
                <w:lang w:val="en-US" w:eastAsia="zh-CN" w:bidi="ar"/>
              </w:rPr>
              <w:t>1.2mm</w:t>
            </w:r>
          </w:p>
        </w:tc>
      </w:tr>
      <w:tr w14:paraId="2FDAD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36C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BA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禁止驶入标志牌</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0DF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105410</wp:posOffset>
                  </wp:positionH>
                  <wp:positionV relativeFrom="paragraph">
                    <wp:posOffset>130175</wp:posOffset>
                  </wp:positionV>
                  <wp:extent cx="896620" cy="681355"/>
                  <wp:effectExtent l="0" t="0" r="17780" b="4445"/>
                  <wp:wrapNone/>
                  <wp:docPr id="83" name="图片_7"/>
                  <wp:cNvGraphicFramePr/>
                  <a:graphic xmlns:a="http://schemas.openxmlformats.org/drawingml/2006/main">
                    <a:graphicData uri="http://schemas.openxmlformats.org/drawingml/2006/picture">
                      <pic:pic xmlns:pic="http://schemas.openxmlformats.org/drawingml/2006/picture">
                        <pic:nvPicPr>
                          <pic:cNvPr id="83" name="图片_7"/>
                          <pic:cNvPicPr/>
                        </pic:nvPicPr>
                        <pic:blipFill>
                          <a:blip r:embed="rId47"/>
                          <a:stretch>
                            <a:fillRect/>
                          </a:stretch>
                        </pic:blipFill>
                        <pic:spPr>
                          <a:xfrm>
                            <a:off x="0" y="0"/>
                            <a:ext cx="896620" cy="681355"/>
                          </a:xfrm>
                          <a:prstGeom prst="rect">
                            <a:avLst/>
                          </a:prstGeom>
                          <a:noFill/>
                          <a:ln>
                            <a:noFill/>
                          </a:ln>
                        </pic:spPr>
                      </pic:pic>
                    </a:graphicData>
                  </a:graphic>
                </wp:anchor>
              </w:drawing>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CB5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1000*500mm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546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26A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01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高强度铝板</w:t>
            </w:r>
            <w:r>
              <w:rPr>
                <w:rFonts w:hint="default" w:ascii="Arial" w:hAnsi="Arial" w:eastAsia="宋体" w:cs="Arial"/>
                <w:i w:val="0"/>
                <w:iCs w:val="0"/>
                <w:color w:val="000000"/>
                <w:kern w:val="0"/>
                <w:sz w:val="20"/>
                <w:szCs w:val="20"/>
                <w:u w:val="none"/>
                <w:lang w:val="en-US" w:eastAsia="zh-CN" w:bidi="ar"/>
              </w:rPr>
              <w:t>1.2mm</w:t>
            </w:r>
          </w:p>
        </w:tc>
      </w:tr>
      <w:tr w14:paraId="3AEF9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00E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78C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警示柱</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D0EA1">
            <w:pPr>
              <w:jc w:val="center"/>
              <w:rPr>
                <w:rFonts w:hint="default" w:ascii="Arial" w:hAnsi="Arial" w:cs="Arial"/>
                <w:i w:val="0"/>
                <w:iCs w:val="0"/>
                <w:color w:val="000000"/>
                <w:sz w:val="20"/>
                <w:szCs w:val="20"/>
                <w:u w:val="none"/>
              </w:rPr>
            </w:pP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B1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w:t>
            </w:r>
            <w:r>
              <w:rPr>
                <w:rFonts w:hint="default" w:ascii="Arial" w:hAnsi="Arial" w:eastAsia="宋体" w:cs="Arial"/>
                <w:i w:val="0"/>
                <w:iCs w:val="0"/>
                <w:color w:val="000000"/>
                <w:kern w:val="0"/>
                <w:sz w:val="20"/>
                <w:szCs w:val="20"/>
                <w:u w:val="none"/>
                <w:lang w:val="en-US" w:eastAsia="zh-CN" w:bidi="ar"/>
              </w:rPr>
              <w:t>800mm.</w:t>
            </w:r>
            <w:r>
              <w:rPr>
                <w:rFonts w:hint="eastAsia" w:ascii="宋体" w:hAnsi="宋体" w:eastAsia="宋体" w:cs="宋体"/>
                <w:i w:val="0"/>
                <w:iCs w:val="0"/>
                <w:color w:val="000000"/>
                <w:kern w:val="0"/>
                <w:sz w:val="20"/>
                <w:szCs w:val="20"/>
                <w:u w:val="none"/>
                <w:lang w:val="en-US" w:eastAsia="zh-CN" w:bidi="ar"/>
              </w:rPr>
              <w:t>直径</w:t>
            </w:r>
            <w:r>
              <w:rPr>
                <w:rFonts w:hint="default" w:ascii="Arial" w:hAnsi="Arial" w:eastAsia="宋体" w:cs="Arial"/>
                <w:i w:val="0"/>
                <w:iCs w:val="0"/>
                <w:color w:val="000000"/>
                <w:kern w:val="0"/>
                <w:sz w:val="20"/>
                <w:szCs w:val="20"/>
                <w:u w:val="none"/>
                <w:lang w:val="en-US" w:eastAsia="zh-CN" w:bidi="ar"/>
              </w:rPr>
              <w:t>76mm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801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E3D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687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TPU警示柱   </w:t>
            </w:r>
          </w:p>
        </w:tc>
      </w:tr>
      <w:tr w14:paraId="26A32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7376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58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小型导向牌</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16045">
            <w:pPr>
              <w:jc w:val="center"/>
              <w:rPr>
                <w:rFonts w:hint="default" w:ascii="Arial" w:hAnsi="Arial" w:cs="Arial"/>
                <w:i w:val="0"/>
                <w:iCs w:val="0"/>
                <w:color w:val="000000"/>
                <w:sz w:val="20"/>
                <w:szCs w:val="20"/>
                <w:u w:val="none"/>
              </w:rPr>
            </w:pP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A5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300×500mm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8B9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9ED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422</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44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高强度铝板</w:t>
            </w:r>
            <w:r>
              <w:rPr>
                <w:rFonts w:hint="default" w:ascii="Arial" w:hAnsi="Arial" w:eastAsia="宋体" w:cs="Arial"/>
                <w:i w:val="0"/>
                <w:iCs w:val="0"/>
                <w:color w:val="000000"/>
                <w:kern w:val="0"/>
                <w:sz w:val="20"/>
                <w:szCs w:val="20"/>
                <w:u w:val="none"/>
                <w:lang w:val="en-US" w:eastAsia="zh-CN" w:bidi="ar"/>
              </w:rPr>
              <w:t>1.2mm</w:t>
            </w:r>
          </w:p>
        </w:tc>
      </w:tr>
      <w:tr w14:paraId="79441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9FC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8B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大型导向牌</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5AB57">
            <w:pPr>
              <w:jc w:val="center"/>
              <w:rPr>
                <w:rFonts w:hint="default" w:ascii="Arial" w:hAnsi="Arial" w:cs="Arial"/>
                <w:i w:val="0"/>
                <w:iCs w:val="0"/>
                <w:color w:val="000000"/>
                <w:sz w:val="20"/>
                <w:szCs w:val="20"/>
                <w:u w:val="none"/>
              </w:rPr>
            </w:pP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33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800×500mm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BBE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6F8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112</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25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高强度铝板</w:t>
            </w:r>
            <w:r>
              <w:rPr>
                <w:rFonts w:hint="default" w:ascii="Arial" w:hAnsi="Arial" w:eastAsia="宋体" w:cs="Arial"/>
                <w:i w:val="0"/>
                <w:iCs w:val="0"/>
                <w:color w:val="000000"/>
                <w:kern w:val="0"/>
                <w:sz w:val="20"/>
                <w:szCs w:val="20"/>
                <w:u w:val="none"/>
                <w:lang w:val="en-US" w:eastAsia="zh-CN" w:bidi="ar"/>
              </w:rPr>
              <w:t>1.2mm</w:t>
            </w:r>
          </w:p>
        </w:tc>
      </w:tr>
      <w:tr w14:paraId="417FD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52C9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4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非机动车库标志牌</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482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-34925</wp:posOffset>
                  </wp:positionH>
                  <wp:positionV relativeFrom="paragraph">
                    <wp:posOffset>86995</wp:posOffset>
                  </wp:positionV>
                  <wp:extent cx="1147445" cy="735330"/>
                  <wp:effectExtent l="0" t="0" r="14605" b="7620"/>
                  <wp:wrapNone/>
                  <wp:docPr id="81" name="图片_8"/>
                  <wp:cNvGraphicFramePr/>
                  <a:graphic xmlns:a="http://schemas.openxmlformats.org/drawingml/2006/main">
                    <a:graphicData uri="http://schemas.openxmlformats.org/drawingml/2006/picture">
                      <pic:pic xmlns:pic="http://schemas.openxmlformats.org/drawingml/2006/picture">
                        <pic:nvPicPr>
                          <pic:cNvPr id="81" name="图片_8"/>
                          <pic:cNvPicPr/>
                        </pic:nvPicPr>
                        <pic:blipFill>
                          <a:blip r:embed="rId48"/>
                          <a:stretch>
                            <a:fillRect/>
                          </a:stretch>
                        </pic:blipFill>
                        <pic:spPr>
                          <a:xfrm>
                            <a:off x="0" y="0"/>
                            <a:ext cx="1147445" cy="735330"/>
                          </a:xfrm>
                          <a:prstGeom prst="rect">
                            <a:avLst/>
                          </a:prstGeom>
                          <a:noFill/>
                          <a:ln>
                            <a:noFill/>
                          </a:ln>
                        </pic:spPr>
                      </pic:pic>
                    </a:graphicData>
                  </a:graphic>
                </wp:anchor>
              </w:drawing>
            </w:r>
          </w:p>
        </w:tc>
        <w:tc>
          <w:tcPr>
            <w:tcW w:w="879" w:type="pct"/>
            <w:tcBorders>
              <w:top w:val="nil"/>
              <w:left w:val="nil"/>
              <w:bottom w:val="nil"/>
              <w:right w:val="nil"/>
            </w:tcBorders>
            <w:shd w:val="clear" w:color="auto" w:fill="auto"/>
            <w:noWrap/>
            <w:vAlign w:val="center"/>
          </w:tcPr>
          <w:p w14:paraId="78F48B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800*400mm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D0E9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0DD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A2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高强度铝板</w:t>
            </w:r>
            <w:r>
              <w:rPr>
                <w:rFonts w:hint="default" w:ascii="Arial" w:hAnsi="Arial" w:eastAsia="宋体" w:cs="Arial"/>
                <w:i w:val="0"/>
                <w:iCs w:val="0"/>
                <w:color w:val="000000"/>
                <w:kern w:val="0"/>
                <w:sz w:val="20"/>
                <w:szCs w:val="20"/>
                <w:u w:val="none"/>
                <w:lang w:val="en-US" w:eastAsia="zh-CN" w:bidi="ar"/>
              </w:rPr>
              <w:t>1.2mm</w:t>
            </w:r>
          </w:p>
        </w:tc>
      </w:tr>
      <w:tr w14:paraId="2ABAA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357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C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非机动坡道标志牌</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5A0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wp:posOffset>
                  </wp:positionH>
                  <wp:positionV relativeFrom="paragraph">
                    <wp:posOffset>86360</wp:posOffset>
                  </wp:positionV>
                  <wp:extent cx="1144905" cy="862965"/>
                  <wp:effectExtent l="0" t="0" r="17145" b="13335"/>
                  <wp:wrapNone/>
                  <wp:docPr id="75" name="图片_9"/>
                  <wp:cNvGraphicFramePr/>
                  <a:graphic xmlns:a="http://schemas.openxmlformats.org/drawingml/2006/main">
                    <a:graphicData uri="http://schemas.openxmlformats.org/drawingml/2006/picture">
                      <pic:pic xmlns:pic="http://schemas.openxmlformats.org/drawingml/2006/picture">
                        <pic:nvPicPr>
                          <pic:cNvPr id="75" name="图片_9"/>
                          <pic:cNvPicPr/>
                        </pic:nvPicPr>
                        <pic:blipFill>
                          <a:blip r:embed="rId49"/>
                          <a:stretch>
                            <a:fillRect/>
                          </a:stretch>
                        </pic:blipFill>
                        <pic:spPr>
                          <a:xfrm>
                            <a:off x="0" y="0"/>
                            <a:ext cx="1144905" cy="862965"/>
                          </a:xfrm>
                          <a:prstGeom prst="rect">
                            <a:avLst/>
                          </a:prstGeom>
                          <a:noFill/>
                          <a:ln>
                            <a:noFill/>
                          </a:ln>
                        </pic:spPr>
                      </pic:pic>
                    </a:graphicData>
                  </a:graphic>
                </wp:anchor>
              </w:drawing>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18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800×500mm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A72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8FC6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3E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高强度铝板</w:t>
            </w:r>
            <w:r>
              <w:rPr>
                <w:rFonts w:hint="default" w:ascii="Arial" w:hAnsi="Arial" w:eastAsia="宋体" w:cs="Arial"/>
                <w:i w:val="0"/>
                <w:iCs w:val="0"/>
                <w:color w:val="000000"/>
                <w:kern w:val="0"/>
                <w:sz w:val="20"/>
                <w:szCs w:val="20"/>
                <w:u w:val="none"/>
                <w:lang w:val="en-US" w:eastAsia="zh-CN" w:bidi="ar"/>
              </w:rPr>
              <w:t>1.2mm</w:t>
            </w:r>
          </w:p>
        </w:tc>
      </w:tr>
      <w:tr w14:paraId="0EA0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CEF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5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反光道钉</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152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160020</wp:posOffset>
                  </wp:positionH>
                  <wp:positionV relativeFrom="paragraph">
                    <wp:posOffset>21590</wp:posOffset>
                  </wp:positionV>
                  <wp:extent cx="774065" cy="728980"/>
                  <wp:effectExtent l="0" t="0" r="6985" b="13970"/>
                  <wp:wrapNone/>
                  <wp:docPr id="72" name="图片_10_SpCnt_1"/>
                  <wp:cNvGraphicFramePr/>
                  <a:graphic xmlns:a="http://schemas.openxmlformats.org/drawingml/2006/main">
                    <a:graphicData uri="http://schemas.openxmlformats.org/drawingml/2006/picture">
                      <pic:pic xmlns:pic="http://schemas.openxmlformats.org/drawingml/2006/picture">
                        <pic:nvPicPr>
                          <pic:cNvPr id="72" name="图片_10_SpCnt_1"/>
                          <pic:cNvPicPr/>
                        </pic:nvPicPr>
                        <pic:blipFill>
                          <a:blip r:embed="rId50"/>
                          <a:stretch>
                            <a:fillRect/>
                          </a:stretch>
                        </pic:blipFill>
                        <pic:spPr>
                          <a:xfrm>
                            <a:off x="0" y="0"/>
                            <a:ext cx="774065" cy="728980"/>
                          </a:xfrm>
                          <a:prstGeom prst="rect">
                            <a:avLst/>
                          </a:prstGeom>
                          <a:noFill/>
                          <a:ln>
                            <a:noFill/>
                          </a:ln>
                        </pic:spPr>
                      </pic:pic>
                    </a:graphicData>
                  </a:graphic>
                </wp:anchor>
              </w:drawing>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53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100*100mm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47F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485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112</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F4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主材塑料、辅材反光片,能承受8吨以上的压力,反光年限10年以上。</w:t>
            </w:r>
          </w:p>
        </w:tc>
      </w:tr>
    </w:tbl>
    <w:p w14:paraId="4B24F10C">
      <w:pPr>
        <w:pStyle w:val="2"/>
        <w:spacing w:line="360" w:lineRule="auto"/>
        <w:rPr>
          <w:rFonts w:hint="default" w:asciiTheme="minorEastAsia" w:hAnsiTheme="minorEastAsia" w:eastAsiaTheme="minorEastAsia" w:cstheme="minorEastAsia"/>
          <w:color w:val="auto"/>
          <w:kern w:val="0"/>
          <w:sz w:val="24"/>
          <w:highlight w:val="none"/>
          <w:lang w:val="en-US" w:eastAsia="zh-CN"/>
        </w:rPr>
      </w:pPr>
    </w:p>
    <w:bookmarkEnd w:id="27"/>
    <w:p w14:paraId="6CDC51CB">
      <w:pPr>
        <w:rPr>
          <w:rFonts w:hint="eastAsia" w:cs="仿宋" w:asciiTheme="majorEastAsia" w:hAnsiTheme="majorEastAsia" w:eastAsiaTheme="majorEastAsia"/>
          <w:b/>
          <w:color w:val="auto"/>
          <w:sz w:val="32"/>
          <w:highlight w:val="none"/>
          <w:lang w:val="en-US" w:eastAsia="zh-CN"/>
        </w:rPr>
      </w:pPr>
      <w:r>
        <w:rPr>
          <w:rFonts w:hint="eastAsia" w:cs="仿宋" w:asciiTheme="majorEastAsia" w:hAnsiTheme="majorEastAsia" w:eastAsiaTheme="majorEastAsia"/>
          <w:b/>
          <w:color w:val="auto"/>
          <w:sz w:val="32"/>
          <w:highlight w:val="none"/>
          <w:lang w:val="en-US" w:eastAsia="zh-CN"/>
        </w:rPr>
        <w:br w:type="page"/>
      </w:r>
    </w:p>
    <w:p w14:paraId="19381767">
      <w:pPr>
        <w:keepNext w:val="0"/>
        <w:keepLines w:val="0"/>
        <w:pageBreakBefore w:val="0"/>
        <w:widowControl w:val="0"/>
        <w:kinsoku/>
        <w:wordWrap/>
        <w:overflowPunct/>
        <w:topLinePunct w:val="0"/>
        <w:bidi w:val="0"/>
        <w:jc w:val="left"/>
        <w:textAlignment w:val="auto"/>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lang w:val="en-US" w:eastAsia="zh-CN"/>
        </w:rPr>
        <w:t>二</w:t>
      </w:r>
      <w:r>
        <w:rPr>
          <w:rFonts w:hint="eastAsia" w:cs="仿宋" w:asciiTheme="majorEastAsia" w:hAnsiTheme="majorEastAsia" w:eastAsiaTheme="majorEastAsia"/>
          <w:b/>
          <w:color w:val="auto"/>
          <w:sz w:val="32"/>
          <w:highlight w:val="none"/>
        </w:rPr>
        <w:t>、商务要求</w:t>
      </w:r>
    </w:p>
    <w:tbl>
      <w:tblPr>
        <w:tblStyle w:val="20"/>
        <w:tblW w:w="0" w:type="auto"/>
        <w:tblInd w:w="0" w:type="dxa"/>
        <w:tblLayout w:type="fixed"/>
        <w:tblCellMar>
          <w:top w:w="0" w:type="dxa"/>
          <w:left w:w="108" w:type="dxa"/>
          <w:bottom w:w="0" w:type="dxa"/>
          <w:right w:w="108" w:type="dxa"/>
        </w:tblCellMar>
      </w:tblPr>
      <w:tblGrid>
        <w:gridCol w:w="1936"/>
        <w:gridCol w:w="7186"/>
      </w:tblGrid>
      <w:tr w14:paraId="4B8A93F5">
        <w:tblPrEx>
          <w:tblCellMar>
            <w:top w:w="0" w:type="dxa"/>
            <w:left w:w="108" w:type="dxa"/>
            <w:bottom w:w="0" w:type="dxa"/>
            <w:right w:w="108" w:type="dxa"/>
          </w:tblCellMar>
        </w:tblPrEx>
        <w:trPr>
          <w:trHeight w:val="90"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2E3D8EBC">
            <w:pPr>
              <w:keepNext w:val="0"/>
              <w:keepLines w:val="0"/>
              <w:pageBreakBefore w:val="0"/>
              <w:widowControl w:val="0"/>
              <w:tabs>
                <w:tab w:val="left" w:pos="0"/>
              </w:tabs>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项目</w:t>
            </w:r>
          </w:p>
        </w:tc>
        <w:tc>
          <w:tcPr>
            <w:tcW w:w="7186" w:type="dxa"/>
            <w:tcBorders>
              <w:top w:val="single" w:color="000000" w:sz="4" w:space="0"/>
              <w:left w:val="single" w:color="000000" w:sz="4" w:space="0"/>
              <w:bottom w:val="single" w:color="000000" w:sz="4" w:space="0"/>
              <w:right w:val="single" w:color="000000" w:sz="4" w:space="0"/>
            </w:tcBorders>
            <w:vAlign w:val="center"/>
          </w:tcPr>
          <w:p w14:paraId="3FA8617E">
            <w:pPr>
              <w:keepNext w:val="0"/>
              <w:keepLines w:val="0"/>
              <w:pageBreakBefore w:val="0"/>
              <w:widowControl w:val="0"/>
              <w:tabs>
                <w:tab w:val="left" w:pos="0"/>
              </w:tabs>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要 求</w:t>
            </w:r>
          </w:p>
        </w:tc>
      </w:tr>
      <w:tr w14:paraId="029BCE28">
        <w:tblPrEx>
          <w:tblCellMar>
            <w:top w:w="0" w:type="dxa"/>
            <w:left w:w="108" w:type="dxa"/>
            <w:bottom w:w="0" w:type="dxa"/>
            <w:right w:w="108" w:type="dxa"/>
          </w:tblCellMar>
        </w:tblPrEx>
        <w:trPr>
          <w:trHeight w:val="90" w:hRule="atLeast"/>
        </w:trPr>
        <w:tc>
          <w:tcPr>
            <w:tcW w:w="1936" w:type="dxa"/>
            <w:tcBorders>
              <w:top w:val="single" w:color="000000" w:sz="4" w:space="0"/>
              <w:left w:val="single" w:color="000000" w:sz="4" w:space="0"/>
              <w:bottom w:val="single" w:color="000000" w:sz="4" w:space="0"/>
              <w:right w:val="single" w:color="000000" w:sz="4" w:space="0"/>
            </w:tcBorders>
            <w:noWrap w:val="0"/>
            <w:vAlign w:val="center"/>
          </w:tcPr>
          <w:p w14:paraId="391F8831">
            <w:pPr>
              <w:tabs>
                <w:tab w:val="left" w:pos="0"/>
              </w:tabs>
              <w:adjustRightInd w:val="0"/>
              <w:snapToGrid w:val="0"/>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投标报价</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21D9E4F1">
            <w:pPr>
              <w:pStyle w:val="2"/>
              <w:spacing w:line="360" w:lineRule="auto"/>
              <w:ind w:firstLine="0" w:firstLineChars="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投标报价应包括完成招标文件及</w:t>
            </w:r>
            <w:r>
              <w:rPr>
                <w:rFonts w:hint="eastAsia" w:asciiTheme="minorEastAsia" w:hAnsiTheme="minorEastAsia" w:eastAsiaTheme="minorEastAsia" w:cstheme="minorEastAsia"/>
                <w:color w:val="auto"/>
                <w:kern w:val="0"/>
                <w:sz w:val="24"/>
                <w:highlight w:val="none"/>
                <w:lang w:val="en-US" w:eastAsia="zh-CN"/>
              </w:rPr>
              <w:t>施工图</w:t>
            </w:r>
            <w:r>
              <w:rPr>
                <w:rFonts w:hint="eastAsia" w:asciiTheme="minorEastAsia" w:hAnsiTheme="minorEastAsia" w:eastAsiaTheme="minorEastAsia" w:cstheme="minorEastAsia"/>
                <w:color w:val="auto"/>
                <w:kern w:val="0"/>
                <w:sz w:val="24"/>
                <w:highlight w:val="none"/>
              </w:rPr>
              <w:t>范围内的货款、标准附件、备品备件、专用工具、包装、运输、装卸、保险、税金、货到就位以及保管、安装及所需要配件、辅助材料、调试、验收、保修</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中标服务费</w:t>
            </w:r>
            <w:r>
              <w:rPr>
                <w:rFonts w:hint="eastAsia" w:asciiTheme="minorEastAsia" w:hAnsiTheme="minorEastAsia" w:eastAsiaTheme="minorEastAsia" w:cstheme="minorEastAsia"/>
                <w:color w:val="auto"/>
                <w:kern w:val="0"/>
                <w:sz w:val="24"/>
                <w:highlight w:val="none"/>
              </w:rPr>
              <w:t>等一切税金和费用。</w:t>
            </w:r>
          </w:p>
          <w:p w14:paraId="41B6E557">
            <w:pPr>
              <w:pStyle w:val="2"/>
              <w:spacing w:line="360" w:lineRule="auto"/>
              <w:ind w:firstLine="0" w:firstLineChars="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本次项目工程量详见</w:t>
            </w:r>
            <w:r>
              <w:rPr>
                <w:rFonts w:hint="eastAsia" w:asciiTheme="minorEastAsia" w:hAnsiTheme="minorEastAsia" w:eastAsiaTheme="minorEastAsia" w:cstheme="minorEastAsia"/>
                <w:color w:val="auto"/>
                <w:kern w:val="0"/>
                <w:sz w:val="24"/>
                <w:highlight w:val="none"/>
                <w:lang w:val="en-US" w:eastAsia="zh-CN"/>
              </w:rPr>
              <w:t>采购</w:t>
            </w:r>
            <w:r>
              <w:rPr>
                <w:rFonts w:hint="eastAsia" w:asciiTheme="minorEastAsia" w:hAnsiTheme="minorEastAsia" w:eastAsiaTheme="minorEastAsia" w:cstheme="minorEastAsia"/>
                <w:color w:val="auto"/>
                <w:kern w:val="0"/>
                <w:sz w:val="24"/>
                <w:highlight w:val="none"/>
              </w:rPr>
              <w:t>清单与</w:t>
            </w:r>
            <w:r>
              <w:rPr>
                <w:rFonts w:hint="eastAsia" w:asciiTheme="minorEastAsia" w:hAnsiTheme="minorEastAsia" w:eastAsiaTheme="minorEastAsia" w:cstheme="minorEastAsia"/>
                <w:color w:val="auto"/>
                <w:kern w:val="0"/>
                <w:sz w:val="24"/>
                <w:highlight w:val="none"/>
                <w:lang w:val="en-US" w:eastAsia="zh-CN"/>
              </w:rPr>
              <w:t>施工图</w:t>
            </w:r>
            <w:r>
              <w:rPr>
                <w:rFonts w:hint="eastAsia" w:asciiTheme="minorEastAsia" w:hAnsiTheme="minorEastAsia" w:eastAsiaTheme="minorEastAsia" w:cstheme="minorEastAsia"/>
                <w:color w:val="auto"/>
                <w:kern w:val="0"/>
                <w:sz w:val="24"/>
                <w:highlight w:val="none"/>
              </w:rPr>
              <w:t>，如有冲突，以</w:t>
            </w:r>
            <w:r>
              <w:rPr>
                <w:rFonts w:hint="eastAsia" w:asciiTheme="minorEastAsia" w:hAnsiTheme="minorEastAsia" w:eastAsiaTheme="minorEastAsia" w:cstheme="minorEastAsia"/>
                <w:color w:val="auto"/>
                <w:kern w:val="0"/>
                <w:sz w:val="24"/>
                <w:highlight w:val="none"/>
                <w:lang w:val="en-US" w:eastAsia="zh-CN"/>
              </w:rPr>
              <w:t>施工图</w:t>
            </w:r>
            <w:r>
              <w:rPr>
                <w:rFonts w:hint="eastAsia" w:asciiTheme="minorEastAsia" w:hAnsiTheme="minorEastAsia" w:eastAsiaTheme="minorEastAsia" w:cstheme="minorEastAsia"/>
                <w:color w:val="auto"/>
                <w:kern w:val="0"/>
                <w:sz w:val="24"/>
                <w:highlight w:val="none"/>
              </w:rPr>
              <w:t>为准。</w:t>
            </w:r>
            <w:r>
              <w:rPr>
                <w:rFonts w:hint="eastAsia" w:asciiTheme="minorEastAsia" w:hAnsiTheme="minorEastAsia" w:eastAsiaTheme="minorEastAsia" w:cstheme="minorEastAsia"/>
                <w:color w:val="auto"/>
                <w:kern w:val="0"/>
                <w:sz w:val="24"/>
                <w:highlight w:val="none"/>
                <w:lang w:val="en-US" w:eastAsia="zh-CN"/>
              </w:rPr>
              <w:t>施工图</w:t>
            </w:r>
            <w:r>
              <w:rPr>
                <w:rFonts w:hint="eastAsia" w:asciiTheme="minorEastAsia" w:hAnsiTheme="minorEastAsia" w:eastAsiaTheme="minorEastAsia" w:cstheme="minorEastAsia"/>
                <w:color w:val="auto"/>
                <w:kern w:val="0"/>
                <w:sz w:val="24"/>
                <w:highlight w:val="none"/>
              </w:rPr>
              <w:t>未有体现的，以</w:t>
            </w:r>
            <w:r>
              <w:rPr>
                <w:rFonts w:hint="eastAsia" w:asciiTheme="minorEastAsia" w:hAnsiTheme="minorEastAsia" w:eastAsiaTheme="minorEastAsia" w:cstheme="minorEastAsia"/>
                <w:color w:val="auto"/>
                <w:kern w:val="0"/>
                <w:sz w:val="24"/>
                <w:highlight w:val="none"/>
                <w:lang w:val="en-US" w:eastAsia="zh-CN"/>
              </w:rPr>
              <w:t>采购</w:t>
            </w:r>
            <w:r>
              <w:rPr>
                <w:rFonts w:hint="eastAsia" w:asciiTheme="minorEastAsia" w:hAnsiTheme="minorEastAsia" w:eastAsiaTheme="minorEastAsia" w:cstheme="minorEastAsia"/>
                <w:color w:val="auto"/>
                <w:kern w:val="0"/>
                <w:sz w:val="24"/>
                <w:highlight w:val="none"/>
              </w:rPr>
              <w:t>清单为准。投标人的报价不止包含“采购清单”表中所列设备，还须包括完成</w:t>
            </w:r>
            <w:r>
              <w:rPr>
                <w:rFonts w:hint="eastAsia" w:asciiTheme="minorEastAsia" w:hAnsiTheme="minorEastAsia" w:eastAsiaTheme="minorEastAsia" w:cstheme="minorEastAsia"/>
                <w:color w:val="auto"/>
                <w:kern w:val="0"/>
                <w:sz w:val="24"/>
                <w:highlight w:val="none"/>
                <w:lang w:val="en-US" w:eastAsia="zh-CN"/>
              </w:rPr>
              <w:t>施工图</w:t>
            </w:r>
            <w:r>
              <w:rPr>
                <w:rFonts w:hint="eastAsia" w:asciiTheme="minorEastAsia" w:hAnsiTheme="minorEastAsia" w:eastAsiaTheme="minorEastAsia" w:cstheme="minorEastAsia"/>
                <w:color w:val="auto"/>
                <w:kern w:val="0"/>
                <w:sz w:val="24"/>
                <w:highlight w:val="none"/>
              </w:rPr>
              <w:t>范围内系统所需要配件、辅助材料，直至系统具备招标中所要求的完整功能，达到设计使用规范，完成验收并移交。如涉及设计签单则另行计算。</w:t>
            </w:r>
          </w:p>
          <w:p w14:paraId="1EBCA182">
            <w:pPr>
              <w:pStyle w:val="2"/>
              <w:spacing w:line="360" w:lineRule="auto"/>
              <w:ind w:firstLine="0" w:firstLineChars="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 xml:space="preserve">、中标人应考虑交货期间内材料等价格上涨因素，中标后的价格将不予调整。  </w:t>
            </w:r>
          </w:p>
        </w:tc>
      </w:tr>
      <w:tr w14:paraId="2AF5930E">
        <w:tblPrEx>
          <w:tblCellMar>
            <w:top w:w="0" w:type="dxa"/>
            <w:left w:w="108" w:type="dxa"/>
            <w:bottom w:w="0" w:type="dxa"/>
            <w:right w:w="108" w:type="dxa"/>
          </w:tblCellMar>
        </w:tblPrEx>
        <w:trPr>
          <w:trHeight w:val="1809" w:hRule="atLeast"/>
        </w:trPr>
        <w:tc>
          <w:tcPr>
            <w:tcW w:w="1936" w:type="dxa"/>
            <w:tcBorders>
              <w:top w:val="single" w:color="000000" w:sz="4" w:space="0"/>
              <w:left w:val="single" w:color="000000" w:sz="4" w:space="0"/>
              <w:bottom w:val="single" w:color="000000" w:sz="4" w:space="0"/>
              <w:right w:val="single" w:color="000000" w:sz="4" w:space="0"/>
            </w:tcBorders>
            <w:noWrap w:val="0"/>
            <w:vAlign w:val="center"/>
          </w:tcPr>
          <w:p w14:paraId="20FD31FA">
            <w:pPr>
              <w:tabs>
                <w:tab w:val="left" w:pos="0"/>
              </w:tabs>
              <w:adjustRightInd w:val="0"/>
              <w:snapToGrid w:val="0"/>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付款条件</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6D258410">
            <w:pPr>
              <w:pStyle w:val="2"/>
              <w:spacing w:line="360" w:lineRule="auto"/>
              <w:ind w:firstLine="0" w:firstLineChars="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合同签订后</w:t>
            </w: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个工作日内支付合同金额的</w:t>
            </w:r>
            <w:r>
              <w:rPr>
                <w:rFonts w:hint="eastAsia" w:asciiTheme="minorEastAsia" w:hAnsiTheme="minorEastAsia" w:eastAsiaTheme="minorEastAsia" w:cstheme="minorEastAsia"/>
                <w:color w:val="auto"/>
                <w:kern w:val="0"/>
                <w:sz w:val="24"/>
                <w:highlight w:val="none"/>
                <w:lang w:val="en-US" w:eastAsia="zh-CN"/>
              </w:rPr>
              <w:t>20</w:t>
            </w:r>
            <w:r>
              <w:rPr>
                <w:rFonts w:hint="eastAsia" w:asciiTheme="minorEastAsia" w:hAnsiTheme="minorEastAsia" w:eastAsiaTheme="minorEastAsia" w:cstheme="minorEastAsia"/>
                <w:color w:val="auto"/>
                <w:kern w:val="0"/>
                <w:sz w:val="24"/>
                <w:highlight w:val="none"/>
              </w:rPr>
              <w:t>%作为预付款；项目安装完成并验收合格后甲方向乙方支付至合同价的80%，审计结算完成后支付至审计价的95%，余款在质保期满后付清。</w:t>
            </w:r>
          </w:p>
          <w:p w14:paraId="1D6B0AFE">
            <w:pPr>
              <w:pStyle w:val="2"/>
              <w:spacing w:line="360" w:lineRule="auto"/>
              <w:ind w:firstLine="0" w:firstLineChars="0"/>
              <w:rPr>
                <w:rFonts w:hint="eastAsia" w:eastAsiaTheme="minorEastAsia"/>
                <w:color w:val="auto"/>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注：支付款项时中标人需提供本项目全额增值税专用发票。</w:t>
            </w:r>
          </w:p>
        </w:tc>
      </w:tr>
      <w:tr w14:paraId="3EF4AF1A">
        <w:tblPrEx>
          <w:tblCellMar>
            <w:top w:w="0" w:type="dxa"/>
            <w:left w:w="108" w:type="dxa"/>
            <w:bottom w:w="0" w:type="dxa"/>
            <w:right w:w="108" w:type="dxa"/>
          </w:tblCellMar>
        </w:tblPrEx>
        <w:trPr>
          <w:trHeight w:val="2599" w:hRule="atLeast"/>
        </w:trPr>
        <w:tc>
          <w:tcPr>
            <w:tcW w:w="1936" w:type="dxa"/>
            <w:tcBorders>
              <w:top w:val="single" w:color="000000" w:sz="4" w:space="0"/>
              <w:left w:val="single" w:color="000000" w:sz="4" w:space="0"/>
              <w:bottom w:val="single" w:color="000000" w:sz="4" w:space="0"/>
              <w:right w:val="single" w:color="000000" w:sz="4" w:space="0"/>
            </w:tcBorders>
            <w:noWrap w:val="0"/>
            <w:vAlign w:val="center"/>
          </w:tcPr>
          <w:p w14:paraId="24D72AD5">
            <w:pPr>
              <w:tabs>
                <w:tab w:val="left" w:pos="0"/>
              </w:tabs>
              <w:adjustRightInd w:val="0"/>
              <w:snapToGrid w:val="0"/>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履约保证金</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49F367CF">
            <w:pPr>
              <w:tabs>
                <w:tab w:val="left" w:pos="0"/>
              </w:tabs>
              <w:adjustRightInd w:val="0"/>
              <w:snapToGrid w:val="0"/>
              <w:spacing w:line="360" w:lineRule="auto"/>
              <w:jc w:val="both"/>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eastAsia="zh-CN"/>
              </w:rPr>
              <w:t>履约保证金形式：电汇、银行保函、保险公司保函。</w:t>
            </w:r>
          </w:p>
          <w:p w14:paraId="74DB5E5B">
            <w:pPr>
              <w:tabs>
                <w:tab w:val="left" w:pos="0"/>
              </w:tabs>
              <w:adjustRightInd w:val="0"/>
              <w:snapToGrid w:val="0"/>
              <w:spacing w:line="360" w:lineRule="auto"/>
              <w:jc w:val="both"/>
              <w:rPr>
                <w:rFonts w:hint="eastAsia" w:asciiTheme="minorEastAsia" w:hAnsiTheme="minorEastAsia" w:eastAsiaTheme="minorEastAsia" w:cstheme="minorEastAsia"/>
                <w:color w:val="auto"/>
                <w:kern w:val="0"/>
                <w:sz w:val="24"/>
                <w:highlight w:val="yellow"/>
                <w:lang w:eastAsia="zh-CN"/>
              </w:rPr>
            </w:pPr>
            <w:r>
              <w:rPr>
                <w:rFonts w:hint="eastAsia" w:asciiTheme="minorEastAsia" w:hAnsiTheme="minorEastAsia" w:eastAsiaTheme="minorEastAsia" w:cstheme="minorEastAsia"/>
                <w:color w:val="auto"/>
                <w:kern w:val="0"/>
                <w:sz w:val="24"/>
                <w:highlight w:val="none"/>
                <w:lang w:eastAsia="zh-CN"/>
              </w:rPr>
              <w:t>履约保证金</w:t>
            </w:r>
            <w:r>
              <w:rPr>
                <w:rFonts w:hint="eastAsia" w:asciiTheme="minorEastAsia" w:hAnsiTheme="minorEastAsia" w:eastAsiaTheme="minorEastAsia" w:cstheme="minorEastAsia"/>
                <w:color w:val="auto"/>
                <w:kern w:val="0"/>
                <w:sz w:val="24"/>
                <w:highlight w:val="none"/>
                <w:lang w:val="en-US" w:eastAsia="zh-CN"/>
              </w:rPr>
              <w:t>金额</w:t>
            </w:r>
            <w:r>
              <w:rPr>
                <w:rFonts w:hint="eastAsia" w:asciiTheme="minorEastAsia" w:hAnsiTheme="minorEastAsia" w:eastAsiaTheme="minorEastAsia" w:cstheme="minorEastAsia"/>
                <w:color w:val="auto"/>
                <w:kern w:val="0"/>
                <w:sz w:val="24"/>
                <w:highlight w:val="none"/>
                <w:lang w:eastAsia="zh-CN"/>
              </w:rPr>
              <w:t>：按合同总金额的</w:t>
            </w:r>
            <w:r>
              <w:rPr>
                <w:rFonts w:hint="eastAsia" w:asciiTheme="minorEastAsia" w:hAnsiTheme="minorEastAsia" w:eastAsiaTheme="minorEastAsia" w:cstheme="minorEastAsia"/>
                <w:color w:val="auto"/>
                <w:kern w:val="0"/>
                <w:sz w:val="24"/>
                <w:highlight w:val="none"/>
                <w:lang w:val="en-US" w:eastAsia="zh-CN"/>
              </w:rPr>
              <w:t>2.5</w:t>
            </w:r>
            <w:r>
              <w:rPr>
                <w:rFonts w:hint="eastAsia" w:asciiTheme="minorEastAsia" w:hAnsiTheme="minorEastAsia" w:eastAsiaTheme="minorEastAsia" w:cstheme="minorEastAsia"/>
                <w:color w:val="auto"/>
                <w:kern w:val="0"/>
                <w:sz w:val="24"/>
                <w:highlight w:val="none"/>
                <w:lang w:eastAsia="zh-CN"/>
              </w:rPr>
              <w:t>%计收。</w:t>
            </w:r>
          </w:p>
          <w:p w14:paraId="1D96C6A8">
            <w:pPr>
              <w:tabs>
                <w:tab w:val="left" w:pos="0"/>
              </w:tabs>
              <w:adjustRightInd w:val="0"/>
              <w:snapToGrid w:val="0"/>
              <w:spacing w:line="360" w:lineRule="auto"/>
              <w:jc w:val="both"/>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提交时间：</w:t>
            </w:r>
            <w:r>
              <w:rPr>
                <w:rFonts w:hint="eastAsia" w:asciiTheme="minorEastAsia" w:hAnsiTheme="minorEastAsia" w:eastAsiaTheme="minorEastAsia" w:cstheme="minorEastAsia"/>
                <w:color w:val="auto"/>
                <w:kern w:val="0"/>
                <w:sz w:val="24"/>
                <w:highlight w:val="none"/>
                <w:lang w:eastAsia="zh-CN"/>
              </w:rPr>
              <w:t>保证金在签订本</w:t>
            </w:r>
            <w:r>
              <w:rPr>
                <w:rFonts w:hint="eastAsia" w:asciiTheme="minorEastAsia" w:hAnsiTheme="minorEastAsia" w:eastAsiaTheme="minorEastAsia" w:cstheme="minorEastAsia"/>
                <w:color w:val="auto"/>
                <w:kern w:val="0"/>
                <w:sz w:val="24"/>
                <w:highlight w:val="none"/>
                <w:lang w:val="en-US" w:eastAsia="zh-CN"/>
              </w:rPr>
              <w:t>项目</w:t>
            </w:r>
            <w:r>
              <w:rPr>
                <w:rFonts w:hint="eastAsia" w:asciiTheme="minorEastAsia" w:hAnsiTheme="minorEastAsia" w:eastAsiaTheme="minorEastAsia" w:cstheme="minorEastAsia"/>
                <w:color w:val="auto"/>
                <w:kern w:val="0"/>
                <w:sz w:val="24"/>
                <w:highlight w:val="none"/>
                <w:lang w:eastAsia="zh-CN"/>
              </w:rPr>
              <w:t>合同前提交；银行保函、保险公司保函在签订本</w:t>
            </w:r>
            <w:r>
              <w:rPr>
                <w:rFonts w:hint="eastAsia" w:asciiTheme="minorEastAsia" w:hAnsiTheme="minorEastAsia" w:eastAsiaTheme="minorEastAsia" w:cstheme="minorEastAsia"/>
                <w:color w:val="auto"/>
                <w:kern w:val="0"/>
                <w:sz w:val="24"/>
                <w:highlight w:val="none"/>
                <w:lang w:val="en-US" w:eastAsia="zh-CN"/>
              </w:rPr>
              <w:t>项目</w:t>
            </w:r>
            <w:r>
              <w:rPr>
                <w:rFonts w:hint="eastAsia" w:asciiTheme="minorEastAsia" w:hAnsiTheme="minorEastAsia" w:eastAsiaTheme="minorEastAsia" w:cstheme="minorEastAsia"/>
                <w:color w:val="auto"/>
                <w:kern w:val="0"/>
                <w:sz w:val="24"/>
                <w:highlight w:val="none"/>
                <w:lang w:eastAsia="zh-CN"/>
              </w:rPr>
              <w:t>合同后</w:t>
            </w:r>
            <w:r>
              <w:rPr>
                <w:rFonts w:hint="eastAsia" w:asciiTheme="minorEastAsia" w:hAnsiTheme="minorEastAsia" w:eastAsiaTheme="minorEastAsia" w:cstheme="minorEastAsia"/>
                <w:color w:val="auto"/>
                <w:kern w:val="0"/>
                <w:sz w:val="24"/>
                <w:highlight w:val="none"/>
                <w:lang w:val="en-US" w:eastAsia="zh-CN"/>
              </w:rPr>
              <w:t>7日内提交；</w:t>
            </w:r>
          </w:p>
          <w:p w14:paraId="43976373">
            <w:pPr>
              <w:tabs>
                <w:tab w:val="left" w:pos="0"/>
              </w:tabs>
              <w:adjustRightInd w:val="0"/>
              <w:snapToGrid w:val="0"/>
              <w:spacing w:line="360" w:lineRule="auto"/>
              <w:jc w:val="both"/>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退还时间：在</w:t>
            </w:r>
            <w:r>
              <w:rPr>
                <w:rFonts w:hint="eastAsia" w:asciiTheme="minorEastAsia" w:hAnsiTheme="minorEastAsia" w:eastAsiaTheme="minorEastAsia" w:cstheme="minorEastAsia"/>
                <w:color w:val="auto"/>
                <w:kern w:val="0"/>
                <w:sz w:val="24"/>
                <w:highlight w:val="none"/>
                <w:lang w:eastAsia="zh-CN"/>
              </w:rPr>
              <w:t>合同履行完毕（验收合格并</w:t>
            </w:r>
            <w:r>
              <w:rPr>
                <w:rFonts w:hint="eastAsia" w:asciiTheme="minorEastAsia" w:hAnsiTheme="minorEastAsia" w:eastAsiaTheme="minorEastAsia" w:cstheme="minorEastAsia"/>
                <w:color w:val="auto"/>
                <w:kern w:val="0"/>
                <w:sz w:val="24"/>
                <w:highlight w:val="none"/>
              </w:rPr>
              <w:t>审核确认</w:t>
            </w:r>
            <w:r>
              <w:rPr>
                <w:rFonts w:hint="eastAsia" w:asciiTheme="minorEastAsia" w:hAnsiTheme="minorEastAsia" w:eastAsiaTheme="minorEastAsia" w:cstheme="minorEastAsia"/>
                <w:color w:val="auto"/>
                <w:kern w:val="0"/>
                <w:sz w:val="24"/>
                <w:highlight w:val="none"/>
                <w:lang w:val="en-US" w:eastAsia="zh-CN"/>
              </w:rPr>
              <w:t>完成</w:t>
            </w:r>
            <w:r>
              <w:rPr>
                <w:rFonts w:hint="eastAsia" w:asciiTheme="minorEastAsia" w:hAnsiTheme="minorEastAsia" w:eastAsiaTheme="minorEastAsia" w:cstheme="minorEastAsia"/>
                <w:color w:val="auto"/>
                <w:kern w:val="0"/>
                <w:sz w:val="24"/>
                <w:highlight w:val="none"/>
                <w:lang w:eastAsia="zh-CN"/>
              </w:rPr>
              <w:t>）退还。</w:t>
            </w:r>
          </w:p>
        </w:tc>
      </w:tr>
      <w:tr w14:paraId="4CBB6F7E">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noWrap w:val="0"/>
            <w:vAlign w:val="center"/>
          </w:tcPr>
          <w:p w14:paraId="38E944C8">
            <w:pPr>
              <w:tabs>
                <w:tab w:val="left" w:pos="0"/>
              </w:tabs>
              <w:adjustRightInd w:val="0"/>
              <w:snapToGrid w:val="0"/>
              <w:spacing w:line="360" w:lineRule="auto"/>
              <w:jc w:val="center"/>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工期及</w:t>
            </w:r>
            <w:r>
              <w:rPr>
                <w:rFonts w:hint="eastAsia" w:asciiTheme="minorEastAsia" w:hAnsiTheme="minorEastAsia" w:eastAsiaTheme="minorEastAsia" w:cstheme="minorEastAsia"/>
                <w:color w:val="auto"/>
                <w:kern w:val="0"/>
                <w:sz w:val="24"/>
                <w:highlight w:val="none"/>
                <w:lang w:eastAsia="zh-CN"/>
              </w:rPr>
              <w:t>交货地点</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23207553">
            <w:pPr>
              <w:tabs>
                <w:tab w:val="left" w:pos="0"/>
              </w:tabs>
              <w:adjustRightInd w:val="0"/>
              <w:snapToGrid w:val="0"/>
              <w:spacing w:line="360" w:lineRule="auto"/>
              <w:jc w:val="both"/>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eastAsia="zh-CN"/>
              </w:rPr>
              <w:t>接到业主通知后45日历天内完工并通过验收。</w:t>
            </w:r>
          </w:p>
          <w:p w14:paraId="66C7861B">
            <w:pPr>
              <w:tabs>
                <w:tab w:val="left" w:pos="0"/>
              </w:tabs>
              <w:adjustRightInd w:val="0"/>
              <w:snapToGrid w:val="0"/>
              <w:spacing w:line="360" w:lineRule="auto"/>
              <w:jc w:val="both"/>
              <w:rPr>
                <w:rFonts w:hint="default"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eastAsia="zh-CN"/>
              </w:rPr>
              <w:t>地点：业主指定地点。</w:t>
            </w:r>
          </w:p>
        </w:tc>
      </w:tr>
      <w:tr w14:paraId="25D663D7">
        <w:tblPrEx>
          <w:tblCellMar>
            <w:top w:w="0" w:type="dxa"/>
            <w:left w:w="108" w:type="dxa"/>
            <w:bottom w:w="0" w:type="dxa"/>
            <w:right w:w="108" w:type="dxa"/>
          </w:tblCellMar>
        </w:tblPrEx>
        <w:trPr>
          <w:trHeight w:val="870" w:hRule="atLeast"/>
        </w:trPr>
        <w:tc>
          <w:tcPr>
            <w:tcW w:w="1936" w:type="dxa"/>
            <w:tcBorders>
              <w:top w:val="single" w:color="000000" w:sz="4" w:space="0"/>
              <w:left w:val="single" w:color="000000" w:sz="4" w:space="0"/>
              <w:bottom w:val="single" w:color="000000" w:sz="4" w:space="0"/>
              <w:right w:val="single" w:color="000000" w:sz="4" w:space="0"/>
            </w:tcBorders>
            <w:noWrap w:val="0"/>
            <w:vAlign w:val="center"/>
          </w:tcPr>
          <w:p w14:paraId="2DFDA8CF">
            <w:pPr>
              <w:tabs>
                <w:tab w:val="left" w:pos="0"/>
              </w:tabs>
              <w:adjustRightInd w:val="0"/>
              <w:snapToGrid w:val="0"/>
              <w:spacing w:line="360" w:lineRule="auto"/>
              <w:jc w:val="center"/>
              <w:rPr>
                <w:rFonts w:hint="default" w:asciiTheme="minorEastAsia" w:hAnsiTheme="minorEastAsia" w:eastAsiaTheme="minorEastAsia" w:cstheme="minorEastAsia"/>
                <w:color w:val="auto"/>
                <w:kern w:val="0"/>
                <w:sz w:val="24"/>
                <w:highlight w:val="none"/>
                <w:lang w:val="en-US"/>
              </w:rPr>
            </w:pPr>
            <w:r>
              <w:rPr>
                <w:rFonts w:hint="eastAsia" w:asciiTheme="minorEastAsia" w:hAnsiTheme="minorEastAsia" w:eastAsiaTheme="minorEastAsia" w:cstheme="minorEastAsia"/>
                <w:color w:val="auto"/>
                <w:kern w:val="0"/>
                <w:sz w:val="24"/>
                <w:highlight w:val="none"/>
                <w:lang w:eastAsia="zh-CN"/>
              </w:rPr>
              <w:t>质保期</w:t>
            </w:r>
            <w:r>
              <w:rPr>
                <w:rFonts w:hint="eastAsia" w:asciiTheme="minorEastAsia" w:hAnsiTheme="minorEastAsia" w:eastAsiaTheme="minorEastAsia" w:cstheme="minorEastAsia"/>
                <w:color w:val="auto"/>
                <w:kern w:val="0"/>
                <w:sz w:val="24"/>
                <w:highlight w:val="none"/>
                <w:lang w:val="en-US" w:eastAsia="zh-CN"/>
              </w:rPr>
              <w:t>及售后服务</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6C95D7A6">
            <w:pPr>
              <w:tabs>
                <w:tab w:val="left" w:pos="0"/>
              </w:tabs>
              <w:adjustRightInd w:val="0"/>
              <w:snapToGrid w:val="0"/>
              <w:spacing w:line="360" w:lineRule="auto"/>
              <w:jc w:val="both"/>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eastAsia="zh-CN"/>
              </w:rPr>
              <w:t>1、质保期：项目验收合格移交之日起</w:t>
            </w:r>
            <w:r>
              <w:rPr>
                <w:rFonts w:hint="eastAsia" w:asciiTheme="minorEastAsia" w:hAnsiTheme="minorEastAsia" w:eastAsiaTheme="minorEastAsia" w:cstheme="minorEastAsia"/>
                <w:color w:val="auto"/>
                <w:kern w:val="0"/>
                <w:sz w:val="24"/>
                <w:highlight w:val="none"/>
                <w:lang w:val="en-US" w:eastAsia="zh-CN"/>
              </w:rPr>
              <w:t>2年</w:t>
            </w:r>
            <w:r>
              <w:rPr>
                <w:rFonts w:hint="eastAsia" w:asciiTheme="minorEastAsia" w:hAnsiTheme="minorEastAsia" w:eastAsiaTheme="minorEastAsia" w:cstheme="minorEastAsia"/>
                <w:color w:val="auto"/>
                <w:kern w:val="0"/>
                <w:sz w:val="24"/>
                <w:highlight w:val="none"/>
                <w:lang w:eastAsia="zh-CN"/>
              </w:rPr>
              <w:t>。</w:t>
            </w:r>
          </w:p>
          <w:p w14:paraId="3E7DA257">
            <w:pPr>
              <w:tabs>
                <w:tab w:val="left" w:pos="0"/>
              </w:tabs>
              <w:adjustRightInd w:val="0"/>
              <w:snapToGrid w:val="0"/>
              <w:spacing w:line="360" w:lineRule="auto"/>
              <w:jc w:val="both"/>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eastAsia="zh-CN"/>
              </w:rPr>
              <w:t>质保期内被免费更换的零部件质量保证：自更换之日起计</w:t>
            </w:r>
            <w:r>
              <w:rPr>
                <w:rFonts w:hint="eastAsia" w:asciiTheme="minorEastAsia" w:hAnsiTheme="minorEastAsia" w:eastAsiaTheme="minorEastAsia" w:cstheme="minorEastAsia"/>
                <w:color w:val="auto"/>
                <w:kern w:val="0"/>
                <w:sz w:val="24"/>
                <w:highlight w:val="none"/>
                <w:lang w:val="en-US" w:eastAsia="zh-CN"/>
              </w:rPr>
              <w:t>2年</w:t>
            </w:r>
            <w:r>
              <w:rPr>
                <w:rFonts w:hint="eastAsia" w:asciiTheme="minorEastAsia" w:hAnsiTheme="minorEastAsia" w:eastAsiaTheme="minorEastAsia" w:cstheme="minorEastAsia"/>
                <w:color w:val="auto"/>
                <w:kern w:val="0"/>
                <w:sz w:val="24"/>
                <w:highlight w:val="none"/>
                <w:lang w:eastAsia="zh-CN"/>
              </w:rPr>
              <w:t>。</w:t>
            </w:r>
          </w:p>
          <w:p w14:paraId="42958783">
            <w:pPr>
              <w:tabs>
                <w:tab w:val="left" w:pos="0"/>
              </w:tabs>
              <w:adjustRightInd w:val="0"/>
              <w:snapToGrid w:val="0"/>
              <w:spacing w:line="360" w:lineRule="auto"/>
              <w:jc w:val="both"/>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eastAsia="zh-CN"/>
              </w:rPr>
              <w:t>2、接到要求提供服务的电话（或传真）后立即做出响应。60分钟内派出合格的服务人员到达业主设备使用现场。一般故障4小时内修复，重大故障12小时内修复。规定时间内不能修复的免费提供同档次产品供甲方使用。</w:t>
            </w:r>
          </w:p>
        </w:tc>
      </w:tr>
      <w:tr w14:paraId="44065A96">
        <w:tblPrEx>
          <w:tblCellMar>
            <w:top w:w="0" w:type="dxa"/>
            <w:left w:w="108" w:type="dxa"/>
            <w:bottom w:w="0" w:type="dxa"/>
            <w:right w:w="108" w:type="dxa"/>
          </w:tblCellMar>
        </w:tblPrEx>
        <w:tc>
          <w:tcPr>
            <w:tcW w:w="1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F2760">
            <w:pPr>
              <w:tabs>
                <w:tab w:val="left" w:pos="0"/>
              </w:tabs>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rPr>
              <w:t>合同终止</w:t>
            </w:r>
          </w:p>
        </w:tc>
        <w:tc>
          <w:tcPr>
            <w:tcW w:w="7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F82DB">
            <w:pPr>
              <w:tabs>
                <w:tab w:val="left" w:pos="0"/>
              </w:tabs>
              <w:adjustRightInd w:val="0"/>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（一）未能使合同货物达到合同附件规定的技术性能和指标的；</w:t>
            </w:r>
          </w:p>
          <w:p w14:paraId="48D7768E">
            <w:pPr>
              <w:tabs>
                <w:tab w:val="left" w:pos="0"/>
              </w:tabs>
              <w:adjustRightInd w:val="0"/>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（二）未能在合同规定的期限（或采购人同意延长的最终期限）内提供全部或部分货物的；</w:t>
            </w:r>
          </w:p>
          <w:p w14:paraId="4DA1CC2F">
            <w:pPr>
              <w:tabs>
                <w:tab w:val="left" w:pos="0"/>
              </w:tabs>
              <w:adjustRightInd w:val="0"/>
              <w:snapToGrid w:val="0"/>
              <w:spacing w:line="360" w:lineRule="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rPr>
              <w:t>（三）未能履行合同规定的其它义务。</w:t>
            </w:r>
          </w:p>
        </w:tc>
      </w:tr>
    </w:tbl>
    <w:p w14:paraId="297CE080">
      <w:pPr>
        <w:keepNext w:val="0"/>
        <w:keepLines w:val="0"/>
        <w:pageBreakBefore w:val="0"/>
        <w:widowControl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24"/>
          <w:highlight w:val="none"/>
        </w:rPr>
        <w:br w:type="page"/>
      </w:r>
      <w:r>
        <w:rPr>
          <w:rFonts w:hint="eastAsia" w:asciiTheme="minorEastAsia" w:hAnsiTheme="minorEastAsia" w:eastAsiaTheme="minorEastAsia" w:cstheme="minorEastAsia"/>
          <w:b/>
          <w:color w:val="auto"/>
          <w:sz w:val="36"/>
          <w:szCs w:val="36"/>
          <w:highlight w:val="none"/>
        </w:rPr>
        <w:t xml:space="preserve">第四部分   </w:t>
      </w:r>
      <w:bookmarkStart w:id="28" w:name="_Toc184312093"/>
      <w:bookmarkEnd w:id="28"/>
      <w:bookmarkStart w:id="29" w:name="_Toc184312095"/>
      <w:bookmarkEnd w:id="29"/>
      <w:bookmarkStart w:id="30" w:name="_Toc184313299"/>
      <w:bookmarkEnd w:id="30"/>
      <w:bookmarkStart w:id="31" w:name="_Toc184312119"/>
      <w:bookmarkEnd w:id="31"/>
      <w:bookmarkStart w:id="32" w:name="_Toc184310329"/>
      <w:bookmarkEnd w:id="32"/>
      <w:bookmarkStart w:id="33" w:name="_Toc184312072"/>
      <w:bookmarkEnd w:id="33"/>
      <w:bookmarkStart w:id="34" w:name="_Toc184310272"/>
      <w:bookmarkEnd w:id="34"/>
      <w:bookmarkStart w:id="35" w:name="_Toc184314475"/>
      <w:bookmarkEnd w:id="35"/>
      <w:bookmarkStart w:id="36" w:name="_Toc184313309"/>
      <w:bookmarkEnd w:id="36"/>
      <w:bookmarkStart w:id="37" w:name="_Toc184314465"/>
      <w:bookmarkEnd w:id="37"/>
      <w:bookmarkStart w:id="38" w:name="_Toc184313288"/>
      <w:bookmarkEnd w:id="38"/>
      <w:bookmarkStart w:id="39" w:name="_Toc184308046"/>
      <w:bookmarkEnd w:id="39"/>
      <w:bookmarkStart w:id="40" w:name="_Toc184313279"/>
      <w:bookmarkEnd w:id="40"/>
      <w:bookmarkStart w:id="41" w:name="_Toc184308085"/>
      <w:bookmarkEnd w:id="41"/>
      <w:bookmarkStart w:id="42" w:name="_Toc184312097"/>
      <w:bookmarkEnd w:id="42"/>
      <w:bookmarkStart w:id="43" w:name="_Toc184314479"/>
      <w:bookmarkEnd w:id="43"/>
      <w:bookmarkStart w:id="44" w:name="_Toc184313300"/>
      <w:bookmarkEnd w:id="44"/>
      <w:bookmarkStart w:id="45" w:name="_Toc184313291"/>
      <w:bookmarkEnd w:id="45"/>
      <w:bookmarkStart w:id="46" w:name="_Toc184312120"/>
      <w:bookmarkEnd w:id="46"/>
      <w:bookmarkStart w:id="47" w:name="_Toc184312089"/>
      <w:bookmarkEnd w:id="47"/>
      <w:bookmarkStart w:id="48" w:name="_Toc184314467"/>
      <w:bookmarkEnd w:id="48"/>
      <w:bookmarkStart w:id="49" w:name="_Toc184313285"/>
      <w:bookmarkEnd w:id="49"/>
      <w:bookmarkStart w:id="50" w:name="_Toc184310316"/>
      <w:bookmarkEnd w:id="50"/>
      <w:bookmarkStart w:id="51" w:name="_Toc184310299"/>
      <w:bookmarkEnd w:id="51"/>
      <w:bookmarkStart w:id="52" w:name="_Toc184314462"/>
      <w:bookmarkEnd w:id="52"/>
      <w:bookmarkStart w:id="53" w:name="_Toc184310312"/>
      <w:bookmarkEnd w:id="53"/>
      <w:bookmarkStart w:id="54" w:name="_Toc184308077"/>
      <w:bookmarkEnd w:id="54"/>
      <w:bookmarkStart w:id="55" w:name="_Toc184310274"/>
      <w:bookmarkEnd w:id="55"/>
      <w:bookmarkStart w:id="56" w:name="_Toc184313271"/>
      <w:bookmarkEnd w:id="56"/>
      <w:bookmarkStart w:id="57" w:name="_Toc184314447"/>
      <w:bookmarkEnd w:id="57"/>
      <w:bookmarkStart w:id="58" w:name="_Toc184313250"/>
      <w:bookmarkEnd w:id="58"/>
      <w:bookmarkStart w:id="59" w:name="_Toc184310278"/>
      <w:bookmarkEnd w:id="59"/>
      <w:bookmarkStart w:id="60" w:name="_Toc184312139"/>
      <w:bookmarkEnd w:id="60"/>
      <w:bookmarkStart w:id="61" w:name="_Toc184310276"/>
      <w:bookmarkEnd w:id="61"/>
      <w:bookmarkStart w:id="62" w:name="_Toc184314422"/>
      <w:bookmarkEnd w:id="62"/>
      <w:bookmarkStart w:id="63" w:name="_Toc184312115"/>
      <w:bookmarkEnd w:id="63"/>
      <w:bookmarkStart w:id="64" w:name="_Toc184313304"/>
      <w:bookmarkEnd w:id="64"/>
      <w:bookmarkStart w:id="65" w:name="_Toc184310311"/>
      <w:bookmarkEnd w:id="65"/>
      <w:bookmarkStart w:id="66" w:name="_Toc184314427"/>
      <w:bookmarkEnd w:id="66"/>
      <w:bookmarkStart w:id="67" w:name="_Toc184312099"/>
      <w:bookmarkEnd w:id="67"/>
      <w:bookmarkStart w:id="68" w:name="_Toc184308042"/>
      <w:bookmarkEnd w:id="68"/>
      <w:bookmarkStart w:id="69" w:name="_Toc184314421"/>
      <w:bookmarkEnd w:id="69"/>
      <w:bookmarkStart w:id="70" w:name="_Toc184312096"/>
      <w:bookmarkEnd w:id="70"/>
      <w:bookmarkStart w:id="71" w:name="_Toc184310302"/>
      <w:bookmarkEnd w:id="71"/>
      <w:bookmarkStart w:id="72" w:name="_Toc184310322"/>
      <w:bookmarkEnd w:id="72"/>
      <w:bookmarkStart w:id="73" w:name="_Toc184313302"/>
      <w:bookmarkEnd w:id="73"/>
      <w:bookmarkStart w:id="74" w:name="_Toc184312100"/>
      <w:bookmarkEnd w:id="74"/>
      <w:bookmarkStart w:id="75" w:name="_Toc184308062"/>
      <w:bookmarkEnd w:id="75"/>
      <w:bookmarkStart w:id="76" w:name="_Toc184308091"/>
      <w:bookmarkEnd w:id="76"/>
      <w:bookmarkStart w:id="77" w:name="_Toc184314415"/>
      <w:bookmarkEnd w:id="77"/>
      <w:bookmarkStart w:id="78" w:name="_Toc184312092"/>
      <w:bookmarkEnd w:id="78"/>
      <w:bookmarkStart w:id="79" w:name="_Toc184308082"/>
      <w:bookmarkEnd w:id="79"/>
      <w:bookmarkStart w:id="80" w:name="_Toc184308093"/>
      <w:bookmarkEnd w:id="80"/>
      <w:bookmarkStart w:id="81" w:name="_Toc184314423"/>
      <w:bookmarkEnd w:id="81"/>
      <w:bookmarkStart w:id="82" w:name="_Toc184308059"/>
      <w:bookmarkEnd w:id="82"/>
      <w:bookmarkStart w:id="83" w:name="_Toc184310341"/>
      <w:bookmarkEnd w:id="83"/>
      <w:bookmarkStart w:id="84" w:name="_Toc184308048"/>
      <w:bookmarkEnd w:id="84"/>
      <w:bookmarkStart w:id="85" w:name="_Toc184313243"/>
      <w:bookmarkEnd w:id="85"/>
      <w:bookmarkStart w:id="86" w:name="_Toc184313281"/>
      <w:bookmarkEnd w:id="86"/>
      <w:bookmarkStart w:id="87" w:name="_Toc184312087"/>
      <w:bookmarkEnd w:id="87"/>
      <w:bookmarkStart w:id="88" w:name="_Toc184308092"/>
      <w:bookmarkEnd w:id="88"/>
      <w:bookmarkStart w:id="89" w:name="_Toc184314480"/>
      <w:bookmarkEnd w:id="89"/>
      <w:bookmarkStart w:id="90" w:name="_Toc184312107"/>
      <w:bookmarkEnd w:id="90"/>
      <w:bookmarkStart w:id="91" w:name="_Toc184308089"/>
      <w:bookmarkEnd w:id="91"/>
      <w:bookmarkStart w:id="92" w:name="_Toc184313277"/>
      <w:bookmarkEnd w:id="92"/>
      <w:bookmarkStart w:id="93" w:name="_Toc184313295"/>
      <w:bookmarkEnd w:id="93"/>
      <w:bookmarkStart w:id="94" w:name="_Toc184308065"/>
      <w:bookmarkEnd w:id="94"/>
      <w:bookmarkStart w:id="95" w:name="_Toc184308102"/>
      <w:bookmarkEnd w:id="95"/>
      <w:bookmarkStart w:id="96" w:name="_Toc184314444"/>
      <w:bookmarkEnd w:id="96"/>
      <w:bookmarkStart w:id="97" w:name="_Toc184314425"/>
      <w:bookmarkEnd w:id="97"/>
      <w:bookmarkStart w:id="98" w:name="_Toc184313265"/>
      <w:bookmarkEnd w:id="98"/>
      <w:bookmarkStart w:id="99" w:name="_Toc184310343"/>
      <w:bookmarkEnd w:id="99"/>
      <w:bookmarkStart w:id="100" w:name="_Toc184312102"/>
      <w:bookmarkEnd w:id="100"/>
      <w:bookmarkStart w:id="101" w:name="_Toc184308063"/>
      <w:bookmarkEnd w:id="101"/>
      <w:bookmarkStart w:id="102" w:name="_Toc184312130"/>
      <w:bookmarkEnd w:id="102"/>
      <w:bookmarkStart w:id="103" w:name="_Toc184312077"/>
      <w:bookmarkEnd w:id="103"/>
      <w:bookmarkStart w:id="104" w:name="_Toc184312118"/>
      <w:bookmarkEnd w:id="104"/>
      <w:bookmarkStart w:id="105" w:name="_Toc184312105"/>
      <w:bookmarkEnd w:id="105"/>
      <w:bookmarkStart w:id="106" w:name="_Toc184314456"/>
      <w:bookmarkEnd w:id="106"/>
      <w:bookmarkStart w:id="107" w:name="_Toc184313262"/>
      <w:bookmarkEnd w:id="107"/>
      <w:bookmarkStart w:id="108" w:name="_Toc184314450"/>
      <w:bookmarkEnd w:id="108"/>
      <w:bookmarkStart w:id="109" w:name="_Toc184310344"/>
      <w:bookmarkEnd w:id="109"/>
      <w:bookmarkStart w:id="110" w:name="_Toc184314417"/>
      <w:bookmarkEnd w:id="110"/>
      <w:bookmarkStart w:id="111" w:name="_Toc184313242"/>
      <w:bookmarkEnd w:id="111"/>
      <w:bookmarkStart w:id="112" w:name="_Toc184314418"/>
      <w:bookmarkEnd w:id="112"/>
      <w:bookmarkStart w:id="113" w:name="_Toc184312126"/>
      <w:bookmarkEnd w:id="113"/>
      <w:bookmarkStart w:id="114" w:name="_Toc184312084"/>
      <w:bookmarkEnd w:id="114"/>
      <w:bookmarkStart w:id="115" w:name="_Toc184314452"/>
      <w:bookmarkEnd w:id="115"/>
      <w:bookmarkStart w:id="116" w:name="_Toc184308060"/>
      <w:bookmarkEnd w:id="116"/>
      <w:bookmarkStart w:id="117" w:name="_Toc184314411"/>
      <w:bookmarkEnd w:id="117"/>
      <w:bookmarkStart w:id="118" w:name="_Toc184313308"/>
      <w:bookmarkEnd w:id="118"/>
      <w:bookmarkStart w:id="119" w:name="_Toc184313249"/>
      <w:bookmarkEnd w:id="119"/>
      <w:bookmarkStart w:id="120" w:name="_Toc184314460"/>
      <w:bookmarkEnd w:id="120"/>
      <w:bookmarkStart w:id="121" w:name="_Toc184310295"/>
      <w:bookmarkEnd w:id="121"/>
      <w:bookmarkStart w:id="122" w:name="_Toc184314454"/>
      <w:bookmarkEnd w:id="122"/>
      <w:bookmarkStart w:id="123" w:name="_Toc184308099"/>
      <w:bookmarkEnd w:id="123"/>
      <w:bookmarkStart w:id="124" w:name="_Toc184314469"/>
      <w:bookmarkEnd w:id="124"/>
      <w:bookmarkStart w:id="125" w:name="_Toc184312073"/>
      <w:bookmarkEnd w:id="125"/>
      <w:bookmarkStart w:id="126" w:name="_Toc184314453"/>
      <w:bookmarkEnd w:id="126"/>
      <w:bookmarkStart w:id="127" w:name="_Toc184310298"/>
      <w:bookmarkEnd w:id="127"/>
      <w:bookmarkStart w:id="128" w:name="_Toc184312129"/>
      <w:bookmarkEnd w:id="128"/>
      <w:bookmarkStart w:id="129" w:name="_Toc184308061"/>
      <w:bookmarkEnd w:id="129"/>
      <w:bookmarkStart w:id="130" w:name="_Toc184313305"/>
      <w:bookmarkEnd w:id="130"/>
      <w:bookmarkStart w:id="131" w:name="_Toc184308058"/>
      <w:bookmarkEnd w:id="131"/>
      <w:bookmarkStart w:id="132" w:name="_Toc184314473"/>
      <w:bookmarkEnd w:id="132"/>
      <w:bookmarkStart w:id="133" w:name="_Toc184313274"/>
      <w:bookmarkEnd w:id="133"/>
      <w:bookmarkStart w:id="134" w:name="_Toc184313238"/>
      <w:bookmarkEnd w:id="134"/>
      <w:bookmarkStart w:id="135" w:name="_Toc184310279"/>
      <w:bookmarkEnd w:id="135"/>
      <w:bookmarkStart w:id="136" w:name="_Toc184312112"/>
      <w:bookmarkEnd w:id="136"/>
      <w:bookmarkStart w:id="137" w:name="_Toc184313246"/>
      <w:bookmarkEnd w:id="137"/>
      <w:bookmarkStart w:id="138" w:name="_Toc184310338"/>
      <w:bookmarkEnd w:id="138"/>
      <w:bookmarkStart w:id="139" w:name="_Toc184310333"/>
      <w:bookmarkEnd w:id="139"/>
      <w:bookmarkStart w:id="140" w:name="_Toc184314445"/>
      <w:bookmarkEnd w:id="140"/>
      <w:bookmarkStart w:id="141" w:name="_Toc184312131"/>
      <w:bookmarkEnd w:id="141"/>
      <w:bookmarkStart w:id="142" w:name="_Toc184308096"/>
      <w:bookmarkEnd w:id="142"/>
      <w:bookmarkStart w:id="143" w:name="_Toc184313248"/>
      <w:bookmarkEnd w:id="143"/>
      <w:bookmarkStart w:id="144" w:name="_Toc184308041"/>
      <w:bookmarkEnd w:id="144"/>
      <w:bookmarkStart w:id="145" w:name="_Toc184313283"/>
      <w:bookmarkEnd w:id="145"/>
      <w:bookmarkStart w:id="146" w:name="_Toc184308071"/>
      <w:bookmarkEnd w:id="146"/>
      <w:bookmarkStart w:id="147" w:name="_Toc184310317"/>
      <w:bookmarkEnd w:id="147"/>
      <w:bookmarkStart w:id="148" w:name="_Toc184310296"/>
      <w:bookmarkEnd w:id="148"/>
      <w:bookmarkStart w:id="149" w:name="_Toc184314481"/>
      <w:bookmarkEnd w:id="149"/>
      <w:bookmarkStart w:id="150" w:name="_Toc184314441"/>
      <w:bookmarkEnd w:id="150"/>
      <w:bookmarkStart w:id="151" w:name="_Toc184308043"/>
      <w:bookmarkEnd w:id="151"/>
      <w:bookmarkStart w:id="152" w:name="_Toc184313256"/>
      <w:bookmarkEnd w:id="152"/>
      <w:bookmarkStart w:id="153" w:name="_Toc184312125"/>
      <w:bookmarkEnd w:id="153"/>
      <w:bookmarkStart w:id="154" w:name="_Toc184308049"/>
      <w:bookmarkEnd w:id="154"/>
      <w:bookmarkStart w:id="155" w:name="_Toc184313310"/>
      <w:bookmarkEnd w:id="155"/>
      <w:bookmarkStart w:id="156" w:name="_Toc184313263"/>
      <w:bookmarkEnd w:id="156"/>
      <w:bookmarkStart w:id="157" w:name="_Toc184314416"/>
      <w:bookmarkEnd w:id="157"/>
      <w:bookmarkStart w:id="158" w:name="_Toc184312081"/>
      <w:bookmarkEnd w:id="158"/>
      <w:bookmarkStart w:id="159" w:name="_Toc184310324"/>
      <w:bookmarkEnd w:id="159"/>
      <w:bookmarkStart w:id="160" w:name="_Toc184310291"/>
      <w:bookmarkEnd w:id="160"/>
      <w:bookmarkStart w:id="161" w:name="_Toc184310315"/>
      <w:bookmarkEnd w:id="161"/>
      <w:bookmarkStart w:id="162" w:name="_Toc184312101"/>
      <w:bookmarkEnd w:id="162"/>
      <w:bookmarkStart w:id="163" w:name="_Toc184310283"/>
      <w:bookmarkEnd w:id="163"/>
      <w:bookmarkStart w:id="164" w:name="_Toc184313294"/>
      <w:bookmarkEnd w:id="164"/>
      <w:bookmarkStart w:id="165" w:name="_Toc184308076"/>
      <w:bookmarkEnd w:id="165"/>
      <w:bookmarkStart w:id="166" w:name="_Toc184314451"/>
      <w:bookmarkEnd w:id="166"/>
      <w:bookmarkStart w:id="167" w:name="_Toc184312135"/>
      <w:bookmarkEnd w:id="167"/>
      <w:bookmarkStart w:id="168" w:name="_Toc184310335"/>
      <w:bookmarkEnd w:id="168"/>
      <w:bookmarkStart w:id="169" w:name="_Toc184312122"/>
      <w:bookmarkEnd w:id="169"/>
      <w:bookmarkStart w:id="170" w:name="_Toc184314420"/>
      <w:bookmarkEnd w:id="170"/>
      <w:bookmarkStart w:id="171" w:name="_Toc184312124"/>
      <w:bookmarkEnd w:id="171"/>
      <w:bookmarkStart w:id="172" w:name="_Toc184308064"/>
      <w:bookmarkEnd w:id="172"/>
      <w:bookmarkStart w:id="173" w:name="_Toc184310330"/>
      <w:bookmarkEnd w:id="173"/>
      <w:bookmarkStart w:id="174" w:name="_Toc184312117"/>
      <w:bookmarkEnd w:id="174"/>
      <w:bookmarkStart w:id="175" w:name="_Toc184312127"/>
      <w:bookmarkEnd w:id="175"/>
      <w:bookmarkStart w:id="176" w:name="_Toc184308086"/>
      <w:bookmarkEnd w:id="176"/>
      <w:bookmarkStart w:id="177" w:name="_Toc184308078"/>
      <w:bookmarkEnd w:id="177"/>
      <w:bookmarkStart w:id="178" w:name="_Toc184312138"/>
      <w:bookmarkEnd w:id="178"/>
      <w:bookmarkStart w:id="179" w:name="_Toc184308081"/>
      <w:bookmarkEnd w:id="179"/>
      <w:bookmarkStart w:id="180" w:name="_Toc184308037"/>
      <w:bookmarkEnd w:id="180"/>
      <w:bookmarkStart w:id="181" w:name="_Toc184314432"/>
      <w:bookmarkEnd w:id="181"/>
      <w:bookmarkStart w:id="182" w:name="_Toc184308084"/>
      <w:bookmarkEnd w:id="182"/>
      <w:bookmarkStart w:id="183" w:name="_Toc184314439"/>
      <w:bookmarkEnd w:id="183"/>
      <w:bookmarkStart w:id="184" w:name="_Toc184310307"/>
      <w:bookmarkEnd w:id="184"/>
      <w:bookmarkStart w:id="185" w:name="_Toc184308101"/>
      <w:bookmarkEnd w:id="185"/>
      <w:bookmarkStart w:id="186" w:name="_Toc184308103"/>
      <w:bookmarkEnd w:id="186"/>
      <w:bookmarkStart w:id="187" w:name="_Toc184314464"/>
      <w:bookmarkEnd w:id="187"/>
      <w:bookmarkStart w:id="188" w:name="_Toc184310297"/>
      <w:bookmarkEnd w:id="188"/>
      <w:bookmarkStart w:id="189" w:name="_Toc184312083"/>
      <w:bookmarkEnd w:id="189"/>
      <w:bookmarkStart w:id="190" w:name="_Toc184312090"/>
      <w:bookmarkEnd w:id="190"/>
      <w:bookmarkStart w:id="191" w:name="_Toc184312094"/>
      <w:bookmarkEnd w:id="191"/>
      <w:bookmarkStart w:id="192" w:name="_Toc184310342"/>
      <w:bookmarkEnd w:id="192"/>
      <w:bookmarkStart w:id="193" w:name="_Toc184314436"/>
      <w:bookmarkEnd w:id="193"/>
      <w:bookmarkStart w:id="194" w:name="_Toc184310282"/>
      <w:bookmarkEnd w:id="194"/>
      <w:bookmarkStart w:id="195" w:name="_Toc184314438"/>
      <w:bookmarkEnd w:id="195"/>
      <w:bookmarkStart w:id="196" w:name="_Toc184312137"/>
      <w:bookmarkEnd w:id="196"/>
      <w:bookmarkStart w:id="197" w:name="_Toc184313260"/>
      <w:bookmarkEnd w:id="197"/>
      <w:bookmarkStart w:id="198" w:name="_Toc184314476"/>
      <w:bookmarkEnd w:id="198"/>
      <w:bookmarkStart w:id="199" w:name="_Toc184312082"/>
      <w:bookmarkEnd w:id="199"/>
      <w:bookmarkStart w:id="200" w:name="_Toc184308097"/>
      <w:bookmarkEnd w:id="200"/>
      <w:bookmarkStart w:id="201" w:name="_Toc184310320"/>
      <w:bookmarkEnd w:id="201"/>
      <w:bookmarkStart w:id="202" w:name="_Toc184312075"/>
      <w:bookmarkEnd w:id="202"/>
      <w:bookmarkStart w:id="203" w:name="_Toc184310323"/>
      <w:bookmarkEnd w:id="203"/>
      <w:bookmarkStart w:id="204" w:name="_Toc184313270"/>
      <w:bookmarkEnd w:id="204"/>
      <w:bookmarkStart w:id="205" w:name="_Toc184310325"/>
      <w:bookmarkEnd w:id="205"/>
      <w:bookmarkStart w:id="206" w:name="_Toc184310313"/>
      <w:bookmarkEnd w:id="206"/>
      <w:bookmarkStart w:id="207" w:name="_Toc184310300"/>
      <w:bookmarkEnd w:id="207"/>
      <w:bookmarkStart w:id="208" w:name="_Toc184314410"/>
      <w:bookmarkEnd w:id="208"/>
      <w:bookmarkStart w:id="209" w:name="_Toc184313272"/>
      <w:bookmarkEnd w:id="209"/>
      <w:bookmarkStart w:id="210" w:name="_Toc184313257"/>
      <w:bookmarkEnd w:id="210"/>
      <w:bookmarkStart w:id="211" w:name="_Toc184313292"/>
      <w:bookmarkEnd w:id="211"/>
      <w:bookmarkStart w:id="212" w:name="_Toc184308057"/>
      <w:bookmarkEnd w:id="212"/>
      <w:bookmarkStart w:id="213" w:name="_Toc184308047"/>
      <w:bookmarkEnd w:id="213"/>
      <w:bookmarkStart w:id="214" w:name="_Toc184308044"/>
      <w:bookmarkEnd w:id="214"/>
      <w:bookmarkStart w:id="215" w:name="_Toc184308054"/>
      <w:bookmarkEnd w:id="215"/>
      <w:bookmarkStart w:id="216" w:name="_Toc184312113"/>
      <w:bookmarkEnd w:id="216"/>
      <w:bookmarkStart w:id="217" w:name="_Toc184314474"/>
      <w:bookmarkEnd w:id="217"/>
      <w:bookmarkStart w:id="218" w:name="_Toc184313259"/>
      <w:bookmarkEnd w:id="218"/>
      <w:bookmarkStart w:id="219" w:name="_Toc184310340"/>
      <w:bookmarkEnd w:id="219"/>
      <w:bookmarkStart w:id="220" w:name="_Toc184313282"/>
      <w:bookmarkEnd w:id="220"/>
      <w:bookmarkStart w:id="221" w:name="_Toc184313284"/>
      <w:bookmarkEnd w:id="221"/>
      <w:bookmarkStart w:id="222" w:name="_Toc184314437"/>
      <w:bookmarkEnd w:id="222"/>
      <w:bookmarkStart w:id="223" w:name="_Toc184310314"/>
      <w:bookmarkEnd w:id="223"/>
      <w:bookmarkStart w:id="224" w:name="_Toc184313268"/>
      <w:bookmarkEnd w:id="224"/>
      <w:bookmarkStart w:id="225" w:name="_Toc184313264"/>
      <w:bookmarkEnd w:id="225"/>
      <w:bookmarkStart w:id="226" w:name="_Toc184312086"/>
      <w:bookmarkEnd w:id="226"/>
      <w:bookmarkStart w:id="227" w:name="_Toc184308072"/>
      <w:bookmarkEnd w:id="227"/>
      <w:bookmarkStart w:id="228" w:name="_Toc184312070"/>
      <w:bookmarkEnd w:id="228"/>
      <w:bookmarkStart w:id="229" w:name="_Toc184308080"/>
      <w:bookmarkEnd w:id="229"/>
      <w:bookmarkStart w:id="230" w:name="_Toc184308052"/>
      <w:bookmarkEnd w:id="230"/>
      <w:bookmarkStart w:id="231" w:name="_Toc184312091"/>
      <w:bookmarkEnd w:id="231"/>
      <w:bookmarkStart w:id="232" w:name="_Toc184308051"/>
      <w:bookmarkEnd w:id="232"/>
      <w:bookmarkStart w:id="233" w:name="_Toc184308107"/>
      <w:bookmarkEnd w:id="233"/>
      <w:bookmarkStart w:id="234" w:name="_Toc184310326"/>
      <w:bookmarkEnd w:id="234"/>
      <w:bookmarkStart w:id="235" w:name="_Toc184313298"/>
      <w:bookmarkEnd w:id="235"/>
      <w:bookmarkStart w:id="236" w:name="_Toc184313266"/>
      <w:bookmarkEnd w:id="236"/>
      <w:bookmarkStart w:id="237" w:name="_Toc184314431"/>
      <w:bookmarkEnd w:id="237"/>
      <w:bookmarkStart w:id="238" w:name="_Toc184312078"/>
      <w:bookmarkEnd w:id="238"/>
      <w:bookmarkStart w:id="239" w:name="_Toc184308069"/>
      <w:bookmarkEnd w:id="239"/>
      <w:bookmarkStart w:id="240" w:name="_Toc184314430"/>
      <w:bookmarkEnd w:id="240"/>
      <w:bookmarkStart w:id="241" w:name="_Toc184308066"/>
      <w:bookmarkEnd w:id="241"/>
      <w:bookmarkStart w:id="242" w:name="_Toc184314468"/>
      <w:bookmarkEnd w:id="242"/>
      <w:bookmarkStart w:id="243" w:name="_Toc184308106"/>
      <w:bookmarkEnd w:id="243"/>
      <w:bookmarkStart w:id="244" w:name="_Toc184313307"/>
      <w:bookmarkEnd w:id="244"/>
      <w:bookmarkStart w:id="245" w:name="_Toc184313289"/>
      <w:bookmarkEnd w:id="245"/>
      <w:bookmarkStart w:id="246" w:name="_Toc184310290"/>
      <w:bookmarkEnd w:id="246"/>
      <w:bookmarkStart w:id="247" w:name="_Toc184308070"/>
      <w:bookmarkEnd w:id="247"/>
      <w:bookmarkStart w:id="248" w:name="_Toc184308068"/>
      <w:bookmarkEnd w:id="248"/>
      <w:bookmarkStart w:id="249" w:name="_Toc184314459"/>
      <w:bookmarkEnd w:id="249"/>
      <w:bookmarkStart w:id="250" w:name="_Toc184312111"/>
      <w:bookmarkEnd w:id="250"/>
      <w:bookmarkStart w:id="251" w:name="_Toc184312080"/>
      <w:bookmarkEnd w:id="251"/>
      <w:bookmarkStart w:id="252" w:name="_Toc184310277"/>
      <w:bookmarkEnd w:id="252"/>
      <w:bookmarkStart w:id="253" w:name="_Toc184313258"/>
      <w:bookmarkEnd w:id="253"/>
      <w:bookmarkStart w:id="254" w:name="_Toc184308073"/>
      <w:bookmarkEnd w:id="254"/>
      <w:bookmarkStart w:id="255" w:name="_Toc184312110"/>
      <w:bookmarkEnd w:id="255"/>
      <w:bookmarkStart w:id="256" w:name="_Toc184310336"/>
      <w:bookmarkEnd w:id="256"/>
      <w:bookmarkStart w:id="257" w:name="_Toc184308088"/>
      <w:bookmarkEnd w:id="257"/>
      <w:bookmarkStart w:id="258" w:name="_Toc184314435"/>
      <w:bookmarkEnd w:id="258"/>
      <w:bookmarkStart w:id="259" w:name="_Toc184308055"/>
      <w:bookmarkEnd w:id="259"/>
      <w:bookmarkStart w:id="260" w:name="_Toc184310284"/>
      <w:bookmarkEnd w:id="260"/>
      <w:bookmarkStart w:id="261" w:name="_Toc184312076"/>
      <w:bookmarkEnd w:id="261"/>
      <w:bookmarkStart w:id="262" w:name="_Toc184312121"/>
      <w:bookmarkEnd w:id="262"/>
      <w:bookmarkStart w:id="263" w:name="_Toc184310339"/>
      <w:bookmarkEnd w:id="263"/>
      <w:bookmarkStart w:id="264" w:name="_Toc184313276"/>
      <w:bookmarkEnd w:id="264"/>
      <w:bookmarkStart w:id="265" w:name="_Toc184308104"/>
      <w:bookmarkEnd w:id="265"/>
      <w:bookmarkStart w:id="266" w:name="_Toc184308056"/>
      <w:bookmarkEnd w:id="266"/>
      <w:bookmarkStart w:id="267" w:name="_Toc184313239"/>
      <w:bookmarkEnd w:id="267"/>
      <w:bookmarkStart w:id="268" w:name="_Toc184314446"/>
      <w:bookmarkEnd w:id="268"/>
      <w:bookmarkStart w:id="269" w:name="_Toc184314449"/>
      <w:bookmarkEnd w:id="269"/>
      <w:bookmarkStart w:id="270" w:name="_Toc184310294"/>
      <w:bookmarkEnd w:id="270"/>
      <w:bookmarkStart w:id="271" w:name="_Toc184314471"/>
      <w:bookmarkEnd w:id="271"/>
      <w:bookmarkStart w:id="272" w:name="_Toc184310285"/>
      <w:bookmarkEnd w:id="272"/>
      <w:bookmarkStart w:id="273" w:name="_Toc184312136"/>
      <w:bookmarkEnd w:id="273"/>
      <w:bookmarkStart w:id="274" w:name="_Toc184313293"/>
      <w:bookmarkEnd w:id="274"/>
      <w:bookmarkStart w:id="275" w:name="_Toc184313244"/>
      <w:bookmarkEnd w:id="275"/>
      <w:bookmarkStart w:id="276" w:name="_Toc184310308"/>
      <w:bookmarkEnd w:id="276"/>
      <w:bookmarkStart w:id="277" w:name="_Toc184310287"/>
      <w:bookmarkEnd w:id="277"/>
      <w:bookmarkStart w:id="278" w:name="_Toc184310306"/>
      <w:bookmarkEnd w:id="278"/>
      <w:bookmarkStart w:id="279" w:name="_Toc184310310"/>
      <w:bookmarkEnd w:id="279"/>
      <w:bookmarkStart w:id="280" w:name="_Toc184310319"/>
      <w:bookmarkEnd w:id="280"/>
      <w:bookmarkStart w:id="281" w:name="_Toc184312104"/>
      <w:bookmarkEnd w:id="281"/>
      <w:bookmarkStart w:id="282" w:name="_Toc184314477"/>
      <w:bookmarkEnd w:id="282"/>
      <w:bookmarkStart w:id="283" w:name="_Toc184314419"/>
      <w:bookmarkEnd w:id="283"/>
      <w:bookmarkStart w:id="284" w:name="_Toc184308074"/>
      <w:bookmarkEnd w:id="284"/>
      <w:bookmarkStart w:id="285" w:name="_Toc184312132"/>
      <w:bookmarkEnd w:id="285"/>
      <w:bookmarkStart w:id="286" w:name="_Toc184314414"/>
      <w:bookmarkEnd w:id="286"/>
      <w:bookmarkStart w:id="287" w:name="_Toc184308083"/>
      <w:bookmarkEnd w:id="287"/>
      <w:bookmarkStart w:id="288" w:name="_Toc184314424"/>
      <w:bookmarkEnd w:id="288"/>
      <w:bookmarkStart w:id="289" w:name="_Toc184310280"/>
      <w:bookmarkEnd w:id="289"/>
      <w:bookmarkStart w:id="290" w:name="_Toc184313275"/>
      <w:bookmarkEnd w:id="290"/>
      <w:bookmarkStart w:id="291" w:name="_Toc184310321"/>
      <w:bookmarkEnd w:id="291"/>
      <w:bookmarkStart w:id="292" w:name="_Toc184308098"/>
      <w:bookmarkEnd w:id="292"/>
      <w:bookmarkStart w:id="293" w:name="_Toc184313273"/>
      <w:bookmarkEnd w:id="293"/>
      <w:bookmarkStart w:id="294" w:name="_Toc184308075"/>
      <w:bookmarkEnd w:id="294"/>
      <w:bookmarkStart w:id="295" w:name="_Toc184308095"/>
      <w:bookmarkEnd w:id="295"/>
      <w:bookmarkStart w:id="296" w:name="_Toc184308108"/>
      <w:bookmarkEnd w:id="296"/>
      <w:bookmarkStart w:id="297" w:name="_Toc184313240"/>
      <w:bookmarkEnd w:id="297"/>
      <w:bookmarkStart w:id="298" w:name="_Toc184310288"/>
      <w:bookmarkEnd w:id="298"/>
      <w:bookmarkStart w:id="299" w:name="_Toc184313251"/>
      <w:bookmarkEnd w:id="299"/>
      <w:bookmarkStart w:id="300" w:name="_Toc184312103"/>
      <w:bookmarkEnd w:id="300"/>
      <w:bookmarkStart w:id="301" w:name="_Toc184310332"/>
      <w:bookmarkEnd w:id="301"/>
      <w:bookmarkStart w:id="302" w:name="_Toc184314457"/>
      <w:bookmarkEnd w:id="302"/>
      <w:bookmarkStart w:id="303" w:name="_Toc184314455"/>
      <w:bookmarkEnd w:id="303"/>
      <w:bookmarkStart w:id="304" w:name="_Toc184310292"/>
      <w:bookmarkEnd w:id="304"/>
      <w:bookmarkStart w:id="305" w:name="_Toc184308079"/>
      <w:bookmarkEnd w:id="305"/>
      <w:bookmarkStart w:id="306" w:name="_Toc184313253"/>
      <w:bookmarkEnd w:id="306"/>
      <w:bookmarkStart w:id="307" w:name="_Toc184312108"/>
      <w:bookmarkEnd w:id="307"/>
      <w:bookmarkStart w:id="308" w:name="_Toc184308053"/>
      <w:bookmarkEnd w:id="308"/>
      <w:bookmarkStart w:id="309" w:name="_Toc184313306"/>
      <w:bookmarkEnd w:id="309"/>
      <w:bookmarkStart w:id="310" w:name="_Toc184312128"/>
      <w:bookmarkEnd w:id="310"/>
      <w:bookmarkStart w:id="311" w:name="_Toc184308039"/>
      <w:bookmarkEnd w:id="311"/>
      <w:bookmarkStart w:id="312" w:name="_Toc184313247"/>
      <w:bookmarkEnd w:id="312"/>
      <w:bookmarkStart w:id="313" w:name="_Toc184312068"/>
      <w:bookmarkEnd w:id="313"/>
      <w:bookmarkStart w:id="314" w:name="_Toc184314426"/>
      <w:bookmarkEnd w:id="314"/>
      <w:bookmarkStart w:id="315" w:name="_Toc184308087"/>
      <w:bookmarkEnd w:id="315"/>
      <w:bookmarkStart w:id="316" w:name="_Toc184313267"/>
      <w:bookmarkEnd w:id="316"/>
      <w:bookmarkStart w:id="317" w:name="_Toc184310303"/>
      <w:bookmarkEnd w:id="317"/>
      <w:bookmarkStart w:id="318" w:name="_Toc184312098"/>
      <w:bookmarkEnd w:id="318"/>
      <w:bookmarkStart w:id="319" w:name="_Toc184312134"/>
      <w:bookmarkEnd w:id="319"/>
      <w:bookmarkStart w:id="320" w:name="_Toc184310281"/>
      <w:bookmarkEnd w:id="320"/>
      <w:bookmarkStart w:id="321" w:name="_Toc184312067"/>
      <w:bookmarkEnd w:id="321"/>
      <w:bookmarkStart w:id="322" w:name="_Toc184308045"/>
      <w:bookmarkEnd w:id="322"/>
      <w:bookmarkStart w:id="323" w:name="_Toc184313255"/>
      <w:bookmarkEnd w:id="323"/>
      <w:bookmarkStart w:id="324" w:name="_Toc184312133"/>
      <w:bookmarkEnd w:id="324"/>
      <w:bookmarkStart w:id="325" w:name="_Toc184314428"/>
      <w:bookmarkEnd w:id="325"/>
      <w:bookmarkStart w:id="326" w:name="_Toc184308038"/>
      <w:bookmarkEnd w:id="326"/>
      <w:bookmarkStart w:id="327" w:name="_Toc184312074"/>
      <w:bookmarkEnd w:id="327"/>
      <w:bookmarkStart w:id="328" w:name="_Toc184314412"/>
      <w:bookmarkEnd w:id="328"/>
      <w:bookmarkStart w:id="329" w:name="_Toc184314448"/>
      <w:bookmarkEnd w:id="329"/>
      <w:bookmarkStart w:id="330" w:name="_Toc184310301"/>
      <w:bookmarkEnd w:id="330"/>
      <w:bookmarkStart w:id="331" w:name="_Toc184308105"/>
      <w:bookmarkEnd w:id="331"/>
      <w:bookmarkStart w:id="332" w:name="_Toc184314470"/>
      <w:bookmarkEnd w:id="332"/>
      <w:bookmarkStart w:id="333" w:name="_Toc184308036"/>
      <w:bookmarkEnd w:id="333"/>
      <w:bookmarkStart w:id="334" w:name="_Toc184314482"/>
      <w:bookmarkEnd w:id="334"/>
      <w:bookmarkStart w:id="335" w:name="_Toc184314463"/>
      <w:bookmarkEnd w:id="335"/>
      <w:bookmarkStart w:id="336" w:name="_Toc184313296"/>
      <w:bookmarkEnd w:id="336"/>
      <w:bookmarkStart w:id="337" w:name="_Toc184308090"/>
      <w:bookmarkEnd w:id="337"/>
      <w:bookmarkStart w:id="338" w:name="_Toc184314413"/>
      <w:bookmarkEnd w:id="338"/>
      <w:bookmarkStart w:id="339" w:name="_Toc184313278"/>
      <w:bookmarkEnd w:id="339"/>
      <w:bookmarkStart w:id="340" w:name="_Toc184310337"/>
      <w:bookmarkEnd w:id="340"/>
      <w:bookmarkStart w:id="341" w:name="_Toc184313297"/>
      <w:bookmarkEnd w:id="341"/>
      <w:bookmarkStart w:id="342" w:name="_Toc184313303"/>
      <w:bookmarkEnd w:id="342"/>
      <w:bookmarkStart w:id="343" w:name="_Toc184314478"/>
      <w:bookmarkEnd w:id="343"/>
      <w:bookmarkStart w:id="344" w:name="_Toc184313301"/>
      <w:bookmarkEnd w:id="344"/>
      <w:bookmarkStart w:id="345" w:name="_Toc184310328"/>
      <w:bookmarkEnd w:id="345"/>
      <w:bookmarkStart w:id="346" w:name="_Toc184310293"/>
      <w:bookmarkEnd w:id="346"/>
      <w:bookmarkStart w:id="347" w:name="_Toc184314443"/>
      <w:bookmarkEnd w:id="347"/>
      <w:bookmarkStart w:id="348" w:name="_Toc184310327"/>
      <w:bookmarkEnd w:id="348"/>
      <w:bookmarkStart w:id="349" w:name="_Toc184314434"/>
      <w:bookmarkEnd w:id="349"/>
      <w:bookmarkStart w:id="350" w:name="_Toc184312109"/>
      <w:bookmarkEnd w:id="350"/>
      <w:bookmarkStart w:id="351" w:name="_Toc184312106"/>
      <w:bookmarkEnd w:id="351"/>
      <w:bookmarkStart w:id="352" w:name="_Toc184308094"/>
      <w:bookmarkEnd w:id="352"/>
      <w:bookmarkStart w:id="353" w:name="_Toc184310304"/>
      <w:bookmarkEnd w:id="353"/>
      <w:bookmarkStart w:id="354" w:name="_Toc184314461"/>
      <w:bookmarkEnd w:id="354"/>
      <w:bookmarkStart w:id="355" w:name="_Toc184313261"/>
      <w:bookmarkEnd w:id="355"/>
      <w:bookmarkStart w:id="356" w:name="_Toc184314440"/>
      <w:bookmarkEnd w:id="356"/>
      <w:bookmarkStart w:id="357" w:name="_Toc184312069"/>
      <w:bookmarkEnd w:id="357"/>
      <w:bookmarkStart w:id="358" w:name="_Toc184312071"/>
      <w:bookmarkEnd w:id="358"/>
      <w:bookmarkStart w:id="359" w:name="_Toc184310334"/>
      <w:bookmarkEnd w:id="359"/>
      <w:bookmarkStart w:id="360" w:name="_Toc184312116"/>
      <w:bookmarkEnd w:id="360"/>
      <w:bookmarkStart w:id="361" w:name="_Toc184314466"/>
      <w:bookmarkEnd w:id="361"/>
      <w:bookmarkStart w:id="362" w:name="_Toc184312085"/>
      <w:bookmarkEnd w:id="362"/>
      <w:bookmarkStart w:id="363" w:name="_Toc184313269"/>
      <w:bookmarkEnd w:id="363"/>
      <w:bookmarkStart w:id="364" w:name="_Toc184312114"/>
      <w:bookmarkEnd w:id="364"/>
      <w:bookmarkStart w:id="365" w:name="_Toc184310273"/>
      <w:bookmarkEnd w:id="365"/>
      <w:bookmarkStart w:id="366" w:name="_Toc184314458"/>
      <w:bookmarkEnd w:id="366"/>
      <w:bookmarkStart w:id="367" w:name="_Toc184314472"/>
      <w:bookmarkEnd w:id="367"/>
      <w:bookmarkStart w:id="368" w:name="_Toc184313254"/>
      <w:bookmarkEnd w:id="368"/>
      <w:bookmarkStart w:id="369" w:name="_Toc184312088"/>
      <w:bookmarkEnd w:id="369"/>
      <w:bookmarkStart w:id="370" w:name="_Toc184308040"/>
      <w:bookmarkEnd w:id="370"/>
      <w:bookmarkStart w:id="371" w:name="_Toc184310275"/>
      <w:bookmarkEnd w:id="371"/>
      <w:bookmarkStart w:id="372" w:name="_Toc184308050"/>
      <w:bookmarkEnd w:id="372"/>
      <w:bookmarkStart w:id="373" w:name="_Toc184314429"/>
      <w:bookmarkEnd w:id="373"/>
      <w:bookmarkStart w:id="374" w:name="_Toc184313245"/>
      <w:bookmarkEnd w:id="374"/>
      <w:bookmarkStart w:id="375" w:name="_Toc184313252"/>
      <w:bookmarkEnd w:id="375"/>
      <w:bookmarkStart w:id="376" w:name="_Toc184308100"/>
      <w:bookmarkEnd w:id="376"/>
      <w:bookmarkStart w:id="377" w:name="_Toc184310286"/>
      <w:bookmarkEnd w:id="377"/>
      <w:bookmarkStart w:id="378" w:name="_Toc184313280"/>
      <w:bookmarkEnd w:id="378"/>
      <w:bookmarkStart w:id="379" w:name="_Toc184310331"/>
      <w:bookmarkEnd w:id="379"/>
      <w:bookmarkStart w:id="380" w:name="_Toc184312079"/>
      <w:bookmarkEnd w:id="380"/>
      <w:bookmarkStart w:id="381" w:name="_Toc184310305"/>
      <w:bookmarkEnd w:id="381"/>
      <w:bookmarkStart w:id="382" w:name="_Toc184310318"/>
      <w:bookmarkEnd w:id="382"/>
      <w:bookmarkStart w:id="383" w:name="_Toc184314442"/>
      <w:bookmarkEnd w:id="383"/>
      <w:bookmarkStart w:id="384" w:name="_Toc184310309"/>
      <w:bookmarkEnd w:id="384"/>
      <w:bookmarkStart w:id="385" w:name="_Toc184313241"/>
      <w:bookmarkEnd w:id="385"/>
      <w:bookmarkStart w:id="386" w:name="_Toc184310289"/>
      <w:bookmarkEnd w:id="386"/>
      <w:bookmarkStart w:id="387" w:name="_Toc184314433"/>
      <w:bookmarkEnd w:id="387"/>
      <w:bookmarkStart w:id="388" w:name="_Toc184308067"/>
      <w:bookmarkEnd w:id="388"/>
      <w:bookmarkStart w:id="389" w:name="_Toc184312123"/>
      <w:bookmarkEnd w:id="389"/>
      <w:bookmarkStart w:id="390" w:name="_Toc184313286"/>
      <w:bookmarkEnd w:id="390"/>
      <w:bookmarkStart w:id="391" w:name="_Toc184313290"/>
      <w:bookmarkEnd w:id="391"/>
      <w:bookmarkStart w:id="392" w:name="_Toc184313287"/>
      <w:bookmarkEnd w:id="392"/>
      <w:r>
        <w:rPr>
          <w:rFonts w:hint="eastAsia" w:asciiTheme="minorEastAsia" w:hAnsiTheme="minorEastAsia" w:eastAsiaTheme="minorEastAsia" w:cstheme="minorEastAsia"/>
          <w:b/>
          <w:color w:val="auto"/>
          <w:sz w:val="36"/>
          <w:szCs w:val="36"/>
          <w:highlight w:val="none"/>
        </w:rPr>
        <w:t>评标办法</w:t>
      </w:r>
    </w:p>
    <w:p w14:paraId="46CDE963">
      <w:pPr>
        <w:keepNext w:val="0"/>
        <w:keepLines w:val="0"/>
        <w:pageBreakBefore w:val="0"/>
        <w:widowControl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评标办法前附表</w:t>
      </w:r>
    </w:p>
    <w:tbl>
      <w:tblPr>
        <w:tblStyle w:val="20"/>
        <w:tblW w:w="4910" w:type="pct"/>
        <w:tblInd w:w="-1" w:type="dxa"/>
        <w:tblLayout w:type="autofit"/>
        <w:tblCellMar>
          <w:top w:w="0" w:type="dxa"/>
          <w:left w:w="108" w:type="dxa"/>
          <w:bottom w:w="0" w:type="dxa"/>
          <w:right w:w="108" w:type="dxa"/>
        </w:tblCellMar>
      </w:tblPr>
      <w:tblGrid>
        <w:gridCol w:w="492"/>
        <w:gridCol w:w="8627"/>
      </w:tblGrid>
      <w:tr w14:paraId="64AE0944">
        <w:tblPrEx>
          <w:tblCellMar>
            <w:top w:w="0" w:type="dxa"/>
            <w:left w:w="108" w:type="dxa"/>
            <w:bottom w:w="0" w:type="dxa"/>
            <w:right w:w="108" w:type="dxa"/>
          </w:tblCellMar>
        </w:tblPrEx>
        <w:trPr>
          <w:trHeight w:val="335" w:hRule="atLeast"/>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14:paraId="2ED9F7C8">
            <w:pPr>
              <w:jc w:val="center"/>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b/>
                <w:color w:val="auto"/>
                <w:sz w:val="24"/>
                <w:szCs w:val="24"/>
                <w:highlight w:val="none"/>
              </w:rPr>
              <w:t>评分标准</w:t>
            </w:r>
          </w:p>
        </w:tc>
      </w:tr>
      <w:tr w14:paraId="4FD842A9">
        <w:tblPrEx>
          <w:tblCellMar>
            <w:top w:w="0" w:type="dxa"/>
            <w:left w:w="108" w:type="dxa"/>
            <w:bottom w:w="0" w:type="dxa"/>
            <w:right w:w="108" w:type="dxa"/>
          </w:tblCellMar>
        </w:tblPrEx>
        <w:trPr>
          <w:trHeight w:val="697" w:hRule="atLeast"/>
        </w:trPr>
        <w:tc>
          <w:tcPr>
            <w:tcW w:w="270" w:type="pct"/>
            <w:vMerge w:val="restart"/>
            <w:tcBorders>
              <w:top w:val="single" w:color="000000" w:sz="4" w:space="0"/>
              <w:left w:val="single" w:color="000000" w:sz="4" w:space="0"/>
              <w:right w:val="single" w:color="000000" w:sz="4" w:space="0"/>
            </w:tcBorders>
            <w:noWrap w:val="0"/>
            <w:vAlign w:val="center"/>
          </w:tcPr>
          <w:p w14:paraId="5950F8C8">
            <w:pPr>
              <w:pStyle w:val="2"/>
              <w:ind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商务技术60分</w:t>
            </w:r>
          </w:p>
        </w:tc>
        <w:tc>
          <w:tcPr>
            <w:tcW w:w="4729" w:type="pct"/>
            <w:tcBorders>
              <w:top w:val="single" w:color="000000" w:sz="4" w:space="0"/>
              <w:left w:val="single" w:color="000000" w:sz="4" w:space="0"/>
              <w:bottom w:val="single" w:color="000000" w:sz="4" w:space="0"/>
              <w:right w:val="single" w:color="000000" w:sz="4" w:space="0"/>
            </w:tcBorders>
            <w:noWrap w:val="0"/>
            <w:vAlign w:val="center"/>
          </w:tcPr>
          <w:p w14:paraId="28D3BAC5">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1、采购需求响应情况（15分）</w:t>
            </w:r>
          </w:p>
          <w:p w14:paraId="71607900">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投标文件对招标文件采购需求的响应情况：对采购文件中“采购需求”的响应情况，完全响应的得15分：每负偏离一项，扣2分,发生负偏离达7项（含）以上的将被视为无效投标文件。带“</w:t>
            </w:r>
            <w:r>
              <w:rPr>
                <w:rFonts w:hint="eastAsia" w:ascii="微软雅黑" w:hAnsi="微软雅黑" w:eastAsia="微软雅黑" w:cs="微软雅黑"/>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highlight w:val="none"/>
                <w:lang w:val="en-US" w:eastAsia="zh-CN" w:bidi="ar-SA"/>
              </w:rPr>
              <w:t>”服务要求每负偏离1项，扣2分。带“▲”服务要求每负偏离1项，视为无效投标文件。</w:t>
            </w:r>
          </w:p>
        </w:tc>
      </w:tr>
      <w:tr w14:paraId="1DA864CE">
        <w:tblPrEx>
          <w:tblCellMar>
            <w:top w:w="0" w:type="dxa"/>
            <w:left w:w="108" w:type="dxa"/>
            <w:bottom w:w="0" w:type="dxa"/>
            <w:right w:w="108" w:type="dxa"/>
          </w:tblCellMar>
        </w:tblPrEx>
        <w:trPr>
          <w:trHeight w:val="697" w:hRule="atLeast"/>
        </w:trPr>
        <w:tc>
          <w:tcPr>
            <w:tcW w:w="270" w:type="pct"/>
            <w:vMerge w:val="continue"/>
            <w:tcBorders>
              <w:left w:val="single" w:color="000000" w:sz="4" w:space="0"/>
              <w:right w:val="single" w:color="000000" w:sz="4" w:space="0"/>
            </w:tcBorders>
            <w:noWrap w:val="0"/>
            <w:vAlign w:val="center"/>
          </w:tcPr>
          <w:p w14:paraId="3A33B7A0">
            <w:pPr>
              <w:pStyle w:val="2"/>
              <w:ind w:firstLine="0" w:firstLineChars="0"/>
              <w:jc w:val="left"/>
              <w:rPr>
                <w:rFonts w:hint="eastAsia" w:asciiTheme="minorEastAsia" w:hAnsiTheme="minorEastAsia" w:eastAsiaTheme="minorEastAsia" w:cstheme="minorEastAsia"/>
                <w:color w:val="auto"/>
                <w:sz w:val="24"/>
                <w:szCs w:val="24"/>
                <w:highlight w:val="none"/>
                <w:lang w:val="en-US" w:eastAsia="zh-CN"/>
              </w:rPr>
            </w:pPr>
          </w:p>
        </w:tc>
        <w:tc>
          <w:tcPr>
            <w:tcW w:w="4729" w:type="pct"/>
            <w:tcBorders>
              <w:top w:val="single" w:color="000000" w:sz="4" w:space="0"/>
              <w:left w:val="single" w:color="000000" w:sz="4" w:space="0"/>
              <w:bottom w:val="single" w:color="000000" w:sz="4" w:space="0"/>
              <w:right w:val="single" w:color="000000" w:sz="4" w:space="0"/>
            </w:tcBorders>
            <w:noWrap w:val="0"/>
            <w:vAlign w:val="center"/>
          </w:tcPr>
          <w:p w14:paraId="0458A676">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2、根据投标人提供的施工安装方案进行评议（4分）</w:t>
            </w:r>
          </w:p>
          <w:p w14:paraId="52CFC757">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根据投标人提供的施工安装方案进行评议：①方案符合本项目需求、②工程关键节点分析准确、③施工技术措施得当、④施工工艺流程合理；以上内容每符合一项得1分，有所欠缺的每项得0.5分，欠缺较大的或未提供的不得分，本项最高得4分。</w:t>
            </w:r>
          </w:p>
        </w:tc>
      </w:tr>
      <w:tr w14:paraId="5837006A">
        <w:tblPrEx>
          <w:tblCellMar>
            <w:top w:w="0" w:type="dxa"/>
            <w:left w:w="108" w:type="dxa"/>
            <w:bottom w:w="0" w:type="dxa"/>
            <w:right w:w="108" w:type="dxa"/>
          </w:tblCellMar>
        </w:tblPrEx>
        <w:trPr>
          <w:trHeight w:val="697" w:hRule="atLeast"/>
        </w:trPr>
        <w:tc>
          <w:tcPr>
            <w:tcW w:w="270" w:type="pct"/>
            <w:vMerge w:val="continue"/>
            <w:tcBorders>
              <w:left w:val="single" w:color="000000" w:sz="4" w:space="0"/>
              <w:right w:val="single" w:color="000000" w:sz="4" w:space="0"/>
            </w:tcBorders>
            <w:noWrap w:val="0"/>
            <w:vAlign w:val="center"/>
          </w:tcPr>
          <w:p w14:paraId="7BFEB6AF">
            <w:pPr>
              <w:pStyle w:val="2"/>
              <w:ind w:firstLine="0" w:firstLineChars="0"/>
              <w:jc w:val="left"/>
              <w:rPr>
                <w:rFonts w:hint="eastAsia" w:asciiTheme="minorEastAsia" w:hAnsiTheme="minorEastAsia" w:eastAsiaTheme="minorEastAsia" w:cstheme="minorEastAsia"/>
                <w:color w:val="auto"/>
                <w:sz w:val="24"/>
                <w:szCs w:val="24"/>
                <w:highlight w:val="none"/>
                <w:lang w:val="en-US" w:eastAsia="zh-CN"/>
              </w:rPr>
            </w:pPr>
          </w:p>
        </w:tc>
        <w:tc>
          <w:tcPr>
            <w:tcW w:w="4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8F9D8">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3、根据投标人提供的人员配备情况进行评议（2分）</w:t>
            </w:r>
          </w:p>
          <w:p w14:paraId="719A924B">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eastAsia="宋体" w:asciiTheme="minorEastAsia" w:hAnsi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对人员配备情况进行评议：①</w:t>
            </w:r>
            <w:r>
              <w:rPr>
                <w:rFonts w:ascii="宋体" w:hAnsi="宋体" w:eastAsia="宋体" w:cs="宋体"/>
                <w:color w:val="auto"/>
                <w:sz w:val="24"/>
                <w:szCs w:val="24"/>
                <w:highlight w:val="none"/>
              </w:rPr>
              <w:t>人员架构清晰、人员数量充足；②人员经验丰富、</w:t>
            </w:r>
            <w:r>
              <w:rPr>
                <w:rFonts w:hint="eastAsia" w:ascii="宋体" w:hAnsi="宋体" w:eastAsia="宋体" w:cs="宋体"/>
                <w:color w:val="auto"/>
                <w:sz w:val="24"/>
                <w:szCs w:val="24"/>
                <w:highlight w:val="none"/>
                <w:lang w:val="en-US" w:eastAsia="zh-CN"/>
              </w:rPr>
              <w:t>培训到位</w:t>
            </w:r>
            <w:r>
              <w:rPr>
                <w:rFonts w:hint="eastAsia" w:ascii="宋体" w:hAnsi="宋体" w:eastAsia="宋体" w:cs="宋体"/>
                <w:color w:val="auto"/>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bidi="ar-SA"/>
              </w:rPr>
              <w:t>以上内容每符合一项得1分，有所欠缺的每项得0.5分，欠缺较大的或未提供的不得分，本项最高得2分。</w:t>
            </w:r>
          </w:p>
        </w:tc>
      </w:tr>
      <w:tr w14:paraId="33A3F7E9">
        <w:tblPrEx>
          <w:tblCellMar>
            <w:top w:w="0" w:type="dxa"/>
            <w:left w:w="108" w:type="dxa"/>
            <w:bottom w:w="0" w:type="dxa"/>
            <w:right w:w="108" w:type="dxa"/>
          </w:tblCellMar>
        </w:tblPrEx>
        <w:trPr>
          <w:trHeight w:val="90" w:hRule="atLeast"/>
        </w:trPr>
        <w:tc>
          <w:tcPr>
            <w:tcW w:w="270" w:type="pct"/>
            <w:vMerge w:val="continue"/>
            <w:tcBorders>
              <w:left w:val="single" w:color="000000" w:sz="4" w:space="0"/>
              <w:right w:val="single" w:color="000000" w:sz="4" w:space="0"/>
            </w:tcBorders>
            <w:noWrap w:val="0"/>
            <w:vAlign w:val="center"/>
          </w:tcPr>
          <w:p w14:paraId="3B1A4F69">
            <w:pPr>
              <w:pStyle w:val="2"/>
              <w:ind w:firstLine="0" w:firstLineChars="0"/>
              <w:jc w:val="left"/>
              <w:rPr>
                <w:rFonts w:hint="eastAsia" w:asciiTheme="minorEastAsia" w:hAnsiTheme="minorEastAsia" w:eastAsiaTheme="minorEastAsia" w:cstheme="minorEastAsia"/>
                <w:color w:val="auto"/>
                <w:sz w:val="24"/>
                <w:szCs w:val="24"/>
                <w:highlight w:val="none"/>
                <w:lang w:val="en-US" w:eastAsia="zh-CN"/>
              </w:rPr>
            </w:pPr>
          </w:p>
        </w:tc>
        <w:tc>
          <w:tcPr>
            <w:tcW w:w="4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3720A">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4、根据投标人提供的项目进度安排进行评议（4分）</w:t>
            </w:r>
          </w:p>
          <w:p w14:paraId="2E39BB95">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根据投标人提供的项目进度安排进行评议：①项目进度安排计划清晰、步骤明确；②供货周期安排得当且易于调配和把控；③施工安装进度安排妥当；④进度安排各项保障措施齐全的；以上内容每符合一项得1分，有所欠缺的每项得0.5分，欠缺较大的或未提供的不得分，本项最高得4分。</w:t>
            </w:r>
          </w:p>
        </w:tc>
      </w:tr>
      <w:tr w14:paraId="2E1A53B6">
        <w:tblPrEx>
          <w:tblCellMar>
            <w:top w:w="0" w:type="dxa"/>
            <w:left w:w="108" w:type="dxa"/>
            <w:bottom w:w="0" w:type="dxa"/>
            <w:right w:w="108" w:type="dxa"/>
          </w:tblCellMar>
        </w:tblPrEx>
        <w:trPr>
          <w:trHeight w:val="90" w:hRule="atLeast"/>
        </w:trPr>
        <w:tc>
          <w:tcPr>
            <w:tcW w:w="270" w:type="pct"/>
            <w:vMerge w:val="continue"/>
            <w:tcBorders>
              <w:left w:val="single" w:color="000000" w:sz="4" w:space="0"/>
              <w:right w:val="single" w:color="000000" w:sz="4" w:space="0"/>
            </w:tcBorders>
            <w:noWrap w:val="0"/>
            <w:vAlign w:val="center"/>
          </w:tcPr>
          <w:p w14:paraId="44672757">
            <w:pPr>
              <w:pStyle w:val="2"/>
              <w:ind w:firstLine="0" w:firstLineChars="0"/>
              <w:jc w:val="left"/>
              <w:rPr>
                <w:rFonts w:hint="eastAsia" w:asciiTheme="minorEastAsia" w:hAnsiTheme="minorEastAsia" w:eastAsiaTheme="minorEastAsia" w:cstheme="minorEastAsia"/>
                <w:color w:val="auto"/>
                <w:sz w:val="24"/>
                <w:szCs w:val="24"/>
                <w:highlight w:val="none"/>
                <w:lang w:val="en-US" w:eastAsia="zh-CN"/>
              </w:rPr>
            </w:pPr>
          </w:p>
        </w:tc>
        <w:tc>
          <w:tcPr>
            <w:tcW w:w="4729" w:type="pct"/>
            <w:tcBorders>
              <w:top w:val="single" w:color="000000" w:sz="4" w:space="0"/>
              <w:left w:val="single" w:color="000000" w:sz="4" w:space="0"/>
              <w:bottom w:val="single" w:color="000000" w:sz="4" w:space="0"/>
              <w:right w:val="single" w:color="000000" w:sz="4" w:space="0"/>
            </w:tcBorders>
            <w:noWrap w:val="0"/>
            <w:vAlign w:val="center"/>
          </w:tcPr>
          <w:p w14:paraId="596860DF">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5、根据投标人提供的质量保障措施进行评议（3分）</w:t>
            </w:r>
          </w:p>
          <w:p w14:paraId="740C35DD">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根据投标人提供的质量保障措施进行评议：①质量管理方案详细完善；②</w:t>
            </w:r>
            <w:r>
              <w:rPr>
                <w:rFonts w:hint="eastAsia" w:asciiTheme="minorEastAsia" w:hAnsiTheme="minorEastAsia" w:eastAsiaTheme="minorEastAsia" w:cstheme="minorEastAsia"/>
                <w:color w:val="auto"/>
                <w:kern w:val="2"/>
                <w:sz w:val="24"/>
                <w:szCs w:val="24"/>
                <w:highlight w:val="none"/>
                <w:lang w:val="en-US" w:eastAsia="zh-CN" w:bidi="ar-SA"/>
              </w:rPr>
              <w:fldChar w:fldCharType="begin"/>
            </w:r>
            <w:r>
              <w:rPr>
                <w:rFonts w:hint="eastAsia" w:asciiTheme="minorEastAsia" w:hAnsiTheme="minorEastAsia" w:eastAsiaTheme="minorEastAsia" w:cstheme="minorEastAsia"/>
                <w:color w:val="auto"/>
                <w:kern w:val="2"/>
                <w:sz w:val="24"/>
                <w:szCs w:val="24"/>
                <w:highlight w:val="none"/>
                <w:lang w:val="en-US" w:eastAsia="zh-CN" w:bidi="ar-SA"/>
              </w:rPr>
              <w:instrText xml:space="preserve"> HYPERLINK "https://baike.baidu.com/item/%E9%9C%B2%E5%A4%A9%E7%9F%BF%E6%96%BD%E5%B7%A5%E7%BB%84%E7%BB%87%E8%AE%BE%E8%AE%A1/3117745?fr=aladdin" \h </w:instrText>
            </w:r>
            <w:r>
              <w:rPr>
                <w:rFonts w:hint="eastAsia" w:asciiTheme="minorEastAsia" w:hAnsiTheme="minorEastAsia" w:eastAsiaTheme="minorEastAsia" w:cstheme="minorEastAsia"/>
                <w:color w:val="auto"/>
                <w:kern w:val="2"/>
                <w:sz w:val="24"/>
                <w:szCs w:val="24"/>
                <w:highlight w:val="none"/>
                <w:lang w:val="en-US" w:eastAsia="zh-CN" w:bidi="ar-SA"/>
              </w:rPr>
              <w:fldChar w:fldCharType="separate"/>
            </w:r>
            <w:r>
              <w:rPr>
                <w:rFonts w:hint="eastAsia" w:asciiTheme="minorEastAsia" w:hAnsiTheme="minorEastAsia" w:eastAsiaTheme="minorEastAsia" w:cstheme="minorEastAsia"/>
                <w:color w:val="auto"/>
                <w:kern w:val="2"/>
                <w:sz w:val="24"/>
                <w:szCs w:val="24"/>
                <w:highlight w:val="none"/>
                <w:lang w:val="en-US" w:eastAsia="zh-CN" w:bidi="ar-SA"/>
              </w:rPr>
              <w:t>质量保证体系</w:t>
            </w:r>
            <w:r>
              <w:rPr>
                <w:rFonts w:hint="eastAsia" w:asciiTheme="minorEastAsia" w:hAnsiTheme="minorEastAsia" w:eastAsiaTheme="minorEastAsia" w:cstheme="minorEastAsia"/>
                <w:color w:val="auto"/>
                <w:kern w:val="2"/>
                <w:sz w:val="24"/>
                <w:szCs w:val="24"/>
                <w:highlight w:val="none"/>
                <w:lang w:val="en-US" w:eastAsia="zh-CN" w:bidi="ar-SA"/>
              </w:rPr>
              <w:fldChar w:fldCharType="end"/>
            </w:r>
            <w:r>
              <w:rPr>
                <w:rFonts w:hint="eastAsia" w:asciiTheme="minorEastAsia" w:hAnsiTheme="minorEastAsia" w:eastAsiaTheme="minorEastAsia" w:cstheme="minorEastAsia"/>
                <w:color w:val="auto"/>
                <w:kern w:val="2"/>
                <w:sz w:val="24"/>
                <w:szCs w:val="24"/>
                <w:highlight w:val="none"/>
                <w:lang w:val="en-US" w:eastAsia="zh-CN" w:bidi="ar-SA"/>
              </w:rPr>
              <w:t>健全标准；③质量保证措施切实可行；以上内容每符合一项得1分，有所欠缺的每项得0.5分，欠缺较大的或未提供的不得分，本项最高得3分。</w:t>
            </w:r>
          </w:p>
        </w:tc>
      </w:tr>
      <w:tr w14:paraId="197E4B9A">
        <w:tblPrEx>
          <w:tblCellMar>
            <w:top w:w="0" w:type="dxa"/>
            <w:left w:w="108" w:type="dxa"/>
            <w:bottom w:w="0" w:type="dxa"/>
            <w:right w:w="108" w:type="dxa"/>
          </w:tblCellMar>
        </w:tblPrEx>
        <w:tc>
          <w:tcPr>
            <w:tcW w:w="270" w:type="pct"/>
            <w:vMerge w:val="restart"/>
            <w:tcBorders>
              <w:left w:val="single" w:color="000000" w:sz="4" w:space="0"/>
              <w:right w:val="single" w:color="000000" w:sz="4" w:space="0"/>
            </w:tcBorders>
            <w:noWrap w:val="0"/>
            <w:vAlign w:val="center"/>
          </w:tcPr>
          <w:p w14:paraId="407E02EB">
            <w:pPr>
              <w:jc w:val="left"/>
              <w:rPr>
                <w:rFonts w:hint="eastAsia" w:asciiTheme="minorEastAsia" w:hAnsiTheme="minorEastAsia" w:eastAsiaTheme="minorEastAsia" w:cstheme="minorEastAsia"/>
                <w:color w:val="auto"/>
                <w:sz w:val="24"/>
                <w:szCs w:val="24"/>
                <w:highlight w:val="none"/>
                <w:lang w:val="en-US" w:eastAsia="zh-CN"/>
              </w:rPr>
            </w:pPr>
          </w:p>
        </w:tc>
        <w:tc>
          <w:tcPr>
            <w:tcW w:w="4729" w:type="pct"/>
            <w:tcBorders>
              <w:top w:val="single" w:color="000000" w:sz="4" w:space="0"/>
              <w:left w:val="single" w:color="000000" w:sz="4" w:space="0"/>
              <w:bottom w:val="single" w:color="000000" w:sz="4" w:space="0"/>
              <w:right w:val="single" w:color="000000" w:sz="4" w:space="0"/>
            </w:tcBorders>
            <w:noWrap w:val="0"/>
            <w:vAlign w:val="top"/>
          </w:tcPr>
          <w:p w14:paraId="53171115">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6、拟配备设备情况（5分）</w:t>
            </w:r>
          </w:p>
          <w:p w14:paraId="24D0A4ED">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投标人配备的与本项目内容相关的设备：①热熔釜、②普通标线划线推车、③刻字机、④剪板机、⑤折弯机、⑥逆反射测量仪设备、⑦登高车，投标人全部配备的得满分5分，配备五种及以上设备的得3分，配备三种及以上设备的得1分，少于三种设备不得分。</w:t>
            </w:r>
          </w:p>
          <w:p w14:paraId="38C7CBFF">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注：投标文件中提供详细的检测设备清单（格式自拟）、规格型号及设备功能、设备清晰彩色照片图片、购置发票或租赁合同等有效的证明材料，未提供的不得分。</w:t>
            </w:r>
          </w:p>
        </w:tc>
      </w:tr>
      <w:tr w14:paraId="7AE622AA">
        <w:tblPrEx>
          <w:tblCellMar>
            <w:top w:w="0" w:type="dxa"/>
            <w:left w:w="108" w:type="dxa"/>
            <w:bottom w:w="0" w:type="dxa"/>
            <w:right w:w="108" w:type="dxa"/>
          </w:tblCellMar>
        </w:tblPrEx>
        <w:trPr>
          <w:trHeight w:val="797" w:hRule="atLeast"/>
        </w:trPr>
        <w:tc>
          <w:tcPr>
            <w:tcW w:w="270" w:type="pct"/>
            <w:vMerge w:val="continue"/>
            <w:tcBorders>
              <w:left w:val="single" w:color="000000" w:sz="4" w:space="0"/>
              <w:right w:val="single" w:color="000000" w:sz="4" w:space="0"/>
            </w:tcBorders>
            <w:noWrap w:val="0"/>
            <w:vAlign w:val="center"/>
          </w:tcPr>
          <w:p w14:paraId="4787A79D">
            <w:pPr>
              <w:jc w:val="left"/>
              <w:rPr>
                <w:rFonts w:hint="eastAsia" w:asciiTheme="minorEastAsia" w:hAnsiTheme="minorEastAsia" w:eastAsiaTheme="minorEastAsia" w:cstheme="minorEastAsia"/>
                <w:color w:val="auto"/>
                <w:sz w:val="24"/>
                <w:szCs w:val="24"/>
                <w:highlight w:val="none"/>
                <w:lang w:val="en-US" w:eastAsia="zh-CN"/>
              </w:rPr>
            </w:pPr>
          </w:p>
        </w:tc>
        <w:tc>
          <w:tcPr>
            <w:tcW w:w="4729" w:type="pct"/>
            <w:tcBorders>
              <w:top w:val="single" w:color="000000" w:sz="4" w:space="0"/>
              <w:left w:val="single" w:color="000000" w:sz="4" w:space="0"/>
              <w:bottom w:val="single" w:color="000000" w:sz="4" w:space="0"/>
              <w:right w:val="single" w:color="000000" w:sz="4" w:space="0"/>
            </w:tcBorders>
            <w:noWrap w:val="0"/>
            <w:vAlign w:val="center"/>
          </w:tcPr>
          <w:p w14:paraId="1B03BF6D">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7、根据投标人的售后服务进行评议（8分）</w:t>
            </w:r>
          </w:p>
          <w:p w14:paraId="4C76E09A">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售后服务的响应时间，到达现场时间（2分）：响应时间与到达时间迅速、能在30分钟内响应并在2小时内到达项目现场的得2分；在1小时内响应并在4小时内到达现场的得1分；响应时间超过1小时或到达时间超过4小时的不得分，本项最高得2分。</w:t>
            </w:r>
          </w:p>
          <w:p w14:paraId="0AA7A4E7">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注：投标文件中提供售后服务响应时间的承诺函（格式自拟），未提供的不得分。</w:t>
            </w:r>
          </w:p>
          <w:p w14:paraId="7DFC2E3F">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根据投标人的售后服务进行评议：①售后服务内容具体、详细；②售后服务保障体系完备的；③售后服务质量有保证的；以上内容每符合一项得1分，有所欠缺的每项得0.5分，欠缺较大的或未提供的不得分，本项最高得3分。</w:t>
            </w:r>
          </w:p>
          <w:p w14:paraId="27370F33">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3）根据投标人质保期承诺情况进行评议：质保期2年的得基本分1分，在此基础上每增加</w:t>
            </w:r>
            <w:r>
              <w:rPr>
                <w:rFonts w:hint="default" w:asciiTheme="minorEastAsia" w:hAnsiTheme="minorEastAsia" w:eastAsiaTheme="minorEastAsia" w:cstheme="minorEastAsia"/>
                <w:color w:val="auto"/>
                <w:kern w:val="2"/>
                <w:sz w:val="24"/>
                <w:szCs w:val="24"/>
                <w:highlight w:val="none"/>
                <w:lang w:val="en-US" w:eastAsia="zh-CN" w:bidi="ar-SA"/>
              </w:rPr>
              <w:t>6</w:t>
            </w:r>
            <w:r>
              <w:rPr>
                <w:rFonts w:hint="eastAsia" w:asciiTheme="minorEastAsia" w:hAnsiTheme="minorEastAsia" w:eastAsiaTheme="minorEastAsia" w:cstheme="minorEastAsia"/>
                <w:color w:val="auto"/>
                <w:kern w:val="2"/>
                <w:sz w:val="24"/>
                <w:szCs w:val="24"/>
                <w:highlight w:val="none"/>
                <w:lang w:val="en-US" w:eastAsia="zh-CN" w:bidi="ar-SA"/>
              </w:rPr>
              <w:t>个月加</w:t>
            </w:r>
            <w:r>
              <w:rPr>
                <w:rFonts w:hint="default"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kern w:val="2"/>
                <w:sz w:val="24"/>
                <w:szCs w:val="24"/>
                <w:highlight w:val="none"/>
                <w:lang w:val="en-US" w:eastAsia="zh-CN" w:bidi="ar-SA"/>
              </w:rPr>
              <w:t>分，最高加</w:t>
            </w:r>
            <w:r>
              <w:rPr>
                <w:rFonts w:hint="default"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kern w:val="2"/>
                <w:sz w:val="24"/>
                <w:szCs w:val="24"/>
                <w:highlight w:val="none"/>
                <w:lang w:val="en-US" w:eastAsia="zh-CN" w:bidi="ar-SA"/>
              </w:rPr>
              <w:t>分，本项最高得3分。</w:t>
            </w:r>
          </w:p>
        </w:tc>
      </w:tr>
      <w:tr w14:paraId="0A633342">
        <w:tblPrEx>
          <w:tblCellMar>
            <w:top w:w="0" w:type="dxa"/>
            <w:left w:w="108" w:type="dxa"/>
            <w:bottom w:w="0" w:type="dxa"/>
            <w:right w:w="108" w:type="dxa"/>
          </w:tblCellMar>
        </w:tblPrEx>
        <w:trPr>
          <w:trHeight w:val="797" w:hRule="atLeast"/>
        </w:trPr>
        <w:tc>
          <w:tcPr>
            <w:tcW w:w="270" w:type="pct"/>
            <w:vMerge w:val="continue"/>
            <w:tcBorders>
              <w:left w:val="single" w:color="000000" w:sz="4" w:space="0"/>
              <w:right w:val="single" w:color="000000" w:sz="4" w:space="0"/>
            </w:tcBorders>
            <w:noWrap w:val="0"/>
            <w:vAlign w:val="center"/>
          </w:tcPr>
          <w:p w14:paraId="77B2F3E1">
            <w:pPr>
              <w:jc w:val="left"/>
              <w:rPr>
                <w:rFonts w:hint="eastAsia" w:asciiTheme="minorEastAsia" w:hAnsiTheme="minorEastAsia" w:eastAsiaTheme="minorEastAsia" w:cstheme="minorEastAsia"/>
                <w:color w:val="auto"/>
                <w:sz w:val="24"/>
                <w:szCs w:val="24"/>
                <w:highlight w:val="none"/>
                <w:lang w:val="en-US" w:eastAsia="zh-CN"/>
              </w:rPr>
            </w:pPr>
          </w:p>
        </w:tc>
        <w:tc>
          <w:tcPr>
            <w:tcW w:w="4729" w:type="pct"/>
            <w:tcBorders>
              <w:top w:val="single" w:color="000000" w:sz="4" w:space="0"/>
              <w:left w:val="single" w:color="000000" w:sz="4" w:space="0"/>
              <w:bottom w:val="single" w:color="000000" w:sz="4" w:space="0"/>
              <w:right w:val="single" w:color="000000" w:sz="4" w:space="0"/>
            </w:tcBorders>
            <w:noWrap w:val="0"/>
            <w:vAlign w:val="center"/>
          </w:tcPr>
          <w:p w14:paraId="61FCE6DE">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8、样品（具体制作要求详见施工图）（12分）</w:t>
            </w:r>
          </w:p>
          <w:p w14:paraId="155DA612">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评委根据投标人所提供的样品进行评议，未提供样品的作无效标处理。</w:t>
            </w:r>
          </w:p>
          <w:p w14:paraId="79899451">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①投标人提供铝板上画长0.5米，宽0.15米的热熔标线样品，评委对所投样品的材质是否符合招标文件要求、产品品质是否优良、外观是否美观无明显瑕疵，每个得1分，有所欠缺的，每个得0.5分，共3分</w:t>
            </w:r>
          </w:p>
          <w:p w14:paraId="0A78E811">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②投标人提供铝板上画1：5同比缩放的垂直人防车位地面喷涂标识样品，评委对所投样品的材质是否符合招标文件要求、产品品质是否优良、外观是否美观无明显瑕疵，每个得1分，有所欠缺的，每个得0.5分，共3分</w:t>
            </w:r>
          </w:p>
          <w:p w14:paraId="7B2F00A0">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③投标人提供电楼梯指示牌样品，评委对所投样品的材质是否符合招标文件要求、产品品质是否优良、外观是否美观无明显瑕疵，每个得1分，有所欠缺的，每个得0.5分，共3分 </w:t>
            </w:r>
          </w:p>
          <w:p w14:paraId="468A22CA">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④投标人提供地下室挡车器（高强耐磨橡胶）样品，评委对所投样品的材质是否符合招标文件要求、产品品质是否优良、外观是否美观无明显瑕疵，每个得1分，有所欠缺的，每个得0.5分，共3分</w:t>
            </w:r>
          </w:p>
        </w:tc>
      </w:tr>
      <w:tr w14:paraId="01DBE873">
        <w:tblPrEx>
          <w:tblCellMar>
            <w:top w:w="0" w:type="dxa"/>
            <w:left w:w="108" w:type="dxa"/>
            <w:bottom w:w="0" w:type="dxa"/>
            <w:right w:w="108" w:type="dxa"/>
          </w:tblCellMar>
        </w:tblPrEx>
        <w:trPr>
          <w:trHeight w:val="797" w:hRule="atLeast"/>
        </w:trPr>
        <w:tc>
          <w:tcPr>
            <w:tcW w:w="270" w:type="pct"/>
            <w:vMerge w:val="continue"/>
            <w:tcBorders>
              <w:left w:val="single" w:color="000000" w:sz="4" w:space="0"/>
              <w:right w:val="single" w:color="000000" w:sz="4" w:space="0"/>
            </w:tcBorders>
            <w:noWrap w:val="0"/>
            <w:vAlign w:val="center"/>
          </w:tcPr>
          <w:p w14:paraId="51725730">
            <w:pPr>
              <w:jc w:val="left"/>
              <w:rPr>
                <w:rFonts w:hint="eastAsia" w:asciiTheme="minorEastAsia" w:hAnsiTheme="minorEastAsia" w:eastAsiaTheme="minorEastAsia" w:cstheme="minorEastAsia"/>
                <w:color w:val="auto"/>
                <w:sz w:val="24"/>
                <w:szCs w:val="24"/>
                <w:highlight w:val="none"/>
                <w:lang w:val="en-US" w:eastAsia="zh-CN"/>
              </w:rPr>
            </w:pPr>
          </w:p>
        </w:tc>
        <w:tc>
          <w:tcPr>
            <w:tcW w:w="4729" w:type="pct"/>
            <w:tcBorders>
              <w:top w:val="single" w:color="000000" w:sz="4" w:space="0"/>
              <w:left w:val="single" w:color="000000" w:sz="4" w:space="0"/>
              <w:bottom w:val="single" w:color="000000" w:sz="4" w:space="0"/>
              <w:right w:val="single" w:color="000000" w:sz="4" w:space="0"/>
            </w:tcBorders>
            <w:noWrap w:val="0"/>
            <w:vAlign w:val="center"/>
          </w:tcPr>
          <w:p w14:paraId="6035C5AF">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9、体系认证（2分）</w:t>
            </w:r>
          </w:p>
          <w:p w14:paraId="1A600A52">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投标人具有有效期内的质量管理体系认证证书、环境管理体系认证证书、职业健康管理体系认证证书及售后服务认证证书且提供的售后服务认证证书认证范围须包含公路交通安全设施相关内容，每提供一项的0.5分，最高得2分。</w:t>
            </w:r>
          </w:p>
          <w:p w14:paraId="53D0C23C">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注：投标文件中提供证书原件扫描件，未提供的不得分。</w:t>
            </w:r>
          </w:p>
        </w:tc>
      </w:tr>
      <w:tr w14:paraId="785F5FAC">
        <w:tblPrEx>
          <w:tblCellMar>
            <w:top w:w="0" w:type="dxa"/>
            <w:left w:w="108" w:type="dxa"/>
            <w:bottom w:w="0" w:type="dxa"/>
            <w:right w:w="108" w:type="dxa"/>
          </w:tblCellMar>
        </w:tblPrEx>
        <w:tc>
          <w:tcPr>
            <w:tcW w:w="270" w:type="pct"/>
            <w:vMerge w:val="continue"/>
            <w:tcBorders>
              <w:left w:val="single" w:color="000000" w:sz="4" w:space="0"/>
              <w:right w:val="single" w:color="000000" w:sz="4" w:space="0"/>
            </w:tcBorders>
            <w:noWrap w:val="0"/>
            <w:vAlign w:val="center"/>
          </w:tcPr>
          <w:p w14:paraId="3D9EF3CA">
            <w:pPr>
              <w:jc w:val="left"/>
              <w:rPr>
                <w:rFonts w:hint="eastAsia" w:asciiTheme="minorEastAsia" w:hAnsiTheme="minorEastAsia" w:eastAsiaTheme="minorEastAsia" w:cstheme="minorEastAsia"/>
                <w:color w:val="auto"/>
                <w:sz w:val="24"/>
                <w:szCs w:val="24"/>
                <w:highlight w:val="none"/>
                <w:lang w:val="en-US" w:eastAsia="zh-CN"/>
              </w:rPr>
            </w:pPr>
          </w:p>
        </w:tc>
        <w:tc>
          <w:tcPr>
            <w:tcW w:w="4729" w:type="pct"/>
            <w:tcBorders>
              <w:top w:val="single" w:color="000000" w:sz="4" w:space="0"/>
              <w:left w:val="single" w:color="000000" w:sz="4" w:space="0"/>
              <w:bottom w:val="single" w:color="000000" w:sz="4" w:space="0"/>
              <w:right w:val="single" w:color="000000" w:sz="4" w:space="0"/>
            </w:tcBorders>
            <w:noWrap w:val="0"/>
            <w:vAlign w:val="center"/>
          </w:tcPr>
          <w:p w14:paraId="2949EEB5">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10、业绩（4分）</w:t>
            </w:r>
          </w:p>
          <w:p w14:paraId="43894BC0">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2022年1月1日以来（以合同签订时间为准），投标人具有类似业绩的每个得1分，最高得4分。</w:t>
            </w:r>
          </w:p>
          <w:p w14:paraId="4FF5B622">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注：提供合同复印件，时间以合同签订时间为准，未提供的不得分。</w:t>
            </w:r>
          </w:p>
        </w:tc>
      </w:tr>
      <w:tr w14:paraId="6584CE7B">
        <w:tblPrEx>
          <w:tblCellMar>
            <w:top w:w="0" w:type="dxa"/>
            <w:left w:w="108" w:type="dxa"/>
            <w:bottom w:w="0" w:type="dxa"/>
            <w:right w:w="108" w:type="dxa"/>
          </w:tblCellMar>
        </w:tblPrEx>
        <w:trPr>
          <w:trHeight w:val="378" w:hRule="atLeast"/>
        </w:trPr>
        <w:tc>
          <w:tcPr>
            <w:tcW w:w="270" w:type="pct"/>
            <w:vMerge w:val="continue"/>
            <w:tcBorders>
              <w:left w:val="single" w:color="000000" w:sz="4" w:space="0"/>
              <w:bottom w:val="single" w:color="000000" w:sz="4" w:space="0"/>
              <w:right w:val="single" w:color="000000" w:sz="4" w:space="0"/>
            </w:tcBorders>
            <w:noWrap w:val="0"/>
            <w:vAlign w:val="center"/>
          </w:tcPr>
          <w:p w14:paraId="1C05521A">
            <w:pPr>
              <w:jc w:val="left"/>
              <w:rPr>
                <w:rFonts w:hint="eastAsia" w:asciiTheme="minorEastAsia" w:hAnsiTheme="minorEastAsia" w:eastAsiaTheme="minorEastAsia" w:cstheme="minorEastAsia"/>
                <w:color w:val="auto"/>
                <w:sz w:val="24"/>
                <w:szCs w:val="24"/>
                <w:highlight w:val="none"/>
                <w:lang w:val="en-US" w:eastAsia="zh-CN"/>
              </w:rPr>
            </w:pPr>
          </w:p>
        </w:tc>
        <w:tc>
          <w:tcPr>
            <w:tcW w:w="4729" w:type="pct"/>
            <w:tcBorders>
              <w:top w:val="single" w:color="000000" w:sz="4" w:space="0"/>
              <w:left w:val="single" w:color="000000" w:sz="4" w:space="0"/>
              <w:bottom w:val="single" w:color="000000" w:sz="4" w:space="0"/>
              <w:right w:val="single" w:color="000000" w:sz="4" w:space="0"/>
            </w:tcBorders>
            <w:noWrap w:val="0"/>
            <w:vAlign w:val="center"/>
          </w:tcPr>
          <w:p w14:paraId="1706F672">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11、政府采购政策加分（1分）</w:t>
            </w:r>
          </w:p>
          <w:p w14:paraId="7DF7F283">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（1）投标人是国家认定的少数民族地区企业的加0.5分</w:t>
            </w:r>
            <w:r>
              <w:rPr>
                <w:rFonts w:hint="eastAsia" w:asciiTheme="minorEastAsia" w:hAnsiTheme="minorEastAsia" w:eastAsiaTheme="minorEastAsia" w:cstheme="minorEastAsia"/>
                <w:color w:val="auto"/>
                <w:kern w:val="2"/>
                <w:sz w:val="24"/>
                <w:szCs w:val="24"/>
                <w:highlight w:val="none"/>
                <w:lang w:val="zh-CN" w:eastAsia="zh-CN" w:bidi="ar-SA"/>
              </w:rPr>
              <w:t>（提供相关证明）</w:t>
            </w:r>
            <w:r>
              <w:rPr>
                <w:rFonts w:hint="eastAsia" w:asciiTheme="minorEastAsia" w:hAnsiTheme="minorEastAsia" w:eastAsiaTheme="minorEastAsia" w:cstheme="minorEastAsia"/>
                <w:color w:val="auto"/>
                <w:kern w:val="2"/>
                <w:sz w:val="24"/>
                <w:szCs w:val="24"/>
                <w:highlight w:val="none"/>
                <w:lang w:val="en-US" w:eastAsia="zh-CN" w:bidi="ar-SA"/>
              </w:rPr>
              <w:t>。</w:t>
            </w:r>
          </w:p>
          <w:p w14:paraId="4B6F4785">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节能产品、环境标志产品政策性因素得分（0.5分）。投标产品如属于节能产品的得0.25分，投标产品如属于环境标志产品的得0.25分，投标人须提供由国家确定的认证机构出具的、处于有效期之内的节能产品、环境标志产品认证证书，未按要求提供认证证书或认证证书与中国政府采购网(www.ccgp.gov.cn) 节能产品、环境标志产品查询结果不相符的评标委员会将不予认可。</w:t>
            </w:r>
          </w:p>
        </w:tc>
      </w:tr>
      <w:tr w14:paraId="7FF28AD8">
        <w:tblPrEx>
          <w:tblCellMar>
            <w:top w:w="0" w:type="dxa"/>
            <w:left w:w="108" w:type="dxa"/>
            <w:bottom w:w="0" w:type="dxa"/>
            <w:right w:w="108" w:type="dxa"/>
          </w:tblCellMar>
        </w:tblPrEx>
        <w:trPr>
          <w:trHeight w:val="1405" w:hRule="atLeast"/>
        </w:trPr>
        <w:tc>
          <w:tcPr>
            <w:tcW w:w="270" w:type="pct"/>
            <w:tcBorders>
              <w:top w:val="single" w:color="000000" w:sz="4" w:space="0"/>
              <w:left w:val="single" w:color="000000" w:sz="4" w:space="0"/>
              <w:bottom w:val="single" w:color="000000" w:sz="4" w:space="0"/>
              <w:right w:val="single" w:color="000000" w:sz="4" w:space="0"/>
            </w:tcBorders>
            <w:noWrap w:val="0"/>
            <w:vAlign w:val="center"/>
          </w:tcPr>
          <w:p w14:paraId="2AC43D9A">
            <w:pPr>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报价</w:t>
            </w:r>
          </w:p>
          <w:p w14:paraId="385B1020">
            <w:pPr>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分40分</w:t>
            </w:r>
          </w:p>
        </w:tc>
        <w:tc>
          <w:tcPr>
            <w:tcW w:w="4729" w:type="pct"/>
            <w:tcBorders>
              <w:top w:val="single" w:color="000000" w:sz="4" w:space="0"/>
              <w:left w:val="single" w:color="000000" w:sz="4" w:space="0"/>
              <w:bottom w:val="single" w:color="000000" w:sz="4" w:space="0"/>
              <w:right w:val="single" w:color="000000" w:sz="4" w:space="0"/>
            </w:tcBorders>
            <w:noWrap w:val="0"/>
            <w:vAlign w:val="center"/>
          </w:tcPr>
          <w:p w14:paraId="4E0FA4EA">
            <w:pPr>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满足招标文件要求且参与评审价格最低为评标基准价，其价格分为满分，其余</w:t>
            </w:r>
            <w:r>
              <w:rPr>
                <w:rFonts w:hint="eastAsia" w:asciiTheme="minorEastAsia" w:hAnsiTheme="minorEastAsia" w:eastAsiaTheme="minorEastAsia" w:cstheme="minorEastAsia"/>
                <w:color w:val="auto"/>
                <w:sz w:val="24"/>
                <w:szCs w:val="24"/>
                <w:highlight w:val="none"/>
                <w:lang w:val="zh-CN" w:eastAsia="zh-CN"/>
              </w:rPr>
              <w:t>供应商</w:t>
            </w:r>
            <w:r>
              <w:rPr>
                <w:rFonts w:hint="eastAsia" w:asciiTheme="minorEastAsia" w:hAnsiTheme="minorEastAsia" w:eastAsiaTheme="minorEastAsia" w:cstheme="minorEastAsia"/>
                <w:color w:val="auto"/>
                <w:sz w:val="24"/>
                <w:szCs w:val="24"/>
                <w:highlight w:val="none"/>
                <w:lang w:val="en-US" w:eastAsia="zh-CN"/>
              </w:rPr>
              <w:t>的价格分以下列公式计算：</w:t>
            </w:r>
          </w:p>
          <w:p w14:paraId="00CD0C9E">
            <w:pPr>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投标报价得分=（评标基准价/参与评审的价格）×价格权值×100</w:t>
            </w:r>
          </w:p>
          <w:p w14:paraId="7593FA28">
            <w:pPr>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参与评审价格=投标价格×（1-价格折扣率）</w:t>
            </w:r>
          </w:p>
        </w:tc>
      </w:tr>
    </w:tbl>
    <w:p w14:paraId="7F2B7288">
      <w:pPr>
        <w:keepNext w:val="0"/>
        <w:keepLines w:val="0"/>
        <w:pageBreakBefore w:val="0"/>
        <w:widowControl w:val="0"/>
        <w:kinsoku/>
        <w:wordWrap/>
        <w:overflowPunct/>
        <w:topLinePunct w:val="0"/>
        <w:bidi w:val="0"/>
        <w:jc w:val="left"/>
        <w:textAlignment w:val="auto"/>
        <w:rPr>
          <w:rFonts w:eastAsia="仿宋_GB2312"/>
          <w:color w:val="auto"/>
          <w:sz w:val="28"/>
          <w:highlight w:val="none"/>
        </w:rPr>
      </w:pPr>
    </w:p>
    <w:p w14:paraId="35513A8E">
      <w:pPr>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sz w:val="20"/>
          <w:szCs w:val="20"/>
          <w:highlight w:val="none"/>
        </w:rPr>
        <w:t> </w:t>
      </w:r>
      <w:r>
        <w:rPr>
          <w:rFonts w:hint="eastAsia" w:cs="仿宋" w:asciiTheme="majorEastAsia" w:hAnsiTheme="majorEastAsia" w:eastAsiaTheme="majorEastAsia"/>
          <w:b/>
          <w:color w:val="auto"/>
          <w:sz w:val="24"/>
          <w:highlight w:val="none"/>
        </w:rPr>
        <w:t>备注：</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编制投标文件（商务技术文件部分）时，建议按此目录（序号和内容）提供评标标准相应的商务技术资料。 </w:t>
      </w:r>
    </w:p>
    <w:p w14:paraId="31A17F47">
      <w:pPr>
        <w:keepNext w:val="0"/>
        <w:keepLines w:val="0"/>
        <w:pageBreakBefore w:val="0"/>
        <w:widowControl w:val="0"/>
        <w:kinsoku/>
        <w:wordWrap/>
        <w:overflowPunct/>
        <w:topLinePunct w:val="0"/>
        <w:bidi w:val="0"/>
        <w:snapToGrid w:val="0"/>
        <w:spacing w:line="360" w:lineRule="auto"/>
        <w:ind w:left="120" w:leftChars="57" w:firstLine="482" w:firstLineChars="150"/>
        <w:jc w:val="center"/>
        <w:textAlignment w:val="auto"/>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一、评标方法</w:t>
      </w:r>
    </w:p>
    <w:p w14:paraId="6B9319B6">
      <w:pPr>
        <w:keepNext w:val="0"/>
        <w:keepLines w:val="0"/>
        <w:pageBreakBefore w:val="0"/>
        <w:widowControl w:val="0"/>
        <w:kinsoku/>
        <w:wordWrap/>
        <w:overflowPunct/>
        <w:topLinePunct w:val="0"/>
        <w:bidi w:val="0"/>
        <w:spacing w:line="360" w:lineRule="auto"/>
        <w:ind w:firstLine="472" w:firstLineChars="196"/>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1.本项目采用综合评分法。</w:t>
      </w:r>
      <w:r>
        <w:rPr>
          <w:rFonts w:hint="eastAsia" w:cs="仿宋" w:asciiTheme="majorEastAsia" w:hAnsiTheme="majorEastAsia" w:eastAsiaTheme="majorEastAsia"/>
          <w:color w:val="auto"/>
          <w:kern w:val="0"/>
          <w:sz w:val="24"/>
          <w:highlight w:val="none"/>
        </w:rPr>
        <w:t>综合评分法，是指投标文件满足招标文件全部实质性要求，且按照评审因素的量化指标评审得分最高的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为中标候选人的评标方法。</w:t>
      </w:r>
    </w:p>
    <w:p w14:paraId="751B3FAC">
      <w:pPr>
        <w:keepNext w:val="0"/>
        <w:keepLines w:val="0"/>
        <w:pageBreakBefore w:val="0"/>
        <w:widowControl w:val="0"/>
        <w:kinsoku/>
        <w:wordWrap/>
        <w:overflowPunct/>
        <w:topLinePunct w:val="0"/>
        <w:bidi w:val="0"/>
        <w:snapToGrid w:val="0"/>
        <w:spacing w:line="360" w:lineRule="auto"/>
        <w:ind w:left="120" w:leftChars="57" w:firstLine="482" w:firstLineChars="150"/>
        <w:jc w:val="center"/>
        <w:textAlignment w:val="auto"/>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二、评标标准</w:t>
      </w:r>
    </w:p>
    <w:p w14:paraId="34B33133">
      <w:pPr>
        <w:keepNext w:val="0"/>
        <w:keepLines w:val="0"/>
        <w:pageBreakBefore w:val="0"/>
        <w:widowControl w:val="0"/>
        <w:kinsoku/>
        <w:wordWrap/>
        <w:overflowPunct/>
        <w:topLinePunct w:val="0"/>
        <w:bidi w:val="0"/>
        <w:spacing w:line="360" w:lineRule="auto"/>
        <w:ind w:firstLine="472" w:firstLineChars="196"/>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2.</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b/>
          <w:color w:val="auto"/>
          <w:sz w:val="24"/>
          <w:highlight w:val="none"/>
        </w:rPr>
        <w:t>评标标准：</w:t>
      </w:r>
      <w:r>
        <w:rPr>
          <w:rFonts w:hint="eastAsia" w:cs="仿宋" w:asciiTheme="majorEastAsia" w:hAnsiTheme="majorEastAsia" w:eastAsiaTheme="majorEastAsia"/>
          <w:color w:val="auto"/>
          <w:kern w:val="0"/>
          <w:sz w:val="24"/>
          <w:highlight w:val="none"/>
        </w:rPr>
        <w:t>见评标办法前附表。</w:t>
      </w:r>
    </w:p>
    <w:p w14:paraId="23488819">
      <w:pPr>
        <w:keepNext w:val="0"/>
        <w:keepLines w:val="0"/>
        <w:pageBreakBefore w:val="0"/>
        <w:widowControl w:val="0"/>
        <w:kinsoku/>
        <w:wordWrap/>
        <w:overflowPunct/>
        <w:topLinePunct w:val="0"/>
        <w:bidi w:val="0"/>
        <w:snapToGrid w:val="0"/>
        <w:spacing w:line="360" w:lineRule="auto"/>
        <w:ind w:left="120" w:leftChars="57" w:firstLine="482" w:firstLineChars="150"/>
        <w:jc w:val="center"/>
        <w:textAlignment w:val="auto"/>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三、评标程序</w:t>
      </w:r>
    </w:p>
    <w:p w14:paraId="3DD02338">
      <w:pPr>
        <w:keepNext w:val="0"/>
        <w:keepLines w:val="0"/>
        <w:pageBreakBefore w:val="0"/>
        <w:widowControl w:val="0"/>
        <w:kinsoku/>
        <w:wordWrap/>
        <w:overflowPunct/>
        <w:topLinePunct w:val="0"/>
        <w:bidi w:val="0"/>
        <w:spacing w:line="360" w:lineRule="auto"/>
        <w:ind w:firstLine="482" w:firstLineChars="20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3.1 符合性审查。</w:t>
      </w:r>
      <w:r>
        <w:rPr>
          <w:rFonts w:hint="eastAsia" w:cs="仿宋" w:asciiTheme="majorEastAsia" w:hAnsiTheme="majorEastAsia" w:eastAsiaTheme="majorEastAsia"/>
          <w:color w:val="auto"/>
          <w:kern w:val="0"/>
          <w:sz w:val="24"/>
          <w:highlight w:val="none"/>
        </w:rPr>
        <w:t>评标委员会应当对符合资格的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的投标文件进行符合性审查，以确定其是否满足招标文件的实质性要求。不满足招标文件的实质性要求的，投标无效。</w:t>
      </w:r>
    </w:p>
    <w:p w14:paraId="1BC0F1D5">
      <w:pPr>
        <w:keepNext w:val="0"/>
        <w:keepLines w:val="0"/>
        <w:pageBreakBefore w:val="0"/>
        <w:widowControl w:val="0"/>
        <w:kinsoku/>
        <w:wordWrap/>
        <w:overflowPunct/>
        <w:topLinePunct w:val="0"/>
        <w:bidi w:val="0"/>
        <w:spacing w:line="360" w:lineRule="auto"/>
        <w:ind w:firstLine="482" w:firstLineChars="20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3.2 商务技术评审。</w:t>
      </w:r>
      <w:r>
        <w:rPr>
          <w:rFonts w:hint="eastAsia" w:cs="仿宋" w:asciiTheme="majorEastAsia" w:hAnsiTheme="majorEastAsia" w:eastAsiaTheme="majorEastAsia"/>
          <w:color w:val="auto"/>
          <w:kern w:val="0"/>
          <w:sz w:val="24"/>
          <w:highlight w:val="none"/>
        </w:rPr>
        <w:t>评标委员会应当按照招标文件中规定的评标方法和标准，对符合性审查合格的投标文件进行商务和技术评估。</w:t>
      </w:r>
    </w:p>
    <w:p w14:paraId="646AA68F">
      <w:pPr>
        <w:keepNext w:val="0"/>
        <w:keepLines w:val="0"/>
        <w:pageBreakBefore w:val="0"/>
        <w:widowControl w:val="0"/>
        <w:kinsoku/>
        <w:wordWrap/>
        <w:overflowPunct/>
        <w:topLinePunct w:val="0"/>
        <w:bidi w:val="0"/>
        <w:spacing w:line="360" w:lineRule="auto"/>
        <w:ind w:firstLine="482" w:firstLineChars="20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3.3 汇总商务技术得分。</w:t>
      </w:r>
      <w:r>
        <w:rPr>
          <w:rFonts w:hint="eastAsia" w:cs="仿宋" w:asciiTheme="majorEastAsia" w:hAnsiTheme="majorEastAsia" w:eastAsiaTheme="majorEastAsia"/>
          <w:color w:val="auto"/>
          <w:kern w:val="0"/>
          <w:sz w:val="24"/>
          <w:highlight w:val="none"/>
        </w:rPr>
        <w:t>评标委员会各成员应当独立对每个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的商务和技术文件进行评价，并汇总商务技术得分情况。</w:t>
      </w:r>
    </w:p>
    <w:p w14:paraId="02B7FDE4">
      <w:pPr>
        <w:keepNext w:val="0"/>
        <w:keepLines w:val="0"/>
        <w:pageBreakBefore w:val="0"/>
        <w:widowControl w:val="0"/>
        <w:kinsoku/>
        <w:wordWrap/>
        <w:overflowPunct/>
        <w:topLinePunct w:val="0"/>
        <w:bidi w:val="0"/>
        <w:spacing w:line="360" w:lineRule="auto"/>
        <w:ind w:firstLine="482" w:firstLineChars="200"/>
        <w:textAlignment w:val="auto"/>
        <w:rPr>
          <w:rFonts w:cs="仿宋" w:asciiTheme="majorEastAsia" w:hAnsiTheme="majorEastAsia" w:eastAsiaTheme="majorEastAsia"/>
          <w:b/>
          <w:color w:val="auto"/>
          <w:kern w:val="0"/>
          <w:sz w:val="24"/>
          <w:highlight w:val="none"/>
        </w:rPr>
      </w:pPr>
      <w:r>
        <w:rPr>
          <w:rFonts w:hint="eastAsia" w:cs="仿宋" w:asciiTheme="majorEastAsia" w:hAnsiTheme="majorEastAsia" w:eastAsiaTheme="majorEastAsia"/>
          <w:b/>
          <w:color w:val="auto"/>
          <w:kern w:val="0"/>
          <w:sz w:val="24"/>
          <w:highlight w:val="none"/>
        </w:rPr>
        <w:t>3.4 报价评审。</w:t>
      </w:r>
    </w:p>
    <w:p w14:paraId="0EAC53EB">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3.4.1投标文件报价出现前后不一致的，按照下列规定修正：</w:t>
      </w:r>
    </w:p>
    <w:p w14:paraId="65816C75">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3.4.1.1电子交易平台生成的开标记录表(报价表)内容与投标文件中开标一览表(报价表)不一致的，以投标文件中开标一览表(报价表)为准；</w:t>
      </w:r>
    </w:p>
    <w:p w14:paraId="101818FA">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3.4.1.2</w:t>
      </w:r>
      <w:r>
        <w:rPr>
          <w:rFonts w:hint="eastAsia" w:cs="仿宋" w:asciiTheme="majorEastAsia" w:hAnsiTheme="majorEastAsia" w:eastAsiaTheme="majorEastAsia"/>
          <w:color w:val="auto"/>
          <w:kern w:val="0"/>
          <w:highlight w:val="none"/>
        </w:rPr>
        <w:t>投标文件中开标一览表(报价表)内容与投标文件中相应内容不一致的，以开标一览表(报价表)为准；</w:t>
      </w:r>
    </w:p>
    <w:p w14:paraId="0B248118">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3.4.1.3 大写金额和小写金额不一致的，以大写金额为准;</w:t>
      </w:r>
    </w:p>
    <w:p w14:paraId="5B15D58C">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3.4.1.4 单价金额小数点或者百分比有明显错位的，以开标一览表的总价为准，并修改单价;</w:t>
      </w:r>
    </w:p>
    <w:p w14:paraId="3AFB0B14">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3.4.1.5 总价金额与按单价汇总金额不一致的，以单价金额计算结果为准；</w:t>
      </w:r>
    </w:p>
    <w:p w14:paraId="0EE943BA">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确认后产生约束力。</w:t>
      </w:r>
    </w:p>
    <w:p w14:paraId="6996BBC6">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3.4.2投标文件出现不是唯一的、有选择性投标报价的，投标无效。</w:t>
      </w:r>
    </w:p>
    <w:p w14:paraId="0164DCCC">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3.4.3投标报价超过招标文件中规定的预算金额或者最高限价的，投标无效。</w:t>
      </w:r>
    </w:p>
    <w:p w14:paraId="169B20C6">
      <w:pPr>
        <w:pStyle w:val="41"/>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3.4.4评标委员会认为</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的报价明显低于其他通过符合性审查</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的报价，有可能影响产品质量或者不能诚信履约的，应当要求其在30分钟内提供书面说明，必要时提交相关证明材料;</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不能证明其报价合理性的，评标委员会应当将其作为无效投标处理。</w:t>
      </w:r>
    </w:p>
    <w:p w14:paraId="5DD6C23C">
      <w:pPr>
        <w:keepNext w:val="0"/>
        <w:keepLines w:val="0"/>
        <w:pageBreakBefore w:val="0"/>
        <w:widowControl w:val="0"/>
        <w:kinsoku/>
        <w:wordWrap/>
        <w:overflowPunct/>
        <w:topLinePunct w:val="0"/>
        <w:bidi w:val="0"/>
        <w:spacing w:line="360" w:lineRule="auto"/>
        <w:ind w:firstLine="482" w:firstLineChars="20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3.5编写评标报告。</w:t>
      </w:r>
      <w:r>
        <w:rPr>
          <w:rFonts w:hint="eastAsia" w:cs="仿宋" w:asciiTheme="majorEastAsia" w:hAnsiTheme="majorEastAsia" w:eastAsiaTheme="maj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5C9A8E">
      <w:pPr>
        <w:keepNext w:val="0"/>
        <w:keepLines w:val="0"/>
        <w:pageBreakBefore w:val="0"/>
        <w:widowControl w:val="0"/>
        <w:kinsoku/>
        <w:wordWrap/>
        <w:overflowPunct/>
        <w:topLinePunct w:val="0"/>
        <w:bidi w:val="0"/>
        <w:snapToGrid w:val="0"/>
        <w:spacing w:line="360" w:lineRule="auto"/>
        <w:ind w:left="120" w:leftChars="57" w:firstLine="482" w:firstLineChars="150"/>
        <w:jc w:val="center"/>
        <w:textAlignment w:val="auto"/>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四、评标中的其他事项</w:t>
      </w:r>
    </w:p>
    <w:p w14:paraId="5CADD8B2">
      <w:pPr>
        <w:pStyle w:val="41"/>
        <w:keepNext w:val="0"/>
        <w:keepLines w:val="0"/>
        <w:pageBreakBefore w:val="0"/>
        <w:widowControl w:val="0"/>
        <w:kinsoku/>
        <w:wordWrap/>
        <w:overflowPunct/>
        <w:topLinePunct w:val="0"/>
        <w:bidi w:val="0"/>
        <w:spacing w:before="0"/>
        <w:ind w:firstLine="482"/>
        <w:textAlignment w:val="auto"/>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b/>
          <w:color w:val="auto"/>
          <w:kern w:val="0"/>
          <w:szCs w:val="24"/>
          <w:highlight w:val="none"/>
        </w:rPr>
        <w:t>4.1投标澄清、说明或者补正。</w:t>
      </w:r>
      <w:r>
        <w:rPr>
          <w:rFonts w:hint="eastAsia" w:cs="仿宋" w:asciiTheme="majorEastAsia" w:hAnsiTheme="majorEastAsia" w:eastAsiaTheme="majorEastAsia"/>
          <w:color w:val="auto"/>
          <w:kern w:val="0"/>
          <w:szCs w:val="24"/>
          <w:highlight w:val="none"/>
        </w:rPr>
        <w:t>对于投标文件中含义不明确、同类问题表述不一致或者有明显文字和计算错误的内容需要</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作出必要的澄清、说明或者补正的，评标委员会和</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通过电子交易平台交换数据电文，</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提交使用电子签名的相关数据电文或通过平台上传加盖公章的扫描件。给予</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提交澄清、说明或补正的时间不得少于半小时，</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已经明确表示澄清说明或补正完毕的除外。</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的澄清、说明或者补正不得超出投标文件的范围或者改变投标文件的实质性内容。</w:t>
      </w:r>
    </w:p>
    <w:p w14:paraId="35EBC3EC">
      <w:pPr>
        <w:pStyle w:val="9"/>
        <w:keepNext w:val="0"/>
        <w:keepLines w:val="0"/>
        <w:pageBreakBefore w:val="0"/>
        <w:widowControl w:val="0"/>
        <w:kinsoku/>
        <w:wordWrap/>
        <w:overflowPunct/>
        <w:topLinePunct w:val="0"/>
        <w:bidi w:val="0"/>
        <w:spacing w:line="360" w:lineRule="auto"/>
        <w:ind w:firstLine="482"/>
        <w:textAlignment w:val="auto"/>
        <w:rPr>
          <w:rFonts w:cs="仿宋" w:asciiTheme="majorEastAsia" w:hAnsiTheme="majorEastAsia" w:eastAsiaTheme="majorEastAsia"/>
          <w:color w:val="auto"/>
          <w:szCs w:val="21"/>
          <w:highlight w:val="none"/>
        </w:rPr>
      </w:pPr>
      <w:r>
        <w:rPr>
          <w:rFonts w:hint="eastAsia" w:cs="仿宋" w:asciiTheme="majorEastAsia" w:hAnsiTheme="majorEastAsia" w:eastAsiaTheme="majorEastAsia"/>
          <w:b/>
          <w:color w:val="auto"/>
          <w:kern w:val="0"/>
          <w:highlight w:val="none"/>
        </w:rPr>
        <w:t>4.2投标无效的情形。</w:t>
      </w:r>
    </w:p>
    <w:p w14:paraId="77845658">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4.2.1 没有响应招标文件实质性要求的投标将被视为无效投标。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不得通过修正或撤</w:t>
      </w:r>
      <w:r>
        <w:rPr>
          <w:rFonts w:hint="eastAsia" w:cs="仿宋" w:asciiTheme="majorEastAsia" w:hAnsiTheme="majorEastAsia" w:eastAsiaTheme="majorEastAsia"/>
          <w:color w:val="auto"/>
          <w:kern w:val="0"/>
          <w:sz w:val="24"/>
          <w:highlight w:val="none"/>
          <w:lang w:val="en-US" w:eastAsia="zh-CN"/>
        </w:rPr>
        <w:t>销</w:t>
      </w:r>
      <w:r>
        <w:rPr>
          <w:rFonts w:hint="eastAsia" w:cs="仿宋" w:asciiTheme="majorEastAsia" w:hAnsiTheme="majorEastAsia" w:eastAsiaTheme="majorEastAsia"/>
          <w:color w:val="auto"/>
          <w:kern w:val="0"/>
          <w:sz w:val="24"/>
          <w:highlight w:val="none"/>
        </w:rPr>
        <w:t>不合要求的偏离或保留从而使其投标成为实质上响应的投标，但经评标委员会认定属于</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修改、补正投标文件后，不影响评标委员会对其投标文件所作的评价和评分结果。</w:t>
      </w:r>
    </w:p>
    <w:p w14:paraId="754F90CE">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 在电子开评标时，如发现下列情形之一的，将被视为无效投标文件：</w:t>
      </w:r>
    </w:p>
    <w:p w14:paraId="786E0460">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4.2.2.1电子投标文件解密失败的；</w:t>
      </w:r>
    </w:p>
    <w:p w14:paraId="42D16CAA">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4.2.2.2投标文件未按招标文件要求加密、签字、盖章的；</w:t>
      </w:r>
    </w:p>
    <w:p w14:paraId="165E4530">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 在资格审查、符合性审查和商务评审时，如发现下列情形之一的，将被视为无效投标文件：</w:t>
      </w:r>
    </w:p>
    <w:p w14:paraId="71BE2617">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 资格证明文件不全的或者不符合招标文件标明的资格要求的；</w:t>
      </w:r>
    </w:p>
    <w:p w14:paraId="430C238D">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4.2.3.2 投标文件未按招标文件要求签署、盖章的；</w:t>
      </w:r>
    </w:p>
    <w:p w14:paraId="12848D7C">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4.2.3.3 投标文件格式不规范、项目不齐全或者内容虚假的；</w:t>
      </w:r>
    </w:p>
    <w:p w14:paraId="0DB1F6DB">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4.2.3.4 投标文件的实质性内容未使用中文表述、意思表述不明确、前后矛盾或者使用计量单位不符合招标文件要求的（经评标委员会认定并允许其当场更正的笔误除外）；</w:t>
      </w:r>
    </w:p>
    <w:p w14:paraId="16F89902">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4.2.3.5 投标有效期、交货时间、质保期等商务条款不能满足招标文件要求的；</w:t>
      </w:r>
    </w:p>
    <w:p w14:paraId="0B9180EB">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4.2.3.6 带“▲”的条款不能满足招标文件要求、未实质性响应招标文件要求或者投标文件有采购人不能接受的附加条件的；</w:t>
      </w:r>
    </w:p>
    <w:p w14:paraId="3647D5BD">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4.2.3.7 单位负责人为同一人或者存在直接控股、管理关系的不同供应商参加同一合同项下的政府采购活动的；</w:t>
      </w:r>
    </w:p>
    <w:p w14:paraId="3AF03707">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4.2.3.8 为采购项目提供整体设计、规范编制或者项目管理、监理、检测等服务的供应商参加该采购项目的其他采购活动的；</w:t>
      </w:r>
    </w:p>
    <w:p w14:paraId="062B2050">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4.2.3.9 商务技术文件中出现本项目投标报价或单价的。</w:t>
      </w:r>
    </w:p>
    <w:p w14:paraId="610DBD37">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4.3.在技术评审时，如发现下列情形之一的，将被视为无效投标文件：</w:t>
      </w:r>
    </w:p>
    <w:p w14:paraId="7EEC5FDB">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4.3.1未提供或未如实提供投标货物的技术参数，或者投标文件标明的响应或偏离与事实不符或虚假投标的；</w:t>
      </w:r>
    </w:p>
    <w:p w14:paraId="3C24060B">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4.3.2 明显不符合招标文件要求的规格型号、质量标准，或者与招标文件中标“▲”的技术指标、主要功能项目发生实质性偏离的；</w:t>
      </w:r>
    </w:p>
    <w:p w14:paraId="607FB30C">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4.3.3 允许偏离的技术、性能指标或辅助功能项目发生负偏离达</w:t>
      </w:r>
      <w:r>
        <w:rPr>
          <w:rFonts w:hint="eastAsia" w:cs="仿宋" w:asciiTheme="majorEastAsia" w:hAnsiTheme="majorEastAsia" w:eastAsiaTheme="majorEastAsia"/>
          <w:color w:val="auto"/>
          <w:kern w:val="0"/>
          <w:sz w:val="24"/>
          <w:highlight w:val="none"/>
          <w:lang w:val="en-US" w:eastAsia="zh-CN"/>
        </w:rPr>
        <w:t>7</w:t>
      </w:r>
      <w:r>
        <w:rPr>
          <w:rFonts w:hint="eastAsia" w:cs="仿宋" w:asciiTheme="majorEastAsia" w:hAnsiTheme="majorEastAsia" w:eastAsiaTheme="majorEastAsia"/>
          <w:color w:val="auto"/>
          <w:kern w:val="0"/>
          <w:sz w:val="24"/>
          <w:highlight w:val="none"/>
        </w:rPr>
        <w:t>项（含）以上的；</w:t>
      </w:r>
    </w:p>
    <w:p w14:paraId="45EFB016">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4.3.4 投标技术方案不明确，存在一个或一个以上备选（替代）投标方案的；</w:t>
      </w:r>
    </w:p>
    <w:p w14:paraId="6153B109">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4.3.5 与其他参加本次投标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的投标文件（技术文件）的文字表述内容差错相同2处以上的；</w:t>
      </w:r>
    </w:p>
    <w:p w14:paraId="172221E1">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 在报价评审时，如发现下列情形之一的，投标文件将被视为无效：</w:t>
      </w:r>
    </w:p>
    <w:p w14:paraId="77B4D5CF">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4.4.1 未采用人民币报价或者未按照招标文件标明的币种报价的；</w:t>
      </w:r>
    </w:p>
    <w:p w14:paraId="71E46CC0">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4.4.2 报价超出最高限价，或者超出采购预算金额的；</w:t>
      </w:r>
    </w:p>
    <w:p w14:paraId="7AEE6AA0">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4.4.3 投标报价具有选择性的；</w:t>
      </w:r>
    </w:p>
    <w:p w14:paraId="0E8227D1">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4.4.4 投标报价中出现缺项、漏项或被评标委员会认定为有可能影响产品质量或者不能诚信履约的且不能在合理的时间内证明其报价合理性的；</w:t>
      </w:r>
    </w:p>
    <w:p w14:paraId="31291B2A">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4.4.5供应商对根据修正原则修正后的报价不确认的。</w:t>
      </w:r>
    </w:p>
    <w:p w14:paraId="437322CB">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4.5其他无效情形：</w:t>
      </w:r>
    </w:p>
    <w:p w14:paraId="5F75F5D9">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4.5.1 不同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的投标文件出自同一终端设备或在相同Internet主机分配地址（相同IP地址）进行网上报名、投标的；</w:t>
      </w:r>
    </w:p>
    <w:p w14:paraId="34E190CF">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4.5.2 法律、法规、规章（适用本市的）及省级以上规范性文件（适用本市的）规定的其他无效情形。</w:t>
      </w:r>
    </w:p>
    <w:p w14:paraId="6606BC5E">
      <w:pPr>
        <w:pStyle w:val="9"/>
        <w:keepNext w:val="0"/>
        <w:keepLines w:val="0"/>
        <w:pageBreakBefore w:val="0"/>
        <w:widowControl w:val="0"/>
        <w:kinsoku/>
        <w:wordWrap/>
        <w:overflowPunct/>
        <w:topLinePunct w:val="0"/>
        <w:bidi w:val="0"/>
        <w:snapToGrid w:val="0"/>
        <w:spacing w:line="360" w:lineRule="auto"/>
        <w:ind w:firstLine="482"/>
        <w:textAlignment w:val="auto"/>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5.废标。</w:t>
      </w:r>
      <w:r>
        <w:rPr>
          <w:rFonts w:hint="eastAsia" w:cs="仿宋" w:asciiTheme="majorEastAsia" w:hAnsiTheme="majorEastAsia" w:eastAsiaTheme="majorEastAsia"/>
          <w:color w:val="auto"/>
          <w:highlight w:val="none"/>
        </w:rPr>
        <w:t>根据《中华人民共和国政府采购法》第三十六条之规定，在采购中，出现下列情形之一的，应予废标：</w:t>
      </w:r>
    </w:p>
    <w:p w14:paraId="4C7F0D10">
      <w:pPr>
        <w:pStyle w:val="9"/>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5.1符合专业条件的供应商或者对招标文件作实质响应的供应商不足3家的；</w:t>
      </w:r>
    </w:p>
    <w:p w14:paraId="62CB10F8">
      <w:pPr>
        <w:pStyle w:val="9"/>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5.2出现影响采购公正的违法、违规行为的；</w:t>
      </w:r>
    </w:p>
    <w:p w14:paraId="7CE08C2A">
      <w:pPr>
        <w:pStyle w:val="9"/>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5.3</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的报价均超过了采购预算，采购人不能支付的；</w:t>
      </w:r>
    </w:p>
    <w:p w14:paraId="5BE6209E">
      <w:pPr>
        <w:pStyle w:val="9"/>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5.4因重大变故，采购任务取消的。</w:t>
      </w:r>
    </w:p>
    <w:p w14:paraId="444D23DE">
      <w:pPr>
        <w:pStyle w:val="9"/>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废标后，采购代理机构应当将废标理由通知所有</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w:t>
      </w:r>
    </w:p>
    <w:p w14:paraId="119AB4BE">
      <w:pPr>
        <w:pStyle w:val="9"/>
        <w:keepNext w:val="0"/>
        <w:keepLines w:val="0"/>
        <w:pageBreakBefore w:val="0"/>
        <w:widowControl w:val="0"/>
        <w:kinsoku/>
        <w:wordWrap/>
        <w:overflowPunct/>
        <w:topLinePunct w:val="0"/>
        <w:bidi w:val="0"/>
        <w:snapToGrid w:val="0"/>
        <w:spacing w:line="360" w:lineRule="auto"/>
        <w:ind w:firstLine="482"/>
        <w:textAlignment w:val="auto"/>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6.修改招标文件，重新组织采购活动。</w:t>
      </w:r>
      <w:r>
        <w:rPr>
          <w:rFonts w:hint="eastAsia" w:cs="仿宋" w:asciiTheme="majorEastAsia" w:hAnsiTheme="majorEastAsia" w:eastAsiaTheme="maj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0D1CB35">
      <w:pPr>
        <w:pStyle w:val="9"/>
        <w:keepNext w:val="0"/>
        <w:keepLines w:val="0"/>
        <w:pageBreakBefore w:val="0"/>
        <w:widowControl w:val="0"/>
        <w:kinsoku/>
        <w:wordWrap/>
        <w:overflowPunct/>
        <w:topLinePunct w:val="0"/>
        <w:bidi w:val="0"/>
        <w:adjustRightInd w:val="0"/>
        <w:snapToGrid w:val="0"/>
        <w:spacing w:line="360" w:lineRule="auto"/>
        <w:ind w:firstLine="482"/>
        <w:textAlignment w:val="auto"/>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kern w:val="0"/>
          <w:highlight w:val="none"/>
        </w:rPr>
        <w:t>7.重新开展采购。</w:t>
      </w:r>
      <w:r>
        <w:rPr>
          <w:rFonts w:hint="eastAsia" w:cs="仿宋" w:asciiTheme="majorEastAsia" w:hAnsiTheme="majorEastAsia" w:eastAsiaTheme="majorEastAsia"/>
          <w:color w:val="auto"/>
          <w:highlight w:val="none"/>
        </w:rPr>
        <w:t>有政府采购法第七十一条、第七十二条规定的违法行为之一，影响或者可能影响中标、成交结果的，依照下列规定处理：</w:t>
      </w:r>
    </w:p>
    <w:p w14:paraId="076B0535">
      <w:pPr>
        <w:pStyle w:val="9"/>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7.1未确定中标或者中标人的，终止本次政府采购活动，重新开展政府采购活动。</w:t>
      </w:r>
    </w:p>
    <w:p w14:paraId="2CEF52E4">
      <w:pPr>
        <w:pStyle w:val="9"/>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7.2已确定中标或者中标人但尚未签订政府采购合同的，中标或者成交结果无效，重新开展政府采购活动。</w:t>
      </w:r>
    </w:p>
    <w:p w14:paraId="6B6C265D">
      <w:pPr>
        <w:pStyle w:val="9"/>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7.3政府采购合同已签订但尚未履行的，撤销合同，重新开展政府采购活动。</w:t>
      </w:r>
    </w:p>
    <w:p w14:paraId="2914A4E2">
      <w:pPr>
        <w:pStyle w:val="9"/>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7.4政府采购合同已经履行，给采购人、供应商造成损失的，由责任人承担赔偿责任。</w:t>
      </w:r>
    </w:p>
    <w:p w14:paraId="4852121D">
      <w:pPr>
        <w:pStyle w:val="9"/>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7.5政府采购当事人有其他违反政府采购法</w:t>
      </w:r>
      <w:r>
        <w:rPr>
          <w:rFonts w:hint="eastAsia" w:cs="仿宋" w:asciiTheme="majorEastAsia" w:hAnsiTheme="majorEastAsia" w:eastAsiaTheme="majorEastAsia"/>
          <w:color w:val="auto"/>
          <w:kern w:val="0"/>
          <w:highlight w:val="none"/>
        </w:rPr>
        <w:t>或者政府采购法实施条例等法律法规规定</w:t>
      </w:r>
      <w:r>
        <w:rPr>
          <w:rFonts w:hint="eastAsia" w:cs="仿宋" w:asciiTheme="majorEastAsia" w:hAnsiTheme="majorEastAsia" w:eastAsiaTheme="majorEastAsia"/>
          <w:color w:val="auto"/>
          <w:highlight w:val="none"/>
        </w:rPr>
        <w:t>的行为，经改正后仍然影响或者可能影响中标、成交结果或者依法被认定为中标、成交无效的，依照7.1-7.4规定处理。</w:t>
      </w:r>
      <w:bookmarkEnd w:id="26"/>
      <w:bookmarkStart w:id="393" w:name="第五部分"/>
      <w:bookmarkStart w:id="394" w:name="_Toc86217003"/>
    </w:p>
    <w:p w14:paraId="1020454E">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b/>
          <w:color w:val="auto"/>
          <w:sz w:val="36"/>
          <w:szCs w:val="36"/>
          <w:highlight w:val="none"/>
        </w:rPr>
      </w:pPr>
    </w:p>
    <w:p w14:paraId="7C2A8F58">
      <w:pPr>
        <w:pStyle w:val="9"/>
        <w:keepNext w:val="0"/>
        <w:keepLines w:val="0"/>
        <w:pageBreakBefore w:val="0"/>
        <w:widowControl w:val="0"/>
        <w:numPr>
          <w:ilvl w:val="0"/>
          <w:numId w:val="3"/>
        </w:numPr>
        <w:kinsoku/>
        <w:wordWrap/>
        <w:overflowPunct/>
        <w:topLinePunct w:val="0"/>
        <w:bidi w:val="0"/>
        <w:adjustRightInd w:val="0"/>
        <w:snapToGrid w:val="0"/>
        <w:spacing w:line="360" w:lineRule="auto"/>
        <w:ind w:firstLine="0" w:firstLineChars="0"/>
        <w:jc w:val="center"/>
        <w:textAlignment w:val="auto"/>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br w:type="page"/>
      </w:r>
      <w:r>
        <w:rPr>
          <w:rFonts w:hint="eastAsia" w:cs="仿宋" w:asciiTheme="majorEastAsia" w:hAnsiTheme="majorEastAsia" w:eastAsiaTheme="majorEastAsia"/>
          <w:b/>
          <w:color w:val="auto"/>
          <w:sz w:val="36"/>
          <w:szCs w:val="36"/>
          <w:highlight w:val="none"/>
        </w:rPr>
        <w:t>拟签订的合同文本</w:t>
      </w:r>
    </w:p>
    <w:p w14:paraId="311E82B3">
      <w:pPr>
        <w:pStyle w:val="9"/>
        <w:keepNext w:val="0"/>
        <w:keepLines w:val="0"/>
        <w:pageBreakBefore w:val="0"/>
        <w:widowControl w:val="0"/>
        <w:kinsoku/>
        <w:wordWrap/>
        <w:overflowPunct/>
        <w:topLinePunct w:val="0"/>
        <w:bidi w:val="0"/>
        <w:adjustRightInd w:val="0"/>
        <w:snapToGrid w:val="0"/>
        <w:spacing w:line="360" w:lineRule="auto"/>
        <w:ind w:firstLine="0" w:firstLineChars="0"/>
        <w:textAlignment w:val="auto"/>
        <w:rPr>
          <w:rFonts w:cs="仿宋" w:asciiTheme="majorEastAsia" w:hAnsiTheme="majorEastAsia" w:eastAsiaTheme="majorEastAsia"/>
          <w:b/>
          <w:color w:val="auto"/>
          <w:sz w:val="36"/>
          <w:szCs w:val="36"/>
          <w:highlight w:val="none"/>
        </w:rPr>
      </w:pPr>
    </w:p>
    <w:p w14:paraId="45D742ED">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3CEAFDA3">
      <w:pPr>
        <w:pStyle w:val="42"/>
        <w:keepNext w:val="0"/>
        <w:keepLines w:val="0"/>
        <w:pageBreakBefore w:val="0"/>
        <w:widowControl w:val="0"/>
        <w:kinsoku/>
        <w:wordWrap/>
        <w:overflowPunct/>
        <w:topLinePunct w:val="0"/>
        <w:bidi w:val="0"/>
        <w:ind w:left="0" w:leftChars="0" w:firstLine="0" w:firstLineChars="0"/>
        <w:textAlignment w:val="auto"/>
        <w:rPr>
          <w:rFonts w:ascii="仿宋" w:hAnsi="仿宋" w:eastAsia="仿宋" w:cs="仿宋"/>
          <w:color w:val="auto"/>
          <w:szCs w:val="24"/>
          <w:highlight w:val="none"/>
        </w:rPr>
      </w:pPr>
    </w:p>
    <w:p w14:paraId="302CED94">
      <w:pPr>
        <w:pStyle w:val="42"/>
        <w:keepNext w:val="0"/>
        <w:keepLines w:val="0"/>
        <w:pageBreakBefore w:val="0"/>
        <w:widowControl w:val="0"/>
        <w:kinsoku/>
        <w:wordWrap/>
        <w:overflowPunct/>
        <w:topLinePunct w:val="0"/>
        <w:bidi w:val="0"/>
        <w:textAlignment w:val="auto"/>
        <w:rPr>
          <w:rFonts w:ascii="仿宋" w:hAnsi="仿宋" w:eastAsia="仿宋" w:cs="仿宋"/>
          <w:color w:val="auto"/>
          <w:szCs w:val="24"/>
          <w:highlight w:val="none"/>
        </w:rPr>
      </w:pPr>
    </w:p>
    <w:p w14:paraId="192B696D">
      <w:pPr>
        <w:keepNext w:val="0"/>
        <w:keepLines w:val="0"/>
        <w:pageBreakBefore w:val="0"/>
        <w:widowControl w:val="0"/>
        <w:kinsoku/>
        <w:wordWrap/>
        <w:overflowPunct/>
        <w:topLinePunct w:val="0"/>
        <w:bidi w:val="0"/>
        <w:spacing w:before="120" w:line="360" w:lineRule="auto"/>
        <w:textAlignment w:val="auto"/>
        <w:rPr>
          <w:rFonts w:ascii="仿宋" w:hAnsi="仿宋" w:eastAsia="仿宋" w:cs="仿宋"/>
          <w:color w:val="auto"/>
          <w:sz w:val="24"/>
          <w:highlight w:val="none"/>
        </w:rPr>
      </w:pPr>
    </w:p>
    <w:p w14:paraId="58EDC106">
      <w:pPr>
        <w:keepNext w:val="0"/>
        <w:keepLines w:val="0"/>
        <w:pageBreakBefore w:val="0"/>
        <w:widowControl w:val="0"/>
        <w:kinsoku/>
        <w:wordWrap/>
        <w:overflowPunct/>
        <w:topLinePunct w:val="0"/>
        <w:bidi w:val="0"/>
        <w:spacing w:before="120" w:line="360" w:lineRule="auto"/>
        <w:ind w:left="960" w:firstLine="720" w:firstLineChars="3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086A27D9">
      <w:pPr>
        <w:pStyle w:val="34"/>
        <w:keepNext w:val="0"/>
        <w:keepLines w:val="0"/>
        <w:pageBreakBefore w:val="0"/>
        <w:widowControl w:val="0"/>
        <w:kinsoku/>
        <w:wordWrap/>
        <w:overflowPunct/>
        <w:topLinePunct w:val="0"/>
        <w:bidi w:val="0"/>
        <w:spacing w:before="120"/>
        <w:textAlignment w:val="auto"/>
        <w:rPr>
          <w:rFonts w:ascii="仿宋" w:hAnsi="仿宋" w:eastAsia="仿宋" w:cs="仿宋"/>
          <w:color w:val="auto"/>
          <w:szCs w:val="24"/>
          <w:highlight w:val="none"/>
        </w:rPr>
      </w:pPr>
    </w:p>
    <w:p w14:paraId="5555AAB9">
      <w:pPr>
        <w:pStyle w:val="34"/>
        <w:keepNext w:val="0"/>
        <w:keepLines w:val="0"/>
        <w:pageBreakBefore w:val="0"/>
        <w:widowControl w:val="0"/>
        <w:kinsoku/>
        <w:wordWrap/>
        <w:overflowPunct/>
        <w:topLinePunct w:val="0"/>
        <w:bidi w:val="0"/>
        <w:spacing w:before="120"/>
        <w:textAlignment w:val="auto"/>
        <w:rPr>
          <w:rFonts w:ascii="仿宋" w:hAnsi="仿宋" w:eastAsia="仿宋" w:cs="仿宋"/>
          <w:color w:val="auto"/>
          <w:szCs w:val="24"/>
          <w:highlight w:val="none"/>
        </w:rPr>
      </w:pPr>
    </w:p>
    <w:p w14:paraId="2E50FABB">
      <w:pPr>
        <w:keepNext w:val="0"/>
        <w:keepLines w:val="0"/>
        <w:pageBreakBefore w:val="0"/>
        <w:widowControl w:val="0"/>
        <w:kinsoku/>
        <w:wordWrap/>
        <w:overflowPunct/>
        <w:topLinePunct w:val="0"/>
        <w:bidi w:val="0"/>
        <w:spacing w:line="360" w:lineRule="auto"/>
        <w:textAlignment w:val="auto"/>
        <w:rPr>
          <w:rFonts w:ascii="仿宋" w:hAnsi="仿宋" w:eastAsia="仿宋" w:cs="仿宋"/>
          <w:color w:val="auto"/>
          <w:sz w:val="24"/>
          <w:highlight w:val="none"/>
        </w:rPr>
      </w:pPr>
    </w:p>
    <w:p w14:paraId="27B0A865">
      <w:pPr>
        <w:keepNext w:val="0"/>
        <w:keepLines w:val="0"/>
        <w:pageBreakBefore w:val="0"/>
        <w:widowControl w:val="0"/>
        <w:kinsoku/>
        <w:wordWrap/>
        <w:overflowPunct/>
        <w:topLinePunct w:val="0"/>
        <w:bidi w:val="0"/>
        <w:spacing w:before="120" w:line="480" w:lineRule="auto"/>
        <w:ind w:left="960" w:firstLine="720" w:firstLineChars="3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008C7D84">
      <w:pPr>
        <w:keepNext w:val="0"/>
        <w:keepLines w:val="0"/>
        <w:pageBreakBefore w:val="0"/>
        <w:widowControl w:val="0"/>
        <w:kinsoku/>
        <w:wordWrap/>
        <w:overflowPunct/>
        <w:topLinePunct w:val="0"/>
        <w:bidi w:val="0"/>
        <w:spacing w:before="120" w:line="480" w:lineRule="auto"/>
        <w:ind w:left="960" w:firstLine="720" w:firstLineChars="3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55449234">
      <w:pPr>
        <w:keepNext w:val="0"/>
        <w:keepLines w:val="0"/>
        <w:pageBreakBefore w:val="0"/>
        <w:widowControl w:val="0"/>
        <w:kinsoku/>
        <w:wordWrap/>
        <w:overflowPunct/>
        <w:topLinePunct w:val="0"/>
        <w:bidi w:val="0"/>
        <w:spacing w:before="120" w:line="480" w:lineRule="auto"/>
        <w:ind w:firstLine="1680" w:firstLineChars="7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2413F6CC">
      <w:pPr>
        <w:keepNext w:val="0"/>
        <w:keepLines w:val="0"/>
        <w:pageBreakBefore w:val="0"/>
        <w:widowControl w:val="0"/>
        <w:kinsoku/>
        <w:wordWrap/>
        <w:overflowPunct/>
        <w:topLinePunct w:val="0"/>
        <w:bidi w:val="0"/>
        <w:spacing w:before="120" w:line="480" w:lineRule="auto"/>
        <w:ind w:firstLine="1680" w:firstLineChars="7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E038A99">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u w:val="single"/>
          <w:lang w:val="zh-CN"/>
        </w:rPr>
        <w:br w:type="page"/>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u w:val="single"/>
          <w:lang w:val="zh-CN"/>
        </w:rPr>
        <w:t xml:space="preserve">   （采购人）   </w:t>
      </w:r>
      <w:r>
        <w:rPr>
          <w:rFonts w:hint="eastAsia" w:ascii="仿宋" w:hAnsi="仿宋" w:eastAsia="仿宋" w:cs="仿宋"/>
          <w:color w:val="auto"/>
          <w:sz w:val="24"/>
          <w:highlight w:val="none"/>
          <w:lang w:val="zh-CN"/>
        </w:rPr>
        <w:t>以</w:t>
      </w:r>
      <w:r>
        <w:rPr>
          <w:rFonts w:hint="eastAsia" w:ascii="仿宋" w:hAnsi="仿宋" w:eastAsia="仿宋" w:cs="仿宋"/>
          <w:color w:val="auto"/>
          <w:sz w:val="24"/>
          <w:highlight w:val="none"/>
          <w:u w:val="single"/>
          <w:lang w:val="zh-CN"/>
        </w:rPr>
        <w:t xml:space="preserve">   （政府采购方式）  </w:t>
      </w:r>
      <w:r>
        <w:rPr>
          <w:rFonts w:hint="eastAsia" w:ascii="仿宋" w:hAnsi="仿宋" w:eastAsia="仿宋" w:cs="仿宋"/>
          <w:color w:val="auto"/>
          <w:sz w:val="24"/>
          <w:highlight w:val="none"/>
          <w:lang w:val="zh-CN"/>
        </w:rPr>
        <w:t>对</w:t>
      </w:r>
      <w:r>
        <w:rPr>
          <w:rFonts w:hint="eastAsia" w:ascii="仿宋" w:hAnsi="仿宋" w:eastAsia="仿宋" w:cs="仿宋"/>
          <w:color w:val="auto"/>
          <w:sz w:val="24"/>
          <w:highlight w:val="none"/>
          <w:u w:val="single"/>
          <w:lang w:val="zh-CN"/>
        </w:rPr>
        <w:t xml:space="preserve">   （同前页项目名称）   </w:t>
      </w:r>
      <w:r>
        <w:rPr>
          <w:rFonts w:hint="eastAsia" w:ascii="仿宋" w:hAnsi="仿宋" w:eastAsia="仿宋" w:cs="仿宋"/>
          <w:color w:val="auto"/>
          <w:sz w:val="24"/>
          <w:highlight w:val="none"/>
          <w:lang w:val="zh-CN"/>
        </w:rPr>
        <w:t>项目进行了采购。经</w:t>
      </w:r>
      <w:r>
        <w:rPr>
          <w:rFonts w:hint="eastAsia" w:ascii="仿宋" w:hAnsi="仿宋" w:eastAsia="仿宋" w:cs="仿宋"/>
          <w:color w:val="auto"/>
          <w:sz w:val="24"/>
          <w:highlight w:val="none"/>
          <w:u w:val="single"/>
          <w:lang w:val="zh-CN"/>
        </w:rPr>
        <w:t xml:space="preserve">   （相关评定主体名称）   </w:t>
      </w:r>
      <w:r>
        <w:rPr>
          <w:rFonts w:hint="eastAsia" w:ascii="仿宋" w:hAnsi="仿宋" w:eastAsia="仿宋" w:cs="仿宋"/>
          <w:color w:val="auto"/>
          <w:sz w:val="24"/>
          <w:highlight w:val="none"/>
          <w:lang w:val="zh-CN"/>
        </w:rPr>
        <w:t>评定，</w:t>
      </w:r>
      <w:r>
        <w:rPr>
          <w:rFonts w:hint="eastAsia" w:ascii="仿宋" w:hAnsi="仿宋" w:eastAsia="仿宋" w:cs="仿宋"/>
          <w:color w:val="auto"/>
          <w:sz w:val="24"/>
          <w:highlight w:val="none"/>
          <w:u w:val="single"/>
          <w:lang w:val="zh-CN"/>
        </w:rPr>
        <w:t xml:space="preserve">   （中标供应商名称）</w:t>
      </w:r>
      <w:r>
        <w:rPr>
          <w:rFonts w:hint="eastAsia" w:ascii="仿宋" w:hAnsi="仿宋" w:eastAsia="仿宋" w:cs="仿宋"/>
          <w:color w:val="auto"/>
          <w:sz w:val="24"/>
          <w:highlight w:val="none"/>
          <w:lang w:val="zh-CN"/>
        </w:rPr>
        <w:t>为该项目中标供应商。现于中标通知书发出之日起三十日内，按照采购文件确定的事项签订本合同。</w:t>
      </w:r>
    </w:p>
    <w:p w14:paraId="52C77E50">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1E8F5606">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color w:val="auto"/>
          <w:sz w:val="24"/>
          <w:highlight w:val="none"/>
        </w:rPr>
      </w:pPr>
      <w:bookmarkStart w:id="395" w:name="_Toc2232"/>
      <w:bookmarkStart w:id="396" w:name="_Toc3029"/>
      <w:bookmarkStart w:id="397" w:name="_Toc24059"/>
      <w:r>
        <w:rPr>
          <w:rFonts w:hint="eastAsia" w:ascii="仿宋" w:hAnsi="仿宋" w:eastAsia="仿宋" w:cs="仿宋"/>
          <w:b/>
          <w:color w:val="auto"/>
          <w:sz w:val="24"/>
          <w:highlight w:val="none"/>
        </w:rPr>
        <w:t>1 定义</w:t>
      </w:r>
    </w:p>
    <w:p w14:paraId="0713681A">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5C2FA8DE">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 “合同”系指采购人和中标供应商签订的载明双方当事人所达成的协议，并包括所有的附件、附录和构成合同的其他文件。</w:t>
      </w:r>
    </w:p>
    <w:p w14:paraId="0BCFA0ED">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 “合同价”系指根据合同约定，中标供应商在完全履行合同义务后，采购人应支付给中标供应商的价格。</w:t>
      </w:r>
    </w:p>
    <w:p w14:paraId="01AE3A92">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 “货物”系指中标供应商根据合同约定应向采购人交付的一切各种形态和种类的物品，包括原材料、燃料、设备、机械、仪表、备件、计算机软件、产品等，并包括工具、手册等其他相关资料。</w:t>
      </w:r>
    </w:p>
    <w:p w14:paraId="4BF0886B">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 “甲方”系指与中标供应商签署合同的采购人；采购人委托采购代理机构代表其与乙方签订合同的，采购人的授权委托书作为合同附件。</w:t>
      </w:r>
    </w:p>
    <w:p w14:paraId="75B78D90">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5CD4DDC">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1.6 “现场”系指合同约定货物将要运至或者安装的地点。</w:t>
      </w:r>
    </w:p>
    <w:p w14:paraId="038DF0CA">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 合同组成部分</w:t>
      </w:r>
      <w:bookmarkEnd w:id="395"/>
      <w:bookmarkEnd w:id="396"/>
      <w:bookmarkEnd w:id="397"/>
    </w:p>
    <w:p w14:paraId="3EB84FDB">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5339D1C2">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 本合同及其补充合同、变更协议；</w:t>
      </w:r>
    </w:p>
    <w:p w14:paraId="4036CCCC">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2.2 中标通知书；</w:t>
      </w:r>
    </w:p>
    <w:p w14:paraId="6D244424">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2.3 投标文件（含澄清或者说明文件）；</w:t>
      </w:r>
    </w:p>
    <w:p w14:paraId="7998CECA">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2.4 招标文件（含澄清或者修改文件）；</w:t>
      </w:r>
    </w:p>
    <w:p w14:paraId="0AED1417">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2.5 其他相关采购文件。</w:t>
      </w:r>
    </w:p>
    <w:p w14:paraId="04CCA45B">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color w:val="auto"/>
          <w:sz w:val="24"/>
          <w:highlight w:val="none"/>
        </w:rPr>
      </w:pPr>
      <w:bookmarkStart w:id="398" w:name="_Toc24300"/>
      <w:bookmarkStart w:id="399" w:name="_Toc27126"/>
      <w:bookmarkStart w:id="400" w:name="_Toc21295"/>
      <w:r>
        <w:rPr>
          <w:rFonts w:hint="eastAsia" w:ascii="仿宋" w:hAnsi="仿宋" w:eastAsia="仿宋" w:cs="仿宋"/>
          <w:b/>
          <w:color w:val="auto"/>
          <w:sz w:val="24"/>
          <w:highlight w:val="none"/>
        </w:rPr>
        <w:t>3 货物</w:t>
      </w:r>
      <w:bookmarkEnd w:id="398"/>
      <w:bookmarkEnd w:id="399"/>
      <w:bookmarkEnd w:id="400"/>
    </w:p>
    <w:tbl>
      <w:tblPr>
        <w:tblStyle w:val="20"/>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20"/>
        <w:gridCol w:w="925"/>
        <w:gridCol w:w="1245"/>
        <w:gridCol w:w="3461"/>
        <w:gridCol w:w="1186"/>
      </w:tblGrid>
      <w:tr w14:paraId="18C2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0CD0D75B">
            <w:pPr>
              <w:pStyle w:val="38"/>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13530BB0">
            <w:pPr>
              <w:pStyle w:val="38"/>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w:t>
            </w:r>
          </w:p>
        </w:tc>
        <w:tc>
          <w:tcPr>
            <w:tcW w:w="925" w:type="dxa"/>
            <w:tcBorders>
              <w:top w:val="single" w:color="auto" w:sz="4" w:space="0"/>
              <w:left w:val="single" w:color="auto" w:sz="4" w:space="0"/>
              <w:bottom w:val="single" w:color="auto" w:sz="4" w:space="0"/>
              <w:right w:val="single" w:color="auto" w:sz="4" w:space="0"/>
            </w:tcBorders>
            <w:vAlign w:val="center"/>
          </w:tcPr>
          <w:p w14:paraId="1AAD7440">
            <w:pPr>
              <w:pStyle w:val="38"/>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07954937">
            <w:pPr>
              <w:pStyle w:val="38"/>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品牌名称</w:t>
            </w:r>
          </w:p>
        </w:tc>
        <w:tc>
          <w:tcPr>
            <w:tcW w:w="3461" w:type="dxa"/>
            <w:tcBorders>
              <w:top w:val="single" w:color="auto" w:sz="4" w:space="0"/>
              <w:left w:val="single" w:color="auto" w:sz="4" w:space="0"/>
              <w:bottom w:val="single" w:color="auto" w:sz="4" w:space="0"/>
              <w:right w:val="single" w:color="auto" w:sz="4" w:space="0"/>
            </w:tcBorders>
            <w:vAlign w:val="center"/>
          </w:tcPr>
          <w:p w14:paraId="42B11D38">
            <w:pPr>
              <w:pStyle w:val="38"/>
              <w:keepNext w:val="0"/>
              <w:keepLines w:val="0"/>
              <w:pageBreakBefore w:val="0"/>
              <w:widowControl w:val="0"/>
              <w:kinsoku/>
              <w:wordWrap/>
              <w:overflowPunct/>
              <w:topLinePunct w:val="0"/>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规格型号/技术要求/质量要求</w:t>
            </w:r>
          </w:p>
        </w:tc>
        <w:tc>
          <w:tcPr>
            <w:tcW w:w="1186" w:type="dxa"/>
            <w:tcBorders>
              <w:top w:val="single" w:color="auto" w:sz="4" w:space="0"/>
              <w:left w:val="single" w:color="auto" w:sz="4" w:space="0"/>
              <w:bottom w:val="single" w:color="auto" w:sz="4" w:space="0"/>
              <w:right w:val="single" w:color="auto" w:sz="4" w:space="0"/>
            </w:tcBorders>
            <w:vAlign w:val="center"/>
          </w:tcPr>
          <w:p w14:paraId="6ED7D0F4">
            <w:pPr>
              <w:pStyle w:val="38"/>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原产地</w:t>
            </w:r>
          </w:p>
        </w:tc>
      </w:tr>
      <w:tr w14:paraId="6CD5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6DC6D9E">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7E9E86A3">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51B4E751">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274B905E">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38B1CD20">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7299D29A">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r>
      <w:tr w14:paraId="6C28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1660646E">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432E0CA1">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59C18B66">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4F855463">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264F9C4E">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254A51DD">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r>
      <w:tr w14:paraId="6572A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6687371A">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74533E53">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4426BC8C">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143FE509">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02479670">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1A168515">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r>
      <w:tr w14:paraId="6A15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2658D50E">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0CA514DC">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5AB5C0A3">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2050AB7E">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672B1CA3">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5C1ED7AB">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r>
    </w:tbl>
    <w:p w14:paraId="6BABD7E6">
      <w:pPr>
        <w:pStyle w:val="2"/>
        <w:keepNext w:val="0"/>
        <w:keepLines w:val="0"/>
        <w:pageBreakBefore w:val="0"/>
        <w:widowControl w:val="0"/>
        <w:kinsoku/>
        <w:wordWrap/>
        <w:overflowPunct/>
        <w:topLinePunct w:val="0"/>
        <w:bidi w:val="0"/>
        <w:ind w:firstLine="560"/>
        <w:textAlignment w:val="auto"/>
        <w:rPr>
          <w:color w:val="auto"/>
          <w:highlight w:val="none"/>
        </w:rPr>
      </w:pPr>
    </w:p>
    <w:p w14:paraId="0E863B5F">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color w:val="auto"/>
          <w:sz w:val="24"/>
          <w:highlight w:val="none"/>
        </w:rPr>
      </w:pPr>
      <w:bookmarkStart w:id="401" w:name="_Toc21551"/>
      <w:bookmarkStart w:id="402" w:name="_Toc23292"/>
      <w:bookmarkStart w:id="403" w:name="_Toc21631"/>
      <w:r>
        <w:rPr>
          <w:rFonts w:hint="eastAsia" w:ascii="仿宋" w:hAnsi="仿宋" w:eastAsia="仿宋" w:cs="仿宋"/>
          <w:b/>
          <w:color w:val="auto"/>
          <w:sz w:val="24"/>
          <w:highlight w:val="none"/>
        </w:rPr>
        <w:t>4 价款</w:t>
      </w:r>
      <w:bookmarkEnd w:id="401"/>
      <w:bookmarkEnd w:id="402"/>
      <w:bookmarkEnd w:id="403"/>
    </w:p>
    <w:p w14:paraId="6998A6E1">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50B7593B">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BB1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60160D2">
            <w:pPr>
              <w:pStyle w:val="38"/>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3B3AABE">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7F5C73E">
            <w:pPr>
              <w:pStyle w:val="38"/>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1E5D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BD3FB28">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FAFEA6E">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FE84645">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r>
      <w:tr w14:paraId="3B8A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4354F3B">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A026811">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2C412AB">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r>
      <w:tr w14:paraId="3A95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F875A8E">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4356D54">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6ED8F66">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r>
      <w:tr w14:paraId="0930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9A66097">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2C980A7">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D838FD2">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r>
      <w:tr w14:paraId="62C5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3C3D9EA">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EB6024F">
            <w:pPr>
              <w:pStyle w:val="38"/>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color w:val="auto"/>
                <w:sz w:val="24"/>
                <w:szCs w:val="24"/>
                <w:highlight w:val="none"/>
              </w:rPr>
            </w:pPr>
          </w:p>
        </w:tc>
      </w:tr>
    </w:tbl>
    <w:p w14:paraId="08BD938E">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color w:val="auto"/>
          <w:sz w:val="24"/>
          <w:highlight w:val="none"/>
        </w:rPr>
      </w:pPr>
      <w:bookmarkStart w:id="404" w:name="_Toc22618"/>
      <w:bookmarkStart w:id="405" w:name="_Toc1814"/>
      <w:bookmarkStart w:id="406" w:name="_Toc10340"/>
      <w:r>
        <w:rPr>
          <w:rFonts w:hint="eastAsia" w:ascii="仿宋" w:hAnsi="仿宋" w:eastAsia="仿宋" w:cs="仿宋"/>
          <w:b/>
          <w:color w:val="auto"/>
          <w:sz w:val="24"/>
          <w:highlight w:val="none"/>
        </w:rPr>
        <w:t>5 付款</w:t>
      </w:r>
      <w:bookmarkEnd w:id="404"/>
      <w:bookmarkEnd w:id="405"/>
      <w:bookmarkEnd w:id="406"/>
      <w:r>
        <w:rPr>
          <w:rFonts w:hint="eastAsia" w:ascii="仿宋" w:hAnsi="仿宋" w:eastAsia="仿宋" w:cs="仿宋"/>
          <w:b/>
          <w:color w:val="auto"/>
          <w:sz w:val="24"/>
          <w:highlight w:val="none"/>
        </w:rPr>
        <w:t>方式、时间和条件</w:t>
      </w:r>
    </w:p>
    <w:p w14:paraId="65FF5FB1">
      <w:pPr>
        <w:pStyle w:val="37"/>
        <w:keepNext w:val="0"/>
        <w:keepLines w:val="0"/>
        <w:pageBreakBefore w:val="0"/>
        <w:widowControl w:val="0"/>
        <w:kinsoku/>
        <w:wordWrap/>
        <w:overflowPunct/>
        <w:topLinePunct w:val="0"/>
        <w:bidi w:val="0"/>
        <w:spacing w:before="0" w:beforeAutospacing="0" w:after="0" w:afterAutospacing="0" w:line="360" w:lineRule="auto"/>
        <w:ind w:firstLine="480"/>
        <w:textAlignment w:val="auto"/>
        <w:rPr>
          <w:rFonts w:ascii="仿宋" w:hAnsi="仿宋" w:eastAsia="仿宋" w:cs="仿宋"/>
          <w:b/>
          <w:bCs/>
          <w:i/>
          <w:iCs/>
          <w:color w:val="auto"/>
          <w:kern w:val="2"/>
          <w:highlight w:val="none"/>
          <w:u w:val="single"/>
        </w:rPr>
      </w:pPr>
      <w:bookmarkStart w:id="407" w:name="_Toc32071"/>
      <w:bookmarkStart w:id="408" w:name="_Toc2846"/>
      <w:bookmarkStart w:id="409" w:name="_Toc19304"/>
      <w:r>
        <w:rPr>
          <w:rFonts w:hint="eastAsia" w:ascii="仿宋" w:hAnsi="仿宋" w:eastAsia="仿宋" w:cs="仿宋"/>
          <w:color w:val="auto"/>
          <w:kern w:val="2"/>
          <w:highlight w:val="none"/>
        </w:rPr>
        <w:t>5.1 资金支付的方式、时间和条件：</w:t>
      </w:r>
      <w:r>
        <w:rPr>
          <w:rFonts w:hint="eastAsia" w:ascii="仿宋" w:hAnsi="仿宋" w:eastAsia="仿宋" w:cs="仿宋"/>
          <w:b/>
          <w:bCs/>
          <w:i/>
          <w:iCs/>
          <w:color w:val="auto"/>
          <w:kern w:val="2"/>
          <w:highlight w:val="none"/>
          <w:u w:val="single"/>
        </w:rPr>
        <w:t xml:space="preserve">                       </w:t>
      </w:r>
    </w:p>
    <w:p w14:paraId="665AC605">
      <w:pPr>
        <w:pStyle w:val="37"/>
        <w:keepNext w:val="0"/>
        <w:keepLines w:val="0"/>
        <w:pageBreakBefore w:val="0"/>
        <w:widowControl w:val="0"/>
        <w:kinsoku/>
        <w:wordWrap/>
        <w:overflowPunct/>
        <w:topLinePunct w:val="0"/>
        <w:bidi w:val="0"/>
        <w:spacing w:before="0" w:beforeAutospacing="0" w:after="0" w:afterAutospacing="0" w:line="360" w:lineRule="auto"/>
        <w:ind w:firstLine="480"/>
        <w:textAlignment w:val="auto"/>
        <w:rPr>
          <w:rFonts w:ascii="仿宋" w:hAnsi="仿宋" w:eastAsia="仿宋" w:cs="仿宋"/>
          <w:color w:val="auto"/>
          <w:kern w:val="2"/>
          <w:highlight w:val="none"/>
        </w:rPr>
      </w:pPr>
      <w:r>
        <w:rPr>
          <w:rFonts w:hint="eastAsia" w:ascii="仿宋" w:hAnsi="仿宋" w:eastAsia="仿宋" w:cs="仿宋"/>
          <w:color w:val="auto"/>
          <w:kern w:val="2"/>
          <w:highlight w:val="none"/>
        </w:rPr>
        <w:t>5.2 乙方收款账户：</w:t>
      </w:r>
    </w:p>
    <w:p w14:paraId="7DFC6D0B">
      <w:pPr>
        <w:keepNext w:val="0"/>
        <w:keepLines w:val="0"/>
        <w:pageBreakBefore w:val="0"/>
        <w:widowControl w:val="0"/>
        <w:kinsoku/>
        <w:wordWrap/>
        <w:overflowPunct/>
        <w:topLinePunct w:val="0"/>
        <w:autoSpaceDE w:val="0"/>
        <w:autoSpaceDN w:val="0"/>
        <w:bidi w:val="0"/>
        <w:spacing w:line="360" w:lineRule="auto"/>
        <w:ind w:left="1470" w:leftChars="7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rPr>
        <w:t xml:space="preserve">                          </w:t>
      </w:r>
    </w:p>
    <w:p w14:paraId="013F865D">
      <w:pPr>
        <w:keepNext w:val="0"/>
        <w:keepLines w:val="0"/>
        <w:pageBreakBefore w:val="0"/>
        <w:widowControl w:val="0"/>
        <w:kinsoku/>
        <w:wordWrap/>
        <w:overflowPunct/>
        <w:topLinePunct w:val="0"/>
        <w:autoSpaceDE w:val="0"/>
        <w:autoSpaceDN w:val="0"/>
        <w:bidi w:val="0"/>
        <w:spacing w:line="360" w:lineRule="auto"/>
        <w:ind w:left="1470" w:leftChars="7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开户名称：</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rPr>
        <w:t xml:space="preserve">                             </w:t>
      </w:r>
    </w:p>
    <w:p w14:paraId="0122B95F">
      <w:pPr>
        <w:keepNext w:val="0"/>
        <w:keepLines w:val="0"/>
        <w:pageBreakBefore w:val="0"/>
        <w:widowControl w:val="0"/>
        <w:kinsoku/>
        <w:wordWrap/>
        <w:overflowPunct/>
        <w:topLinePunct w:val="0"/>
        <w:autoSpaceDE w:val="0"/>
        <w:autoSpaceDN w:val="0"/>
        <w:bidi w:val="0"/>
        <w:spacing w:line="360" w:lineRule="auto"/>
        <w:ind w:left="1470" w:leftChars="7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开户账号：</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lang w:val="zh-CN"/>
        </w:rPr>
        <w:t xml:space="preserve">      </w:t>
      </w:r>
    </w:p>
    <w:p w14:paraId="457EC8E3">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6 货物交付期限、地点和方式</w:t>
      </w:r>
      <w:bookmarkEnd w:id="407"/>
      <w:bookmarkEnd w:id="408"/>
      <w:bookmarkEnd w:id="409"/>
    </w:p>
    <w:p w14:paraId="03BE37F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highlight w:val="none"/>
          <w:u w:val="single"/>
        </w:rPr>
      </w:pPr>
      <w:r>
        <w:rPr>
          <w:rFonts w:hint="eastAsia" w:ascii="仿宋" w:hAnsi="仿宋" w:eastAsia="仿宋" w:cs="仿宋"/>
          <w:color w:val="auto"/>
          <w:sz w:val="24"/>
          <w:highlight w:val="none"/>
        </w:rPr>
        <w:t>6.1 交付期限：</w:t>
      </w:r>
      <w:r>
        <w:rPr>
          <w:rFonts w:hint="eastAsia" w:ascii="仿宋" w:hAnsi="仿宋" w:eastAsia="仿宋" w:cs="仿宋"/>
          <w:b/>
          <w:i/>
          <w:color w:val="auto"/>
          <w:highlight w:val="none"/>
          <w:u w:val="single"/>
        </w:rPr>
        <w:t xml:space="preserve">                   </w:t>
      </w:r>
    </w:p>
    <w:p w14:paraId="784A9CDF">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6.2 交付地点：</w:t>
      </w:r>
      <w:r>
        <w:rPr>
          <w:rFonts w:hint="eastAsia" w:ascii="仿宋" w:hAnsi="仿宋" w:eastAsia="仿宋" w:cs="仿宋"/>
          <w:b/>
          <w:i/>
          <w:color w:val="auto"/>
          <w:highlight w:val="none"/>
          <w:u w:val="single"/>
        </w:rPr>
        <w:t xml:space="preserve">                   </w:t>
      </w:r>
    </w:p>
    <w:p w14:paraId="05663970">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color w:val="auto"/>
          <w:highlight w:val="none"/>
        </w:rPr>
      </w:pPr>
      <w:r>
        <w:rPr>
          <w:rFonts w:hint="eastAsia" w:ascii="仿宋" w:hAnsi="仿宋" w:eastAsia="仿宋" w:cs="仿宋"/>
          <w:color w:val="auto"/>
          <w:sz w:val="24"/>
          <w:highlight w:val="none"/>
        </w:rPr>
        <w:t>6.3 交付方式：</w:t>
      </w:r>
      <w:r>
        <w:rPr>
          <w:rFonts w:hint="eastAsia" w:ascii="仿宋" w:hAnsi="仿宋" w:eastAsia="仿宋" w:cs="仿宋"/>
          <w:b/>
          <w:i/>
          <w:color w:val="auto"/>
          <w:highlight w:val="none"/>
          <w:u w:val="single"/>
        </w:rPr>
        <w:t xml:space="preserve">                   </w:t>
      </w:r>
    </w:p>
    <w:p w14:paraId="1BC69258">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7 技术规范</w:t>
      </w:r>
    </w:p>
    <w:p w14:paraId="75CB6D7F">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1896225F">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8 知识产权</w:t>
      </w:r>
    </w:p>
    <w:p w14:paraId="310E7F73">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70927C23">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8.2具有知识产权的计算机软件等货物的知识产权归属，除合同另有规定外，归甲方所有。</w:t>
      </w:r>
    </w:p>
    <w:p w14:paraId="7A414C78">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9 包装和装运</w:t>
      </w:r>
    </w:p>
    <w:p w14:paraId="0883E2FB">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9.1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34C6E66">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highlight w:val="none"/>
        </w:rPr>
      </w:pPr>
      <w:r>
        <w:rPr>
          <w:rFonts w:hint="eastAsia" w:ascii="仿宋" w:hAnsi="仿宋" w:eastAsia="仿宋" w:cs="仿宋"/>
          <w:color w:val="auto"/>
          <w:sz w:val="24"/>
          <w:highlight w:val="none"/>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2D0BECBB">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10 履约保证金</w:t>
      </w:r>
    </w:p>
    <w:p w14:paraId="52D6FFF5">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10.1 招标文件要求乙方提交履约保证金的，乙方应按</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方式（可以支票、汇票、本票或者银行保函等非现金形式），在合同签订并生效后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日内提交不超过合同金额2.5%的履约保证金。</w:t>
      </w:r>
    </w:p>
    <w:p w14:paraId="1EB9FEA6">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10.2  履约保证金在</w:t>
      </w:r>
      <w:r>
        <w:rPr>
          <w:rFonts w:hint="eastAsia" w:ascii="仿宋" w:hAnsi="仿宋" w:eastAsia="仿宋" w:cs="仿宋"/>
          <w:b/>
          <w:i/>
          <w:color w:val="auto"/>
          <w:highlight w:val="none"/>
          <w:u w:val="single"/>
        </w:rPr>
        <w:t xml:space="preserve">              </w:t>
      </w:r>
      <w:r>
        <w:rPr>
          <w:rFonts w:hint="eastAsia" w:ascii="仿宋" w:hAnsi="仿宋" w:eastAsia="仿宋" w:cs="仿宋"/>
          <w:color w:val="auto"/>
          <w:sz w:val="24"/>
          <w:highlight w:val="none"/>
        </w:rPr>
        <w:t>（合同规定的履约时间）内不予退还。乙方在前述约定期间届满前能履行完合同约定义务事项的，甲方在前述约定期间届满之日起</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个工作日内，将履约保证金无息退还乙方。</w:t>
      </w:r>
    </w:p>
    <w:p w14:paraId="3FE5E312">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F51722E">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11 履约检查和问题反馈</w:t>
      </w:r>
    </w:p>
    <w:p w14:paraId="3EA0EB2B">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11.1甲方有权在其认为必要时，对乙方是否能够按照合同约定交付货物进行履约检查，以确保乙方所交付的货物能够依约满足甲方之项目需求，但不得因履约检查妨碍乙方的正常工作，乙方应予积极配合；</w:t>
      </w:r>
    </w:p>
    <w:p w14:paraId="3C56375F">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11.2 合同履行期间，甲方有权将履行过程中出现的问题反馈给乙方，双方当事人应以书面形式约定需要完善和改进的内容。</w:t>
      </w:r>
    </w:p>
    <w:p w14:paraId="3E4A704A">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12 检验和验收</w:t>
      </w:r>
    </w:p>
    <w:p w14:paraId="62DE7EE4">
      <w:pPr>
        <w:keepNext w:val="0"/>
        <w:keepLines w:val="0"/>
        <w:pageBreakBefore w:val="0"/>
        <w:widowControl w:val="0"/>
        <w:tabs>
          <w:tab w:val="left" w:pos="360"/>
          <w:tab w:val="left" w:pos="540"/>
          <w:tab w:val="left" w:pos="1080"/>
        </w:tabs>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12.1货物交付前，乙方应对货物的质量、数量等方面进行详细、全面的检验，并向甲方出具证明货物符合合同约定的文件；货物交付时，乙方在交付后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个工作日内组织验收，并可依法邀请相关方参加，验收应出具验收书。</w:t>
      </w:r>
    </w:p>
    <w:p w14:paraId="62F4BC15">
      <w:pPr>
        <w:keepNext w:val="0"/>
        <w:keepLines w:val="0"/>
        <w:pageBreakBefore w:val="0"/>
        <w:widowControl w:val="0"/>
        <w:tabs>
          <w:tab w:val="left" w:pos="360"/>
          <w:tab w:val="left" w:pos="540"/>
          <w:tab w:val="left" w:pos="1080"/>
        </w:tabs>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2DC4BFE">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 技术资料和保密义务</w:t>
      </w:r>
    </w:p>
    <w:p w14:paraId="4DEA1C4D">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13.1 乙方有权依据合同约定和项目需要，向甲方了解有关情况，调阅有关资料等，甲方应予积极配合；</w:t>
      </w:r>
    </w:p>
    <w:p w14:paraId="44F2C6BE">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13.2 乙方有义务妥善保管和保护由甲方提供的前款信息和资料等；</w:t>
      </w:r>
    </w:p>
    <w:p w14:paraId="4C60F43C">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85FBE75">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14 质量保证</w:t>
      </w:r>
    </w:p>
    <w:p w14:paraId="5A7578D3">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14.1 乙方应建立和完善履行合同的内部质量保证体系，并提供相关内部规章制度给甲方，以便甲方进行监督检查；</w:t>
      </w:r>
    </w:p>
    <w:p w14:paraId="2055C710">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14.2 乙方应保证履行合同的人员数量和素质、软件和硬件设备的配置、场地、环境和设施等满足全面履行合同的要求，并应接受甲方的监督检查。</w:t>
      </w:r>
    </w:p>
    <w:p w14:paraId="0CB2D222">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 货物的风险负担</w:t>
      </w:r>
    </w:p>
    <w:p w14:paraId="06B50266">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货物在甲方未收货前出现的货物毁损、灭失的风险均由乙方承担。</w:t>
      </w:r>
    </w:p>
    <w:p w14:paraId="3DB4162A">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16 延迟交货</w:t>
      </w:r>
    </w:p>
    <w:p w14:paraId="28556743">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713AE313">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 合同变更</w:t>
      </w:r>
    </w:p>
    <w:p w14:paraId="566B1B51">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1AE98DB">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18 合同转让和分包</w:t>
      </w:r>
    </w:p>
    <w:p w14:paraId="3EE4E563">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CCC11E7">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18.2乙方采取分包方式履行合同的，甲方可直接向分包供应商支付款项。</w:t>
      </w:r>
    </w:p>
    <w:p w14:paraId="4157149A">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color w:val="auto"/>
          <w:sz w:val="24"/>
          <w:highlight w:val="none"/>
        </w:rPr>
      </w:pPr>
      <w:bookmarkStart w:id="410" w:name="_Toc27250"/>
      <w:bookmarkStart w:id="411" w:name="_Toc21423"/>
      <w:bookmarkStart w:id="412" w:name="_Toc19554"/>
      <w:r>
        <w:rPr>
          <w:rFonts w:hint="eastAsia" w:ascii="仿宋" w:hAnsi="仿宋" w:eastAsia="仿宋" w:cs="仿宋"/>
          <w:b/>
          <w:color w:val="auto"/>
          <w:sz w:val="24"/>
          <w:highlight w:val="none"/>
        </w:rPr>
        <w:t>19 违约责任</w:t>
      </w:r>
      <w:bookmarkEnd w:id="410"/>
      <w:bookmarkEnd w:id="411"/>
      <w:bookmarkEnd w:id="412"/>
    </w:p>
    <w:p w14:paraId="60FA1656">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19.1 除不可抗力外，如果乙方拒绝履行合同，或没有按照本合同约定的期限、地点和方式交付货物，那么甲方可要求乙方支付违约金，违约金按每日计合同总价的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%，最高限额为本合同总价的</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33084B6D">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19.2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5CC7422F">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58C252F">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EC5B43D">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D8FDADE">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19.6 如果出现政府采购监督管理部门在处理投诉事项期间，书面通知甲方暂停采购活动的情形，或者询问或质疑事项可能影响中标结果的，导致甲方中止履行合同的情形，均不视为甲方违约。</w:t>
      </w:r>
    </w:p>
    <w:p w14:paraId="42BAF976">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20 不可抗力</w:t>
      </w:r>
    </w:p>
    <w:p w14:paraId="15E0A7BE">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20.1如果任何一方遭遇法律规定的不可抗力，致使合同履行受阻时，履行合同的期限应予延长，延长的期限应相当于不可抗力所影响的时间；</w:t>
      </w:r>
    </w:p>
    <w:p w14:paraId="1DBDCEEA">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20.2 因不可抗力致使不能实现合同目的的，当事人可以解除合同；</w:t>
      </w:r>
    </w:p>
    <w:p w14:paraId="023E4E8B">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20.3 因不可抗力致使合同有变更必要的，双方当事人应在不可抗力发生后</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日内以书面形式变更合同；</w:t>
      </w:r>
    </w:p>
    <w:p w14:paraId="58B578AD">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20.4受不可抗力影响的一方在不可抗力发生后，应在</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日内以书面形式通知对方当事人，并在</w:t>
      </w:r>
      <w:r>
        <w:rPr>
          <w:rFonts w:hint="eastAsia" w:ascii="仿宋" w:hAnsi="仿宋" w:eastAsia="仿宋" w:cs="仿宋"/>
          <w:color w:val="auto"/>
          <w:sz w:val="24"/>
          <w:highlight w:val="none"/>
          <w:u w:val="single"/>
        </w:rPr>
        <w:t xml:space="preserve">  15  </w:t>
      </w:r>
      <w:r>
        <w:rPr>
          <w:rFonts w:hint="eastAsia" w:ascii="仿宋" w:hAnsi="仿宋" w:eastAsia="仿宋" w:cs="仿宋"/>
          <w:color w:val="auto"/>
          <w:sz w:val="24"/>
          <w:highlight w:val="none"/>
        </w:rPr>
        <w:t>日内，将有关部门出具的证明文件送达对方当事人。</w:t>
      </w:r>
    </w:p>
    <w:p w14:paraId="7969F98C">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21 税费</w:t>
      </w:r>
    </w:p>
    <w:p w14:paraId="50193D0E">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42033751">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22 乙方破产</w:t>
      </w:r>
    </w:p>
    <w:p w14:paraId="2D21C2DF">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3A8A3B8">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color w:val="auto"/>
          <w:sz w:val="24"/>
          <w:highlight w:val="none"/>
        </w:rPr>
      </w:pPr>
      <w:bookmarkStart w:id="413" w:name="_Toc15583"/>
      <w:bookmarkStart w:id="414" w:name="_Toc28375"/>
      <w:bookmarkStart w:id="415" w:name="_Toc16021"/>
      <w:r>
        <w:rPr>
          <w:rFonts w:hint="eastAsia" w:ascii="仿宋" w:hAnsi="仿宋" w:eastAsia="仿宋" w:cs="仿宋"/>
          <w:b/>
          <w:color w:val="auto"/>
          <w:sz w:val="24"/>
          <w:highlight w:val="none"/>
        </w:rPr>
        <w:t>23 合同争议的解决</w:t>
      </w:r>
      <w:bookmarkEnd w:id="413"/>
      <w:bookmarkEnd w:id="414"/>
      <w:bookmarkEnd w:id="415"/>
    </w:p>
    <w:p w14:paraId="1F5BC68A">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若一方存在违约或侵权行为，违约方应承担守约方因此发生的诉讼费、保全费、保全担保或保全保险费、调查取证费、评估鉴定费、律师费、执行费用等合理费用。</w:t>
      </w:r>
    </w:p>
    <w:p w14:paraId="33EE04C8">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不愿和解、调解或者和解、调解不成的，可以向宁波市奉化区人民法院提起诉讼。</w:t>
      </w:r>
    </w:p>
    <w:p w14:paraId="502F6B7C">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24 合同中止、终止</w:t>
      </w:r>
    </w:p>
    <w:p w14:paraId="036DBBC6">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24.1 双方当事人不得擅自中止或者终止合同；</w:t>
      </w:r>
    </w:p>
    <w:p w14:paraId="3ED9B02E">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24.2合同继续履行将损害国家利益和社会公共利益的，双方当事人应当中止或者终止合同。有过错的一方应当承担赔偿责任，双方当事人都有过错的，各自承担相应的责任。</w:t>
      </w:r>
    </w:p>
    <w:p w14:paraId="6243AD98">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25 通知和送达</w:t>
      </w:r>
    </w:p>
    <w:p w14:paraId="0E22A29B">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25.1任何一方因履行合同而以合同第一部分尾部所列明的传真或电子邮件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306BC912">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5E8BC726">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26 计量单位</w:t>
      </w:r>
    </w:p>
    <w:p w14:paraId="1C3A328A">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1EB2FB6D">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27合同使用的文字和适用的法律</w:t>
      </w:r>
    </w:p>
    <w:p w14:paraId="3FD117F2">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27.1 合同使用汉语书就、变更和解释；</w:t>
      </w:r>
    </w:p>
    <w:p w14:paraId="52499008">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27.2 合同适用中华人民共和国法律。</w:t>
      </w:r>
    </w:p>
    <w:p w14:paraId="7FBDEA2B">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28合同效力</w:t>
      </w:r>
    </w:p>
    <w:p w14:paraId="06E6DB59">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本合同一式四份，甲乙双方各两份，每份均具有同等法律效力。本合同自双方当事人盖章或者签字时生效。</w:t>
      </w:r>
    </w:p>
    <w:p w14:paraId="13A47CA1">
      <w:pPr>
        <w:keepNext w:val="0"/>
        <w:keepLines w:val="0"/>
        <w:pageBreakBefore w:val="0"/>
        <w:widowControl w:val="0"/>
        <w:kinsoku/>
        <w:wordWrap/>
        <w:overflowPunct/>
        <w:topLinePunct w:val="0"/>
        <w:autoSpaceDE w:val="0"/>
        <w:autoSpaceDN w:val="0"/>
        <w:bidi w:val="0"/>
        <w:spacing w:line="360" w:lineRule="auto"/>
        <w:textAlignment w:val="auto"/>
        <w:rPr>
          <w:rFonts w:ascii="仿宋" w:hAnsi="仿宋" w:eastAsia="仿宋" w:cs="仿宋"/>
          <w:color w:val="auto"/>
          <w:sz w:val="24"/>
          <w:highlight w:val="none"/>
          <w:lang w:val="zh-CN"/>
        </w:rPr>
      </w:pPr>
    </w:p>
    <w:p w14:paraId="2376B4E4">
      <w:pPr>
        <w:keepNext w:val="0"/>
        <w:keepLines w:val="0"/>
        <w:pageBreakBefore w:val="0"/>
        <w:widowControl w:val="0"/>
        <w:kinsoku/>
        <w:wordWrap/>
        <w:overflowPunct/>
        <w:topLinePunct w:val="0"/>
        <w:autoSpaceDE w:val="0"/>
        <w:autoSpaceDN w:val="0"/>
        <w:bidi w:val="0"/>
        <w:spacing w:line="360" w:lineRule="auto"/>
        <w:textAlignment w:val="auto"/>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甲方名称（公章）</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乙方名称（公章）</w:t>
      </w:r>
      <w:r>
        <w:rPr>
          <w:rFonts w:hint="eastAsia" w:ascii="仿宋" w:hAnsi="仿宋" w:eastAsia="仿宋" w:cs="仿宋"/>
          <w:color w:val="auto"/>
          <w:sz w:val="24"/>
          <w:highlight w:val="none"/>
          <w:lang w:val="zh-CN"/>
        </w:rPr>
        <w:t>：</w:t>
      </w:r>
    </w:p>
    <w:p w14:paraId="6EDE59FC">
      <w:pPr>
        <w:keepNext w:val="0"/>
        <w:keepLines w:val="0"/>
        <w:pageBreakBefore w:val="0"/>
        <w:widowControl w:val="0"/>
        <w:kinsoku/>
        <w:wordWrap/>
        <w:overflowPunct/>
        <w:topLinePunct w:val="0"/>
        <w:autoSpaceDE w:val="0"/>
        <w:autoSpaceDN w:val="0"/>
        <w:bidi w:val="0"/>
        <w:spacing w:line="360" w:lineRule="auto"/>
        <w:textAlignment w:val="auto"/>
        <w:rPr>
          <w:rFonts w:ascii="仿宋" w:hAnsi="仿宋" w:eastAsia="仿宋" w:cs="仿宋"/>
          <w:color w:val="auto"/>
          <w:sz w:val="24"/>
          <w:highlight w:val="none"/>
          <w:lang w:val="zh-CN"/>
        </w:rPr>
      </w:pPr>
    </w:p>
    <w:p w14:paraId="76927DFF">
      <w:pPr>
        <w:keepNext w:val="0"/>
        <w:keepLines w:val="0"/>
        <w:pageBreakBefore w:val="0"/>
        <w:widowControl w:val="0"/>
        <w:kinsoku/>
        <w:wordWrap/>
        <w:overflowPunct/>
        <w:topLinePunct w:val="0"/>
        <w:autoSpaceDE w:val="0"/>
        <w:autoSpaceDN w:val="0"/>
        <w:bidi w:val="0"/>
        <w:spacing w:line="360" w:lineRule="auto"/>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0BCD229A">
      <w:pPr>
        <w:keepNext w:val="0"/>
        <w:keepLines w:val="0"/>
        <w:pageBreakBefore w:val="0"/>
        <w:widowControl w:val="0"/>
        <w:kinsoku/>
        <w:wordWrap/>
        <w:overflowPunct/>
        <w:topLinePunct w:val="0"/>
        <w:autoSpaceDE w:val="0"/>
        <w:autoSpaceDN w:val="0"/>
        <w:bidi w:val="0"/>
        <w:spacing w:line="360" w:lineRule="auto"/>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07E3A67E">
      <w:pPr>
        <w:keepNext w:val="0"/>
        <w:keepLines w:val="0"/>
        <w:pageBreakBefore w:val="0"/>
        <w:widowControl w:val="0"/>
        <w:kinsoku/>
        <w:wordWrap/>
        <w:overflowPunct/>
        <w:topLinePunct w:val="0"/>
        <w:autoSpaceDE w:val="0"/>
        <w:autoSpaceDN w:val="0"/>
        <w:bidi w:val="0"/>
        <w:spacing w:line="360" w:lineRule="auto"/>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法定代表人或授权代表（签字）：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法定代表人或授权代表（签字）: </w:t>
      </w:r>
    </w:p>
    <w:p w14:paraId="4CBBFC9F">
      <w:pPr>
        <w:keepNext w:val="0"/>
        <w:keepLines w:val="0"/>
        <w:pageBreakBefore w:val="0"/>
        <w:widowControl w:val="0"/>
        <w:kinsoku/>
        <w:wordWrap/>
        <w:overflowPunct/>
        <w:topLinePunct w:val="0"/>
        <w:autoSpaceDE w:val="0"/>
        <w:autoSpaceDN w:val="0"/>
        <w:bidi w:val="0"/>
        <w:spacing w:line="360" w:lineRule="auto"/>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6A008A7A">
      <w:pPr>
        <w:keepNext w:val="0"/>
        <w:keepLines w:val="0"/>
        <w:pageBreakBefore w:val="0"/>
        <w:widowControl w:val="0"/>
        <w:kinsoku/>
        <w:wordWrap/>
        <w:overflowPunct/>
        <w:topLinePunct w:val="0"/>
        <w:autoSpaceDE w:val="0"/>
        <w:autoSpaceDN w:val="0"/>
        <w:bidi w:val="0"/>
        <w:spacing w:line="360" w:lineRule="auto"/>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100306BB">
      <w:pPr>
        <w:keepNext w:val="0"/>
        <w:keepLines w:val="0"/>
        <w:pageBreakBefore w:val="0"/>
        <w:widowControl w:val="0"/>
        <w:kinsoku/>
        <w:wordWrap/>
        <w:overflowPunct/>
        <w:topLinePunct w:val="0"/>
        <w:autoSpaceDE w:val="0"/>
        <w:autoSpaceDN w:val="0"/>
        <w:bidi w:val="0"/>
        <w:spacing w:line="360" w:lineRule="auto"/>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7E720B39">
      <w:pPr>
        <w:keepNext w:val="0"/>
        <w:keepLines w:val="0"/>
        <w:pageBreakBefore w:val="0"/>
        <w:widowControl w:val="0"/>
        <w:kinsoku/>
        <w:wordWrap/>
        <w:overflowPunct/>
        <w:topLinePunct w:val="0"/>
        <w:autoSpaceDE w:val="0"/>
        <w:autoSpaceDN w:val="0"/>
        <w:bidi w:val="0"/>
        <w:spacing w:line="360" w:lineRule="auto"/>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7794A9CC">
      <w:pPr>
        <w:keepNext w:val="0"/>
        <w:keepLines w:val="0"/>
        <w:pageBreakBefore w:val="0"/>
        <w:widowControl w:val="0"/>
        <w:kinsoku/>
        <w:wordWrap/>
        <w:overflowPunct/>
        <w:topLinePunct w:val="0"/>
        <w:autoSpaceDE w:val="0"/>
        <w:autoSpaceDN w:val="0"/>
        <w:bidi w:val="0"/>
        <w:spacing w:line="360" w:lineRule="auto"/>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0503040A">
      <w:pPr>
        <w:pStyle w:val="2"/>
        <w:keepNext w:val="0"/>
        <w:keepLines w:val="0"/>
        <w:pageBreakBefore w:val="0"/>
        <w:widowControl w:val="0"/>
        <w:kinsoku/>
        <w:wordWrap/>
        <w:overflowPunct/>
        <w:topLinePunct w:val="0"/>
        <w:bidi w:val="0"/>
        <w:spacing w:line="360" w:lineRule="auto"/>
        <w:ind w:firstLine="480"/>
        <w:textAlignment w:val="auto"/>
        <w:rPr>
          <w:rFonts w:ascii="仿宋" w:hAnsi="仿宋" w:eastAsia="仿宋" w:cs="仿宋"/>
          <w:color w:val="auto"/>
          <w:sz w:val="24"/>
          <w:highlight w:val="none"/>
        </w:rPr>
      </w:pPr>
    </w:p>
    <w:p w14:paraId="311B701E">
      <w:pPr>
        <w:pStyle w:val="2"/>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eastAsia="zh-CN"/>
        </w:rPr>
        <w:t>见证人：采购代理机构名称</w:t>
      </w:r>
    </w:p>
    <w:p w14:paraId="3FA1DD4D">
      <w:pPr>
        <w:keepNext w:val="0"/>
        <w:keepLines w:val="0"/>
        <w:pageBreakBefore w:val="0"/>
        <w:widowControl w:val="0"/>
        <w:kinsoku/>
        <w:wordWrap/>
        <w:overflowPunct/>
        <w:topLinePunct w:val="0"/>
        <w:autoSpaceDE w:val="0"/>
        <w:autoSpaceDN w:val="0"/>
        <w:bidi w:val="0"/>
        <w:spacing w:line="360" w:lineRule="auto"/>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住所：                             </w:t>
      </w:r>
    </w:p>
    <w:p w14:paraId="452D62C4">
      <w:pPr>
        <w:keepNext w:val="0"/>
        <w:keepLines w:val="0"/>
        <w:pageBreakBefore w:val="0"/>
        <w:widowControl w:val="0"/>
        <w:kinsoku/>
        <w:wordWrap/>
        <w:overflowPunct/>
        <w:topLinePunct w:val="0"/>
        <w:autoSpaceDE w:val="0"/>
        <w:autoSpaceDN w:val="0"/>
        <w:bidi w:val="0"/>
        <w:spacing w:line="360" w:lineRule="auto"/>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法定代表人或授权代表（签字）：       </w:t>
      </w:r>
      <w:r>
        <w:rPr>
          <w:rFonts w:hint="eastAsia" w:ascii="仿宋" w:hAnsi="仿宋" w:eastAsia="仿宋" w:cs="仿宋"/>
          <w:color w:val="auto"/>
          <w:sz w:val="24"/>
          <w:highlight w:val="none"/>
          <w:lang w:val="en-US" w:eastAsia="zh-CN"/>
        </w:rPr>
        <w:t xml:space="preserve"> </w:t>
      </w:r>
    </w:p>
    <w:p w14:paraId="3201AE4E">
      <w:pPr>
        <w:keepNext w:val="0"/>
        <w:keepLines w:val="0"/>
        <w:pageBreakBefore w:val="0"/>
        <w:widowControl w:val="0"/>
        <w:kinsoku/>
        <w:wordWrap/>
        <w:overflowPunct/>
        <w:topLinePunct w:val="0"/>
        <w:autoSpaceDE w:val="0"/>
        <w:autoSpaceDN w:val="0"/>
        <w:bidi w:val="0"/>
        <w:spacing w:line="360" w:lineRule="auto"/>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联系人：                                                                    </w:t>
      </w:r>
    </w:p>
    <w:p w14:paraId="337A3A99">
      <w:pPr>
        <w:keepNext w:val="0"/>
        <w:keepLines w:val="0"/>
        <w:pageBreakBefore w:val="0"/>
        <w:widowControl w:val="0"/>
        <w:kinsoku/>
        <w:wordWrap/>
        <w:overflowPunct/>
        <w:topLinePunct w:val="0"/>
        <w:bidi w:val="0"/>
        <w:spacing w:line="360" w:lineRule="auto"/>
        <w:textAlignment w:val="auto"/>
        <w:outlineLvl w:val="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电话:</w:t>
      </w:r>
    </w:p>
    <w:p w14:paraId="401E8FBD">
      <w:pPr>
        <w:keepNext w:val="0"/>
        <w:keepLines w:val="0"/>
        <w:pageBreakBefore w:val="0"/>
        <w:widowControl w:val="0"/>
        <w:kinsoku/>
        <w:wordWrap/>
        <w:overflowPunct/>
        <w:topLinePunct w:val="0"/>
        <w:bidi w:val="0"/>
        <w:spacing w:line="360" w:lineRule="auto"/>
        <w:ind w:left="720" w:firstLine="480" w:firstLineChars="200"/>
        <w:textAlignment w:val="auto"/>
        <w:outlineLvl w:val="0"/>
        <w:rPr>
          <w:rFonts w:hint="eastAsia" w:ascii="仿宋" w:hAnsi="仿宋" w:eastAsia="仿宋" w:cs="仿宋"/>
          <w:color w:val="auto"/>
          <w:sz w:val="24"/>
          <w:highlight w:val="none"/>
          <w:lang w:val="zh-CN"/>
        </w:rPr>
      </w:pPr>
    </w:p>
    <w:p w14:paraId="0BB42ECA">
      <w:pPr>
        <w:keepNext w:val="0"/>
        <w:keepLines w:val="0"/>
        <w:pageBreakBefore w:val="0"/>
        <w:widowControl w:val="0"/>
        <w:kinsoku/>
        <w:wordWrap/>
        <w:overflowPunct/>
        <w:topLinePunct w:val="0"/>
        <w:bidi w:val="0"/>
        <w:spacing w:line="360" w:lineRule="auto"/>
        <w:ind w:left="720" w:firstLine="480" w:firstLineChars="200"/>
        <w:textAlignment w:val="auto"/>
        <w:outlineLvl w:val="0"/>
        <w:rPr>
          <w:rFonts w:hint="eastAsia" w:ascii="仿宋" w:hAnsi="仿宋" w:eastAsia="仿宋" w:cs="仿宋"/>
          <w:color w:val="auto"/>
          <w:sz w:val="24"/>
          <w:highlight w:val="none"/>
          <w:lang w:val="zh-CN"/>
        </w:rPr>
      </w:pPr>
    </w:p>
    <w:p w14:paraId="0A13EF4E">
      <w:pPr>
        <w:keepNext w:val="0"/>
        <w:keepLines w:val="0"/>
        <w:pageBreakBefore w:val="0"/>
        <w:widowControl w:val="0"/>
        <w:kinsoku/>
        <w:wordWrap/>
        <w:overflowPunct/>
        <w:topLinePunct w:val="0"/>
        <w:bidi w:val="0"/>
        <w:spacing w:line="360" w:lineRule="auto"/>
        <w:ind w:left="720" w:firstLine="480" w:firstLineChars="200"/>
        <w:textAlignment w:val="auto"/>
        <w:outlineLvl w:val="0"/>
        <w:rPr>
          <w:rFonts w:hint="eastAsia" w:ascii="仿宋" w:hAnsi="仿宋" w:eastAsia="仿宋" w:cs="仿宋"/>
          <w:color w:val="auto"/>
          <w:sz w:val="24"/>
          <w:highlight w:val="none"/>
          <w:lang w:val="zh-CN"/>
        </w:rPr>
      </w:pPr>
    </w:p>
    <w:p w14:paraId="2AF3665F">
      <w:pPr>
        <w:keepNext w:val="0"/>
        <w:keepLines w:val="0"/>
        <w:pageBreakBefore w:val="0"/>
        <w:widowControl w:val="0"/>
        <w:kinsoku/>
        <w:wordWrap/>
        <w:overflowPunct/>
        <w:topLinePunct w:val="0"/>
        <w:bidi w:val="0"/>
        <w:spacing w:line="360" w:lineRule="auto"/>
        <w:ind w:left="720" w:firstLine="480" w:firstLineChars="200"/>
        <w:textAlignment w:val="auto"/>
        <w:outlineLvl w:val="0"/>
        <w:rPr>
          <w:rFonts w:hint="eastAsia" w:ascii="仿宋" w:hAnsi="仿宋" w:eastAsia="仿宋" w:cs="仿宋"/>
          <w:color w:val="auto"/>
          <w:sz w:val="24"/>
          <w:highlight w:val="none"/>
          <w:lang w:val="zh-CN"/>
        </w:rPr>
      </w:pPr>
    </w:p>
    <w:p w14:paraId="5BAB93DD">
      <w:pPr>
        <w:pStyle w:val="2"/>
        <w:rPr>
          <w:rFonts w:hint="eastAsia" w:ascii="仿宋" w:hAnsi="仿宋" w:eastAsia="仿宋" w:cs="仿宋"/>
          <w:color w:val="auto"/>
          <w:sz w:val="24"/>
          <w:highlight w:val="none"/>
          <w:lang w:val="zh-CN"/>
        </w:rPr>
      </w:pPr>
    </w:p>
    <w:p w14:paraId="0FF6BC9A">
      <w:pPr>
        <w:pStyle w:val="2"/>
        <w:rPr>
          <w:rFonts w:hint="eastAsia" w:ascii="仿宋" w:hAnsi="仿宋" w:eastAsia="仿宋" w:cs="仿宋"/>
          <w:color w:val="auto"/>
          <w:sz w:val="24"/>
          <w:highlight w:val="none"/>
          <w:lang w:val="zh-CN"/>
        </w:rPr>
      </w:pPr>
    </w:p>
    <w:p w14:paraId="29C451D3">
      <w:pPr>
        <w:pStyle w:val="2"/>
        <w:rPr>
          <w:rFonts w:hint="eastAsia" w:ascii="仿宋" w:hAnsi="仿宋" w:eastAsia="仿宋" w:cs="仿宋"/>
          <w:color w:val="auto"/>
          <w:sz w:val="24"/>
          <w:highlight w:val="none"/>
          <w:lang w:val="zh-CN"/>
        </w:rPr>
      </w:pPr>
    </w:p>
    <w:p w14:paraId="60B0BAF9">
      <w:pPr>
        <w:pStyle w:val="2"/>
        <w:rPr>
          <w:rFonts w:hint="eastAsia" w:ascii="仿宋" w:hAnsi="仿宋" w:eastAsia="仿宋" w:cs="仿宋"/>
          <w:color w:val="auto"/>
          <w:sz w:val="24"/>
          <w:highlight w:val="none"/>
          <w:lang w:val="zh-CN"/>
        </w:rPr>
      </w:pPr>
    </w:p>
    <w:p w14:paraId="2F490A15">
      <w:pPr>
        <w:pStyle w:val="2"/>
        <w:rPr>
          <w:rFonts w:hint="eastAsia" w:ascii="仿宋" w:hAnsi="仿宋" w:eastAsia="仿宋" w:cs="仿宋"/>
          <w:color w:val="auto"/>
          <w:sz w:val="24"/>
          <w:highlight w:val="none"/>
          <w:lang w:val="zh-CN"/>
        </w:rPr>
      </w:pPr>
    </w:p>
    <w:p w14:paraId="546F198C">
      <w:pPr>
        <w:pStyle w:val="2"/>
        <w:rPr>
          <w:rFonts w:hint="eastAsia" w:ascii="仿宋" w:hAnsi="仿宋" w:eastAsia="仿宋" w:cs="仿宋"/>
          <w:color w:val="auto"/>
          <w:sz w:val="24"/>
          <w:highlight w:val="none"/>
          <w:lang w:val="zh-CN"/>
        </w:rPr>
      </w:pPr>
    </w:p>
    <w:p w14:paraId="6034B11E">
      <w:pPr>
        <w:pStyle w:val="2"/>
        <w:rPr>
          <w:rFonts w:hint="eastAsia" w:ascii="仿宋" w:hAnsi="仿宋" w:eastAsia="仿宋" w:cs="仿宋"/>
          <w:color w:val="auto"/>
          <w:sz w:val="24"/>
          <w:highlight w:val="none"/>
          <w:lang w:val="zh-CN"/>
        </w:rPr>
      </w:pPr>
    </w:p>
    <w:p w14:paraId="4D5DA7A4">
      <w:pPr>
        <w:pStyle w:val="2"/>
        <w:rPr>
          <w:rFonts w:hint="eastAsia" w:ascii="仿宋" w:hAnsi="仿宋" w:eastAsia="仿宋" w:cs="仿宋"/>
          <w:color w:val="auto"/>
          <w:sz w:val="24"/>
          <w:highlight w:val="none"/>
          <w:lang w:val="zh-CN"/>
        </w:rPr>
      </w:pPr>
    </w:p>
    <w:p w14:paraId="5E35B408">
      <w:pPr>
        <w:pStyle w:val="2"/>
        <w:rPr>
          <w:rFonts w:hint="eastAsia" w:ascii="仿宋" w:hAnsi="仿宋" w:eastAsia="仿宋" w:cs="仿宋"/>
          <w:color w:val="auto"/>
          <w:sz w:val="24"/>
          <w:highlight w:val="none"/>
          <w:lang w:val="zh-CN"/>
        </w:rPr>
      </w:pPr>
    </w:p>
    <w:p w14:paraId="1EE28E48">
      <w:pPr>
        <w:pStyle w:val="2"/>
        <w:rPr>
          <w:rFonts w:hint="eastAsia" w:ascii="仿宋" w:hAnsi="仿宋" w:eastAsia="仿宋" w:cs="仿宋"/>
          <w:color w:val="auto"/>
          <w:sz w:val="24"/>
          <w:highlight w:val="none"/>
          <w:lang w:val="zh-CN"/>
        </w:rPr>
      </w:pPr>
    </w:p>
    <w:p w14:paraId="29C9C5A8">
      <w:pPr>
        <w:pStyle w:val="2"/>
        <w:rPr>
          <w:rFonts w:hint="eastAsia" w:ascii="仿宋" w:hAnsi="仿宋" w:eastAsia="仿宋" w:cs="仿宋"/>
          <w:color w:val="auto"/>
          <w:sz w:val="24"/>
          <w:highlight w:val="none"/>
          <w:lang w:val="zh-CN"/>
        </w:rPr>
      </w:pPr>
    </w:p>
    <w:p w14:paraId="72C13703">
      <w:pPr>
        <w:pStyle w:val="2"/>
        <w:rPr>
          <w:rFonts w:hint="eastAsia" w:ascii="仿宋" w:hAnsi="仿宋" w:eastAsia="仿宋" w:cs="仿宋"/>
          <w:color w:val="auto"/>
          <w:sz w:val="24"/>
          <w:highlight w:val="none"/>
          <w:lang w:val="zh-CN"/>
        </w:rPr>
      </w:pPr>
    </w:p>
    <w:p w14:paraId="49D36847">
      <w:pPr>
        <w:pStyle w:val="2"/>
        <w:rPr>
          <w:rFonts w:hint="eastAsia" w:ascii="仿宋" w:hAnsi="仿宋" w:eastAsia="仿宋" w:cs="仿宋"/>
          <w:color w:val="auto"/>
          <w:sz w:val="24"/>
          <w:highlight w:val="none"/>
          <w:lang w:val="zh-CN"/>
        </w:rPr>
      </w:pPr>
    </w:p>
    <w:p w14:paraId="78812E3D">
      <w:pPr>
        <w:pStyle w:val="2"/>
        <w:rPr>
          <w:rFonts w:hint="eastAsia" w:ascii="仿宋" w:hAnsi="仿宋" w:eastAsia="仿宋" w:cs="仿宋"/>
          <w:color w:val="auto"/>
          <w:sz w:val="24"/>
          <w:highlight w:val="none"/>
          <w:lang w:val="zh-CN"/>
        </w:rPr>
      </w:pPr>
    </w:p>
    <w:p w14:paraId="332834EC">
      <w:pPr>
        <w:pStyle w:val="2"/>
        <w:rPr>
          <w:rFonts w:hint="eastAsia" w:ascii="仿宋" w:hAnsi="仿宋" w:eastAsia="仿宋" w:cs="仿宋"/>
          <w:color w:val="auto"/>
          <w:sz w:val="24"/>
          <w:highlight w:val="none"/>
          <w:lang w:val="zh-CN"/>
        </w:rPr>
      </w:pPr>
    </w:p>
    <w:p w14:paraId="08BEFE74">
      <w:pPr>
        <w:keepNext w:val="0"/>
        <w:keepLines w:val="0"/>
        <w:pageBreakBefore w:val="0"/>
        <w:widowControl w:val="0"/>
        <w:kinsoku/>
        <w:wordWrap/>
        <w:overflowPunct/>
        <w:topLinePunct w:val="0"/>
        <w:bidi w:val="0"/>
        <w:spacing w:line="360" w:lineRule="auto"/>
        <w:ind w:left="720" w:firstLine="480" w:firstLineChars="200"/>
        <w:textAlignment w:val="auto"/>
        <w:outlineLvl w:val="0"/>
        <w:rPr>
          <w:rFonts w:hint="eastAsia" w:ascii="仿宋" w:hAnsi="仿宋" w:eastAsia="仿宋" w:cs="仿宋"/>
          <w:color w:val="auto"/>
          <w:sz w:val="24"/>
          <w:highlight w:val="none"/>
          <w:lang w:val="zh-CN"/>
        </w:rPr>
      </w:pPr>
    </w:p>
    <w:p w14:paraId="23C6F4B5">
      <w:pPr>
        <w:keepNext w:val="0"/>
        <w:keepLines w:val="0"/>
        <w:pageBreakBefore w:val="0"/>
        <w:widowControl w:val="0"/>
        <w:kinsoku/>
        <w:wordWrap/>
        <w:overflowPunct/>
        <w:topLinePunct w:val="0"/>
        <w:bidi w:val="0"/>
        <w:spacing w:line="360" w:lineRule="auto"/>
        <w:ind w:left="720" w:firstLine="480" w:firstLineChars="200"/>
        <w:textAlignment w:val="auto"/>
        <w:outlineLvl w:val="0"/>
        <w:rPr>
          <w:rFonts w:hint="eastAsia" w:ascii="仿宋" w:hAnsi="仿宋" w:eastAsia="仿宋" w:cs="仿宋"/>
          <w:color w:val="auto"/>
          <w:sz w:val="24"/>
          <w:highlight w:val="none"/>
          <w:lang w:val="zh-CN"/>
        </w:rPr>
      </w:pPr>
    </w:p>
    <w:p w14:paraId="7FAC45F8">
      <w:pPr>
        <w:keepNext w:val="0"/>
        <w:keepLines w:val="0"/>
        <w:pageBreakBefore w:val="0"/>
        <w:widowControl w:val="0"/>
        <w:kinsoku/>
        <w:wordWrap/>
        <w:overflowPunct/>
        <w:topLinePunct w:val="0"/>
        <w:bidi w:val="0"/>
        <w:spacing w:line="360" w:lineRule="auto"/>
        <w:ind w:left="720" w:firstLine="480" w:firstLineChars="200"/>
        <w:textAlignment w:val="auto"/>
        <w:outlineLvl w:val="0"/>
        <w:rPr>
          <w:rFonts w:hint="eastAsia" w:ascii="仿宋" w:hAnsi="仿宋" w:eastAsia="仿宋" w:cs="仿宋"/>
          <w:color w:val="auto"/>
          <w:sz w:val="24"/>
          <w:highlight w:val="none"/>
          <w:lang w:val="zh-CN"/>
        </w:rPr>
      </w:pPr>
    </w:p>
    <w:p w14:paraId="41072404">
      <w:pPr>
        <w:keepNext w:val="0"/>
        <w:keepLines w:val="0"/>
        <w:pageBreakBefore w:val="0"/>
        <w:widowControl w:val="0"/>
        <w:kinsoku/>
        <w:wordWrap/>
        <w:overflowPunct/>
        <w:topLinePunct w:val="0"/>
        <w:bidi w:val="0"/>
        <w:spacing w:line="360" w:lineRule="auto"/>
        <w:ind w:left="720" w:firstLine="480" w:firstLineChars="200"/>
        <w:textAlignment w:val="auto"/>
        <w:outlineLvl w:val="0"/>
        <w:rPr>
          <w:rFonts w:hint="eastAsia" w:ascii="仿宋" w:hAnsi="仿宋" w:eastAsia="仿宋" w:cs="仿宋"/>
          <w:color w:val="auto"/>
          <w:sz w:val="24"/>
          <w:highlight w:val="none"/>
          <w:lang w:val="zh-CN"/>
        </w:rPr>
      </w:pPr>
    </w:p>
    <w:p w14:paraId="1FF13D76">
      <w:pPr>
        <w:keepNext w:val="0"/>
        <w:keepLines w:val="0"/>
        <w:pageBreakBefore w:val="0"/>
        <w:widowControl w:val="0"/>
        <w:kinsoku/>
        <w:wordWrap/>
        <w:overflowPunct/>
        <w:topLinePunct w:val="0"/>
        <w:bidi w:val="0"/>
        <w:spacing w:line="360" w:lineRule="auto"/>
        <w:ind w:left="720" w:firstLine="480" w:firstLineChars="200"/>
        <w:textAlignment w:val="auto"/>
        <w:outlineLvl w:val="0"/>
        <w:rPr>
          <w:rFonts w:hint="eastAsia" w:ascii="仿宋" w:hAnsi="仿宋" w:eastAsia="仿宋" w:cs="仿宋"/>
          <w:color w:val="auto"/>
          <w:sz w:val="24"/>
          <w:highlight w:val="none"/>
          <w:lang w:val="zh-CN"/>
        </w:rPr>
      </w:pPr>
    </w:p>
    <w:p w14:paraId="164B430F">
      <w:pPr>
        <w:keepNext w:val="0"/>
        <w:keepLines w:val="0"/>
        <w:pageBreakBefore w:val="0"/>
        <w:widowControl w:val="0"/>
        <w:kinsoku/>
        <w:wordWrap/>
        <w:overflowPunct/>
        <w:topLinePunct w:val="0"/>
        <w:bidi w:val="0"/>
        <w:spacing w:line="360" w:lineRule="auto"/>
        <w:ind w:left="720" w:firstLine="480" w:firstLineChars="200"/>
        <w:textAlignment w:val="auto"/>
        <w:outlineLvl w:val="0"/>
        <w:rPr>
          <w:rFonts w:hint="eastAsia" w:ascii="仿宋" w:hAnsi="仿宋" w:eastAsia="仿宋" w:cs="仿宋"/>
          <w:color w:val="auto"/>
          <w:sz w:val="24"/>
          <w:highlight w:val="none"/>
          <w:lang w:val="zh-CN"/>
        </w:rPr>
      </w:pPr>
    </w:p>
    <w:p w14:paraId="20B025DC">
      <w:pPr>
        <w:keepNext w:val="0"/>
        <w:keepLines w:val="0"/>
        <w:pageBreakBefore w:val="0"/>
        <w:widowControl w:val="0"/>
        <w:kinsoku/>
        <w:wordWrap/>
        <w:overflowPunct/>
        <w:topLinePunct w:val="0"/>
        <w:bidi w:val="0"/>
        <w:spacing w:line="360" w:lineRule="auto"/>
        <w:ind w:left="720" w:firstLine="480" w:firstLineChars="200"/>
        <w:textAlignment w:val="auto"/>
        <w:outlineLvl w:val="0"/>
        <w:rPr>
          <w:rFonts w:hint="eastAsia" w:ascii="仿宋" w:hAnsi="仿宋" w:eastAsia="仿宋" w:cs="仿宋"/>
          <w:color w:val="auto"/>
          <w:sz w:val="24"/>
          <w:highlight w:val="none"/>
          <w:lang w:val="zh-CN"/>
        </w:rPr>
      </w:pPr>
    </w:p>
    <w:p w14:paraId="1BF0C334">
      <w:pPr>
        <w:keepNext w:val="0"/>
        <w:keepLines w:val="0"/>
        <w:pageBreakBefore w:val="0"/>
        <w:widowControl w:val="0"/>
        <w:kinsoku/>
        <w:wordWrap/>
        <w:overflowPunct/>
        <w:topLinePunct w:val="0"/>
        <w:bidi w:val="0"/>
        <w:spacing w:line="360" w:lineRule="auto"/>
        <w:ind w:left="720" w:firstLine="480" w:firstLineChars="200"/>
        <w:textAlignment w:val="auto"/>
        <w:outlineLvl w:val="0"/>
        <w:rPr>
          <w:rFonts w:hint="eastAsia" w:ascii="仿宋" w:hAnsi="仿宋" w:eastAsia="仿宋" w:cs="仿宋"/>
          <w:color w:val="auto"/>
          <w:sz w:val="24"/>
          <w:highlight w:val="none"/>
          <w:lang w:val="zh-CN"/>
        </w:rPr>
      </w:pPr>
    </w:p>
    <w:p w14:paraId="050BA5FB">
      <w:pPr>
        <w:keepNext w:val="0"/>
        <w:keepLines w:val="0"/>
        <w:pageBreakBefore w:val="0"/>
        <w:widowControl w:val="0"/>
        <w:kinsoku/>
        <w:wordWrap/>
        <w:overflowPunct/>
        <w:topLinePunct w:val="0"/>
        <w:bidi w:val="0"/>
        <w:spacing w:line="360" w:lineRule="auto"/>
        <w:ind w:left="720" w:firstLine="723" w:firstLineChars="200"/>
        <w:textAlignment w:val="auto"/>
        <w:outlineLvl w:val="0"/>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t>第六部分</w:t>
      </w:r>
      <w:bookmarkEnd w:id="393"/>
      <w:r>
        <w:rPr>
          <w:rFonts w:hint="eastAsia" w:cs="仿宋" w:asciiTheme="majorEastAsia" w:hAnsiTheme="majorEastAsia" w:eastAsiaTheme="majorEastAsia"/>
          <w:b/>
          <w:color w:val="auto"/>
          <w:sz w:val="36"/>
          <w:szCs w:val="20"/>
          <w:highlight w:val="none"/>
        </w:rPr>
        <w:t xml:space="preserve"> </w:t>
      </w:r>
      <w:bookmarkEnd w:id="394"/>
      <w:r>
        <w:rPr>
          <w:rFonts w:hint="eastAsia" w:cs="仿宋" w:asciiTheme="majorEastAsia" w:hAnsiTheme="majorEastAsia" w:eastAsiaTheme="majorEastAsia"/>
          <w:b/>
          <w:color w:val="auto"/>
          <w:sz w:val="36"/>
          <w:szCs w:val="20"/>
          <w:highlight w:val="none"/>
        </w:rPr>
        <w:t>应提交的有关格式范例</w:t>
      </w:r>
    </w:p>
    <w:p w14:paraId="0A4BEF83">
      <w:pPr>
        <w:keepNext w:val="0"/>
        <w:keepLines w:val="0"/>
        <w:pageBreakBefore w:val="0"/>
        <w:widowControl w:val="0"/>
        <w:kinsoku/>
        <w:wordWrap/>
        <w:overflowPunct/>
        <w:topLinePunct w:val="0"/>
        <w:bidi w:val="0"/>
        <w:spacing w:line="360" w:lineRule="auto"/>
        <w:jc w:val="center"/>
        <w:textAlignment w:val="auto"/>
        <w:outlineLvl w:val="0"/>
        <w:rPr>
          <w:rFonts w:cs="仿宋" w:asciiTheme="majorEastAsia" w:hAnsiTheme="majorEastAsia" w:eastAsiaTheme="majorEastAsia"/>
          <w:b/>
          <w:color w:val="auto"/>
          <w:kern w:val="0"/>
          <w:sz w:val="36"/>
          <w:szCs w:val="36"/>
          <w:highlight w:val="none"/>
        </w:rPr>
      </w:pPr>
    </w:p>
    <w:p w14:paraId="3C0209EA">
      <w:pPr>
        <w:keepNext w:val="0"/>
        <w:keepLines w:val="0"/>
        <w:pageBreakBefore w:val="0"/>
        <w:widowControl w:val="0"/>
        <w:kinsoku/>
        <w:wordWrap/>
        <w:overflowPunct/>
        <w:topLinePunct w:val="0"/>
        <w:bidi w:val="0"/>
        <w:spacing w:line="360" w:lineRule="auto"/>
        <w:jc w:val="center"/>
        <w:textAlignment w:val="auto"/>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资格文件部分</w:t>
      </w:r>
    </w:p>
    <w:p w14:paraId="10A43B26">
      <w:pPr>
        <w:keepNext w:val="0"/>
        <w:keepLines w:val="0"/>
        <w:pageBreakBefore w:val="0"/>
        <w:widowControl w:val="0"/>
        <w:kinsoku/>
        <w:wordWrap/>
        <w:overflowPunct/>
        <w:topLinePunct w:val="0"/>
        <w:bidi w:val="0"/>
        <w:spacing w:line="360" w:lineRule="auto"/>
        <w:jc w:val="center"/>
        <w:textAlignment w:val="auto"/>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14:paraId="36DAF13C">
      <w:pPr>
        <w:keepNext w:val="0"/>
        <w:keepLines w:val="0"/>
        <w:pageBreakBefore w:val="0"/>
        <w:widowControl w:val="0"/>
        <w:kinsoku/>
        <w:wordWrap/>
        <w:overflowPunct/>
        <w:topLinePunct w:val="0"/>
        <w:bidi w:val="0"/>
        <w:spacing w:line="360" w:lineRule="auto"/>
        <w:jc w:val="center"/>
        <w:textAlignment w:val="auto"/>
        <w:outlineLvl w:val="0"/>
        <w:rPr>
          <w:rFonts w:cs="仿宋" w:asciiTheme="majorEastAsia" w:hAnsiTheme="majorEastAsia" w:eastAsiaTheme="majorEastAsia"/>
          <w:b/>
          <w:color w:val="auto"/>
          <w:kern w:val="0"/>
          <w:sz w:val="36"/>
          <w:szCs w:val="36"/>
          <w:highlight w:val="none"/>
        </w:rPr>
      </w:pPr>
    </w:p>
    <w:p w14:paraId="51942BAF">
      <w:pPr>
        <w:keepNext w:val="0"/>
        <w:keepLines w:val="0"/>
        <w:pageBreakBefore w:val="0"/>
        <w:widowControl w:val="0"/>
        <w:kinsoku/>
        <w:wordWrap/>
        <w:overflowPunct/>
        <w:topLinePunct w:val="0"/>
        <w:bidi w:val="0"/>
        <w:adjustRightInd w:val="0"/>
        <w:snapToGrid w:val="0"/>
        <w:spacing w:line="360" w:lineRule="auto"/>
        <w:ind w:left="420" w:leftChars="200" w:firstLine="560" w:firstLineChars="200"/>
        <w:textAlignment w:val="auto"/>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有效的企业法人营业执照（或事业法人登记证）、其他组织（个体工商户）的营业执照或者民办非企业单位登记证书；</w:t>
      </w:r>
    </w:p>
    <w:p w14:paraId="5DA27305">
      <w:pPr>
        <w:keepNext w:val="0"/>
        <w:keepLines w:val="0"/>
        <w:pageBreakBefore w:val="0"/>
        <w:widowControl w:val="0"/>
        <w:kinsoku/>
        <w:wordWrap/>
        <w:overflowPunct/>
        <w:topLinePunct w:val="0"/>
        <w:bidi w:val="0"/>
        <w:adjustRightInd w:val="0"/>
        <w:snapToGrid w:val="0"/>
        <w:spacing w:line="360" w:lineRule="auto"/>
        <w:ind w:left="420" w:leftChars="200" w:firstLine="560" w:firstLineChars="200"/>
        <w:textAlignment w:val="auto"/>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符合参加政府采购活动应当具备的一般条件的承诺函；</w:t>
      </w:r>
    </w:p>
    <w:p w14:paraId="17F27579">
      <w:pPr>
        <w:keepNext w:val="0"/>
        <w:keepLines w:val="0"/>
        <w:pageBreakBefore w:val="0"/>
        <w:widowControl w:val="0"/>
        <w:kinsoku/>
        <w:wordWrap/>
        <w:overflowPunct/>
        <w:topLinePunct w:val="0"/>
        <w:bidi w:val="0"/>
        <w:adjustRightInd w:val="0"/>
        <w:snapToGrid w:val="0"/>
        <w:spacing w:line="360" w:lineRule="auto"/>
        <w:ind w:left="420" w:leftChars="200" w:firstLine="560" w:firstLineChars="200"/>
        <w:textAlignment w:val="auto"/>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本项目的特定资格要求。</w:t>
      </w:r>
    </w:p>
    <w:p w14:paraId="41D02B32">
      <w:pPr>
        <w:pStyle w:val="2"/>
        <w:keepNext w:val="0"/>
        <w:keepLines w:val="0"/>
        <w:pageBreakBefore w:val="0"/>
        <w:widowControl w:val="0"/>
        <w:kinsoku/>
        <w:wordWrap/>
        <w:overflowPunct/>
        <w:topLinePunct w:val="0"/>
        <w:bidi w:val="0"/>
        <w:spacing w:line="360" w:lineRule="auto"/>
        <w:ind w:firstLine="480"/>
        <w:textAlignment w:val="auto"/>
        <w:rPr>
          <w:rFonts w:cs="仿宋" w:asciiTheme="majorEastAsia" w:hAnsiTheme="majorEastAsia" w:eastAsiaTheme="majorEastAsia"/>
          <w:color w:val="auto"/>
          <w:sz w:val="24"/>
          <w:highlight w:val="none"/>
        </w:rPr>
      </w:pPr>
    </w:p>
    <w:p w14:paraId="09BBD4CE">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14:paraId="7110E713">
      <w:pPr>
        <w:keepNext w:val="0"/>
        <w:keepLines w:val="0"/>
        <w:pageBreakBefore w:val="0"/>
        <w:widowControl w:val="0"/>
        <w:kinsoku/>
        <w:wordWrap/>
        <w:overflowPunct/>
        <w:topLinePunct w:val="0"/>
        <w:bidi w:val="0"/>
        <w:snapToGrid w:val="0"/>
        <w:spacing w:line="360" w:lineRule="auto"/>
        <w:ind w:right="480"/>
        <w:jc w:val="center"/>
        <w:textAlignment w:val="auto"/>
        <w:rPr>
          <w:rFonts w:hint="eastAsia"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lang w:eastAsia="zh-CN"/>
        </w:rPr>
        <w:t>一、</w:t>
      </w:r>
      <w:r>
        <w:rPr>
          <w:rFonts w:hint="eastAsia" w:cs="仿宋" w:asciiTheme="majorEastAsia" w:hAnsiTheme="majorEastAsia" w:eastAsiaTheme="majorEastAsia"/>
          <w:b/>
          <w:color w:val="auto"/>
          <w:kern w:val="0"/>
          <w:sz w:val="32"/>
          <w:szCs w:val="32"/>
          <w:highlight w:val="none"/>
        </w:rPr>
        <w:t>有效的企业法人营业执照（或事业法人登记证）、其他组织（个体工商户）的营业执照或者民办非企业单位登记证书</w:t>
      </w:r>
    </w:p>
    <w:p w14:paraId="06FA8D7B">
      <w:pPr>
        <w:keepNext w:val="0"/>
        <w:keepLines w:val="0"/>
        <w:pageBreakBefore w:val="0"/>
        <w:widowControl w:val="0"/>
        <w:kinsoku/>
        <w:wordWrap/>
        <w:overflowPunct/>
        <w:topLinePunct w:val="0"/>
        <w:bidi w:val="0"/>
        <w:snapToGrid w:val="0"/>
        <w:spacing w:line="360" w:lineRule="auto"/>
        <w:ind w:right="480"/>
        <w:jc w:val="center"/>
        <w:textAlignment w:val="auto"/>
        <w:rPr>
          <w:rFonts w:hint="eastAsia" w:cs="仿宋" w:asciiTheme="majorEastAsia" w:hAnsiTheme="majorEastAsia" w:eastAsiaTheme="majorEastAsia"/>
          <w:b/>
          <w:color w:val="auto"/>
          <w:kern w:val="0"/>
          <w:sz w:val="32"/>
          <w:szCs w:val="32"/>
          <w:highlight w:val="none"/>
        </w:rPr>
      </w:pPr>
    </w:p>
    <w:p w14:paraId="0F2D6FA6">
      <w:pPr>
        <w:pStyle w:val="2"/>
        <w:rPr>
          <w:rFonts w:hint="eastAsia" w:cs="仿宋" w:asciiTheme="majorEastAsia" w:hAnsiTheme="majorEastAsia" w:eastAsiaTheme="majorEastAsia"/>
          <w:b/>
          <w:color w:val="auto"/>
          <w:kern w:val="0"/>
          <w:sz w:val="32"/>
          <w:szCs w:val="32"/>
          <w:highlight w:val="none"/>
        </w:rPr>
      </w:pPr>
    </w:p>
    <w:p w14:paraId="046F46C2">
      <w:pPr>
        <w:pStyle w:val="2"/>
        <w:rPr>
          <w:rFonts w:hint="eastAsia" w:cs="仿宋" w:asciiTheme="majorEastAsia" w:hAnsiTheme="majorEastAsia" w:eastAsiaTheme="majorEastAsia"/>
          <w:b/>
          <w:color w:val="auto"/>
          <w:kern w:val="0"/>
          <w:sz w:val="32"/>
          <w:szCs w:val="32"/>
          <w:highlight w:val="none"/>
        </w:rPr>
      </w:pPr>
    </w:p>
    <w:p w14:paraId="323AFB33">
      <w:pPr>
        <w:pStyle w:val="2"/>
        <w:rPr>
          <w:rFonts w:hint="eastAsia" w:cs="仿宋" w:asciiTheme="majorEastAsia" w:hAnsiTheme="majorEastAsia" w:eastAsiaTheme="majorEastAsia"/>
          <w:b/>
          <w:color w:val="auto"/>
          <w:kern w:val="0"/>
          <w:sz w:val="32"/>
          <w:szCs w:val="32"/>
          <w:highlight w:val="none"/>
        </w:rPr>
      </w:pPr>
    </w:p>
    <w:p w14:paraId="79D64172">
      <w:pPr>
        <w:pStyle w:val="2"/>
        <w:rPr>
          <w:rFonts w:hint="eastAsia" w:cs="仿宋" w:asciiTheme="majorEastAsia" w:hAnsiTheme="majorEastAsia" w:eastAsiaTheme="majorEastAsia"/>
          <w:b/>
          <w:color w:val="auto"/>
          <w:kern w:val="0"/>
          <w:sz w:val="32"/>
          <w:szCs w:val="32"/>
          <w:highlight w:val="none"/>
        </w:rPr>
      </w:pPr>
    </w:p>
    <w:p w14:paraId="7C0421D8">
      <w:pPr>
        <w:pStyle w:val="2"/>
        <w:rPr>
          <w:rFonts w:hint="eastAsia" w:cs="仿宋" w:asciiTheme="majorEastAsia" w:hAnsiTheme="majorEastAsia" w:eastAsiaTheme="majorEastAsia"/>
          <w:b/>
          <w:color w:val="auto"/>
          <w:kern w:val="0"/>
          <w:sz w:val="32"/>
          <w:szCs w:val="32"/>
          <w:highlight w:val="none"/>
        </w:rPr>
      </w:pPr>
    </w:p>
    <w:p w14:paraId="7D3CB3DB">
      <w:pPr>
        <w:pStyle w:val="2"/>
        <w:rPr>
          <w:rFonts w:hint="eastAsia" w:cs="仿宋" w:asciiTheme="majorEastAsia" w:hAnsiTheme="majorEastAsia" w:eastAsiaTheme="majorEastAsia"/>
          <w:b/>
          <w:color w:val="auto"/>
          <w:kern w:val="0"/>
          <w:sz w:val="32"/>
          <w:szCs w:val="32"/>
          <w:highlight w:val="none"/>
        </w:rPr>
      </w:pPr>
    </w:p>
    <w:p w14:paraId="0D3C93B3">
      <w:pPr>
        <w:pStyle w:val="2"/>
        <w:rPr>
          <w:rFonts w:hint="eastAsia" w:cs="仿宋" w:asciiTheme="majorEastAsia" w:hAnsiTheme="majorEastAsia" w:eastAsiaTheme="majorEastAsia"/>
          <w:b/>
          <w:color w:val="auto"/>
          <w:kern w:val="0"/>
          <w:sz w:val="32"/>
          <w:szCs w:val="32"/>
          <w:highlight w:val="none"/>
        </w:rPr>
      </w:pPr>
    </w:p>
    <w:p w14:paraId="4C171842">
      <w:pPr>
        <w:pStyle w:val="2"/>
        <w:rPr>
          <w:rFonts w:hint="eastAsia" w:cs="仿宋" w:asciiTheme="majorEastAsia" w:hAnsiTheme="majorEastAsia" w:eastAsiaTheme="majorEastAsia"/>
          <w:b/>
          <w:color w:val="auto"/>
          <w:kern w:val="0"/>
          <w:sz w:val="32"/>
          <w:szCs w:val="32"/>
          <w:highlight w:val="none"/>
        </w:rPr>
      </w:pPr>
    </w:p>
    <w:p w14:paraId="35FBB046">
      <w:pPr>
        <w:pStyle w:val="2"/>
        <w:rPr>
          <w:rFonts w:hint="eastAsia" w:cs="仿宋" w:asciiTheme="majorEastAsia" w:hAnsiTheme="majorEastAsia" w:eastAsiaTheme="majorEastAsia"/>
          <w:b/>
          <w:color w:val="auto"/>
          <w:kern w:val="0"/>
          <w:sz w:val="32"/>
          <w:szCs w:val="32"/>
          <w:highlight w:val="none"/>
        </w:rPr>
      </w:pPr>
    </w:p>
    <w:p w14:paraId="5EF553B0">
      <w:pPr>
        <w:pStyle w:val="2"/>
        <w:rPr>
          <w:rFonts w:hint="eastAsia" w:cs="仿宋" w:asciiTheme="majorEastAsia" w:hAnsiTheme="majorEastAsia" w:eastAsiaTheme="majorEastAsia"/>
          <w:b/>
          <w:color w:val="auto"/>
          <w:kern w:val="0"/>
          <w:sz w:val="32"/>
          <w:szCs w:val="32"/>
          <w:highlight w:val="none"/>
        </w:rPr>
      </w:pPr>
    </w:p>
    <w:p w14:paraId="06C48E1A">
      <w:pPr>
        <w:pStyle w:val="2"/>
        <w:rPr>
          <w:rFonts w:hint="eastAsia" w:cs="仿宋" w:asciiTheme="majorEastAsia" w:hAnsiTheme="majorEastAsia" w:eastAsiaTheme="majorEastAsia"/>
          <w:b/>
          <w:color w:val="auto"/>
          <w:kern w:val="0"/>
          <w:sz w:val="32"/>
          <w:szCs w:val="32"/>
          <w:highlight w:val="none"/>
        </w:rPr>
      </w:pPr>
    </w:p>
    <w:p w14:paraId="277C64E5">
      <w:pPr>
        <w:pStyle w:val="2"/>
        <w:rPr>
          <w:rFonts w:hint="eastAsia" w:cs="仿宋" w:asciiTheme="majorEastAsia" w:hAnsiTheme="majorEastAsia" w:eastAsiaTheme="majorEastAsia"/>
          <w:b/>
          <w:color w:val="auto"/>
          <w:kern w:val="0"/>
          <w:sz w:val="32"/>
          <w:szCs w:val="32"/>
          <w:highlight w:val="none"/>
        </w:rPr>
      </w:pPr>
    </w:p>
    <w:p w14:paraId="10672843">
      <w:pPr>
        <w:pStyle w:val="2"/>
        <w:rPr>
          <w:rFonts w:hint="eastAsia" w:cs="仿宋" w:asciiTheme="majorEastAsia" w:hAnsiTheme="majorEastAsia" w:eastAsiaTheme="majorEastAsia"/>
          <w:b/>
          <w:color w:val="auto"/>
          <w:kern w:val="0"/>
          <w:sz w:val="32"/>
          <w:szCs w:val="32"/>
          <w:highlight w:val="none"/>
        </w:rPr>
      </w:pPr>
    </w:p>
    <w:p w14:paraId="7AAA27C9">
      <w:pPr>
        <w:pStyle w:val="2"/>
        <w:rPr>
          <w:rFonts w:hint="eastAsia" w:cs="仿宋" w:asciiTheme="majorEastAsia" w:hAnsiTheme="majorEastAsia" w:eastAsiaTheme="majorEastAsia"/>
          <w:b/>
          <w:color w:val="auto"/>
          <w:kern w:val="0"/>
          <w:sz w:val="32"/>
          <w:szCs w:val="32"/>
          <w:highlight w:val="none"/>
        </w:rPr>
      </w:pPr>
    </w:p>
    <w:p w14:paraId="6B1A6178">
      <w:pPr>
        <w:pStyle w:val="2"/>
        <w:rPr>
          <w:rFonts w:hint="eastAsia" w:cs="仿宋" w:asciiTheme="majorEastAsia" w:hAnsiTheme="majorEastAsia" w:eastAsiaTheme="majorEastAsia"/>
          <w:b/>
          <w:color w:val="auto"/>
          <w:kern w:val="0"/>
          <w:sz w:val="32"/>
          <w:szCs w:val="32"/>
          <w:highlight w:val="none"/>
        </w:rPr>
      </w:pPr>
    </w:p>
    <w:p w14:paraId="686CD3B6">
      <w:pPr>
        <w:pStyle w:val="2"/>
        <w:rPr>
          <w:rFonts w:hint="eastAsia" w:cs="仿宋" w:asciiTheme="majorEastAsia" w:hAnsiTheme="majorEastAsia" w:eastAsiaTheme="majorEastAsia"/>
          <w:b/>
          <w:color w:val="auto"/>
          <w:kern w:val="0"/>
          <w:sz w:val="32"/>
          <w:szCs w:val="32"/>
          <w:highlight w:val="none"/>
        </w:rPr>
      </w:pPr>
    </w:p>
    <w:p w14:paraId="3366F8DD">
      <w:pPr>
        <w:pStyle w:val="2"/>
        <w:rPr>
          <w:rFonts w:hint="eastAsia" w:cs="仿宋" w:asciiTheme="majorEastAsia" w:hAnsiTheme="majorEastAsia" w:eastAsiaTheme="majorEastAsia"/>
          <w:b/>
          <w:color w:val="auto"/>
          <w:kern w:val="0"/>
          <w:sz w:val="32"/>
          <w:szCs w:val="32"/>
          <w:highlight w:val="none"/>
        </w:rPr>
      </w:pPr>
    </w:p>
    <w:p w14:paraId="03F5230D">
      <w:pPr>
        <w:pStyle w:val="2"/>
        <w:rPr>
          <w:rFonts w:hint="eastAsia" w:cs="仿宋" w:asciiTheme="majorEastAsia" w:hAnsiTheme="majorEastAsia" w:eastAsiaTheme="majorEastAsia"/>
          <w:b/>
          <w:color w:val="auto"/>
          <w:kern w:val="0"/>
          <w:sz w:val="32"/>
          <w:szCs w:val="32"/>
          <w:highlight w:val="none"/>
        </w:rPr>
      </w:pPr>
    </w:p>
    <w:p w14:paraId="74F346D0">
      <w:pPr>
        <w:pStyle w:val="2"/>
        <w:rPr>
          <w:rFonts w:hint="eastAsia" w:cs="仿宋" w:asciiTheme="majorEastAsia" w:hAnsiTheme="majorEastAsia" w:eastAsiaTheme="majorEastAsia"/>
          <w:b/>
          <w:color w:val="auto"/>
          <w:kern w:val="0"/>
          <w:sz w:val="32"/>
          <w:szCs w:val="32"/>
          <w:highlight w:val="none"/>
        </w:rPr>
      </w:pPr>
    </w:p>
    <w:p w14:paraId="00F01215">
      <w:pPr>
        <w:pStyle w:val="2"/>
        <w:rPr>
          <w:rFonts w:hint="eastAsia" w:cs="仿宋" w:asciiTheme="majorEastAsia" w:hAnsiTheme="majorEastAsia" w:eastAsiaTheme="majorEastAsia"/>
          <w:b/>
          <w:color w:val="auto"/>
          <w:kern w:val="0"/>
          <w:sz w:val="32"/>
          <w:szCs w:val="32"/>
          <w:highlight w:val="none"/>
        </w:rPr>
      </w:pPr>
    </w:p>
    <w:p w14:paraId="422D16B4">
      <w:pPr>
        <w:pStyle w:val="2"/>
        <w:rPr>
          <w:rFonts w:hint="eastAsia" w:cs="仿宋" w:asciiTheme="majorEastAsia" w:hAnsiTheme="majorEastAsia" w:eastAsiaTheme="majorEastAsia"/>
          <w:b/>
          <w:color w:val="auto"/>
          <w:kern w:val="0"/>
          <w:sz w:val="32"/>
          <w:szCs w:val="32"/>
          <w:highlight w:val="none"/>
        </w:rPr>
      </w:pPr>
    </w:p>
    <w:p w14:paraId="0F282170">
      <w:pPr>
        <w:pStyle w:val="2"/>
        <w:rPr>
          <w:rFonts w:hint="eastAsia" w:cs="仿宋" w:asciiTheme="majorEastAsia" w:hAnsiTheme="majorEastAsia" w:eastAsiaTheme="majorEastAsia"/>
          <w:b/>
          <w:color w:val="auto"/>
          <w:kern w:val="0"/>
          <w:sz w:val="32"/>
          <w:szCs w:val="32"/>
          <w:highlight w:val="none"/>
        </w:rPr>
      </w:pPr>
    </w:p>
    <w:p w14:paraId="59F97664">
      <w:pPr>
        <w:pStyle w:val="2"/>
        <w:rPr>
          <w:rFonts w:hint="eastAsia" w:cs="仿宋" w:asciiTheme="majorEastAsia" w:hAnsiTheme="majorEastAsia" w:eastAsiaTheme="majorEastAsia"/>
          <w:b/>
          <w:color w:val="auto"/>
          <w:kern w:val="0"/>
          <w:sz w:val="32"/>
          <w:szCs w:val="32"/>
          <w:highlight w:val="none"/>
        </w:rPr>
      </w:pPr>
    </w:p>
    <w:p w14:paraId="48ED2F2D">
      <w:pPr>
        <w:pStyle w:val="2"/>
        <w:rPr>
          <w:rFonts w:hint="eastAsia" w:cs="仿宋" w:asciiTheme="majorEastAsia" w:hAnsiTheme="majorEastAsia" w:eastAsiaTheme="majorEastAsia"/>
          <w:b/>
          <w:color w:val="auto"/>
          <w:kern w:val="0"/>
          <w:sz w:val="32"/>
          <w:szCs w:val="32"/>
          <w:highlight w:val="none"/>
        </w:rPr>
      </w:pPr>
    </w:p>
    <w:p w14:paraId="3FE318E5">
      <w:pPr>
        <w:pStyle w:val="2"/>
        <w:rPr>
          <w:rFonts w:hint="eastAsia" w:cs="仿宋" w:asciiTheme="majorEastAsia" w:hAnsiTheme="majorEastAsia" w:eastAsiaTheme="majorEastAsia"/>
          <w:b/>
          <w:color w:val="auto"/>
          <w:kern w:val="0"/>
          <w:sz w:val="32"/>
          <w:szCs w:val="32"/>
          <w:highlight w:val="none"/>
        </w:rPr>
      </w:pPr>
    </w:p>
    <w:p w14:paraId="512E70C9">
      <w:pPr>
        <w:pStyle w:val="2"/>
        <w:rPr>
          <w:rFonts w:hint="eastAsia" w:cs="仿宋" w:asciiTheme="majorEastAsia" w:hAnsiTheme="majorEastAsia" w:eastAsiaTheme="majorEastAsia"/>
          <w:b/>
          <w:color w:val="auto"/>
          <w:kern w:val="0"/>
          <w:sz w:val="32"/>
          <w:szCs w:val="32"/>
          <w:highlight w:val="none"/>
        </w:rPr>
      </w:pPr>
    </w:p>
    <w:p w14:paraId="5AC988E4">
      <w:pPr>
        <w:pStyle w:val="2"/>
        <w:rPr>
          <w:rFonts w:hint="eastAsia" w:cs="仿宋" w:asciiTheme="majorEastAsia" w:hAnsiTheme="majorEastAsia" w:eastAsiaTheme="majorEastAsia"/>
          <w:b/>
          <w:color w:val="auto"/>
          <w:kern w:val="0"/>
          <w:sz w:val="32"/>
          <w:szCs w:val="32"/>
          <w:highlight w:val="none"/>
        </w:rPr>
      </w:pPr>
    </w:p>
    <w:p w14:paraId="31B3B27E">
      <w:pPr>
        <w:pStyle w:val="2"/>
        <w:rPr>
          <w:rFonts w:hint="eastAsia" w:cs="仿宋" w:asciiTheme="majorEastAsia" w:hAnsiTheme="majorEastAsia" w:eastAsiaTheme="majorEastAsia"/>
          <w:b/>
          <w:color w:val="auto"/>
          <w:kern w:val="0"/>
          <w:sz w:val="32"/>
          <w:szCs w:val="32"/>
          <w:highlight w:val="none"/>
        </w:rPr>
      </w:pPr>
    </w:p>
    <w:p w14:paraId="5CC160A8">
      <w:pPr>
        <w:keepNext w:val="0"/>
        <w:keepLines w:val="0"/>
        <w:pageBreakBefore w:val="0"/>
        <w:widowControl w:val="0"/>
        <w:kinsoku/>
        <w:wordWrap/>
        <w:overflowPunct/>
        <w:topLinePunct w:val="0"/>
        <w:bidi w:val="0"/>
        <w:snapToGrid w:val="0"/>
        <w:spacing w:line="360" w:lineRule="auto"/>
        <w:ind w:right="480"/>
        <w:jc w:val="center"/>
        <w:textAlignment w:val="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lang w:eastAsia="zh-CN"/>
        </w:rPr>
        <w:t>二、</w:t>
      </w:r>
      <w:r>
        <w:rPr>
          <w:rFonts w:hint="eastAsia" w:cs="仿宋" w:asciiTheme="majorEastAsia" w:hAnsiTheme="majorEastAsia" w:eastAsiaTheme="majorEastAsia"/>
          <w:b/>
          <w:color w:val="auto"/>
          <w:kern w:val="0"/>
          <w:sz w:val="32"/>
          <w:szCs w:val="32"/>
          <w:highlight w:val="none"/>
        </w:rPr>
        <w:t xml:space="preserve"> 符合参加政府采购活动应当具备的一般条件的承诺函</w:t>
      </w:r>
    </w:p>
    <w:p w14:paraId="78A4D6C5">
      <w:pPr>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（采购人）、（采购代理机构）：</w:t>
      </w:r>
    </w:p>
    <w:p w14:paraId="436439F8">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我方参与（项目名称）【</w:t>
      </w:r>
      <w:r>
        <w:rPr>
          <w:rFonts w:hint="eastAsia" w:cs="仿宋" w:asciiTheme="majorEastAsia" w:hAnsiTheme="majorEastAsia" w:eastAsiaTheme="majorEastAsia"/>
          <w:color w:val="auto"/>
          <w:sz w:val="24"/>
          <w:highlight w:val="none"/>
          <w:lang w:eastAsia="zh-CN"/>
        </w:rPr>
        <w:t>项目</w:t>
      </w:r>
      <w:r>
        <w:rPr>
          <w:rFonts w:hint="eastAsia" w:cs="仿宋" w:asciiTheme="majorEastAsia" w:hAnsiTheme="majorEastAsia" w:eastAsiaTheme="majorEastAsia"/>
          <w:color w:val="auto"/>
          <w:sz w:val="24"/>
          <w:highlight w:val="none"/>
        </w:rPr>
        <w:t>编号：（</w:t>
      </w:r>
      <w:r>
        <w:rPr>
          <w:rFonts w:hint="eastAsia" w:cs="仿宋" w:asciiTheme="majorEastAsia" w:hAnsiTheme="majorEastAsia" w:eastAsiaTheme="majorEastAsia"/>
          <w:color w:val="auto"/>
          <w:sz w:val="24"/>
          <w:highlight w:val="none"/>
          <w:lang w:eastAsia="zh-CN"/>
        </w:rPr>
        <w:t>项目</w:t>
      </w:r>
      <w:r>
        <w:rPr>
          <w:rFonts w:hint="eastAsia" w:cs="仿宋" w:asciiTheme="majorEastAsia" w:hAnsiTheme="majorEastAsia" w:eastAsiaTheme="majorEastAsia"/>
          <w:color w:val="auto"/>
          <w:sz w:val="24"/>
          <w:highlight w:val="none"/>
        </w:rPr>
        <w:t>编号）】政府采购活动，郑重承诺：</w:t>
      </w:r>
    </w:p>
    <w:p w14:paraId="6031B9D6">
      <w:pPr>
        <w:keepNext w:val="0"/>
        <w:keepLines w:val="0"/>
        <w:pageBreakBefore w:val="0"/>
        <w:widowControl w:val="0"/>
        <w:kinsoku/>
        <w:wordWrap/>
        <w:overflowPunct/>
        <w:topLinePunct w:val="0"/>
        <w:bidi w:val="0"/>
        <w:snapToGrid w:val="0"/>
        <w:spacing w:line="360" w:lineRule="auto"/>
        <w:ind w:firstLine="360" w:firstLineChars="15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（一）具备《中华人民共和国政府采购法》第二十二条第一款规定的条件：</w:t>
      </w:r>
    </w:p>
    <w:p w14:paraId="6C88E9AC">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1、具有独立承担民事责任的能力；</w:t>
      </w:r>
    </w:p>
    <w:p w14:paraId="5BA4540A">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2、具有良好的商业信誉和健全的财务会计制度； </w:t>
      </w:r>
    </w:p>
    <w:p w14:paraId="0D6DFE7D">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3、具有履行合同所必需的设备和专业技术能力；</w:t>
      </w:r>
    </w:p>
    <w:p w14:paraId="4EFFFFE5">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4、有依法缴纳税收和社会保障资金的良好记录；</w:t>
      </w:r>
    </w:p>
    <w:p w14:paraId="004709ED">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5、参加政府采购活动前三年内，在经营活动中没有重大违法记录；</w:t>
      </w:r>
    </w:p>
    <w:p w14:paraId="4DEA0089">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6、具有法律、行政法规规定的其他条件。</w:t>
      </w:r>
    </w:p>
    <w:p w14:paraId="38D20DA8">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（二）未被信用中国（www.creditchina.gov.cn)、中国政府采购网（www.ccgp.gov.cn）列入失信被执行人、重大税收违法案件当事人名单、政府采购严重违法失信行为记录名单。</w:t>
      </w:r>
    </w:p>
    <w:p w14:paraId="3640E63B">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（三）不存在以下情况：</w:t>
      </w:r>
    </w:p>
    <w:p w14:paraId="51B6A43D">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1、单位负责人为同一人或者存在直接控股、管理关系的不同供应商参加同一合同项下的政府采购活动的；</w:t>
      </w:r>
    </w:p>
    <w:p w14:paraId="30074C41">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2、为采购项目提供整体设计、规范编制或者项目管理、监理、检测等服务后再参加该采购项目的其他采购活动的。</w:t>
      </w:r>
    </w:p>
    <w:p w14:paraId="0BA708C1">
      <w:pPr>
        <w:keepNext w:val="0"/>
        <w:keepLines w:val="0"/>
        <w:pageBreakBefore w:val="0"/>
        <w:widowControl w:val="0"/>
        <w:kinsoku/>
        <w:wordWrap/>
        <w:overflowPunct/>
        <w:topLinePunct w:val="0"/>
        <w:bidi w:val="0"/>
        <w:snapToGrid w:val="0"/>
        <w:spacing w:line="360" w:lineRule="auto"/>
        <w:ind w:firstLine="5520" w:firstLineChars="2300"/>
        <w:textAlignment w:val="auto"/>
        <w:rPr>
          <w:rFonts w:cs="仿宋" w:asciiTheme="majorEastAsia" w:hAnsiTheme="majorEastAsia" w:eastAsiaTheme="majorEastAsia"/>
          <w:color w:val="auto"/>
          <w:kern w:val="0"/>
          <w:sz w:val="24"/>
          <w:highlight w:val="none"/>
          <w:lang w:val="zh-CN"/>
        </w:rPr>
      </w:pPr>
    </w:p>
    <w:p w14:paraId="13A02FD6">
      <w:pPr>
        <w:keepNext w:val="0"/>
        <w:keepLines w:val="0"/>
        <w:pageBreakBefore w:val="0"/>
        <w:widowControl w:val="0"/>
        <w:kinsoku/>
        <w:wordWrap/>
        <w:overflowPunct/>
        <w:topLinePunct w:val="0"/>
        <w:bidi w:val="0"/>
        <w:snapToGrid w:val="0"/>
        <w:spacing w:line="360" w:lineRule="auto"/>
        <w:ind w:firstLine="5520" w:firstLineChars="2300"/>
        <w:textAlignment w:val="auto"/>
        <w:rPr>
          <w:rFonts w:cs="仿宋" w:asciiTheme="majorEastAsia" w:hAnsiTheme="majorEastAsia" w:eastAsiaTheme="majorEastAsia"/>
          <w:color w:val="auto"/>
          <w:kern w:val="0"/>
          <w:sz w:val="24"/>
          <w:highlight w:val="none"/>
          <w:lang w:val="zh-CN"/>
        </w:rPr>
      </w:pPr>
    </w:p>
    <w:p w14:paraId="32C2288E">
      <w:pPr>
        <w:keepNext w:val="0"/>
        <w:keepLines w:val="0"/>
        <w:pageBreakBefore w:val="0"/>
        <w:widowControl w:val="0"/>
        <w:kinsoku/>
        <w:wordWrap/>
        <w:overflowPunct/>
        <w:topLinePunct w:val="0"/>
        <w:bidi w:val="0"/>
        <w:spacing w:line="360" w:lineRule="auto"/>
        <w:ind w:right="420" w:firstLine="5250" w:firstLineChars="2500"/>
        <w:textAlignment w:val="auto"/>
        <w:rPr>
          <w:rFonts w:ascii="宋体" w:hAnsi="宋体" w:cs="宋体"/>
          <w:color w:val="auto"/>
          <w:highlight w:val="none"/>
        </w:rPr>
      </w:pPr>
      <w:r>
        <w:rPr>
          <w:rFonts w:hint="eastAsia" w:ascii="宋体" w:hAnsi="宋体" w:cs="宋体"/>
          <w:color w:val="auto"/>
          <w:highlight w:val="none"/>
        </w:rPr>
        <w:t xml:space="preserve">法定代表人（签名或印章）：     </w:t>
      </w:r>
    </w:p>
    <w:p w14:paraId="123982BC">
      <w:pPr>
        <w:keepNext w:val="0"/>
        <w:keepLines w:val="0"/>
        <w:pageBreakBefore w:val="0"/>
        <w:widowControl w:val="0"/>
        <w:kinsoku/>
        <w:wordWrap/>
        <w:overflowPunct/>
        <w:topLinePunct w:val="0"/>
        <w:bidi w:val="0"/>
        <w:spacing w:line="360" w:lineRule="auto"/>
        <w:ind w:right="420" w:firstLine="5460" w:firstLineChars="2600"/>
        <w:textAlignment w:val="auto"/>
        <w:rPr>
          <w:rFonts w:ascii="宋体" w:hAnsi="宋体" w:cs="宋体"/>
          <w:color w:val="auto"/>
          <w:highlight w:val="none"/>
        </w:rPr>
      </w:pPr>
      <w:r>
        <w:rPr>
          <w:rFonts w:hint="eastAsia" w:ascii="宋体" w:hAnsi="宋体" w:cs="宋体"/>
          <w:color w:val="auto"/>
          <w:highlight w:val="none"/>
        </w:rPr>
        <w:t xml:space="preserve">投标人（盖章）：   </w:t>
      </w:r>
    </w:p>
    <w:p w14:paraId="507EDB38">
      <w:pPr>
        <w:keepNext w:val="0"/>
        <w:keepLines w:val="0"/>
        <w:pageBreakBefore w:val="0"/>
        <w:widowControl w:val="0"/>
        <w:kinsoku/>
        <w:wordWrap/>
        <w:overflowPunct/>
        <w:topLinePunct w:val="0"/>
        <w:bidi w:val="0"/>
        <w:spacing w:line="360" w:lineRule="auto"/>
        <w:ind w:right="420" w:firstLine="5355" w:firstLineChars="2550"/>
        <w:textAlignment w:val="auto"/>
        <w:rPr>
          <w:rFonts w:ascii="宋体" w:hAnsi="宋体" w:cs="宋体"/>
          <w:color w:val="auto"/>
          <w:highlight w:val="none"/>
        </w:rPr>
      </w:pPr>
      <w:r>
        <w:rPr>
          <w:rFonts w:hint="eastAsia" w:ascii="宋体" w:hAnsi="宋体" w:cs="宋体"/>
          <w:color w:val="auto"/>
          <w:highlight w:val="none"/>
        </w:rPr>
        <w:t xml:space="preserve"> 年    月    日</w:t>
      </w:r>
    </w:p>
    <w:p w14:paraId="31F6D6DD">
      <w:pPr>
        <w:keepNext w:val="0"/>
        <w:keepLines w:val="0"/>
        <w:pageBreakBefore w:val="0"/>
        <w:widowControl w:val="0"/>
        <w:kinsoku/>
        <w:wordWrap/>
        <w:overflowPunct/>
        <w:topLinePunct w:val="0"/>
        <w:bidi w:val="0"/>
        <w:snapToGrid w:val="0"/>
        <w:spacing w:line="360" w:lineRule="auto"/>
        <w:ind w:right="480"/>
        <w:jc w:val="center"/>
        <w:textAlignment w:val="auto"/>
        <w:rPr>
          <w:rFonts w:cs="仿宋" w:asciiTheme="majorEastAsia" w:hAnsiTheme="majorEastAsia" w:eastAsiaTheme="majorEastAsia"/>
          <w:b/>
          <w:color w:val="auto"/>
          <w:kern w:val="0"/>
          <w:sz w:val="32"/>
          <w:szCs w:val="32"/>
          <w:highlight w:val="none"/>
        </w:rPr>
      </w:pPr>
    </w:p>
    <w:p w14:paraId="193DCEFD">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14:paraId="6A03D096">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lang w:val="en-US" w:eastAsia="zh-CN"/>
        </w:rPr>
        <w:t>三</w:t>
      </w:r>
      <w:r>
        <w:rPr>
          <w:rFonts w:hint="eastAsia" w:cs="仿宋" w:asciiTheme="majorEastAsia" w:hAnsiTheme="majorEastAsia" w:eastAsiaTheme="majorEastAsia"/>
          <w:b/>
          <w:color w:val="auto"/>
          <w:kern w:val="0"/>
          <w:sz w:val="32"/>
          <w:szCs w:val="32"/>
          <w:highlight w:val="none"/>
        </w:rPr>
        <w:t>、本项目的特定资格要求</w:t>
      </w:r>
    </w:p>
    <w:p w14:paraId="75DD1B5A">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（根据招标公告本项目的特定资格要求提供相应的材料；未要求的，无需提供）</w:t>
      </w:r>
    </w:p>
    <w:p w14:paraId="523070F0">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p w14:paraId="6AA1864A">
      <w:pPr>
        <w:keepNext w:val="0"/>
        <w:keepLines w:val="0"/>
        <w:pageBreakBefore w:val="0"/>
        <w:widowControl w:val="0"/>
        <w:kinsoku/>
        <w:wordWrap/>
        <w:overflowPunct/>
        <w:topLinePunct w:val="0"/>
        <w:bidi w:val="0"/>
        <w:snapToGrid w:val="0"/>
        <w:spacing w:line="360" w:lineRule="auto"/>
        <w:ind w:right="480"/>
        <w:jc w:val="center"/>
        <w:textAlignment w:val="auto"/>
        <w:rPr>
          <w:rFonts w:cs="仿宋" w:asciiTheme="majorEastAsia" w:hAnsiTheme="majorEastAsia" w:eastAsiaTheme="majorEastAsia"/>
          <w:b/>
          <w:color w:val="auto"/>
          <w:kern w:val="0"/>
          <w:sz w:val="32"/>
          <w:szCs w:val="32"/>
          <w:highlight w:val="none"/>
        </w:rPr>
      </w:pPr>
    </w:p>
    <w:p w14:paraId="4166E642">
      <w:pPr>
        <w:keepNext w:val="0"/>
        <w:keepLines w:val="0"/>
        <w:pageBreakBefore w:val="0"/>
        <w:widowControl w:val="0"/>
        <w:kinsoku/>
        <w:wordWrap/>
        <w:overflowPunct/>
        <w:topLinePunct w:val="0"/>
        <w:bidi w:val="0"/>
        <w:snapToGrid w:val="0"/>
        <w:spacing w:line="360" w:lineRule="auto"/>
        <w:ind w:right="480"/>
        <w:jc w:val="center"/>
        <w:textAlignment w:val="auto"/>
        <w:rPr>
          <w:rFonts w:cs="仿宋" w:asciiTheme="majorEastAsia" w:hAnsiTheme="majorEastAsia" w:eastAsiaTheme="majorEastAsia"/>
          <w:b/>
          <w:color w:val="auto"/>
          <w:kern w:val="0"/>
          <w:sz w:val="32"/>
          <w:szCs w:val="32"/>
          <w:highlight w:val="none"/>
        </w:rPr>
      </w:pPr>
    </w:p>
    <w:p w14:paraId="38F39040">
      <w:pPr>
        <w:keepNext w:val="0"/>
        <w:keepLines w:val="0"/>
        <w:pageBreakBefore w:val="0"/>
        <w:widowControl w:val="0"/>
        <w:kinsoku/>
        <w:wordWrap/>
        <w:overflowPunct/>
        <w:topLinePunct w:val="0"/>
        <w:bidi w:val="0"/>
        <w:snapToGrid w:val="0"/>
        <w:spacing w:line="360" w:lineRule="auto"/>
        <w:ind w:right="480"/>
        <w:jc w:val="center"/>
        <w:textAlignment w:val="auto"/>
        <w:rPr>
          <w:rFonts w:cs="仿宋" w:asciiTheme="majorEastAsia" w:hAnsiTheme="majorEastAsia" w:eastAsiaTheme="majorEastAsia"/>
          <w:b/>
          <w:color w:val="auto"/>
          <w:kern w:val="0"/>
          <w:sz w:val="32"/>
          <w:szCs w:val="32"/>
          <w:highlight w:val="none"/>
        </w:rPr>
      </w:pPr>
    </w:p>
    <w:p w14:paraId="11692B62">
      <w:pPr>
        <w:keepNext w:val="0"/>
        <w:keepLines w:val="0"/>
        <w:pageBreakBefore w:val="0"/>
        <w:widowControl w:val="0"/>
        <w:kinsoku/>
        <w:wordWrap/>
        <w:overflowPunct/>
        <w:topLinePunct w:val="0"/>
        <w:bidi w:val="0"/>
        <w:snapToGrid w:val="0"/>
        <w:spacing w:line="360" w:lineRule="auto"/>
        <w:ind w:right="480"/>
        <w:jc w:val="center"/>
        <w:textAlignment w:val="auto"/>
        <w:rPr>
          <w:rFonts w:cs="仿宋" w:asciiTheme="majorEastAsia" w:hAnsiTheme="majorEastAsia" w:eastAsiaTheme="majorEastAsia"/>
          <w:b/>
          <w:color w:val="auto"/>
          <w:kern w:val="0"/>
          <w:sz w:val="32"/>
          <w:szCs w:val="32"/>
          <w:highlight w:val="none"/>
        </w:rPr>
      </w:pPr>
    </w:p>
    <w:p w14:paraId="7C6C8954">
      <w:pPr>
        <w:keepNext w:val="0"/>
        <w:keepLines w:val="0"/>
        <w:pageBreakBefore w:val="0"/>
        <w:widowControl w:val="0"/>
        <w:kinsoku/>
        <w:wordWrap/>
        <w:overflowPunct/>
        <w:topLinePunct w:val="0"/>
        <w:bidi w:val="0"/>
        <w:snapToGrid w:val="0"/>
        <w:spacing w:line="360" w:lineRule="auto"/>
        <w:ind w:right="480"/>
        <w:jc w:val="center"/>
        <w:textAlignment w:val="auto"/>
        <w:rPr>
          <w:rFonts w:cs="仿宋" w:asciiTheme="majorEastAsia" w:hAnsiTheme="majorEastAsia" w:eastAsiaTheme="majorEastAsia"/>
          <w:b/>
          <w:color w:val="auto"/>
          <w:kern w:val="0"/>
          <w:sz w:val="32"/>
          <w:szCs w:val="32"/>
          <w:highlight w:val="none"/>
        </w:rPr>
      </w:pPr>
    </w:p>
    <w:p w14:paraId="3219AD5F">
      <w:pPr>
        <w:keepNext w:val="0"/>
        <w:keepLines w:val="0"/>
        <w:pageBreakBefore w:val="0"/>
        <w:widowControl w:val="0"/>
        <w:kinsoku/>
        <w:wordWrap/>
        <w:overflowPunct/>
        <w:topLinePunct w:val="0"/>
        <w:bidi w:val="0"/>
        <w:snapToGrid w:val="0"/>
        <w:spacing w:line="360" w:lineRule="auto"/>
        <w:ind w:right="480"/>
        <w:jc w:val="center"/>
        <w:textAlignment w:val="auto"/>
        <w:rPr>
          <w:rFonts w:cs="仿宋" w:asciiTheme="majorEastAsia" w:hAnsiTheme="majorEastAsia" w:eastAsiaTheme="majorEastAsia"/>
          <w:b/>
          <w:color w:val="auto"/>
          <w:kern w:val="0"/>
          <w:sz w:val="32"/>
          <w:szCs w:val="32"/>
          <w:highlight w:val="none"/>
        </w:rPr>
      </w:pPr>
    </w:p>
    <w:p w14:paraId="44CC31B4">
      <w:pPr>
        <w:keepNext w:val="0"/>
        <w:keepLines w:val="0"/>
        <w:pageBreakBefore w:val="0"/>
        <w:widowControl w:val="0"/>
        <w:kinsoku/>
        <w:wordWrap/>
        <w:overflowPunct/>
        <w:topLinePunct w:val="0"/>
        <w:bidi w:val="0"/>
        <w:spacing w:line="360" w:lineRule="auto"/>
        <w:jc w:val="center"/>
        <w:textAlignment w:val="auto"/>
        <w:outlineLvl w:val="0"/>
        <w:rPr>
          <w:rFonts w:cs="仿宋" w:asciiTheme="majorEastAsia" w:hAnsiTheme="majorEastAsia" w:eastAsiaTheme="majorEastAsia"/>
          <w:b/>
          <w:color w:val="auto"/>
          <w:kern w:val="0"/>
          <w:sz w:val="36"/>
          <w:szCs w:val="36"/>
          <w:highlight w:val="none"/>
        </w:rPr>
      </w:pPr>
    </w:p>
    <w:p w14:paraId="4DF2DC77">
      <w:pPr>
        <w:keepNext w:val="0"/>
        <w:keepLines w:val="0"/>
        <w:pageBreakBefore w:val="0"/>
        <w:widowControl w:val="0"/>
        <w:kinsoku/>
        <w:wordWrap/>
        <w:overflowPunct/>
        <w:topLinePunct w:val="0"/>
        <w:bidi w:val="0"/>
        <w:snapToGrid w:val="0"/>
        <w:spacing w:line="360" w:lineRule="auto"/>
        <w:ind w:right="480"/>
        <w:jc w:val="center"/>
        <w:textAlignment w:val="auto"/>
        <w:rPr>
          <w:rFonts w:cs="仿宋" w:asciiTheme="majorEastAsia" w:hAnsiTheme="majorEastAsia" w:eastAsiaTheme="majorEastAsia"/>
          <w:b/>
          <w:color w:val="auto"/>
          <w:kern w:val="0"/>
          <w:sz w:val="32"/>
          <w:szCs w:val="32"/>
          <w:highlight w:val="none"/>
        </w:rPr>
      </w:pPr>
    </w:p>
    <w:p w14:paraId="37C8753B">
      <w:pPr>
        <w:keepNext w:val="0"/>
        <w:keepLines w:val="0"/>
        <w:pageBreakBefore w:val="0"/>
        <w:widowControl w:val="0"/>
        <w:kinsoku/>
        <w:wordWrap/>
        <w:overflowPunct/>
        <w:topLinePunct w:val="0"/>
        <w:bidi w:val="0"/>
        <w:spacing w:line="360" w:lineRule="auto"/>
        <w:jc w:val="center"/>
        <w:textAlignment w:val="auto"/>
        <w:outlineLvl w:val="0"/>
        <w:rPr>
          <w:rFonts w:cs="仿宋" w:asciiTheme="majorEastAsia" w:hAnsiTheme="majorEastAsia" w:eastAsiaTheme="majorEastAsia"/>
          <w:b/>
          <w:color w:val="auto"/>
          <w:kern w:val="0"/>
          <w:sz w:val="36"/>
          <w:szCs w:val="36"/>
          <w:highlight w:val="none"/>
        </w:rPr>
      </w:pPr>
    </w:p>
    <w:p w14:paraId="1864DF20">
      <w:pPr>
        <w:keepNext w:val="0"/>
        <w:keepLines w:val="0"/>
        <w:pageBreakBefore w:val="0"/>
        <w:widowControl w:val="0"/>
        <w:kinsoku/>
        <w:wordWrap/>
        <w:overflowPunct/>
        <w:topLinePunct w:val="0"/>
        <w:bidi w:val="0"/>
        <w:snapToGrid w:val="0"/>
        <w:spacing w:line="360" w:lineRule="auto"/>
        <w:ind w:right="480"/>
        <w:jc w:val="center"/>
        <w:textAlignment w:val="auto"/>
        <w:rPr>
          <w:rFonts w:cs="仿宋" w:asciiTheme="majorEastAsia" w:hAnsiTheme="majorEastAsia" w:eastAsiaTheme="majorEastAsia"/>
          <w:b/>
          <w:color w:val="auto"/>
          <w:kern w:val="0"/>
          <w:sz w:val="32"/>
          <w:szCs w:val="32"/>
          <w:highlight w:val="none"/>
        </w:rPr>
      </w:pPr>
    </w:p>
    <w:p w14:paraId="7E59CF72">
      <w:pPr>
        <w:keepNext w:val="0"/>
        <w:keepLines w:val="0"/>
        <w:pageBreakBefore w:val="0"/>
        <w:widowControl w:val="0"/>
        <w:kinsoku/>
        <w:wordWrap/>
        <w:overflowPunct/>
        <w:topLinePunct w:val="0"/>
        <w:bidi w:val="0"/>
        <w:spacing w:line="360" w:lineRule="auto"/>
        <w:jc w:val="center"/>
        <w:textAlignment w:val="auto"/>
        <w:outlineLvl w:val="0"/>
        <w:rPr>
          <w:rFonts w:cs="仿宋" w:asciiTheme="majorEastAsia" w:hAnsiTheme="majorEastAsia" w:eastAsiaTheme="majorEastAsia"/>
          <w:b/>
          <w:color w:val="auto"/>
          <w:kern w:val="0"/>
          <w:sz w:val="36"/>
          <w:szCs w:val="36"/>
          <w:highlight w:val="none"/>
        </w:rPr>
      </w:pPr>
    </w:p>
    <w:p w14:paraId="0857B1A5">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br w:type="page"/>
      </w:r>
    </w:p>
    <w:p w14:paraId="46525628">
      <w:pPr>
        <w:keepNext w:val="0"/>
        <w:keepLines w:val="0"/>
        <w:pageBreakBefore w:val="0"/>
        <w:widowControl w:val="0"/>
        <w:kinsoku/>
        <w:wordWrap/>
        <w:overflowPunct/>
        <w:topLinePunct w:val="0"/>
        <w:bidi w:val="0"/>
        <w:spacing w:line="360" w:lineRule="auto"/>
        <w:ind w:right="420"/>
        <w:jc w:val="center"/>
        <w:textAlignment w:val="auto"/>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商务技术文件部分</w:t>
      </w:r>
    </w:p>
    <w:p w14:paraId="5E9FA01B">
      <w:pPr>
        <w:keepNext w:val="0"/>
        <w:keepLines w:val="0"/>
        <w:pageBreakBefore w:val="0"/>
        <w:widowControl w:val="0"/>
        <w:kinsoku/>
        <w:wordWrap/>
        <w:overflowPunct/>
        <w:topLinePunct w:val="0"/>
        <w:bidi w:val="0"/>
        <w:spacing w:line="360" w:lineRule="auto"/>
        <w:jc w:val="center"/>
        <w:textAlignment w:val="auto"/>
        <w:outlineLvl w:val="0"/>
        <w:rPr>
          <w:rFonts w:cs="仿宋" w:asciiTheme="majorEastAsia" w:hAnsiTheme="majorEastAsia" w:eastAsiaTheme="majorEastAsia"/>
          <w:b/>
          <w:color w:val="auto"/>
          <w:kern w:val="0"/>
          <w:sz w:val="24"/>
          <w:highlight w:val="none"/>
        </w:rPr>
      </w:pPr>
    </w:p>
    <w:p w14:paraId="6B2B080F">
      <w:pPr>
        <w:keepNext w:val="0"/>
        <w:keepLines w:val="0"/>
        <w:pageBreakBefore w:val="0"/>
        <w:widowControl w:val="0"/>
        <w:kinsoku/>
        <w:wordWrap/>
        <w:overflowPunct/>
        <w:topLinePunct w:val="0"/>
        <w:bidi w:val="0"/>
        <w:spacing w:line="360" w:lineRule="auto"/>
        <w:ind w:left="3990" w:leftChars="1900"/>
        <w:textAlignment w:val="auto"/>
        <w:outlineLvl w:val="0"/>
        <w:rPr>
          <w:rFonts w:cs="仿宋" w:asciiTheme="majorEastAsia" w:hAnsiTheme="majorEastAsia" w:eastAsiaTheme="majorEastAsia"/>
          <w:b/>
          <w:color w:val="auto"/>
          <w:kern w:val="0"/>
          <w:sz w:val="28"/>
          <w:szCs w:val="28"/>
          <w:highlight w:val="none"/>
        </w:rPr>
      </w:pPr>
      <w:r>
        <w:rPr>
          <w:rFonts w:hint="eastAsia" w:cs="仿宋" w:asciiTheme="majorEastAsia" w:hAnsiTheme="majorEastAsia" w:eastAsiaTheme="majorEastAsia"/>
          <w:b/>
          <w:color w:val="auto"/>
          <w:kern w:val="0"/>
          <w:sz w:val="28"/>
          <w:szCs w:val="28"/>
          <w:highlight w:val="none"/>
        </w:rPr>
        <w:t>目 录</w:t>
      </w:r>
    </w:p>
    <w:p w14:paraId="2F697657">
      <w:pPr>
        <w:keepNext w:val="0"/>
        <w:keepLines w:val="0"/>
        <w:pageBreakBefore w:val="0"/>
        <w:widowControl w:val="0"/>
        <w:kinsoku/>
        <w:wordWrap/>
        <w:overflowPunct/>
        <w:topLinePunct w:val="0"/>
        <w:bidi w:val="0"/>
        <w:snapToGrid w:val="0"/>
        <w:spacing w:line="360" w:lineRule="auto"/>
        <w:ind w:firstLine="960" w:firstLineChars="400"/>
        <w:textAlignment w:val="auto"/>
        <w:rPr>
          <w:rFonts w:cs="仿宋" w:asciiTheme="majorEastAsia" w:hAnsiTheme="majorEastAsia" w:eastAsiaTheme="majorEastAsia"/>
          <w:color w:val="auto"/>
          <w:sz w:val="24"/>
          <w:highlight w:val="none"/>
        </w:rPr>
      </w:pPr>
    </w:p>
    <w:p w14:paraId="40C21F1F">
      <w:pPr>
        <w:adjustRightInd w:val="0"/>
        <w:snapToGrid w:val="0"/>
        <w:spacing w:line="360" w:lineRule="auto"/>
        <w:ind w:firstLine="840" w:firstLineChars="300"/>
        <w:rPr>
          <w:rFonts w:hint="eastAsia"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 xml:space="preserve">1 </w:t>
      </w:r>
      <w:r>
        <w:rPr>
          <w:rFonts w:hint="eastAsia" w:asciiTheme="minorEastAsia" w:hAnsiTheme="minorEastAsia" w:eastAsiaTheme="minorEastAsia" w:cstheme="minorEastAsia"/>
          <w:color w:val="auto"/>
          <w:sz w:val="28"/>
          <w:szCs w:val="28"/>
          <w:highlight w:val="none"/>
          <w:lang w:val="en-US" w:eastAsia="zh-CN"/>
        </w:rPr>
        <w:t>评分索引表</w:t>
      </w:r>
    </w:p>
    <w:p w14:paraId="5B2624DB">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 xml:space="preserve"> </w:t>
      </w:r>
      <w:r>
        <w:rPr>
          <w:rFonts w:hint="eastAsia" w:cs="仿宋" w:asciiTheme="majorEastAsia" w:hAnsiTheme="majorEastAsia" w:eastAsiaTheme="majorEastAsia"/>
          <w:color w:val="auto"/>
          <w:sz w:val="28"/>
          <w:szCs w:val="28"/>
          <w:highlight w:val="none"/>
        </w:rPr>
        <w:t>符合性自查表；</w:t>
      </w:r>
    </w:p>
    <w:p w14:paraId="659BC2D6">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lang w:val="en-US" w:eastAsia="zh-CN"/>
        </w:rPr>
        <w:t>3</w:t>
      </w:r>
      <w:r>
        <w:rPr>
          <w:rFonts w:hint="eastAsia" w:cs="仿宋" w:asciiTheme="majorEastAsia" w:hAnsiTheme="majorEastAsia" w:eastAsiaTheme="majorEastAsia"/>
          <w:color w:val="auto"/>
          <w:sz w:val="28"/>
          <w:szCs w:val="28"/>
          <w:highlight w:val="none"/>
        </w:rPr>
        <w:t xml:space="preserve"> 投标函；</w:t>
      </w:r>
      <w:r>
        <w:rPr>
          <w:rFonts w:hint="eastAsia" w:cs="仿宋" w:asciiTheme="majorEastAsia" w:hAnsiTheme="majorEastAsia" w:eastAsiaTheme="majorEastAsia"/>
          <w:color w:val="auto"/>
          <w:sz w:val="28"/>
          <w:szCs w:val="28"/>
          <w:highlight w:val="none"/>
          <w:lang w:val="zh-CN"/>
        </w:rPr>
        <w:t xml:space="preserve"> </w:t>
      </w:r>
    </w:p>
    <w:p w14:paraId="12D23226">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lang w:val="en-US" w:eastAsia="zh-CN"/>
        </w:rPr>
        <w:t>4</w:t>
      </w:r>
      <w:r>
        <w:rPr>
          <w:rFonts w:hint="eastAsia" w:cs="仿宋" w:asciiTheme="majorEastAsia" w:hAnsiTheme="majorEastAsia" w:eastAsiaTheme="majorEastAsia"/>
          <w:color w:val="auto"/>
          <w:sz w:val="28"/>
          <w:szCs w:val="28"/>
          <w:highlight w:val="none"/>
        </w:rPr>
        <w:t xml:space="preserve"> 授权委托书；</w:t>
      </w:r>
    </w:p>
    <w:p w14:paraId="217E75EF">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lang w:val="en-US" w:eastAsia="zh-CN"/>
        </w:rPr>
        <w:t>5</w:t>
      </w:r>
      <w:r>
        <w:rPr>
          <w:rFonts w:hint="eastAsia" w:cs="仿宋" w:asciiTheme="majorEastAsia" w:hAnsiTheme="majorEastAsia" w:eastAsiaTheme="majorEastAsia"/>
          <w:color w:val="auto"/>
          <w:sz w:val="28"/>
          <w:szCs w:val="28"/>
          <w:highlight w:val="none"/>
        </w:rPr>
        <w:t xml:space="preserve"> 供应商情况表；</w:t>
      </w:r>
    </w:p>
    <w:p w14:paraId="67CD4AAD">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lang w:val="en-US" w:eastAsia="zh-CN"/>
        </w:rPr>
        <w:t>6</w:t>
      </w:r>
      <w:r>
        <w:rPr>
          <w:rFonts w:hint="eastAsia" w:cs="仿宋" w:asciiTheme="majorEastAsia" w:hAnsiTheme="majorEastAsia" w:eastAsiaTheme="majorEastAsia"/>
          <w:color w:val="auto"/>
          <w:sz w:val="28"/>
          <w:szCs w:val="28"/>
          <w:highlight w:val="none"/>
        </w:rPr>
        <w:t xml:space="preserve"> 距采购人最近或者能为本项目提供最优服务的网点情况表；</w:t>
      </w:r>
    </w:p>
    <w:p w14:paraId="7C3F20D4">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lang w:val="en-US" w:eastAsia="zh-CN"/>
        </w:rPr>
        <w:t>7</w:t>
      </w:r>
      <w:r>
        <w:rPr>
          <w:rFonts w:hint="eastAsia" w:cs="仿宋" w:asciiTheme="majorEastAsia" w:hAnsiTheme="majorEastAsia" w:eastAsiaTheme="majorEastAsia"/>
          <w:color w:val="auto"/>
          <w:sz w:val="28"/>
          <w:szCs w:val="28"/>
          <w:highlight w:val="none"/>
        </w:rPr>
        <w:t xml:space="preserve"> 评标标准相应的商务技术资料；</w:t>
      </w:r>
    </w:p>
    <w:p w14:paraId="4847B284">
      <w:pPr>
        <w:adjustRightInd w:val="0"/>
        <w:snapToGrid w:val="0"/>
        <w:spacing w:line="360" w:lineRule="auto"/>
        <w:ind w:firstLine="840" w:firstLineChars="300"/>
        <w:rPr>
          <w:rFonts w:hint="eastAsia"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lang w:val="en-US" w:eastAsia="zh-CN"/>
        </w:rPr>
        <w:t>8</w:t>
      </w:r>
      <w:r>
        <w:rPr>
          <w:rFonts w:hint="eastAsia" w:cs="仿宋" w:asciiTheme="majorEastAsia" w:hAnsiTheme="majorEastAsia" w:eastAsiaTheme="majorEastAsia"/>
          <w:color w:val="auto"/>
          <w:sz w:val="28"/>
          <w:szCs w:val="28"/>
          <w:highlight w:val="none"/>
        </w:rPr>
        <w:t xml:space="preserve"> 商务</w:t>
      </w:r>
      <w:r>
        <w:rPr>
          <w:rFonts w:hint="eastAsia" w:cs="仿宋" w:asciiTheme="majorEastAsia" w:hAnsiTheme="majorEastAsia" w:eastAsiaTheme="majorEastAsia"/>
          <w:color w:val="auto"/>
          <w:sz w:val="28"/>
          <w:szCs w:val="28"/>
          <w:highlight w:val="none"/>
          <w:lang w:eastAsia="zh-CN"/>
        </w:rPr>
        <w:t>响应</w:t>
      </w:r>
      <w:r>
        <w:rPr>
          <w:rFonts w:hint="eastAsia" w:cs="仿宋" w:asciiTheme="majorEastAsia" w:hAnsiTheme="majorEastAsia" w:eastAsiaTheme="majorEastAsia"/>
          <w:color w:val="auto"/>
          <w:sz w:val="28"/>
          <w:szCs w:val="28"/>
          <w:highlight w:val="none"/>
        </w:rPr>
        <w:t>表；</w:t>
      </w:r>
    </w:p>
    <w:p w14:paraId="7489E416">
      <w:pPr>
        <w:adjustRightInd w:val="0"/>
        <w:snapToGrid w:val="0"/>
        <w:spacing w:line="360" w:lineRule="auto"/>
        <w:ind w:firstLine="840" w:firstLineChars="300"/>
        <w:rPr>
          <w:rFonts w:hint="eastAsia"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lang w:val="en-US" w:eastAsia="zh-CN"/>
        </w:rPr>
        <w:t>9</w:t>
      </w:r>
      <w:r>
        <w:rPr>
          <w:rFonts w:hint="eastAsia" w:cs="仿宋" w:asciiTheme="majorEastAsia" w:hAnsiTheme="majorEastAsia" w:eastAsiaTheme="majorEastAsia"/>
          <w:color w:val="auto"/>
          <w:sz w:val="28"/>
          <w:szCs w:val="28"/>
          <w:highlight w:val="none"/>
        </w:rPr>
        <w:t xml:space="preserve"> 技术</w:t>
      </w:r>
      <w:r>
        <w:rPr>
          <w:rFonts w:hint="eastAsia" w:cs="仿宋" w:asciiTheme="majorEastAsia" w:hAnsiTheme="majorEastAsia" w:eastAsiaTheme="majorEastAsia"/>
          <w:color w:val="auto"/>
          <w:sz w:val="28"/>
          <w:szCs w:val="28"/>
          <w:highlight w:val="none"/>
          <w:lang w:eastAsia="zh-CN"/>
        </w:rPr>
        <w:t>响应</w:t>
      </w:r>
      <w:r>
        <w:rPr>
          <w:rFonts w:hint="eastAsia" w:cs="仿宋" w:asciiTheme="majorEastAsia" w:hAnsiTheme="majorEastAsia" w:eastAsiaTheme="majorEastAsia"/>
          <w:color w:val="auto"/>
          <w:sz w:val="28"/>
          <w:szCs w:val="28"/>
          <w:highlight w:val="none"/>
        </w:rPr>
        <w:t>表；</w:t>
      </w:r>
    </w:p>
    <w:p w14:paraId="2D55E67F">
      <w:pPr>
        <w:adjustRightInd w:val="0"/>
        <w:snapToGrid w:val="0"/>
        <w:spacing w:line="360" w:lineRule="auto"/>
        <w:ind w:firstLine="840" w:firstLineChars="300"/>
        <w:rPr>
          <w:rFonts w:hint="eastAsia"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lang w:val="en-US" w:eastAsia="zh-CN"/>
        </w:rPr>
        <w:t>10</w:t>
      </w:r>
      <w:r>
        <w:rPr>
          <w:rFonts w:hint="eastAsia" w:cs="仿宋" w:asciiTheme="majorEastAsia" w:hAnsiTheme="majorEastAsia" w:eastAsiaTheme="majorEastAsia"/>
          <w:color w:val="auto"/>
          <w:sz w:val="28"/>
          <w:szCs w:val="28"/>
          <w:highlight w:val="none"/>
        </w:rPr>
        <w:t xml:space="preserve"> 同类业绩情况一览表；</w:t>
      </w:r>
    </w:p>
    <w:p w14:paraId="4310A120">
      <w:pPr>
        <w:adjustRightInd w:val="0"/>
        <w:snapToGrid w:val="0"/>
        <w:spacing w:line="360" w:lineRule="auto"/>
        <w:ind w:firstLine="840" w:firstLineChars="300"/>
        <w:rPr>
          <w:rFonts w:hint="default" w:cs="仿宋" w:asciiTheme="majorEastAsia" w:hAnsiTheme="majorEastAsia" w:eastAsiaTheme="majorEastAsia"/>
          <w:color w:val="auto"/>
          <w:sz w:val="28"/>
          <w:szCs w:val="28"/>
          <w:highlight w:val="none"/>
          <w:lang w:val="en-US" w:eastAsia="zh-CN"/>
        </w:rPr>
      </w:pPr>
      <w:r>
        <w:rPr>
          <w:rFonts w:hint="eastAsia" w:cs="仿宋" w:asciiTheme="majorEastAsia" w:hAnsiTheme="majorEastAsia" w:eastAsiaTheme="majorEastAsia"/>
          <w:color w:val="auto"/>
          <w:sz w:val="28"/>
          <w:szCs w:val="28"/>
          <w:highlight w:val="none"/>
          <w:lang w:val="en-US" w:eastAsia="zh-CN"/>
        </w:rPr>
        <w:t xml:space="preserve">11 </w:t>
      </w:r>
      <w:r>
        <w:rPr>
          <w:rFonts w:hint="eastAsia" w:cs="仿宋" w:asciiTheme="majorEastAsia" w:hAnsiTheme="majorEastAsia" w:eastAsiaTheme="majorEastAsia"/>
          <w:color w:val="auto"/>
          <w:sz w:val="28"/>
          <w:szCs w:val="28"/>
          <w:highlight w:val="none"/>
          <w:lang w:val="zh-CN"/>
        </w:rPr>
        <w:t>项目实施人员一览表；</w:t>
      </w:r>
    </w:p>
    <w:p w14:paraId="327FC397">
      <w:pPr>
        <w:adjustRightInd w:val="0"/>
        <w:snapToGrid w:val="0"/>
        <w:spacing w:line="360" w:lineRule="auto"/>
        <w:ind w:firstLine="840" w:firstLineChars="300"/>
        <w:rPr>
          <w:rFonts w:cs="仿宋" w:asciiTheme="majorEastAsia" w:hAnsiTheme="majorEastAsia" w:eastAsiaTheme="majorEastAsia"/>
          <w:color w:val="auto"/>
          <w:sz w:val="28"/>
          <w:szCs w:val="28"/>
          <w:highlight w:val="none"/>
          <w:lang w:val="zh-CN"/>
        </w:rPr>
      </w:pPr>
      <w:r>
        <w:rPr>
          <w:rFonts w:hint="eastAsia" w:cs="仿宋" w:asciiTheme="majorEastAsia" w:hAnsiTheme="majorEastAsia" w:eastAsiaTheme="majorEastAsia"/>
          <w:color w:val="auto"/>
          <w:sz w:val="28"/>
          <w:szCs w:val="28"/>
          <w:highlight w:val="none"/>
        </w:rPr>
        <w:t>1</w:t>
      </w:r>
      <w:r>
        <w:rPr>
          <w:rFonts w:hint="eastAsia" w:cs="仿宋" w:asciiTheme="majorEastAsia" w:hAnsiTheme="majorEastAsia" w:eastAsiaTheme="majorEastAsia"/>
          <w:color w:val="auto"/>
          <w:sz w:val="28"/>
          <w:szCs w:val="28"/>
          <w:highlight w:val="none"/>
          <w:lang w:val="en-US" w:eastAsia="zh-CN"/>
        </w:rPr>
        <w:t>2</w:t>
      </w:r>
      <w:r>
        <w:rPr>
          <w:rFonts w:hint="eastAsia" w:cs="仿宋" w:asciiTheme="majorEastAsia" w:hAnsiTheme="majorEastAsia" w:eastAsiaTheme="majorEastAsia"/>
          <w:color w:val="auto"/>
          <w:sz w:val="28"/>
          <w:szCs w:val="28"/>
          <w:highlight w:val="none"/>
        </w:rPr>
        <w:t xml:space="preserve"> </w:t>
      </w:r>
      <w:r>
        <w:rPr>
          <w:rFonts w:hint="eastAsia" w:cs="仿宋" w:asciiTheme="majorEastAsia" w:hAnsiTheme="majorEastAsia" w:eastAsiaTheme="majorEastAsia"/>
          <w:color w:val="auto"/>
          <w:sz w:val="28"/>
          <w:szCs w:val="28"/>
          <w:highlight w:val="none"/>
          <w:lang w:val="zh-CN"/>
        </w:rPr>
        <w:t>政府采购供应商廉洁自律承诺书；</w:t>
      </w:r>
    </w:p>
    <w:p w14:paraId="410B8087">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w:t>
      </w:r>
      <w:r>
        <w:rPr>
          <w:rFonts w:hint="eastAsia" w:cs="仿宋" w:asciiTheme="majorEastAsia" w:hAnsiTheme="majorEastAsia" w:eastAsiaTheme="majorEastAsia"/>
          <w:color w:val="auto"/>
          <w:sz w:val="28"/>
          <w:szCs w:val="28"/>
          <w:highlight w:val="none"/>
          <w:lang w:val="en-US" w:eastAsia="zh-CN"/>
        </w:rPr>
        <w:t>3</w:t>
      </w:r>
      <w:r>
        <w:rPr>
          <w:rFonts w:hint="eastAsia" w:cs="仿宋" w:asciiTheme="majorEastAsia" w:hAnsiTheme="majorEastAsia" w:eastAsiaTheme="majorEastAsia"/>
          <w:color w:val="auto"/>
          <w:sz w:val="28"/>
          <w:szCs w:val="28"/>
          <w:highlight w:val="none"/>
        </w:rPr>
        <w:t xml:space="preserve"> 其他资料。</w:t>
      </w:r>
    </w:p>
    <w:p w14:paraId="02FFB6C3">
      <w:pPr>
        <w:keepNext w:val="0"/>
        <w:keepLines w:val="0"/>
        <w:pageBreakBefore w:val="0"/>
        <w:widowControl w:val="0"/>
        <w:kinsoku/>
        <w:wordWrap/>
        <w:overflowPunct/>
        <w:topLinePunct w:val="0"/>
        <w:bidi w:val="0"/>
        <w:snapToGrid w:val="0"/>
        <w:spacing w:line="360" w:lineRule="auto"/>
        <w:textAlignment w:val="auto"/>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color w:val="auto"/>
          <w:kern w:val="0"/>
          <w:sz w:val="24"/>
          <w:highlight w:val="none"/>
        </w:rPr>
        <w:br w:type="page"/>
      </w:r>
    </w:p>
    <w:p w14:paraId="4E912209">
      <w:pPr>
        <w:keepNext w:val="0"/>
        <w:keepLines w:val="0"/>
        <w:pageBreakBefore w:val="0"/>
        <w:widowControl w:val="0"/>
        <w:numPr>
          <w:ilvl w:val="0"/>
          <w:numId w:val="0"/>
        </w:numPr>
        <w:kinsoku/>
        <w:wordWrap/>
        <w:overflowPunct/>
        <w:topLinePunct w:val="0"/>
        <w:bidi w:val="0"/>
        <w:snapToGrid w:val="0"/>
        <w:spacing w:line="360" w:lineRule="auto"/>
        <w:jc w:val="center"/>
        <w:textAlignment w:val="auto"/>
        <w:outlineLvl w:val="0"/>
        <w:rPr>
          <w:rFonts w:hint="eastAsia" w:asciiTheme="minorEastAsia" w:hAnsiTheme="minorEastAsia" w:eastAsiaTheme="minorEastAsia" w:cstheme="minorEastAsia"/>
          <w:b/>
          <w:color w:val="auto"/>
          <w:kern w:val="0"/>
          <w:sz w:val="32"/>
          <w:szCs w:val="32"/>
          <w:highlight w:val="none"/>
          <w:lang w:eastAsia="zh-CN"/>
        </w:rPr>
      </w:pPr>
      <w:r>
        <w:rPr>
          <w:rFonts w:hint="eastAsia" w:asciiTheme="minorEastAsia" w:hAnsiTheme="minorEastAsia" w:eastAsiaTheme="minorEastAsia" w:cstheme="minorEastAsia"/>
          <w:b/>
          <w:color w:val="auto"/>
          <w:kern w:val="0"/>
          <w:sz w:val="32"/>
          <w:szCs w:val="32"/>
          <w:highlight w:val="none"/>
          <w:lang w:eastAsia="zh-CN"/>
        </w:rPr>
        <w:t>一、评分索引表</w:t>
      </w:r>
    </w:p>
    <w:p w14:paraId="66DA6C38">
      <w:pPr>
        <w:keepNext w:val="0"/>
        <w:keepLines w:val="0"/>
        <w:pageBreakBefore w:val="0"/>
        <w:widowControl w:val="0"/>
        <w:kinsoku/>
        <w:wordWrap/>
        <w:overflowPunct/>
        <w:topLinePunct w:val="0"/>
        <w:bidi w:val="0"/>
        <w:snapToGrid w:val="0"/>
        <w:spacing w:before="50" w:after="50" w:line="360" w:lineRule="auto"/>
        <w:textAlignment w:val="auto"/>
        <w:rPr>
          <w:rFonts w:hint="eastAsia" w:asciiTheme="minorEastAsia" w:hAnsiTheme="minorEastAsia" w:eastAsiaTheme="minorEastAsia" w:cstheme="minorEastAsia"/>
          <w:b/>
          <w:color w:val="auto"/>
          <w:sz w:val="24"/>
          <w:highlight w:val="none"/>
          <w:u w:val="single"/>
        </w:rPr>
      </w:pPr>
      <w:r>
        <w:rPr>
          <w:rFonts w:hint="eastAsia" w:asciiTheme="minorEastAsia" w:hAnsiTheme="minorEastAsia" w:eastAsiaTheme="minorEastAsia" w:cstheme="minorEastAsia"/>
          <w:b/>
          <w:color w:val="auto"/>
          <w:sz w:val="24"/>
          <w:highlight w:val="none"/>
        </w:rPr>
        <w:t>投标单位名称：</w:t>
      </w:r>
    </w:p>
    <w:tbl>
      <w:tblPr>
        <w:tblStyle w:val="20"/>
        <w:tblW w:w="92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5913"/>
        <w:gridCol w:w="1276"/>
        <w:gridCol w:w="1018"/>
      </w:tblGrid>
      <w:tr w14:paraId="14A40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3C689594">
            <w:pPr>
              <w:pStyle w:val="16"/>
              <w:keepNext w:val="0"/>
              <w:keepLines w:val="0"/>
              <w:pageBreakBefore w:val="0"/>
              <w:widowControl w:val="0"/>
              <w:kinsoku/>
              <w:wordWrap/>
              <w:overflowPunct/>
              <w:topLinePunct w:val="0"/>
              <w:bidi w:val="0"/>
              <w:spacing w:after="0"/>
              <w:ind w:left="0" w:left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5913" w:type="dxa"/>
            <w:tcBorders>
              <w:top w:val="single" w:color="auto" w:sz="4" w:space="0"/>
              <w:left w:val="single" w:color="auto" w:sz="4" w:space="0"/>
              <w:bottom w:val="single" w:color="auto" w:sz="4" w:space="0"/>
              <w:right w:val="single" w:color="auto" w:sz="4" w:space="0"/>
            </w:tcBorders>
            <w:vAlign w:val="center"/>
          </w:tcPr>
          <w:p w14:paraId="5F6C2E56">
            <w:pPr>
              <w:pStyle w:val="16"/>
              <w:keepNext w:val="0"/>
              <w:keepLines w:val="0"/>
              <w:pageBreakBefore w:val="0"/>
              <w:widowControl w:val="0"/>
              <w:kinsoku/>
              <w:wordWrap/>
              <w:overflowPunct/>
              <w:topLinePunct w:val="0"/>
              <w:bidi w:val="0"/>
              <w:spacing w:after="0"/>
              <w:ind w:left="0" w:left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评分标准</w:t>
            </w:r>
          </w:p>
        </w:tc>
        <w:tc>
          <w:tcPr>
            <w:tcW w:w="1276" w:type="dxa"/>
            <w:tcBorders>
              <w:top w:val="single" w:color="auto" w:sz="4" w:space="0"/>
              <w:left w:val="single" w:color="auto" w:sz="4" w:space="0"/>
              <w:bottom w:val="single" w:color="auto" w:sz="4" w:space="0"/>
              <w:right w:val="single" w:color="auto" w:sz="4" w:space="0"/>
            </w:tcBorders>
            <w:vAlign w:val="center"/>
          </w:tcPr>
          <w:p w14:paraId="49C4F9EE">
            <w:pPr>
              <w:pStyle w:val="16"/>
              <w:keepNext w:val="0"/>
              <w:keepLines w:val="0"/>
              <w:pageBreakBefore w:val="0"/>
              <w:widowControl w:val="0"/>
              <w:kinsoku/>
              <w:wordWrap/>
              <w:overflowPunct/>
              <w:topLinePunct w:val="0"/>
              <w:bidi w:val="0"/>
              <w:spacing w:after="0"/>
              <w:ind w:left="0" w:left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页码</w:t>
            </w:r>
          </w:p>
        </w:tc>
        <w:tc>
          <w:tcPr>
            <w:tcW w:w="1018" w:type="dxa"/>
            <w:tcBorders>
              <w:top w:val="single" w:color="auto" w:sz="4" w:space="0"/>
              <w:left w:val="single" w:color="auto" w:sz="4" w:space="0"/>
              <w:bottom w:val="single" w:color="auto" w:sz="4" w:space="0"/>
              <w:right w:val="single" w:color="auto" w:sz="4" w:space="0"/>
            </w:tcBorders>
            <w:vAlign w:val="center"/>
          </w:tcPr>
          <w:p w14:paraId="746F95F1">
            <w:pPr>
              <w:pStyle w:val="16"/>
              <w:keepNext w:val="0"/>
              <w:keepLines w:val="0"/>
              <w:pageBreakBefore w:val="0"/>
              <w:widowControl w:val="0"/>
              <w:kinsoku/>
              <w:wordWrap/>
              <w:overflowPunct/>
              <w:topLinePunct w:val="0"/>
              <w:bidi w:val="0"/>
              <w:spacing w:after="0"/>
              <w:ind w:left="0" w:left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自评分</w:t>
            </w:r>
          </w:p>
        </w:tc>
      </w:tr>
      <w:tr w14:paraId="5E713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38230A4D">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5913" w:type="dxa"/>
            <w:tcBorders>
              <w:top w:val="single" w:color="auto" w:sz="4" w:space="0"/>
              <w:left w:val="single" w:color="auto" w:sz="4" w:space="0"/>
              <w:right w:val="single" w:color="auto" w:sz="4" w:space="0"/>
            </w:tcBorders>
            <w:vAlign w:val="center"/>
          </w:tcPr>
          <w:p w14:paraId="372ED241">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（报价除外）</w:t>
            </w:r>
          </w:p>
        </w:tc>
        <w:tc>
          <w:tcPr>
            <w:tcW w:w="1276" w:type="dxa"/>
            <w:tcBorders>
              <w:top w:val="single" w:color="auto" w:sz="4" w:space="0"/>
              <w:left w:val="single" w:color="auto" w:sz="4" w:space="0"/>
              <w:right w:val="single" w:color="auto" w:sz="4" w:space="0"/>
            </w:tcBorders>
            <w:vAlign w:val="center"/>
          </w:tcPr>
          <w:p w14:paraId="3CDD16C9">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c>
          <w:tcPr>
            <w:tcW w:w="1018" w:type="dxa"/>
            <w:tcBorders>
              <w:top w:val="single" w:color="auto" w:sz="4" w:space="0"/>
              <w:left w:val="single" w:color="auto" w:sz="4" w:space="0"/>
              <w:right w:val="single" w:color="auto" w:sz="4" w:space="0"/>
            </w:tcBorders>
            <w:vAlign w:val="top"/>
          </w:tcPr>
          <w:p w14:paraId="3BABC355">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r>
      <w:tr w14:paraId="1A3144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290348A5">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5913" w:type="dxa"/>
            <w:tcBorders>
              <w:top w:val="single" w:color="auto" w:sz="4" w:space="0"/>
              <w:left w:val="single" w:color="auto" w:sz="4" w:space="0"/>
              <w:right w:val="single" w:color="auto" w:sz="4" w:space="0"/>
            </w:tcBorders>
            <w:vAlign w:val="center"/>
          </w:tcPr>
          <w:p w14:paraId="43E6BEF0">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color w:val="auto"/>
                <w:kern w:val="0"/>
                <w:sz w:val="24"/>
                <w:highlight w:val="none"/>
              </w:rPr>
            </w:pPr>
          </w:p>
        </w:tc>
        <w:tc>
          <w:tcPr>
            <w:tcW w:w="1276" w:type="dxa"/>
            <w:tcBorders>
              <w:top w:val="single" w:color="auto" w:sz="4" w:space="0"/>
              <w:left w:val="single" w:color="auto" w:sz="4" w:space="0"/>
              <w:right w:val="single" w:color="auto" w:sz="4" w:space="0"/>
            </w:tcBorders>
            <w:vAlign w:val="center"/>
          </w:tcPr>
          <w:p w14:paraId="1A346418">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c>
          <w:tcPr>
            <w:tcW w:w="1018" w:type="dxa"/>
            <w:tcBorders>
              <w:top w:val="single" w:color="auto" w:sz="4" w:space="0"/>
              <w:left w:val="single" w:color="auto" w:sz="4" w:space="0"/>
              <w:right w:val="single" w:color="auto" w:sz="4" w:space="0"/>
            </w:tcBorders>
            <w:vAlign w:val="top"/>
          </w:tcPr>
          <w:p w14:paraId="1B38EE88">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r>
      <w:tr w14:paraId="78717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left w:val="single" w:color="auto" w:sz="4" w:space="0"/>
              <w:bottom w:val="single" w:color="auto" w:sz="4" w:space="0"/>
              <w:right w:val="single" w:color="auto" w:sz="4" w:space="0"/>
            </w:tcBorders>
            <w:vAlign w:val="center"/>
          </w:tcPr>
          <w:p w14:paraId="70B40A98">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vAlign w:val="center"/>
          </w:tcPr>
          <w:p w14:paraId="09725646">
            <w:pPr>
              <w:keepNext w:val="0"/>
              <w:keepLines w:val="0"/>
              <w:pageBreakBefore w:val="0"/>
              <w:widowControl w:val="0"/>
              <w:kinsoku/>
              <w:wordWrap/>
              <w:overflowPunct/>
              <w:topLinePunct w:val="0"/>
              <w:bidi w:val="0"/>
              <w:ind w:left="55" w:leftChars="26"/>
              <w:textAlignment w:val="auto"/>
              <w:rPr>
                <w:rFonts w:hint="eastAsia" w:asciiTheme="minorEastAsia" w:hAnsiTheme="minorEastAsia" w:eastAsiaTheme="minorEastAsia" w:cstheme="minorEastAsia"/>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6B58ABC">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c>
          <w:tcPr>
            <w:tcW w:w="1018" w:type="dxa"/>
            <w:tcBorders>
              <w:top w:val="single" w:color="auto" w:sz="4" w:space="0"/>
              <w:left w:val="single" w:color="auto" w:sz="4" w:space="0"/>
              <w:bottom w:val="single" w:color="auto" w:sz="4" w:space="0"/>
              <w:right w:val="single" w:color="auto" w:sz="4" w:space="0"/>
            </w:tcBorders>
            <w:vAlign w:val="top"/>
          </w:tcPr>
          <w:p w14:paraId="6A978C3D">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r>
      <w:tr w14:paraId="12952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3DE3A7A">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b/>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vAlign w:val="center"/>
          </w:tcPr>
          <w:p w14:paraId="4B2DCA64">
            <w:pPr>
              <w:pStyle w:val="16"/>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b/>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C2F29E4">
            <w:pPr>
              <w:pStyle w:val="16"/>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
                <w:color w:val="auto"/>
                <w:highlight w:val="none"/>
              </w:rPr>
            </w:pPr>
          </w:p>
        </w:tc>
        <w:tc>
          <w:tcPr>
            <w:tcW w:w="1018" w:type="dxa"/>
            <w:tcBorders>
              <w:top w:val="single" w:color="auto" w:sz="4" w:space="0"/>
              <w:left w:val="single" w:color="auto" w:sz="4" w:space="0"/>
              <w:bottom w:val="single" w:color="auto" w:sz="4" w:space="0"/>
              <w:right w:val="single" w:color="auto" w:sz="4" w:space="0"/>
            </w:tcBorders>
            <w:vAlign w:val="top"/>
          </w:tcPr>
          <w:p w14:paraId="39BA85F9">
            <w:pPr>
              <w:pStyle w:val="16"/>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
                <w:color w:val="auto"/>
                <w:highlight w:val="none"/>
              </w:rPr>
            </w:pPr>
          </w:p>
        </w:tc>
      </w:tr>
      <w:tr w14:paraId="574EA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76FF23D1">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vAlign w:val="center"/>
          </w:tcPr>
          <w:p w14:paraId="1F2E32A7">
            <w:pPr>
              <w:keepNext w:val="0"/>
              <w:keepLines w:val="0"/>
              <w:pageBreakBefore w:val="0"/>
              <w:widowControl w:val="0"/>
              <w:kinsoku/>
              <w:wordWrap/>
              <w:overflowPunct/>
              <w:topLinePunct w:val="0"/>
              <w:bidi w:val="0"/>
              <w:spacing w:line="320" w:lineRule="exact"/>
              <w:textAlignment w:val="auto"/>
              <w:rPr>
                <w:rFonts w:hint="eastAsia" w:asciiTheme="minorEastAsia" w:hAnsiTheme="minorEastAsia" w:eastAsiaTheme="minorEastAsia" w:cstheme="minorEastAsia"/>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5DBA46D">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c>
          <w:tcPr>
            <w:tcW w:w="1018" w:type="dxa"/>
            <w:tcBorders>
              <w:top w:val="single" w:color="auto" w:sz="4" w:space="0"/>
              <w:left w:val="single" w:color="auto" w:sz="4" w:space="0"/>
              <w:bottom w:val="single" w:color="auto" w:sz="4" w:space="0"/>
              <w:right w:val="single" w:color="auto" w:sz="4" w:space="0"/>
            </w:tcBorders>
            <w:vAlign w:val="top"/>
          </w:tcPr>
          <w:p w14:paraId="5C172EA1">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r>
      <w:tr w14:paraId="5F0DF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52E71056">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vAlign w:val="center"/>
          </w:tcPr>
          <w:p w14:paraId="3E98C058">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C885BC9">
            <w:pPr>
              <w:pStyle w:val="16"/>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color w:val="auto"/>
                <w:highlight w:val="none"/>
              </w:rPr>
            </w:pPr>
          </w:p>
        </w:tc>
        <w:tc>
          <w:tcPr>
            <w:tcW w:w="1018" w:type="dxa"/>
            <w:tcBorders>
              <w:top w:val="single" w:color="auto" w:sz="4" w:space="0"/>
              <w:left w:val="single" w:color="auto" w:sz="4" w:space="0"/>
              <w:bottom w:val="single" w:color="auto" w:sz="4" w:space="0"/>
              <w:right w:val="single" w:color="auto" w:sz="4" w:space="0"/>
            </w:tcBorders>
            <w:vAlign w:val="top"/>
          </w:tcPr>
          <w:p w14:paraId="45FFA561">
            <w:pPr>
              <w:pStyle w:val="16"/>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color w:val="auto"/>
                <w:highlight w:val="none"/>
              </w:rPr>
            </w:pPr>
          </w:p>
        </w:tc>
      </w:tr>
      <w:tr w14:paraId="0CB3B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2CF27673">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vAlign w:val="center"/>
          </w:tcPr>
          <w:p w14:paraId="4296CC1B">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558DC60">
            <w:pPr>
              <w:pStyle w:val="16"/>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color w:val="auto"/>
                <w:highlight w:val="none"/>
              </w:rPr>
            </w:pPr>
          </w:p>
        </w:tc>
        <w:tc>
          <w:tcPr>
            <w:tcW w:w="1018" w:type="dxa"/>
            <w:tcBorders>
              <w:top w:val="single" w:color="auto" w:sz="4" w:space="0"/>
              <w:left w:val="single" w:color="auto" w:sz="4" w:space="0"/>
              <w:bottom w:val="single" w:color="auto" w:sz="4" w:space="0"/>
              <w:right w:val="single" w:color="auto" w:sz="4" w:space="0"/>
            </w:tcBorders>
            <w:vAlign w:val="top"/>
          </w:tcPr>
          <w:p w14:paraId="3728DA4C">
            <w:pPr>
              <w:pStyle w:val="16"/>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color w:val="auto"/>
                <w:highlight w:val="none"/>
              </w:rPr>
            </w:pPr>
          </w:p>
        </w:tc>
      </w:tr>
      <w:tr w14:paraId="6B469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left w:val="single" w:color="auto" w:sz="4" w:space="0"/>
              <w:bottom w:val="single" w:color="auto" w:sz="4" w:space="0"/>
              <w:right w:val="single" w:color="auto" w:sz="4" w:space="0"/>
            </w:tcBorders>
            <w:vAlign w:val="center"/>
          </w:tcPr>
          <w:p w14:paraId="21556530">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vAlign w:val="center"/>
          </w:tcPr>
          <w:p w14:paraId="216A1BBD">
            <w:pPr>
              <w:pStyle w:val="16"/>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02CE851">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
                <w:color w:val="auto"/>
                <w:sz w:val="24"/>
                <w:highlight w:val="none"/>
              </w:rPr>
            </w:pPr>
          </w:p>
        </w:tc>
        <w:tc>
          <w:tcPr>
            <w:tcW w:w="1018" w:type="dxa"/>
            <w:tcBorders>
              <w:top w:val="single" w:color="auto" w:sz="4" w:space="0"/>
              <w:left w:val="single" w:color="auto" w:sz="4" w:space="0"/>
              <w:bottom w:val="single" w:color="auto" w:sz="4" w:space="0"/>
              <w:right w:val="single" w:color="auto" w:sz="4" w:space="0"/>
            </w:tcBorders>
            <w:vAlign w:val="top"/>
          </w:tcPr>
          <w:p w14:paraId="6FBB93CB">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
                <w:color w:val="auto"/>
                <w:sz w:val="24"/>
                <w:highlight w:val="none"/>
              </w:rPr>
            </w:pPr>
          </w:p>
        </w:tc>
      </w:tr>
      <w:tr w14:paraId="16A5C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left w:val="single" w:color="auto" w:sz="4" w:space="0"/>
              <w:bottom w:val="single" w:color="auto" w:sz="4" w:space="0"/>
              <w:right w:val="single" w:color="auto" w:sz="4" w:space="0"/>
            </w:tcBorders>
            <w:vAlign w:val="center"/>
          </w:tcPr>
          <w:p w14:paraId="6297D16F">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vAlign w:val="center"/>
          </w:tcPr>
          <w:p w14:paraId="55835F57">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9708A6C">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c>
          <w:tcPr>
            <w:tcW w:w="1018" w:type="dxa"/>
            <w:tcBorders>
              <w:top w:val="single" w:color="auto" w:sz="4" w:space="0"/>
              <w:left w:val="single" w:color="auto" w:sz="4" w:space="0"/>
              <w:bottom w:val="single" w:color="auto" w:sz="4" w:space="0"/>
              <w:right w:val="single" w:color="auto" w:sz="4" w:space="0"/>
            </w:tcBorders>
            <w:vAlign w:val="top"/>
          </w:tcPr>
          <w:p w14:paraId="287CBD64">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r>
      <w:tr w14:paraId="0499E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3012D231">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vAlign w:val="center"/>
          </w:tcPr>
          <w:p w14:paraId="7CB4CD48">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FEAEF67">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c>
          <w:tcPr>
            <w:tcW w:w="1018" w:type="dxa"/>
            <w:tcBorders>
              <w:top w:val="single" w:color="auto" w:sz="4" w:space="0"/>
              <w:left w:val="single" w:color="auto" w:sz="4" w:space="0"/>
              <w:bottom w:val="single" w:color="auto" w:sz="4" w:space="0"/>
              <w:right w:val="single" w:color="auto" w:sz="4" w:space="0"/>
            </w:tcBorders>
            <w:vAlign w:val="top"/>
          </w:tcPr>
          <w:p w14:paraId="5F079CD4">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r>
      <w:tr w14:paraId="79514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1F1C9F22">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vAlign w:val="center"/>
          </w:tcPr>
          <w:p w14:paraId="7D3DF99E">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bCs/>
                <w:color w:val="auto"/>
                <w:sz w:val="24"/>
                <w:highlight w:val="none"/>
              </w:rPr>
            </w:pPr>
          </w:p>
        </w:tc>
        <w:tc>
          <w:tcPr>
            <w:tcW w:w="1276" w:type="dxa"/>
            <w:tcBorders>
              <w:top w:val="single" w:color="auto" w:sz="4" w:space="0"/>
              <w:left w:val="single" w:color="auto" w:sz="4" w:space="0"/>
              <w:right w:val="single" w:color="auto" w:sz="4" w:space="0"/>
            </w:tcBorders>
            <w:vAlign w:val="center"/>
          </w:tcPr>
          <w:p w14:paraId="60C6A399">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c>
          <w:tcPr>
            <w:tcW w:w="1018" w:type="dxa"/>
            <w:tcBorders>
              <w:top w:val="single" w:color="auto" w:sz="4" w:space="0"/>
              <w:left w:val="single" w:color="auto" w:sz="4" w:space="0"/>
              <w:right w:val="single" w:color="auto" w:sz="4" w:space="0"/>
            </w:tcBorders>
            <w:vAlign w:val="top"/>
          </w:tcPr>
          <w:p w14:paraId="2D5C72B7">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r>
    </w:tbl>
    <w:p w14:paraId="036383BB">
      <w:pPr>
        <w:numPr>
          <w:ilvl w:val="0"/>
          <w:numId w:val="0"/>
        </w:numPr>
        <w:snapToGrid w:val="0"/>
        <w:spacing w:line="360" w:lineRule="auto"/>
        <w:jc w:val="center"/>
        <w:outlineLvl w:val="0"/>
        <w:rPr>
          <w:rFonts w:hint="eastAsia" w:cs="仿宋" w:asciiTheme="majorEastAsia" w:hAnsiTheme="majorEastAsia" w:eastAsiaTheme="majorEastAsia"/>
          <w:b/>
          <w:color w:val="auto"/>
          <w:kern w:val="0"/>
          <w:sz w:val="32"/>
          <w:szCs w:val="32"/>
          <w:highlight w:val="none"/>
          <w:lang w:eastAsia="zh-CN"/>
        </w:rPr>
      </w:pPr>
    </w:p>
    <w:p w14:paraId="26B9F0AC">
      <w:pPr>
        <w:keepNext w:val="0"/>
        <w:keepLines w:val="0"/>
        <w:pageBreakBefore w:val="0"/>
        <w:widowControl w:val="0"/>
        <w:numPr>
          <w:ilvl w:val="0"/>
          <w:numId w:val="0"/>
        </w:numPr>
        <w:kinsoku/>
        <w:wordWrap/>
        <w:overflowPunct/>
        <w:topLinePunct w:val="0"/>
        <w:bidi w:val="0"/>
        <w:snapToGrid w:val="0"/>
        <w:spacing w:line="360" w:lineRule="auto"/>
        <w:jc w:val="both"/>
        <w:textAlignment w:val="auto"/>
        <w:outlineLvl w:val="0"/>
        <w:rPr>
          <w:rFonts w:cs="仿宋" w:asciiTheme="majorEastAsia" w:hAnsiTheme="majorEastAsia" w:eastAsiaTheme="majorEastAsia"/>
          <w:b/>
          <w:color w:val="auto"/>
          <w:kern w:val="0"/>
          <w:sz w:val="32"/>
          <w:szCs w:val="32"/>
          <w:highlight w:val="none"/>
        </w:rPr>
      </w:pPr>
    </w:p>
    <w:p w14:paraId="5BD7FFFC">
      <w:pPr>
        <w:pStyle w:val="2"/>
        <w:rPr>
          <w:rFonts w:cs="仿宋" w:asciiTheme="majorEastAsia" w:hAnsiTheme="majorEastAsia" w:eastAsiaTheme="majorEastAsia"/>
          <w:b/>
          <w:color w:val="auto"/>
          <w:kern w:val="0"/>
          <w:sz w:val="32"/>
          <w:szCs w:val="32"/>
          <w:highlight w:val="none"/>
        </w:rPr>
      </w:pPr>
    </w:p>
    <w:p w14:paraId="04191BD1">
      <w:pPr>
        <w:pStyle w:val="2"/>
        <w:rPr>
          <w:rFonts w:cs="仿宋" w:asciiTheme="majorEastAsia" w:hAnsiTheme="majorEastAsia" w:eastAsiaTheme="majorEastAsia"/>
          <w:b/>
          <w:color w:val="auto"/>
          <w:kern w:val="0"/>
          <w:sz w:val="32"/>
          <w:szCs w:val="32"/>
          <w:highlight w:val="none"/>
        </w:rPr>
      </w:pPr>
    </w:p>
    <w:p w14:paraId="74DD9EC3">
      <w:pPr>
        <w:pStyle w:val="2"/>
        <w:rPr>
          <w:rFonts w:cs="仿宋" w:asciiTheme="majorEastAsia" w:hAnsiTheme="majorEastAsia" w:eastAsiaTheme="majorEastAsia"/>
          <w:b/>
          <w:color w:val="auto"/>
          <w:kern w:val="0"/>
          <w:sz w:val="32"/>
          <w:szCs w:val="32"/>
          <w:highlight w:val="none"/>
        </w:rPr>
      </w:pPr>
    </w:p>
    <w:p w14:paraId="0F36C249">
      <w:pPr>
        <w:pStyle w:val="2"/>
        <w:rPr>
          <w:rFonts w:cs="仿宋" w:asciiTheme="majorEastAsia" w:hAnsiTheme="majorEastAsia" w:eastAsiaTheme="majorEastAsia"/>
          <w:b/>
          <w:color w:val="auto"/>
          <w:kern w:val="0"/>
          <w:sz w:val="32"/>
          <w:szCs w:val="32"/>
          <w:highlight w:val="none"/>
        </w:rPr>
      </w:pPr>
    </w:p>
    <w:p w14:paraId="1F1E1A60">
      <w:pPr>
        <w:pStyle w:val="2"/>
        <w:rPr>
          <w:rFonts w:cs="仿宋" w:asciiTheme="majorEastAsia" w:hAnsiTheme="majorEastAsia" w:eastAsiaTheme="majorEastAsia"/>
          <w:b/>
          <w:color w:val="auto"/>
          <w:kern w:val="0"/>
          <w:sz w:val="32"/>
          <w:szCs w:val="32"/>
          <w:highlight w:val="none"/>
        </w:rPr>
      </w:pPr>
    </w:p>
    <w:p w14:paraId="5A15D3E6">
      <w:pPr>
        <w:pStyle w:val="2"/>
        <w:rPr>
          <w:rFonts w:cs="仿宋" w:asciiTheme="majorEastAsia" w:hAnsiTheme="majorEastAsia" w:eastAsiaTheme="majorEastAsia"/>
          <w:b/>
          <w:color w:val="auto"/>
          <w:kern w:val="0"/>
          <w:sz w:val="32"/>
          <w:szCs w:val="32"/>
          <w:highlight w:val="none"/>
        </w:rPr>
      </w:pPr>
    </w:p>
    <w:p w14:paraId="606CFCE8">
      <w:pPr>
        <w:pStyle w:val="2"/>
        <w:rPr>
          <w:rFonts w:cs="仿宋" w:asciiTheme="majorEastAsia" w:hAnsiTheme="majorEastAsia" w:eastAsiaTheme="majorEastAsia"/>
          <w:b/>
          <w:color w:val="auto"/>
          <w:kern w:val="0"/>
          <w:sz w:val="32"/>
          <w:szCs w:val="32"/>
          <w:highlight w:val="none"/>
        </w:rPr>
      </w:pPr>
    </w:p>
    <w:p w14:paraId="44101885">
      <w:pPr>
        <w:pStyle w:val="2"/>
        <w:rPr>
          <w:rFonts w:cs="仿宋" w:asciiTheme="majorEastAsia" w:hAnsiTheme="majorEastAsia" w:eastAsiaTheme="majorEastAsia"/>
          <w:b/>
          <w:color w:val="auto"/>
          <w:kern w:val="0"/>
          <w:sz w:val="32"/>
          <w:szCs w:val="32"/>
          <w:highlight w:val="none"/>
        </w:rPr>
      </w:pPr>
    </w:p>
    <w:p w14:paraId="7ACAA7E5">
      <w:pPr>
        <w:pStyle w:val="2"/>
        <w:rPr>
          <w:rFonts w:cs="仿宋" w:asciiTheme="majorEastAsia" w:hAnsiTheme="majorEastAsia" w:eastAsiaTheme="majorEastAsia"/>
          <w:b/>
          <w:color w:val="auto"/>
          <w:kern w:val="0"/>
          <w:sz w:val="32"/>
          <w:szCs w:val="32"/>
          <w:highlight w:val="none"/>
        </w:rPr>
      </w:pPr>
    </w:p>
    <w:p w14:paraId="1F494BE2">
      <w:pPr>
        <w:pStyle w:val="2"/>
        <w:rPr>
          <w:rFonts w:cs="仿宋" w:asciiTheme="majorEastAsia" w:hAnsiTheme="majorEastAsia" w:eastAsiaTheme="majorEastAsia"/>
          <w:b/>
          <w:color w:val="auto"/>
          <w:kern w:val="0"/>
          <w:sz w:val="32"/>
          <w:szCs w:val="32"/>
          <w:highlight w:val="none"/>
        </w:rPr>
      </w:pPr>
    </w:p>
    <w:p w14:paraId="74191442">
      <w:pPr>
        <w:keepNext w:val="0"/>
        <w:keepLines w:val="0"/>
        <w:pageBreakBefore w:val="0"/>
        <w:widowControl w:val="0"/>
        <w:numPr>
          <w:ilvl w:val="0"/>
          <w:numId w:val="0"/>
        </w:numPr>
        <w:kinsoku/>
        <w:wordWrap/>
        <w:overflowPunct/>
        <w:topLinePunct w:val="0"/>
        <w:bidi w:val="0"/>
        <w:snapToGrid w:val="0"/>
        <w:spacing w:line="360" w:lineRule="auto"/>
        <w:jc w:val="center"/>
        <w:textAlignment w:val="auto"/>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lang w:eastAsia="zh-CN"/>
        </w:rPr>
        <w:t>二、</w:t>
      </w:r>
      <w:r>
        <w:rPr>
          <w:rFonts w:hint="eastAsia" w:cs="仿宋" w:asciiTheme="majorEastAsia" w:hAnsiTheme="majorEastAsia" w:eastAsiaTheme="majorEastAsia"/>
          <w:b/>
          <w:color w:val="auto"/>
          <w:kern w:val="0"/>
          <w:sz w:val="32"/>
          <w:szCs w:val="32"/>
          <w:highlight w:val="none"/>
        </w:rPr>
        <w:t>符合性自查表</w:t>
      </w:r>
    </w:p>
    <w:tbl>
      <w:tblPr>
        <w:tblStyle w:val="20"/>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14:paraId="2839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14:paraId="6A942FE7">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4103" w:type="dxa"/>
            <w:vAlign w:val="center"/>
          </w:tcPr>
          <w:p w14:paraId="43845B03">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实质性要求</w:t>
            </w:r>
          </w:p>
        </w:tc>
        <w:tc>
          <w:tcPr>
            <w:tcW w:w="2518" w:type="dxa"/>
            <w:vAlign w:val="center"/>
          </w:tcPr>
          <w:p w14:paraId="71EDBD0F">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需要提供的符合性审查资料</w:t>
            </w:r>
          </w:p>
        </w:tc>
        <w:tc>
          <w:tcPr>
            <w:tcW w:w="1185" w:type="dxa"/>
            <w:vAlign w:val="center"/>
          </w:tcPr>
          <w:p w14:paraId="2CDD622B">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自查结论</w:t>
            </w:r>
          </w:p>
        </w:tc>
        <w:tc>
          <w:tcPr>
            <w:tcW w:w="1785" w:type="dxa"/>
            <w:vAlign w:val="center"/>
          </w:tcPr>
          <w:p w14:paraId="5568B7D9">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投标文件中的</w:t>
            </w:r>
          </w:p>
          <w:p w14:paraId="54459F99">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页码位置</w:t>
            </w:r>
          </w:p>
        </w:tc>
      </w:tr>
      <w:tr w14:paraId="68D5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06C59737">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4103" w:type="dxa"/>
            <w:vAlign w:val="center"/>
          </w:tcPr>
          <w:p w14:paraId="73EE1DEE">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投标文件按照招标文件要求签署、盖章。</w:t>
            </w:r>
          </w:p>
        </w:tc>
        <w:tc>
          <w:tcPr>
            <w:tcW w:w="2518" w:type="dxa"/>
            <w:vAlign w:val="center"/>
          </w:tcPr>
          <w:p w14:paraId="55DF77D6">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需要使用电子签名或者签字盖章的投标文件的组成部分</w:t>
            </w:r>
          </w:p>
        </w:tc>
        <w:tc>
          <w:tcPr>
            <w:tcW w:w="1185" w:type="dxa"/>
            <w:vAlign w:val="center"/>
          </w:tcPr>
          <w:p w14:paraId="73A5FDEF">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3060DE73">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4F631E8A">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highlight w:val="none"/>
              </w:rPr>
            </w:pPr>
          </w:p>
          <w:p w14:paraId="7FC46CCB">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w:t>
            </w:r>
          </w:p>
          <w:p w14:paraId="7FABDF11">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656E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6F1BE8CD">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4103" w:type="dxa"/>
            <w:vAlign w:val="center"/>
          </w:tcPr>
          <w:p w14:paraId="1FDEB4E6">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投标文件中承诺的投标有效期不少于招标文件中载明的投标有效期。</w:t>
            </w:r>
          </w:p>
        </w:tc>
        <w:tc>
          <w:tcPr>
            <w:tcW w:w="2518" w:type="dxa"/>
            <w:vAlign w:val="center"/>
          </w:tcPr>
          <w:p w14:paraId="43A9C0FC">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投标函</w:t>
            </w:r>
          </w:p>
        </w:tc>
        <w:tc>
          <w:tcPr>
            <w:tcW w:w="1185" w:type="dxa"/>
            <w:vAlign w:val="center"/>
          </w:tcPr>
          <w:p w14:paraId="5EBA8182">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5027B467">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4B1AB44D">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2FB8A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14:paraId="3FBF1340">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4103" w:type="dxa"/>
            <w:vAlign w:val="center"/>
          </w:tcPr>
          <w:p w14:paraId="4418D23B">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投标文件满足招标文件的其它实质性要求。</w:t>
            </w:r>
          </w:p>
        </w:tc>
        <w:tc>
          <w:tcPr>
            <w:tcW w:w="2518" w:type="dxa"/>
            <w:vAlign w:val="center"/>
          </w:tcPr>
          <w:p w14:paraId="68261E8C">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招标文件其它实质性要求相应的材料（“▲” 系指实质性要求条款，招标文件无其它实质性要求的，无需提供）</w:t>
            </w:r>
          </w:p>
        </w:tc>
        <w:tc>
          <w:tcPr>
            <w:tcW w:w="1185" w:type="dxa"/>
            <w:vAlign w:val="center"/>
          </w:tcPr>
          <w:p w14:paraId="41C50EB6">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1B33B85C">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06479C26">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7A0E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1D3B7A07">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4103" w:type="dxa"/>
            <w:vAlign w:val="center"/>
          </w:tcPr>
          <w:p w14:paraId="5503C725">
            <w:pPr>
              <w:keepNext w:val="0"/>
              <w:keepLines w:val="0"/>
              <w:pageBreakBefore w:val="0"/>
              <w:widowControl w:val="0"/>
              <w:kinsoku/>
              <w:wordWrap/>
              <w:overflowPunct/>
              <w:topLinePunct w:val="0"/>
              <w:bidi w:val="0"/>
              <w:snapToGrid w:val="0"/>
              <w:spacing w:line="360" w:lineRule="auto"/>
              <w:jc w:val="left"/>
              <w:textAlignment w:val="auto"/>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投标文件没有招标文件中规定的其它无效投标条款的。</w:t>
            </w:r>
          </w:p>
        </w:tc>
        <w:tc>
          <w:tcPr>
            <w:tcW w:w="2518" w:type="dxa"/>
            <w:vAlign w:val="center"/>
          </w:tcPr>
          <w:p w14:paraId="7B2C0BE9">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kern w:val="0"/>
                <w:sz w:val="24"/>
                <w:highlight w:val="none"/>
              </w:rPr>
            </w:pPr>
          </w:p>
        </w:tc>
        <w:tc>
          <w:tcPr>
            <w:tcW w:w="1185" w:type="dxa"/>
            <w:vAlign w:val="center"/>
          </w:tcPr>
          <w:p w14:paraId="3DBC4D14">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4F1FCA85">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2EC8659D">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1F77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4AE50793">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4103" w:type="dxa"/>
            <w:vAlign w:val="center"/>
          </w:tcPr>
          <w:p w14:paraId="4BDBE8FF">
            <w:pPr>
              <w:keepNext w:val="0"/>
              <w:keepLines w:val="0"/>
              <w:pageBreakBefore w:val="0"/>
              <w:widowControl w:val="0"/>
              <w:kinsoku/>
              <w:wordWrap/>
              <w:overflowPunct/>
              <w:topLinePunct w:val="0"/>
              <w:bidi w:val="0"/>
              <w:snapToGrid w:val="0"/>
              <w:spacing w:line="360" w:lineRule="auto"/>
              <w:jc w:val="left"/>
              <w:textAlignment w:val="auto"/>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按有关法律、法规、规章不属于投标无效的。</w:t>
            </w:r>
          </w:p>
        </w:tc>
        <w:tc>
          <w:tcPr>
            <w:tcW w:w="2518" w:type="dxa"/>
            <w:vAlign w:val="center"/>
          </w:tcPr>
          <w:p w14:paraId="30530073">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kern w:val="0"/>
                <w:sz w:val="24"/>
                <w:highlight w:val="none"/>
              </w:rPr>
            </w:pPr>
          </w:p>
        </w:tc>
        <w:tc>
          <w:tcPr>
            <w:tcW w:w="1185" w:type="dxa"/>
            <w:vAlign w:val="center"/>
          </w:tcPr>
          <w:p w14:paraId="71E7F93C">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3A1C0AF3">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4757E169">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24F8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14:paraId="44FDB8E2">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sz w:val="24"/>
                <w:highlight w:val="none"/>
              </w:rPr>
            </w:pPr>
          </w:p>
        </w:tc>
        <w:tc>
          <w:tcPr>
            <w:tcW w:w="4103" w:type="dxa"/>
            <w:vAlign w:val="center"/>
          </w:tcPr>
          <w:p w14:paraId="7C2C85CB">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p>
        </w:tc>
        <w:tc>
          <w:tcPr>
            <w:tcW w:w="2518" w:type="dxa"/>
            <w:vAlign w:val="center"/>
          </w:tcPr>
          <w:p w14:paraId="6805044E">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kern w:val="0"/>
                <w:sz w:val="24"/>
                <w:highlight w:val="none"/>
              </w:rPr>
            </w:pPr>
          </w:p>
        </w:tc>
        <w:tc>
          <w:tcPr>
            <w:tcW w:w="1185" w:type="dxa"/>
          </w:tcPr>
          <w:p w14:paraId="609EF84B">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highlight w:val="none"/>
              </w:rPr>
            </w:pPr>
          </w:p>
        </w:tc>
        <w:tc>
          <w:tcPr>
            <w:tcW w:w="1785" w:type="dxa"/>
            <w:vAlign w:val="center"/>
          </w:tcPr>
          <w:p w14:paraId="1EAF7347">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highlight w:val="none"/>
              </w:rPr>
            </w:pPr>
          </w:p>
        </w:tc>
      </w:tr>
    </w:tbl>
    <w:p w14:paraId="27DD2D97">
      <w:pPr>
        <w:keepNext w:val="0"/>
        <w:keepLines w:val="0"/>
        <w:pageBreakBefore w:val="0"/>
        <w:widowControl w:val="0"/>
        <w:kinsoku/>
        <w:wordWrap/>
        <w:overflowPunct/>
        <w:topLinePunct w:val="0"/>
        <w:bidi w:val="0"/>
        <w:snapToGrid w:val="0"/>
        <w:spacing w:line="360" w:lineRule="auto"/>
        <w:jc w:val="left"/>
        <w:textAlignment w:val="auto"/>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24"/>
          <w:highlight w:val="none"/>
        </w:rPr>
        <w:t xml:space="preserve">备注：符合性自查表将作为投标人有效性审查的重要内容之一，投标人必须严格按照其内容及序列要求在投标文件中对应如实提供，对资格性证明文件的任何缺漏和不符合项将会直接导致投标无效！ </w:t>
      </w:r>
    </w:p>
    <w:p w14:paraId="470CE407">
      <w:pPr>
        <w:keepNext w:val="0"/>
        <w:keepLines w:val="0"/>
        <w:pageBreakBefore w:val="0"/>
        <w:widowControl w:val="0"/>
        <w:numPr>
          <w:ilvl w:val="0"/>
          <w:numId w:val="0"/>
        </w:numPr>
        <w:kinsoku/>
        <w:wordWrap/>
        <w:overflowPunct/>
        <w:topLinePunct w:val="0"/>
        <w:bidi w:val="0"/>
        <w:snapToGrid w:val="0"/>
        <w:spacing w:line="360" w:lineRule="auto"/>
        <w:jc w:val="center"/>
        <w:textAlignment w:val="auto"/>
        <w:outlineLvl w:val="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lang w:eastAsia="zh-CN"/>
        </w:rPr>
        <w:t>三、</w:t>
      </w:r>
      <w:r>
        <w:rPr>
          <w:rFonts w:hint="eastAsia" w:cs="仿宋" w:asciiTheme="majorEastAsia" w:hAnsiTheme="majorEastAsia" w:eastAsiaTheme="majorEastAsia"/>
          <w:b/>
          <w:color w:val="auto"/>
          <w:kern w:val="0"/>
          <w:sz w:val="32"/>
          <w:szCs w:val="32"/>
          <w:highlight w:val="none"/>
        </w:rPr>
        <w:t>投标</w:t>
      </w:r>
      <w:r>
        <w:rPr>
          <w:rFonts w:hint="eastAsia" w:cs="仿宋" w:asciiTheme="majorEastAsia" w:hAnsiTheme="majorEastAsia" w:eastAsiaTheme="majorEastAsia"/>
          <w:b/>
          <w:color w:val="auto"/>
          <w:sz w:val="32"/>
          <w:szCs w:val="32"/>
          <w:highlight w:val="none"/>
        </w:rPr>
        <w:t>函</w:t>
      </w:r>
    </w:p>
    <w:p w14:paraId="54A73305">
      <w:pPr>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（采购人）、（采购代理机构）：</w:t>
      </w:r>
    </w:p>
    <w:p w14:paraId="17191033">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我方参加你方组织的（项目名称）【</w:t>
      </w:r>
      <w:r>
        <w:rPr>
          <w:rFonts w:hint="eastAsia" w:cs="仿宋" w:asciiTheme="majorEastAsia" w:hAnsiTheme="majorEastAsia" w:eastAsiaTheme="majorEastAsia"/>
          <w:color w:val="auto"/>
          <w:sz w:val="24"/>
          <w:highlight w:val="none"/>
          <w:lang w:eastAsia="zh-CN"/>
        </w:rPr>
        <w:t>项目</w:t>
      </w:r>
      <w:r>
        <w:rPr>
          <w:rFonts w:hint="eastAsia" w:cs="仿宋" w:asciiTheme="majorEastAsia" w:hAnsiTheme="majorEastAsia" w:eastAsiaTheme="majorEastAsia"/>
          <w:color w:val="auto"/>
          <w:sz w:val="24"/>
          <w:highlight w:val="none"/>
        </w:rPr>
        <w:t>编号：（</w:t>
      </w:r>
      <w:r>
        <w:rPr>
          <w:rFonts w:hint="eastAsia" w:cs="仿宋" w:asciiTheme="majorEastAsia" w:hAnsiTheme="majorEastAsia" w:eastAsiaTheme="majorEastAsia"/>
          <w:color w:val="auto"/>
          <w:sz w:val="24"/>
          <w:highlight w:val="none"/>
          <w:lang w:eastAsia="zh-CN"/>
        </w:rPr>
        <w:t>项目</w:t>
      </w:r>
      <w:r>
        <w:rPr>
          <w:rFonts w:hint="eastAsia" w:cs="仿宋" w:asciiTheme="majorEastAsia" w:hAnsiTheme="majorEastAsia" w:eastAsiaTheme="majorEastAsia"/>
          <w:color w:val="auto"/>
          <w:sz w:val="24"/>
          <w:highlight w:val="none"/>
        </w:rPr>
        <w:t>编号）】招标的有关活动，并对此项目进行投标。为此：</w:t>
      </w:r>
    </w:p>
    <w:p w14:paraId="0CE196F7">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1、我方承诺投标有效期从提交投标文件的截止之日起</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天（不少于90天）</w:t>
      </w:r>
      <w:r>
        <w:rPr>
          <w:rFonts w:hint="eastAsia" w:cs="仿宋" w:asciiTheme="majorEastAsia" w:hAnsiTheme="majorEastAsia" w:eastAsiaTheme="majorEastAsia"/>
          <w:color w:val="auto"/>
          <w:highlight w:val="none"/>
        </w:rPr>
        <w:t>，</w:t>
      </w:r>
      <w:r>
        <w:rPr>
          <w:rFonts w:hint="eastAsia" w:cs="仿宋" w:asciiTheme="majorEastAsia" w:hAnsiTheme="majorEastAsia" w:eastAsiaTheme="majorEastAsia"/>
          <w:color w:val="auto"/>
          <w:sz w:val="24"/>
          <w:highlight w:val="none"/>
        </w:rPr>
        <w:t>本投标文件在投标有效期满之前均具有约束力。</w:t>
      </w:r>
    </w:p>
    <w:p w14:paraId="41E8D64C">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2、我方的投标文件包括以下内容：</w:t>
      </w:r>
    </w:p>
    <w:p w14:paraId="56B1B7D0">
      <w:pPr>
        <w:keepNext w:val="0"/>
        <w:keepLines w:val="0"/>
        <w:pageBreakBefore w:val="0"/>
        <w:widowControl w:val="0"/>
        <w:kinsoku/>
        <w:wordWrap/>
        <w:overflowPunct/>
        <w:topLinePunct w:val="0"/>
        <w:bidi w:val="0"/>
        <w:snapToGrid w:val="0"/>
        <w:spacing w:line="360" w:lineRule="auto"/>
        <w:ind w:left="210" w:leftChars="100"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2.1资格文件：</w:t>
      </w:r>
    </w:p>
    <w:p w14:paraId="410247FE">
      <w:pPr>
        <w:keepNext w:val="0"/>
        <w:keepLines w:val="0"/>
        <w:pageBreakBefore w:val="0"/>
        <w:widowControl w:val="0"/>
        <w:kinsoku/>
        <w:wordWrap/>
        <w:overflowPunct/>
        <w:topLinePunct w:val="0"/>
        <w:bidi w:val="0"/>
        <w:snapToGrid w:val="0"/>
        <w:spacing w:line="360" w:lineRule="auto"/>
        <w:ind w:left="420" w:leftChars="200"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2.1.1有效的企业法人营业执照（或事业法人登记证）、其他组织（个体工商户）的营业执照或者民办非企业单位登记证书；</w:t>
      </w:r>
    </w:p>
    <w:p w14:paraId="1E2DDE66">
      <w:pPr>
        <w:keepNext w:val="0"/>
        <w:keepLines w:val="0"/>
        <w:pageBreakBefore w:val="0"/>
        <w:widowControl w:val="0"/>
        <w:kinsoku/>
        <w:wordWrap/>
        <w:overflowPunct/>
        <w:topLinePunct w:val="0"/>
        <w:bidi w:val="0"/>
        <w:snapToGrid w:val="0"/>
        <w:spacing w:line="360" w:lineRule="auto"/>
        <w:ind w:left="420" w:leftChars="200"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2.1.2符合参加政府采购活动应当具备的一般条件的承诺函；</w:t>
      </w:r>
    </w:p>
    <w:p w14:paraId="755196B1">
      <w:pPr>
        <w:keepNext w:val="0"/>
        <w:keepLines w:val="0"/>
        <w:pageBreakBefore w:val="0"/>
        <w:widowControl w:val="0"/>
        <w:kinsoku/>
        <w:wordWrap/>
        <w:overflowPunct/>
        <w:topLinePunct w:val="0"/>
        <w:bidi w:val="0"/>
        <w:snapToGrid w:val="0"/>
        <w:spacing w:line="360" w:lineRule="auto"/>
        <w:ind w:firstLine="960" w:firstLineChars="400"/>
        <w:textAlignment w:val="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2.1.3本项目的特定资格要求。</w:t>
      </w:r>
    </w:p>
    <w:p w14:paraId="61AF7A07">
      <w:pPr>
        <w:keepNext w:val="0"/>
        <w:keepLines w:val="0"/>
        <w:pageBreakBefore w:val="0"/>
        <w:widowControl w:val="0"/>
        <w:kinsoku/>
        <w:wordWrap/>
        <w:overflowPunct/>
        <w:topLinePunct w:val="0"/>
        <w:bidi w:val="0"/>
        <w:snapToGrid w:val="0"/>
        <w:spacing w:line="360" w:lineRule="auto"/>
        <w:ind w:left="210" w:leftChars="100" w:firstLine="480" w:firstLineChars="200"/>
        <w:textAlignment w:val="auto"/>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color w:val="auto"/>
          <w:sz w:val="24"/>
          <w:highlight w:val="none"/>
        </w:rPr>
        <w:t>商务技术</w:t>
      </w:r>
      <w:r>
        <w:rPr>
          <w:rFonts w:hint="eastAsia" w:cs="仿宋" w:asciiTheme="majorEastAsia" w:hAnsiTheme="majorEastAsia" w:eastAsiaTheme="majorEastAsia"/>
          <w:color w:val="auto"/>
          <w:sz w:val="24"/>
          <w:highlight w:val="none"/>
          <w:lang w:val="zh-CN"/>
        </w:rPr>
        <w:t>文件：</w:t>
      </w:r>
    </w:p>
    <w:p w14:paraId="5DFE8CDC">
      <w:pPr>
        <w:snapToGrid w:val="0"/>
        <w:spacing w:line="360" w:lineRule="auto"/>
        <w:ind w:left="420" w:leftChars="200" w:firstLine="480" w:firstLineChars="200"/>
        <w:rPr>
          <w:rFonts w:hint="default"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lang w:val="en-US" w:eastAsia="zh-CN"/>
        </w:rPr>
        <w:t>2.2.1评分索引表；</w:t>
      </w:r>
    </w:p>
    <w:p w14:paraId="206BE7CF">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w:t>
      </w:r>
      <w:r>
        <w:rPr>
          <w:rFonts w:hint="eastAsia" w:cs="仿宋" w:asciiTheme="majorEastAsia" w:hAnsiTheme="majorEastAsia" w:eastAsiaTheme="majorEastAsia"/>
          <w:color w:val="auto"/>
          <w:sz w:val="24"/>
          <w:highlight w:val="none"/>
          <w:lang w:val="en-US" w:eastAsia="zh-CN"/>
        </w:rPr>
        <w:t>2</w:t>
      </w:r>
      <w:r>
        <w:rPr>
          <w:rFonts w:hint="eastAsia" w:cs="仿宋" w:asciiTheme="majorEastAsia" w:hAnsiTheme="majorEastAsia" w:eastAsiaTheme="majorEastAsia"/>
          <w:color w:val="auto"/>
          <w:sz w:val="24"/>
          <w:highlight w:val="none"/>
        </w:rPr>
        <w:t xml:space="preserve"> 符合性自查表；</w:t>
      </w:r>
    </w:p>
    <w:p w14:paraId="5954E419">
      <w:pPr>
        <w:snapToGrid w:val="0"/>
        <w:spacing w:line="360" w:lineRule="auto"/>
        <w:ind w:left="420" w:leftChars="200" w:firstLine="480" w:firstLineChars="200"/>
        <w:rPr>
          <w:rFonts w:cs="仿宋" w:asciiTheme="majorEastAsia" w:hAnsiTheme="majorEastAsia" w:eastAsiaTheme="majorEastAsia"/>
          <w:color w:val="auto"/>
          <w:highlight w:val="none"/>
          <w:lang w:val="zh-CN"/>
        </w:rPr>
      </w:pPr>
      <w:r>
        <w:rPr>
          <w:rFonts w:hint="eastAsia" w:cs="仿宋" w:asciiTheme="majorEastAsia" w:hAnsiTheme="majorEastAsia" w:eastAsiaTheme="majorEastAsia"/>
          <w:color w:val="auto"/>
          <w:sz w:val="24"/>
          <w:highlight w:val="none"/>
        </w:rPr>
        <w:t>2.2.</w:t>
      </w:r>
      <w:r>
        <w:rPr>
          <w:rFonts w:hint="eastAsia" w:cs="仿宋" w:asciiTheme="majorEastAsia" w:hAnsiTheme="majorEastAsia" w:eastAsiaTheme="majorEastAsia"/>
          <w:color w:val="auto"/>
          <w:sz w:val="24"/>
          <w:highlight w:val="none"/>
          <w:lang w:val="en-US" w:eastAsia="zh-CN"/>
        </w:rPr>
        <w:t>3</w:t>
      </w:r>
      <w:r>
        <w:rPr>
          <w:rFonts w:hint="eastAsia" w:cs="仿宋" w:asciiTheme="majorEastAsia" w:hAnsiTheme="majorEastAsia" w:eastAsiaTheme="majorEastAsia"/>
          <w:color w:val="auto"/>
          <w:sz w:val="24"/>
          <w:highlight w:val="none"/>
        </w:rPr>
        <w:t xml:space="preserve"> 投标函；</w:t>
      </w:r>
      <w:r>
        <w:rPr>
          <w:rFonts w:hint="eastAsia" w:cs="仿宋" w:asciiTheme="majorEastAsia" w:hAnsiTheme="majorEastAsia" w:eastAsiaTheme="majorEastAsia"/>
          <w:color w:val="auto"/>
          <w:sz w:val="24"/>
          <w:highlight w:val="none"/>
          <w:lang w:val="zh-CN"/>
        </w:rPr>
        <w:t xml:space="preserve"> </w:t>
      </w:r>
    </w:p>
    <w:p w14:paraId="164F267F">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w:t>
      </w:r>
      <w:r>
        <w:rPr>
          <w:rFonts w:hint="eastAsia" w:cs="仿宋" w:asciiTheme="majorEastAsia" w:hAnsiTheme="majorEastAsia" w:eastAsiaTheme="majorEastAsia"/>
          <w:color w:val="auto"/>
          <w:sz w:val="24"/>
          <w:highlight w:val="none"/>
          <w:lang w:val="en-US" w:eastAsia="zh-CN"/>
        </w:rPr>
        <w:t xml:space="preserve">4 </w:t>
      </w:r>
      <w:r>
        <w:rPr>
          <w:rFonts w:hint="eastAsia" w:cs="仿宋" w:asciiTheme="majorEastAsia" w:hAnsiTheme="majorEastAsia" w:eastAsiaTheme="majorEastAsia"/>
          <w:color w:val="auto"/>
          <w:sz w:val="24"/>
          <w:highlight w:val="none"/>
        </w:rPr>
        <w:t>授权委托书；</w:t>
      </w:r>
    </w:p>
    <w:p w14:paraId="0B968EE8">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w:t>
      </w:r>
      <w:r>
        <w:rPr>
          <w:rFonts w:hint="eastAsia" w:cs="仿宋" w:asciiTheme="majorEastAsia" w:hAnsiTheme="majorEastAsia" w:eastAsiaTheme="majorEastAsia"/>
          <w:color w:val="auto"/>
          <w:sz w:val="24"/>
          <w:highlight w:val="none"/>
          <w:lang w:val="en-US" w:eastAsia="zh-CN"/>
        </w:rPr>
        <w:t>5</w:t>
      </w:r>
      <w:r>
        <w:rPr>
          <w:rFonts w:hint="eastAsia" w:cs="仿宋" w:asciiTheme="majorEastAsia" w:hAnsiTheme="majorEastAsia" w:eastAsiaTheme="majorEastAsia"/>
          <w:color w:val="auto"/>
          <w:sz w:val="24"/>
          <w:highlight w:val="none"/>
        </w:rPr>
        <w:t xml:space="preserve"> 供应商情况表；</w:t>
      </w:r>
    </w:p>
    <w:p w14:paraId="50EFE215">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w:t>
      </w:r>
      <w:r>
        <w:rPr>
          <w:rFonts w:hint="eastAsia" w:cs="仿宋" w:asciiTheme="majorEastAsia" w:hAnsiTheme="majorEastAsia" w:eastAsiaTheme="majorEastAsia"/>
          <w:color w:val="auto"/>
          <w:sz w:val="24"/>
          <w:highlight w:val="none"/>
          <w:lang w:val="en-US" w:eastAsia="zh-CN"/>
        </w:rPr>
        <w:t>6</w:t>
      </w:r>
      <w:r>
        <w:rPr>
          <w:rFonts w:hint="eastAsia" w:cs="仿宋" w:asciiTheme="majorEastAsia" w:hAnsiTheme="majorEastAsia" w:eastAsiaTheme="majorEastAsia"/>
          <w:color w:val="auto"/>
          <w:sz w:val="24"/>
          <w:highlight w:val="none"/>
        </w:rPr>
        <w:t xml:space="preserve"> 距采购人最近或者能为本项目提供最优服务的网点情况表；</w:t>
      </w:r>
    </w:p>
    <w:p w14:paraId="7DDC0113">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w:t>
      </w:r>
      <w:r>
        <w:rPr>
          <w:rFonts w:hint="eastAsia" w:cs="仿宋" w:asciiTheme="majorEastAsia" w:hAnsiTheme="majorEastAsia" w:eastAsiaTheme="majorEastAsia"/>
          <w:color w:val="auto"/>
          <w:sz w:val="24"/>
          <w:highlight w:val="none"/>
          <w:lang w:val="en-US" w:eastAsia="zh-CN"/>
        </w:rPr>
        <w:t>7</w:t>
      </w:r>
      <w:r>
        <w:rPr>
          <w:rFonts w:hint="eastAsia" w:cs="仿宋" w:asciiTheme="majorEastAsia" w:hAnsiTheme="majorEastAsia" w:eastAsiaTheme="majorEastAsia"/>
          <w:color w:val="auto"/>
          <w:sz w:val="24"/>
          <w:highlight w:val="none"/>
        </w:rPr>
        <w:t xml:space="preserve"> 评标标准相应的商务技术资料；</w:t>
      </w:r>
    </w:p>
    <w:p w14:paraId="6E2AC720">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lang w:val="en-US" w:eastAsia="zh-CN"/>
        </w:rPr>
        <w:t>8</w:t>
      </w:r>
      <w:r>
        <w:rPr>
          <w:rFonts w:hint="eastAsia" w:cs="仿宋" w:asciiTheme="majorEastAsia" w:hAnsiTheme="majorEastAsia" w:eastAsiaTheme="majorEastAsia"/>
          <w:color w:val="auto"/>
          <w:sz w:val="24"/>
          <w:highlight w:val="none"/>
        </w:rPr>
        <w:t xml:space="preserve"> 商务</w:t>
      </w:r>
      <w:r>
        <w:rPr>
          <w:rFonts w:hint="eastAsia" w:cs="仿宋" w:asciiTheme="majorEastAsia" w:hAnsiTheme="majorEastAsia" w:eastAsiaTheme="majorEastAsia"/>
          <w:color w:val="auto"/>
          <w:sz w:val="24"/>
          <w:highlight w:val="none"/>
          <w:lang w:eastAsia="zh-CN"/>
        </w:rPr>
        <w:t>响应</w:t>
      </w:r>
      <w:r>
        <w:rPr>
          <w:rFonts w:hint="eastAsia" w:cs="仿宋" w:asciiTheme="majorEastAsia" w:hAnsiTheme="majorEastAsia" w:eastAsiaTheme="majorEastAsia"/>
          <w:color w:val="auto"/>
          <w:sz w:val="24"/>
          <w:highlight w:val="none"/>
        </w:rPr>
        <w:t>表；</w:t>
      </w:r>
    </w:p>
    <w:p w14:paraId="39EDE825">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lang w:val="en-US" w:eastAsia="zh-CN"/>
        </w:rPr>
        <w:t>9</w:t>
      </w:r>
      <w:r>
        <w:rPr>
          <w:rFonts w:hint="eastAsia" w:cs="仿宋" w:asciiTheme="majorEastAsia" w:hAnsiTheme="majorEastAsia" w:eastAsiaTheme="majorEastAsia"/>
          <w:color w:val="auto"/>
          <w:sz w:val="24"/>
          <w:highlight w:val="none"/>
        </w:rPr>
        <w:t xml:space="preserve"> 技术</w:t>
      </w:r>
      <w:r>
        <w:rPr>
          <w:rFonts w:hint="eastAsia" w:cs="仿宋" w:asciiTheme="majorEastAsia" w:hAnsiTheme="majorEastAsia" w:eastAsiaTheme="majorEastAsia"/>
          <w:color w:val="auto"/>
          <w:sz w:val="24"/>
          <w:highlight w:val="none"/>
          <w:lang w:eastAsia="zh-CN"/>
        </w:rPr>
        <w:t>响应</w:t>
      </w:r>
      <w:r>
        <w:rPr>
          <w:rFonts w:hint="eastAsia" w:cs="仿宋" w:asciiTheme="majorEastAsia" w:hAnsiTheme="majorEastAsia" w:eastAsiaTheme="majorEastAsia"/>
          <w:color w:val="auto"/>
          <w:sz w:val="24"/>
          <w:highlight w:val="none"/>
        </w:rPr>
        <w:t>表；</w:t>
      </w:r>
    </w:p>
    <w:p w14:paraId="61ADA685">
      <w:pPr>
        <w:snapToGrid w:val="0"/>
        <w:spacing w:line="360" w:lineRule="auto"/>
        <w:ind w:left="420" w:leftChars="200" w:firstLine="480" w:firstLineChars="200"/>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lang w:val="en-US" w:eastAsia="zh-CN"/>
        </w:rPr>
        <w:t>10</w:t>
      </w:r>
      <w:r>
        <w:rPr>
          <w:rFonts w:hint="eastAsia" w:cs="仿宋" w:asciiTheme="majorEastAsia" w:hAnsiTheme="majorEastAsia" w:eastAsiaTheme="majorEastAsia"/>
          <w:color w:val="auto"/>
          <w:sz w:val="24"/>
          <w:highlight w:val="none"/>
        </w:rPr>
        <w:t xml:space="preserve"> 同类业绩情况一览表；</w:t>
      </w:r>
    </w:p>
    <w:p w14:paraId="2C8140D5">
      <w:pPr>
        <w:snapToGrid w:val="0"/>
        <w:spacing w:line="360" w:lineRule="auto"/>
        <w:ind w:left="420" w:leftChars="200" w:firstLine="480" w:firstLineChars="200"/>
        <w:rPr>
          <w:rFonts w:hint="default"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lang w:val="en-US" w:eastAsia="zh-CN"/>
        </w:rPr>
        <w:t xml:space="preserve">2.2.11 </w:t>
      </w:r>
      <w:r>
        <w:rPr>
          <w:rFonts w:hint="eastAsia" w:cs="仿宋" w:asciiTheme="majorEastAsia" w:hAnsiTheme="majorEastAsia" w:eastAsiaTheme="majorEastAsia"/>
          <w:color w:val="auto"/>
          <w:sz w:val="24"/>
          <w:highlight w:val="none"/>
          <w:lang w:val="zh-CN"/>
        </w:rPr>
        <w:t>项目实施人员一览表；</w:t>
      </w:r>
    </w:p>
    <w:p w14:paraId="0879FBEE">
      <w:pPr>
        <w:snapToGrid w:val="0"/>
        <w:spacing w:line="360" w:lineRule="auto"/>
        <w:ind w:left="420" w:leftChars="200"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2.2.1</w:t>
      </w:r>
      <w:r>
        <w:rPr>
          <w:rFonts w:hint="eastAsia" w:cs="仿宋" w:asciiTheme="majorEastAsia" w:hAnsiTheme="majorEastAsia" w:eastAsiaTheme="majorEastAsia"/>
          <w:color w:val="auto"/>
          <w:sz w:val="24"/>
          <w:highlight w:val="none"/>
          <w:lang w:val="en-US" w:eastAsia="zh-CN"/>
        </w:rPr>
        <w:t>2</w:t>
      </w: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color w:val="auto"/>
          <w:sz w:val="24"/>
          <w:highlight w:val="none"/>
          <w:lang w:val="zh-CN"/>
        </w:rPr>
        <w:t>政府采购供应商廉洁自律承诺书；</w:t>
      </w:r>
    </w:p>
    <w:p w14:paraId="00F08596">
      <w:pPr>
        <w:snapToGrid w:val="0"/>
        <w:spacing w:line="360" w:lineRule="auto"/>
        <w:ind w:left="420" w:leftChars="200" w:firstLine="480" w:firstLineChars="2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2.2.1</w:t>
      </w:r>
      <w:r>
        <w:rPr>
          <w:rFonts w:hint="eastAsia" w:cs="仿宋" w:asciiTheme="majorEastAsia" w:hAnsiTheme="majorEastAsia" w:eastAsiaTheme="majorEastAsia"/>
          <w:color w:val="auto"/>
          <w:sz w:val="24"/>
          <w:highlight w:val="none"/>
          <w:lang w:val="en-US" w:eastAsia="zh-CN"/>
        </w:rPr>
        <w:t>3</w:t>
      </w:r>
      <w:r>
        <w:rPr>
          <w:rFonts w:hint="eastAsia" w:cs="仿宋" w:asciiTheme="majorEastAsia" w:hAnsiTheme="majorEastAsia" w:eastAsiaTheme="majorEastAsia"/>
          <w:color w:val="auto"/>
          <w:sz w:val="24"/>
          <w:highlight w:val="none"/>
        </w:rPr>
        <w:t xml:space="preserve"> 其他资料。</w:t>
      </w:r>
    </w:p>
    <w:p w14:paraId="6C7EDB9B">
      <w:pPr>
        <w:keepNext w:val="0"/>
        <w:keepLines w:val="0"/>
        <w:pageBreakBefore w:val="0"/>
        <w:widowControl w:val="0"/>
        <w:kinsoku/>
        <w:wordWrap/>
        <w:overflowPunct/>
        <w:topLinePunct w:val="0"/>
        <w:bidi w:val="0"/>
        <w:snapToGrid w:val="0"/>
        <w:spacing w:line="360" w:lineRule="auto"/>
        <w:ind w:left="210" w:leftChars="100"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3报价文件</w:t>
      </w:r>
    </w:p>
    <w:p w14:paraId="6B5F63ED">
      <w:pPr>
        <w:keepNext w:val="0"/>
        <w:keepLines w:val="0"/>
        <w:pageBreakBefore w:val="0"/>
        <w:widowControl w:val="0"/>
        <w:kinsoku/>
        <w:wordWrap/>
        <w:overflowPunct/>
        <w:topLinePunct w:val="0"/>
        <w:bidi w:val="0"/>
        <w:snapToGrid w:val="0"/>
        <w:spacing w:line="360" w:lineRule="auto"/>
        <w:ind w:firstLine="960" w:firstLineChars="4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2.3.1 开标一览表；</w:t>
      </w:r>
    </w:p>
    <w:p w14:paraId="770DC85C">
      <w:pPr>
        <w:keepNext w:val="0"/>
        <w:keepLines w:val="0"/>
        <w:pageBreakBefore w:val="0"/>
        <w:widowControl w:val="0"/>
        <w:kinsoku/>
        <w:wordWrap/>
        <w:overflowPunct/>
        <w:topLinePunct w:val="0"/>
        <w:bidi w:val="0"/>
        <w:snapToGrid w:val="0"/>
        <w:spacing w:line="360" w:lineRule="auto"/>
        <w:ind w:firstLine="960" w:firstLineChars="4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2.3.2投标报价明细表；</w:t>
      </w:r>
    </w:p>
    <w:p w14:paraId="0E9D71BA">
      <w:pPr>
        <w:keepNext w:val="0"/>
        <w:keepLines w:val="0"/>
        <w:pageBreakBefore w:val="0"/>
        <w:widowControl w:val="0"/>
        <w:kinsoku/>
        <w:wordWrap/>
        <w:overflowPunct/>
        <w:topLinePunct w:val="0"/>
        <w:bidi w:val="0"/>
        <w:snapToGrid w:val="0"/>
        <w:spacing w:line="360" w:lineRule="auto"/>
        <w:ind w:firstLine="960" w:firstLineChars="4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2.3.3 中小企业声明函（如有）；</w:t>
      </w:r>
    </w:p>
    <w:p w14:paraId="5757BC01">
      <w:pPr>
        <w:keepNext w:val="0"/>
        <w:keepLines w:val="0"/>
        <w:pageBreakBefore w:val="0"/>
        <w:widowControl w:val="0"/>
        <w:kinsoku/>
        <w:wordWrap/>
        <w:overflowPunct/>
        <w:topLinePunct w:val="0"/>
        <w:bidi w:val="0"/>
        <w:snapToGrid w:val="0"/>
        <w:spacing w:line="360" w:lineRule="auto"/>
        <w:ind w:firstLine="960" w:firstLineChars="4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2.3.4 残疾人福利性单位声明函（如有）；</w:t>
      </w:r>
    </w:p>
    <w:p w14:paraId="785742B2">
      <w:pPr>
        <w:keepNext w:val="0"/>
        <w:keepLines w:val="0"/>
        <w:pageBreakBefore w:val="0"/>
        <w:widowControl w:val="0"/>
        <w:kinsoku/>
        <w:wordWrap/>
        <w:overflowPunct/>
        <w:topLinePunct w:val="0"/>
        <w:bidi w:val="0"/>
        <w:snapToGrid w:val="0"/>
        <w:spacing w:line="360" w:lineRule="auto"/>
        <w:ind w:firstLine="960" w:firstLineChars="4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2.3.5 监狱企业的证明文件（如有）；</w:t>
      </w:r>
    </w:p>
    <w:p w14:paraId="08DBA406">
      <w:pPr>
        <w:keepNext w:val="0"/>
        <w:keepLines w:val="0"/>
        <w:pageBreakBefore w:val="0"/>
        <w:widowControl w:val="0"/>
        <w:kinsoku/>
        <w:wordWrap/>
        <w:overflowPunct/>
        <w:topLinePunct w:val="0"/>
        <w:bidi w:val="0"/>
        <w:snapToGrid w:val="0"/>
        <w:spacing w:line="360" w:lineRule="auto"/>
        <w:ind w:firstLine="960" w:firstLineChars="400"/>
        <w:textAlignment w:val="auto"/>
        <w:rPr>
          <w:rFonts w:hint="eastAsia" w:cs="仿宋" w:asciiTheme="majorEastAsia" w:hAnsiTheme="majorEastAsia" w:eastAsiaTheme="majorEastAsia"/>
          <w:color w:val="auto"/>
          <w:sz w:val="24"/>
          <w:highlight w:val="none"/>
          <w:lang w:eastAsia="zh-CN"/>
        </w:rPr>
      </w:pPr>
      <w:r>
        <w:rPr>
          <w:rFonts w:hint="eastAsia" w:cs="仿宋" w:asciiTheme="majorEastAsia" w:hAnsiTheme="majorEastAsia" w:eastAsiaTheme="majorEastAsia"/>
          <w:color w:val="auto"/>
          <w:sz w:val="24"/>
          <w:highlight w:val="none"/>
        </w:rPr>
        <w:t>2.3.6 政府采购统计基础信息表</w:t>
      </w:r>
      <w:r>
        <w:rPr>
          <w:rFonts w:hint="eastAsia" w:cs="仿宋" w:asciiTheme="majorEastAsia" w:hAnsiTheme="majorEastAsia" w:eastAsiaTheme="majorEastAsia"/>
          <w:color w:val="auto"/>
          <w:sz w:val="24"/>
          <w:highlight w:val="none"/>
          <w:lang w:eastAsia="zh-CN"/>
        </w:rPr>
        <w:t>；</w:t>
      </w:r>
    </w:p>
    <w:p w14:paraId="574E3056">
      <w:pPr>
        <w:keepNext w:val="0"/>
        <w:keepLines w:val="0"/>
        <w:pageBreakBefore w:val="0"/>
        <w:widowControl w:val="0"/>
        <w:kinsoku/>
        <w:wordWrap/>
        <w:overflowPunct/>
        <w:topLinePunct w:val="0"/>
        <w:bidi w:val="0"/>
        <w:snapToGrid w:val="0"/>
        <w:spacing w:line="360" w:lineRule="auto"/>
        <w:ind w:firstLine="960" w:firstLineChars="400"/>
        <w:textAlignment w:val="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en-US" w:eastAsia="zh-CN"/>
        </w:rPr>
        <w:t>3</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lang w:val="en-US" w:eastAsia="zh-CN"/>
        </w:rPr>
        <w:t>7</w:t>
      </w:r>
      <w:r>
        <w:rPr>
          <w:rFonts w:hint="eastAsia" w:cs="仿宋" w:asciiTheme="majorEastAsia" w:hAnsiTheme="majorEastAsia" w:eastAsiaTheme="majorEastAsia"/>
          <w:color w:val="auto"/>
          <w:sz w:val="24"/>
          <w:highlight w:val="none"/>
        </w:rPr>
        <w:t xml:space="preserve"> 其他资料。</w:t>
      </w:r>
    </w:p>
    <w:p w14:paraId="061F6A39">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3、我方承诺除商务技术</w:t>
      </w:r>
      <w:r>
        <w:rPr>
          <w:rFonts w:hint="eastAsia" w:cs="仿宋" w:asciiTheme="majorEastAsia" w:hAnsiTheme="majorEastAsia" w:eastAsiaTheme="majorEastAsia"/>
          <w:color w:val="auto"/>
          <w:sz w:val="24"/>
          <w:highlight w:val="none"/>
          <w:lang w:eastAsia="zh-CN"/>
        </w:rPr>
        <w:t>响应</w:t>
      </w:r>
      <w:r>
        <w:rPr>
          <w:rFonts w:hint="eastAsia" w:cs="仿宋" w:asciiTheme="majorEastAsia" w:hAnsiTheme="majorEastAsia" w:eastAsiaTheme="majorEastAsia"/>
          <w:color w:val="auto"/>
          <w:sz w:val="24"/>
          <w:highlight w:val="none"/>
        </w:rPr>
        <w:t>表列出的偏离外，我方响应招标文件的全部要求。</w:t>
      </w:r>
    </w:p>
    <w:p w14:paraId="7C11103C">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4、如我方中标，我方承诺：</w:t>
      </w:r>
    </w:p>
    <w:p w14:paraId="6F864643">
      <w:pPr>
        <w:keepNext w:val="0"/>
        <w:keepLines w:val="0"/>
        <w:pageBreakBefore w:val="0"/>
        <w:widowControl w:val="0"/>
        <w:kinsoku/>
        <w:wordWrap/>
        <w:overflowPunct/>
        <w:topLinePunct w:val="0"/>
        <w:bidi w:val="0"/>
        <w:snapToGrid w:val="0"/>
        <w:spacing w:line="360" w:lineRule="auto"/>
        <w:ind w:left="210" w:leftChars="100"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4.1在收到中标通知书后，在中标通知书规定的期限内与你方签订合同； </w:t>
      </w:r>
    </w:p>
    <w:p w14:paraId="0A687740">
      <w:pPr>
        <w:keepNext w:val="0"/>
        <w:keepLines w:val="0"/>
        <w:pageBreakBefore w:val="0"/>
        <w:widowControl w:val="0"/>
        <w:kinsoku/>
        <w:wordWrap/>
        <w:overflowPunct/>
        <w:topLinePunct w:val="0"/>
        <w:bidi w:val="0"/>
        <w:snapToGrid w:val="0"/>
        <w:spacing w:line="360" w:lineRule="auto"/>
        <w:ind w:left="210" w:leftChars="100"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4.2在签订合同时不向你方提出附加条件； </w:t>
      </w:r>
    </w:p>
    <w:p w14:paraId="2AA1389F">
      <w:pPr>
        <w:keepNext w:val="0"/>
        <w:keepLines w:val="0"/>
        <w:pageBreakBefore w:val="0"/>
        <w:widowControl w:val="0"/>
        <w:kinsoku/>
        <w:wordWrap/>
        <w:overflowPunct/>
        <w:topLinePunct w:val="0"/>
        <w:bidi w:val="0"/>
        <w:snapToGrid w:val="0"/>
        <w:spacing w:line="360" w:lineRule="auto"/>
        <w:ind w:left="210" w:leftChars="100"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4.3按照招标文件要求提交履约保证金； </w:t>
      </w:r>
    </w:p>
    <w:p w14:paraId="051ED971">
      <w:pPr>
        <w:keepNext w:val="0"/>
        <w:keepLines w:val="0"/>
        <w:pageBreakBefore w:val="0"/>
        <w:widowControl w:val="0"/>
        <w:kinsoku/>
        <w:wordWrap/>
        <w:overflowPunct/>
        <w:topLinePunct w:val="0"/>
        <w:bidi w:val="0"/>
        <w:snapToGrid w:val="0"/>
        <w:spacing w:line="360" w:lineRule="auto"/>
        <w:ind w:left="210" w:leftChars="100"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4.4在合同约定的期限内完成合同规定的全部义务。 </w:t>
      </w:r>
    </w:p>
    <w:p w14:paraId="44B3CC87">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5、其他补充说明: </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 xml:space="preserve"> 。</w:t>
      </w:r>
    </w:p>
    <w:p w14:paraId="5FEAE8E2">
      <w:pPr>
        <w:keepNext w:val="0"/>
        <w:keepLines w:val="0"/>
        <w:pageBreakBefore w:val="0"/>
        <w:widowControl w:val="0"/>
        <w:kinsoku/>
        <w:wordWrap/>
        <w:overflowPunct/>
        <w:topLinePunct w:val="0"/>
        <w:bidi w:val="0"/>
        <w:spacing w:line="360" w:lineRule="auto"/>
        <w:ind w:firstLine="3600" w:firstLineChars="1500"/>
        <w:textAlignment w:val="auto"/>
        <w:rPr>
          <w:rFonts w:cs="仿宋" w:asciiTheme="majorEastAsia" w:hAnsiTheme="majorEastAsia" w:eastAsiaTheme="majorEastAsia"/>
          <w:color w:val="auto"/>
          <w:sz w:val="24"/>
          <w:highlight w:val="none"/>
        </w:rPr>
      </w:pPr>
    </w:p>
    <w:p w14:paraId="0D82FD6B">
      <w:pPr>
        <w:keepNext w:val="0"/>
        <w:keepLines w:val="0"/>
        <w:pageBreakBefore w:val="0"/>
        <w:widowControl w:val="0"/>
        <w:kinsoku/>
        <w:wordWrap/>
        <w:overflowPunct/>
        <w:topLinePunct w:val="0"/>
        <w:bidi w:val="0"/>
        <w:spacing w:line="360" w:lineRule="auto"/>
        <w:ind w:firstLine="3600" w:firstLineChars="1500"/>
        <w:textAlignment w:val="auto"/>
        <w:rPr>
          <w:rFonts w:cs="仿宋" w:asciiTheme="majorEastAsia" w:hAnsiTheme="majorEastAsia" w:eastAsiaTheme="majorEastAsia"/>
          <w:color w:val="auto"/>
          <w:sz w:val="24"/>
          <w:highlight w:val="none"/>
        </w:rPr>
      </w:pPr>
    </w:p>
    <w:p w14:paraId="40B87B87">
      <w:pPr>
        <w:keepNext w:val="0"/>
        <w:keepLines w:val="0"/>
        <w:pageBreakBefore w:val="0"/>
        <w:widowControl w:val="0"/>
        <w:kinsoku/>
        <w:wordWrap/>
        <w:overflowPunct/>
        <w:topLinePunct w:val="0"/>
        <w:bidi w:val="0"/>
        <w:spacing w:line="360" w:lineRule="auto"/>
        <w:ind w:right="420" w:firstLine="5250" w:firstLineChars="2500"/>
        <w:textAlignment w:val="auto"/>
        <w:rPr>
          <w:rFonts w:ascii="宋体" w:hAnsi="宋体" w:cs="宋体"/>
          <w:color w:val="auto"/>
          <w:highlight w:val="none"/>
        </w:rPr>
      </w:pPr>
      <w:r>
        <w:rPr>
          <w:rFonts w:hint="eastAsia" w:ascii="宋体" w:hAnsi="宋体" w:cs="宋体"/>
          <w:color w:val="auto"/>
          <w:highlight w:val="none"/>
        </w:rPr>
        <w:t xml:space="preserve">法定代表人（签名或印章）：     </w:t>
      </w:r>
    </w:p>
    <w:p w14:paraId="695FFE89">
      <w:pPr>
        <w:keepNext w:val="0"/>
        <w:keepLines w:val="0"/>
        <w:pageBreakBefore w:val="0"/>
        <w:widowControl w:val="0"/>
        <w:kinsoku/>
        <w:wordWrap/>
        <w:overflowPunct/>
        <w:topLinePunct w:val="0"/>
        <w:bidi w:val="0"/>
        <w:spacing w:line="360" w:lineRule="auto"/>
        <w:ind w:right="420" w:firstLine="5460" w:firstLineChars="2600"/>
        <w:textAlignment w:val="auto"/>
        <w:rPr>
          <w:rFonts w:ascii="宋体" w:hAnsi="宋体" w:cs="宋体"/>
          <w:color w:val="auto"/>
          <w:highlight w:val="none"/>
        </w:rPr>
      </w:pPr>
      <w:r>
        <w:rPr>
          <w:rFonts w:hint="eastAsia" w:ascii="宋体" w:hAnsi="宋体" w:cs="宋体"/>
          <w:color w:val="auto"/>
          <w:highlight w:val="none"/>
        </w:rPr>
        <w:t xml:space="preserve">投标人（盖章）：   </w:t>
      </w:r>
    </w:p>
    <w:p w14:paraId="5D8CEBC6">
      <w:pPr>
        <w:keepNext w:val="0"/>
        <w:keepLines w:val="0"/>
        <w:pageBreakBefore w:val="0"/>
        <w:widowControl w:val="0"/>
        <w:kinsoku/>
        <w:wordWrap/>
        <w:overflowPunct/>
        <w:topLinePunct w:val="0"/>
        <w:bidi w:val="0"/>
        <w:spacing w:line="360" w:lineRule="auto"/>
        <w:ind w:right="420" w:firstLine="5355" w:firstLineChars="2550"/>
        <w:textAlignment w:val="auto"/>
        <w:rPr>
          <w:rFonts w:ascii="宋体" w:hAnsi="宋体" w:cs="宋体"/>
          <w:color w:val="auto"/>
          <w:highlight w:val="none"/>
        </w:rPr>
      </w:pPr>
      <w:r>
        <w:rPr>
          <w:rFonts w:hint="eastAsia" w:ascii="宋体" w:hAnsi="宋体" w:cs="宋体"/>
          <w:color w:val="auto"/>
          <w:highlight w:val="none"/>
        </w:rPr>
        <w:t xml:space="preserve"> 年    月    日</w:t>
      </w:r>
    </w:p>
    <w:p w14:paraId="2CC39024">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color w:val="auto"/>
          <w:kern w:val="0"/>
          <w:sz w:val="32"/>
          <w:szCs w:val="32"/>
          <w:highlight w:val="none"/>
        </w:rPr>
      </w:pPr>
    </w:p>
    <w:p w14:paraId="72D3DD15">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color w:val="auto"/>
          <w:kern w:val="0"/>
          <w:sz w:val="32"/>
          <w:szCs w:val="32"/>
          <w:highlight w:val="none"/>
          <w:lang w:val="zh-CN"/>
        </w:rPr>
      </w:pPr>
    </w:p>
    <w:p w14:paraId="59EB6100">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b/>
          <w:color w:val="auto"/>
          <w:sz w:val="32"/>
          <w:szCs w:val="32"/>
          <w:highlight w:val="none"/>
        </w:rPr>
      </w:pPr>
      <w:bookmarkStart w:id="416" w:name="_Toc225223761"/>
      <w:bookmarkStart w:id="417" w:name="_Toc483379796"/>
      <w:bookmarkStart w:id="418" w:name="_Toc488936100"/>
      <w:bookmarkStart w:id="419" w:name="_Toc479927873"/>
      <w:bookmarkStart w:id="420" w:name="_Toc14746861"/>
      <w:bookmarkStart w:id="421" w:name="_Toc110393361"/>
    </w:p>
    <w:p w14:paraId="0FAD71F2">
      <w:pPr>
        <w:keepNext w:val="0"/>
        <w:keepLines w:val="0"/>
        <w:pageBreakBefore w:val="0"/>
        <w:widowControl w:val="0"/>
        <w:numPr>
          <w:ilvl w:val="0"/>
          <w:numId w:val="0"/>
        </w:numPr>
        <w:kinsoku/>
        <w:wordWrap/>
        <w:overflowPunct/>
        <w:topLinePunct w:val="0"/>
        <w:bidi w:val="0"/>
        <w:snapToGrid w:val="0"/>
        <w:spacing w:line="360" w:lineRule="auto"/>
        <w:jc w:val="center"/>
        <w:textAlignment w:val="auto"/>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四、授权委托书</w:t>
      </w:r>
    </w:p>
    <w:p w14:paraId="0B518B1C">
      <w:pPr>
        <w:keepNext w:val="0"/>
        <w:keepLines w:val="0"/>
        <w:pageBreakBefore w:val="0"/>
        <w:widowControl w:val="0"/>
        <w:kinsoku/>
        <w:wordWrap/>
        <w:overflowPunct/>
        <w:topLinePunct w:val="0"/>
        <w:bidi w:val="0"/>
        <w:jc w:val="left"/>
        <w:textAlignment w:val="auto"/>
        <w:rPr>
          <w:rFonts w:ascii="宋体" w:hAnsi="宋体" w:cs="宋体"/>
          <w:b/>
          <w:color w:val="auto"/>
          <w:sz w:val="32"/>
          <w:szCs w:val="32"/>
          <w:highlight w:val="none"/>
        </w:rPr>
      </w:pPr>
      <w:r>
        <w:rPr>
          <w:rFonts w:hint="eastAsia" w:cs="仿宋" w:asciiTheme="majorEastAsia" w:hAnsiTheme="majorEastAsia" w:eastAsiaTheme="majorEastAsia"/>
          <w:color w:val="auto"/>
          <w:sz w:val="24"/>
          <w:highlight w:val="none"/>
        </w:rPr>
        <w:t xml:space="preserve">                           </w:t>
      </w:r>
      <w:r>
        <w:rPr>
          <w:rFonts w:hint="eastAsia" w:ascii="宋体" w:hAnsi="宋体" w:cs="宋体"/>
          <w:b/>
          <w:color w:val="auto"/>
          <w:sz w:val="32"/>
          <w:szCs w:val="32"/>
          <w:highlight w:val="none"/>
        </w:rPr>
        <w:t>法定代表人授权委托书</w:t>
      </w:r>
    </w:p>
    <w:p w14:paraId="396C4428">
      <w:pPr>
        <w:keepNext w:val="0"/>
        <w:keepLines w:val="0"/>
        <w:pageBreakBefore w:val="0"/>
        <w:widowControl w:val="0"/>
        <w:kinsoku/>
        <w:wordWrap/>
        <w:overflowPunct/>
        <w:topLinePunct w:val="0"/>
        <w:bidi w:val="0"/>
        <w:jc w:val="center"/>
        <w:textAlignment w:val="auto"/>
        <w:rPr>
          <w:rFonts w:ascii="宋体" w:hAnsi="宋体" w:cs="宋体"/>
          <w:b/>
          <w:color w:val="auto"/>
          <w:sz w:val="32"/>
          <w:szCs w:val="32"/>
          <w:highlight w:val="none"/>
        </w:rPr>
      </w:pPr>
      <w:r>
        <w:rPr>
          <w:rFonts w:hint="eastAsia" w:ascii="宋体" w:hAnsi="宋体" w:cs="宋体"/>
          <w:bCs/>
          <w:color w:val="auto"/>
          <w:sz w:val="24"/>
          <w:highlight w:val="none"/>
        </w:rPr>
        <w:t>（法定代表人来投标的，此表不用）</w:t>
      </w:r>
    </w:p>
    <w:p w14:paraId="6B2BF6F3">
      <w:pPr>
        <w:keepNext w:val="0"/>
        <w:keepLines w:val="0"/>
        <w:pageBreakBefore w:val="0"/>
        <w:widowControl w:val="0"/>
        <w:kinsoku/>
        <w:wordWrap/>
        <w:overflowPunct/>
        <w:topLinePunct w:val="0"/>
        <w:bidi w:val="0"/>
        <w:snapToGrid w:val="0"/>
        <w:spacing w:line="360" w:lineRule="auto"/>
        <w:textAlignment w:val="auto"/>
        <w:rPr>
          <w:rFonts w:ascii="宋体" w:hAnsi="宋体" w:cs="宋体"/>
          <w:bCs/>
          <w:color w:val="auto"/>
          <w:sz w:val="24"/>
          <w:highlight w:val="none"/>
        </w:rPr>
      </w:pPr>
    </w:p>
    <w:p w14:paraId="588E0B87">
      <w:pPr>
        <w:keepNext w:val="0"/>
        <w:keepLines w:val="0"/>
        <w:pageBreakBefore w:val="0"/>
        <w:widowControl w:val="0"/>
        <w:kinsoku/>
        <w:wordWrap/>
        <w:overflowPunct/>
        <w:topLinePunct w:val="0"/>
        <w:bidi w:val="0"/>
        <w:snapToGrid w:val="0"/>
        <w:spacing w:line="360" w:lineRule="auto"/>
        <w:textAlignment w:val="auto"/>
        <w:rPr>
          <w:rFonts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（采购单位名称）</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w:t>
      </w:r>
    </w:p>
    <w:p w14:paraId="38EDFF53">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（投标人名称）的法定代表人，现授权委托本单位在职职工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政府采购 </w:t>
      </w:r>
      <w:r>
        <w:rPr>
          <w:rFonts w:hint="eastAsia" w:ascii="宋体" w:hAnsi="宋体" w:cs="宋体"/>
          <w:color w:val="auto"/>
          <w:szCs w:val="21"/>
          <w:highlight w:val="none"/>
        </w:rPr>
        <w:t>项目的投标活动，并代表我方全权办理针对上述项目的投标、开标、评标、签约等具体事务和签署相关文件。</w:t>
      </w:r>
    </w:p>
    <w:p w14:paraId="28D9C80E">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我方对被授权人的签名事项负全部责任。</w:t>
      </w:r>
    </w:p>
    <w:p w14:paraId="2817F99D">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在撤销授权的书面通知以前，本授权书一直有效。被授权人在授权书有效期内签署的所有文件不因授权的撤销而失效。</w:t>
      </w:r>
    </w:p>
    <w:p w14:paraId="7619BFA0">
      <w:pPr>
        <w:keepNext w:val="0"/>
        <w:keepLines w:val="0"/>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14:paraId="4FB6AD3B">
      <w:pPr>
        <w:keepNext w:val="0"/>
        <w:keepLines w:val="0"/>
        <w:pageBreakBefore w:val="0"/>
        <w:widowControl w:val="0"/>
        <w:kinsoku/>
        <w:wordWrap/>
        <w:overflowPunct/>
        <w:topLinePunct w:val="0"/>
        <w:bidi w:val="0"/>
        <w:snapToGrid w:val="0"/>
        <w:spacing w:line="360" w:lineRule="auto"/>
        <w:textAlignment w:val="auto"/>
        <w:rPr>
          <w:rFonts w:ascii="宋体" w:hAnsi="宋体" w:cs="宋体"/>
          <w:color w:val="auto"/>
          <w:szCs w:val="21"/>
          <w:highlight w:val="none"/>
        </w:rPr>
      </w:pPr>
    </w:p>
    <w:p w14:paraId="19AB5599">
      <w:pPr>
        <w:keepNext w:val="0"/>
        <w:keepLines w:val="0"/>
        <w:pageBreakBefore w:val="0"/>
        <w:widowControl w:val="0"/>
        <w:kinsoku/>
        <w:wordWrap/>
        <w:overflowPunct/>
        <w:topLinePunct w:val="0"/>
        <w:bidi w:val="0"/>
        <w:snapToGrid w:val="0"/>
        <w:spacing w:line="360" w:lineRule="auto"/>
        <w:textAlignment w:val="auto"/>
        <w:rPr>
          <w:rFonts w:ascii="宋体" w:hAnsi="宋体" w:cs="宋体"/>
          <w:color w:val="auto"/>
          <w:szCs w:val="21"/>
          <w:highlight w:val="none"/>
        </w:rPr>
      </w:pPr>
    </w:p>
    <w:p w14:paraId="6FFACF9A">
      <w:pPr>
        <w:keepNext w:val="0"/>
        <w:keepLines w:val="0"/>
        <w:pageBreakBefore w:val="0"/>
        <w:widowControl w:val="0"/>
        <w:kinsoku/>
        <w:wordWrap/>
        <w:overflowPunct/>
        <w:topLinePunct w:val="0"/>
        <w:bidi w:val="0"/>
        <w:snapToGrid w:val="0"/>
        <w:spacing w:line="360" w:lineRule="auto"/>
        <w:textAlignment w:val="auto"/>
        <w:rPr>
          <w:rFonts w:ascii="宋体" w:hAnsi="宋体" w:cs="宋体"/>
          <w:color w:val="auto"/>
          <w:szCs w:val="21"/>
          <w:highlight w:val="none"/>
          <w:u w:val="single"/>
        </w:rPr>
      </w:pPr>
      <w:r>
        <w:rPr>
          <w:rFonts w:hint="eastAsia" w:ascii="宋体" w:hAnsi="宋体" w:cs="宋体"/>
          <w:color w:val="auto"/>
          <w:szCs w:val="21"/>
          <w:highlight w:val="none"/>
        </w:rPr>
        <w:t>被授权人签名：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法定代表人签名：</w:t>
      </w:r>
      <w:r>
        <w:rPr>
          <w:rFonts w:hint="eastAsia" w:ascii="宋体" w:hAnsi="宋体" w:cs="宋体"/>
          <w:color w:val="auto"/>
          <w:szCs w:val="21"/>
          <w:highlight w:val="none"/>
          <w:u w:val="single"/>
        </w:rPr>
        <w:t xml:space="preserve">          </w:t>
      </w:r>
    </w:p>
    <w:p w14:paraId="5CC03330">
      <w:pPr>
        <w:keepNext w:val="0"/>
        <w:keepLines w:val="0"/>
        <w:pageBreakBefore w:val="0"/>
        <w:widowControl w:val="0"/>
        <w:kinsoku/>
        <w:wordWrap/>
        <w:overflowPunct/>
        <w:topLinePunct w:val="0"/>
        <w:bidi w:val="0"/>
        <w:snapToGrid w:val="0"/>
        <w:spacing w:line="360" w:lineRule="auto"/>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14:paraId="44C4AB15">
      <w:pPr>
        <w:keepNext w:val="0"/>
        <w:keepLines w:val="0"/>
        <w:pageBreakBefore w:val="0"/>
        <w:widowControl w:val="0"/>
        <w:kinsoku/>
        <w:wordWrap/>
        <w:overflowPunct/>
        <w:topLinePunct w:val="0"/>
        <w:bidi w:val="0"/>
        <w:snapToGrid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被授权人身份证号码：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07C1007">
      <w:pPr>
        <w:keepNext w:val="0"/>
        <w:keepLines w:val="0"/>
        <w:pageBreakBefore w:val="0"/>
        <w:widowControl w:val="0"/>
        <w:kinsoku/>
        <w:wordWrap/>
        <w:overflowPunct/>
        <w:topLinePunct w:val="0"/>
        <w:bidi w:val="0"/>
        <w:snapToGrid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 xml:space="preserve">                                    </w:t>
      </w:r>
    </w:p>
    <w:p w14:paraId="3BFE92D8">
      <w:pPr>
        <w:keepNext w:val="0"/>
        <w:keepLines w:val="0"/>
        <w:pageBreakBefore w:val="0"/>
        <w:widowControl w:val="0"/>
        <w:kinsoku/>
        <w:wordWrap/>
        <w:overflowPunct/>
        <w:topLinePunct w:val="0"/>
        <w:bidi w:val="0"/>
        <w:snapToGrid w:val="0"/>
        <w:spacing w:line="360" w:lineRule="auto"/>
        <w:textAlignment w:val="auto"/>
        <w:rPr>
          <w:rFonts w:ascii="宋体" w:hAnsi="宋体" w:cs="宋体"/>
          <w:color w:val="auto"/>
          <w:szCs w:val="21"/>
          <w:highlight w:val="none"/>
        </w:rPr>
      </w:pPr>
    </w:p>
    <w:p w14:paraId="0D8487A9">
      <w:pPr>
        <w:keepNext w:val="0"/>
        <w:keepLines w:val="0"/>
        <w:pageBreakBefore w:val="0"/>
        <w:widowControl w:val="0"/>
        <w:kinsoku/>
        <w:wordWrap/>
        <w:overflowPunct/>
        <w:topLinePunct w:val="0"/>
        <w:bidi w:val="0"/>
        <w:spacing w:line="360" w:lineRule="auto"/>
        <w:ind w:firstLine="4830" w:firstLineChars="2300"/>
        <w:textAlignment w:val="auto"/>
        <w:rPr>
          <w:rFonts w:ascii="宋体" w:hAnsi="宋体" w:cs="宋体"/>
          <w:color w:val="auto"/>
          <w:highlight w:val="none"/>
        </w:rPr>
      </w:pPr>
      <w:r>
        <w:rPr>
          <w:rFonts w:hint="eastAsia" w:ascii="宋体" w:hAnsi="宋体" w:cs="宋体"/>
          <w:color w:val="auto"/>
          <w:highlight w:val="none"/>
        </w:rPr>
        <w:t>投标人（盖章）：</w:t>
      </w:r>
    </w:p>
    <w:p w14:paraId="6FBBEBA8">
      <w:pPr>
        <w:keepNext w:val="0"/>
        <w:keepLines w:val="0"/>
        <w:pageBreakBefore w:val="0"/>
        <w:widowControl w:val="0"/>
        <w:kinsoku/>
        <w:wordWrap/>
        <w:overflowPunct/>
        <w:topLinePunct w:val="0"/>
        <w:bidi w:val="0"/>
        <w:spacing w:line="360" w:lineRule="auto"/>
        <w:ind w:firstLine="1260" w:firstLineChars="600"/>
        <w:textAlignment w:val="auto"/>
        <w:rPr>
          <w:rFonts w:ascii="宋体" w:hAnsi="宋体" w:cs="宋体"/>
          <w:color w:val="auto"/>
          <w:highlight w:val="none"/>
        </w:rPr>
      </w:pPr>
      <w:r>
        <w:rPr>
          <w:rFonts w:hint="eastAsia" w:ascii="宋体" w:hAnsi="宋体" w:cs="宋体"/>
          <w:color w:val="auto"/>
          <w:highlight w:val="none"/>
        </w:rPr>
        <w:t xml:space="preserve">                                  日期：</w:t>
      </w:r>
    </w:p>
    <w:p w14:paraId="73E1A448">
      <w:pPr>
        <w:keepNext w:val="0"/>
        <w:keepLines w:val="0"/>
        <w:pageBreakBefore w:val="0"/>
        <w:widowControl w:val="0"/>
        <w:kinsoku/>
        <w:wordWrap/>
        <w:overflowPunct/>
        <w:topLinePunct w:val="0"/>
        <w:bidi w:val="0"/>
        <w:spacing w:line="360" w:lineRule="auto"/>
        <w:textAlignment w:val="auto"/>
        <w:rPr>
          <w:rFonts w:ascii="宋体" w:hAnsi="宋体" w:cs="宋体"/>
          <w:b/>
          <w:color w:val="auto"/>
          <w:szCs w:val="21"/>
          <w:highlight w:val="none"/>
        </w:rPr>
      </w:pPr>
    </w:p>
    <w:p w14:paraId="4E832218">
      <w:pPr>
        <w:keepNext w:val="0"/>
        <w:keepLines w:val="0"/>
        <w:pageBreakBefore w:val="0"/>
        <w:widowControl w:val="0"/>
        <w:kinsoku/>
        <w:wordWrap/>
        <w:overflowPunct/>
        <w:topLinePunct w:val="0"/>
        <w:bidi w:val="0"/>
        <w:spacing w:line="360" w:lineRule="auto"/>
        <w:textAlignment w:val="auto"/>
        <w:rPr>
          <w:rFonts w:ascii="宋体" w:hAnsi="宋体" w:cs="宋体"/>
          <w:b/>
          <w:color w:val="auto"/>
          <w:szCs w:val="21"/>
          <w:highlight w:val="none"/>
        </w:rPr>
      </w:pPr>
    </w:p>
    <w:p w14:paraId="26DD6150">
      <w:pPr>
        <w:keepNext w:val="0"/>
        <w:keepLines w:val="0"/>
        <w:pageBreakBefore w:val="0"/>
        <w:widowControl w:val="0"/>
        <w:kinsoku/>
        <w:wordWrap/>
        <w:overflowPunct/>
        <w:topLinePunct w:val="0"/>
        <w:bidi w:val="0"/>
        <w:spacing w:line="360" w:lineRule="auto"/>
        <w:textAlignment w:val="auto"/>
        <w:rPr>
          <w:rFonts w:ascii="宋体" w:hAnsi="宋体" w:cs="宋体"/>
          <w:b/>
          <w:color w:val="auto"/>
          <w:szCs w:val="21"/>
          <w:highlight w:val="none"/>
        </w:rPr>
      </w:pPr>
      <w:r>
        <w:rPr>
          <w:rFonts w:hint="eastAsia" w:ascii="宋体" w:hAnsi="宋体" w:cs="宋体"/>
          <w:b/>
          <w:color w:val="auto"/>
          <w:szCs w:val="21"/>
          <w:highlight w:val="none"/>
        </w:rPr>
        <w:t>附：法定代表人身份证复印件（正反面）、授权代表身份证复印件（正反面）：</w:t>
      </w:r>
    </w:p>
    <w:p w14:paraId="2EE960CE">
      <w:pPr>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color w:val="auto"/>
          <w:sz w:val="24"/>
          <w:highlight w:val="none"/>
        </w:rPr>
      </w:pPr>
    </w:p>
    <w:p w14:paraId="434444C7">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b/>
          <w:color w:val="auto"/>
          <w:kern w:val="0"/>
          <w:sz w:val="32"/>
          <w:szCs w:val="32"/>
          <w:highlight w:val="none"/>
          <w:lang w:val="zh-CN"/>
        </w:rPr>
        <w:t xml:space="preserve">      </w:t>
      </w:r>
      <w:r>
        <w:rPr>
          <w:rFonts w:hint="eastAsia" w:cs="仿宋" w:asciiTheme="majorEastAsia" w:hAnsiTheme="majorEastAsia" w:eastAsiaTheme="majorEastAsia"/>
          <w:b/>
          <w:color w:val="auto"/>
          <w:kern w:val="0"/>
          <w:sz w:val="32"/>
          <w:szCs w:val="32"/>
          <w:highlight w:val="none"/>
        </w:rPr>
        <w:t xml:space="preserve"> </w:t>
      </w:r>
    </w:p>
    <w:p w14:paraId="3093D7E3">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五、供应商情况</w:t>
      </w:r>
      <w:bookmarkEnd w:id="416"/>
      <w:bookmarkEnd w:id="417"/>
      <w:bookmarkEnd w:id="418"/>
      <w:bookmarkEnd w:id="419"/>
      <w:bookmarkEnd w:id="420"/>
      <w:bookmarkEnd w:id="421"/>
      <w:r>
        <w:rPr>
          <w:rFonts w:hint="eastAsia" w:cs="仿宋" w:asciiTheme="majorEastAsia" w:hAnsiTheme="majorEastAsia" w:eastAsiaTheme="majorEastAsia"/>
          <w:b/>
          <w:color w:val="auto"/>
          <w:kern w:val="0"/>
          <w:sz w:val="32"/>
          <w:szCs w:val="32"/>
          <w:highlight w:val="none"/>
          <w:lang w:val="zh-CN"/>
        </w:rPr>
        <w:t>表</w:t>
      </w:r>
    </w:p>
    <w:tbl>
      <w:tblPr>
        <w:tblStyle w:val="20"/>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1B6B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939AB1F">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投标人名称</w:t>
            </w:r>
          </w:p>
        </w:tc>
        <w:tc>
          <w:tcPr>
            <w:tcW w:w="7647" w:type="dxa"/>
            <w:gridSpan w:val="5"/>
            <w:vAlign w:val="center"/>
          </w:tcPr>
          <w:p w14:paraId="77E735D9">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r>
      <w:tr w14:paraId="12F3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3871FA4">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注册地址</w:t>
            </w:r>
          </w:p>
        </w:tc>
        <w:tc>
          <w:tcPr>
            <w:tcW w:w="2809" w:type="dxa"/>
            <w:gridSpan w:val="2"/>
            <w:vAlign w:val="center"/>
          </w:tcPr>
          <w:p w14:paraId="477D4311">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c>
          <w:tcPr>
            <w:tcW w:w="1786" w:type="dxa"/>
            <w:vAlign w:val="center"/>
          </w:tcPr>
          <w:p w14:paraId="5A73752C">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成立时间</w:t>
            </w:r>
          </w:p>
        </w:tc>
        <w:tc>
          <w:tcPr>
            <w:tcW w:w="3052" w:type="dxa"/>
            <w:gridSpan w:val="2"/>
            <w:vAlign w:val="center"/>
          </w:tcPr>
          <w:p w14:paraId="62171A31">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r>
      <w:tr w14:paraId="426C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D20DACA">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统一信用代码</w:t>
            </w:r>
          </w:p>
        </w:tc>
        <w:tc>
          <w:tcPr>
            <w:tcW w:w="2809" w:type="dxa"/>
            <w:gridSpan w:val="2"/>
            <w:vAlign w:val="center"/>
          </w:tcPr>
          <w:p w14:paraId="3E6BB069">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c>
          <w:tcPr>
            <w:tcW w:w="1786" w:type="dxa"/>
            <w:vAlign w:val="center"/>
          </w:tcPr>
          <w:p w14:paraId="57B9737C">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注册资金</w:t>
            </w:r>
          </w:p>
        </w:tc>
        <w:tc>
          <w:tcPr>
            <w:tcW w:w="3052" w:type="dxa"/>
            <w:gridSpan w:val="2"/>
            <w:vAlign w:val="center"/>
          </w:tcPr>
          <w:p w14:paraId="479016E1">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r>
      <w:tr w14:paraId="6AA9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5E97D42">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投标联系人姓名</w:t>
            </w:r>
          </w:p>
        </w:tc>
        <w:tc>
          <w:tcPr>
            <w:tcW w:w="1936" w:type="dxa"/>
            <w:vAlign w:val="center"/>
          </w:tcPr>
          <w:p w14:paraId="2AD9EA3B">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c>
          <w:tcPr>
            <w:tcW w:w="873" w:type="dxa"/>
            <w:vAlign w:val="center"/>
          </w:tcPr>
          <w:p w14:paraId="1700EC6A">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69E76823">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c>
          <w:tcPr>
            <w:tcW w:w="1200" w:type="dxa"/>
            <w:vAlign w:val="center"/>
          </w:tcPr>
          <w:p w14:paraId="63C93B5D">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14:paraId="0DC7A537">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r>
      <w:tr w14:paraId="2B4B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44B05C0">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法定代表人姓名</w:t>
            </w:r>
          </w:p>
        </w:tc>
        <w:tc>
          <w:tcPr>
            <w:tcW w:w="1936" w:type="dxa"/>
            <w:vAlign w:val="center"/>
          </w:tcPr>
          <w:p w14:paraId="3F7B29B5">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c>
          <w:tcPr>
            <w:tcW w:w="873" w:type="dxa"/>
            <w:vAlign w:val="center"/>
          </w:tcPr>
          <w:p w14:paraId="5D85D6AC">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4D227CDB">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c>
          <w:tcPr>
            <w:tcW w:w="1200" w:type="dxa"/>
            <w:vAlign w:val="center"/>
          </w:tcPr>
          <w:p w14:paraId="7C096F64">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14:paraId="2E3DC9D8">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r>
      <w:tr w14:paraId="53E0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1940889">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项目负责人姓名</w:t>
            </w:r>
          </w:p>
        </w:tc>
        <w:tc>
          <w:tcPr>
            <w:tcW w:w="1936" w:type="dxa"/>
            <w:vAlign w:val="center"/>
          </w:tcPr>
          <w:p w14:paraId="7C4D0A11">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c>
          <w:tcPr>
            <w:tcW w:w="873" w:type="dxa"/>
            <w:vAlign w:val="center"/>
          </w:tcPr>
          <w:p w14:paraId="3CB8FDCC">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3484950A">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c>
          <w:tcPr>
            <w:tcW w:w="1200" w:type="dxa"/>
            <w:vAlign w:val="center"/>
          </w:tcPr>
          <w:p w14:paraId="5081545A">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技术职称</w:t>
            </w:r>
          </w:p>
        </w:tc>
        <w:tc>
          <w:tcPr>
            <w:tcW w:w="1852" w:type="dxa"/>
            <w:vAlign w:val="center"/>
          </w:tcPr>
          <w:p w14:paraId="15F38743">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r>
      <w:tr w14:paraId="4049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2EC29CFB">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936" w:type="dxa"/>
            <w:vMerge w:val="restart"/>
            <w:vAlign w:val="center"/>
          </w:tcPr>
          <w:p w14:paraId="02249CFA">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c>
          <w:tcPr>
            <w:tcW w:w="873" w:type="dxa"/>
            <w:vMerge w:val="restart"/>
            <w:vAlign w:val="center"/>
          </w:tcPr>
          <w:p w14:paraId="083EFFDE">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w:t>
            </w:r>
          </w:p>
        </w:tc>
        <w:tc>
          <w:tcPr>
            <w:tcW w:w="1786" w:type="dxa"/>
            <w:vAlign w:val="center"/>
          </w:tcPr>
          <w:p w14:paraId="2D0D463A">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高级职称</w:t>
            </w:r>
          </w:p>
        </w:tc>
        <w:tc>
          <w:tcPr>
            <w:tcW w:w="3052" w:type="dxa"/>
            <w:gridSpan w:val="2"/>
            <w:vAlign w:val="center"/>
          </w:tcPr>
          <w:p w14:paraId="5D641271">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r>
      <w:tr w14:paraId="169E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390ED05B">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c>
          <w:tcPr>
            <w:tcW w:w="1936" w:type="dxa"/>
            <w:vMerge w:val="continue"/>
            <w:vAlign w:val="center"/>
          </w:tcPr>
          <w:p w14:paraId="26767D3D">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c>
          <w:tcPr>
            <w:tcW w:w="873" w:type="dxa"/>
            <w:vMerge w:val="continue"/>
            <w:vAlign w:val="center"/>
          </w:tcPr>
          <w:p w14:paraId="11D4E396">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c>
          <w:tcPr>
            <w:tcW w:w="1786" w:type="dxa"/>
            <w:vAlign w:val="center"/>
          </w:tcPr>
          <w:p w14:paraId="1121A62F">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中级职称</w:t>
            </w:r>
          </w:p>
        </w:tc>
        <w:tc>
          <w:tcPr>
            <w:tcW w:w="3052" w:type="dxa"/>
            <w:gridSpan w:val="2"/>
            <w:vAlign w:val="center"/>
          </w:tcPr>
          <w:p w14:paraId="1FE44FF7">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r>
      <w:tr w14:paraId="0A42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22517985">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c>
          <w:tcPr>
            <w:tcW w:w="1936" w:type="dxa"/>
            <w:vMerge w:val="continue"/>
            <w:vAlign w:val="center"/>
          </w:tcPr>
          <w:p w14:paraId="3E1DA08D">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c>
          <w:tcPr>
            <w:tcW w:w="873" w:type="dxa"/>
            <w:vMerge w:val="continue"/>
            <w:vAlign w:val="center"/>
          </w:tcPr>
          <w:p w14:paraId="2EDFAC3F">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c>
          <w:tcPr>
            <w:tcW w:w="1786" w:type="dxa"/>
            <w:vAlign w:val="center"/>
          </w:tcPr>
          <w:p w14:paraId="5CA537CE">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各类注册人员</w:t>
            </w:r>
          </w:p>
        </w:tc>
        <w:tc>
          <w:tcPr>
            <w:tcW w:w="3052" w:type="dxa"/>
            <w:gridSpan w:val="2"/>
            <w:vAlign w:val="center"/>
          </w:tcPr>
          <w:p w14:paraId="05F851F4">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r>
      <w:tr w14:paraId="7998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B798001">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基本账户开户银行</w:t>
            </w:r>
          </w:p>
        </w:tc>
        <w:tc>
          <w:tcPr>
            <w:tcW w:w="7647" w:type="dxa"/>
            <w:gridSpan w:val="5"/>
            <w:vAlign w:val="center"/>
          </w:tcPr>
          <w:p w14:paraId="6CE96071">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r>
      <w:tr w14:paraId="44FB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2180" w:type="dxa"/>
            <w:vAlign w:val="center"/>
          </w:tcPr>
          <w:p w14:paraId="13A54D55">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基本账户账号</w:t>
            </w:r>
          </w:p>
        </w:tc>
        <w:tc>
          <w:tcPr>
            <w:tcW w:w="7647" w:type="dxa"/>
            <w:gridSpan w:val="5"/>
            <w:vAlign w:val="center"/>
          </w:tcPr>
          <w:p w14:paraId="604D31F5">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r>
      <w:tr w14:paraId="12AB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3149794E">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经营范围</w:t>
            </w:r>
          </w:p>
        </w:tc>
        <w:tc>
          <w:tcPr>
            <w:tcW w:w="7647" w:type="dxa"/>
            <w:gridSpan w:val="5"/>
            <w:vAlign w:val="center"/>
          </w:tcPr>
          <w:p w14:paraId="536F9C63">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r>
      <w:tr w14:paraId="6AEE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2BE1BCA3">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备注</w:t>
            </w:r>
          </w:p>
        </w:tc>
        <w:tc>
          <w:tcPr>
            <w:tcW w:w="7647" w:type="dxa"/>
            <w:gridSpan w:val="5"/>
            <w:vAlign w:val="center"/>
          </w:tcPr>
          <w:p w14:paraId="3853D8F1">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r>
    </w:tbl>
    <w:p w14:paraId="72C8BF9B">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cs="仿宋" w:asciiTheme="majorEastAsia" w:hAnsiTheme="majorEastAsia" w:eastAsiaTheme="majorEastAsia"/>
          <w:b/>
          <w:bCs/>
          <w:color w:val="auto"/>
          <w:kern w:val="0"/>
          <w:sz w:val="24"/>
          <w:highlight w:val="none"/>
          <w:lang w:val="zh-CN"/>
        </w:rPr>
      </w:pPr>
      <w:r>
        <w:rPr>
          <w:rFonts w:hint="eastAsia" w:cs="仿宋" w:asciiTheme="majorEastAsia" w:hAnsiTheme="majorEastAsia" w:eastAsiaTheme="majorEastAsia"/>
          <w:b/>
          <w:bCs/>
          <w:color w:val="auto"/>
          <w:kern w:val="0"/>
          <w:sz w:val="24"/>
          <w:highlight w:val="none"/>
          <w:lang w:val="zh-CN"/>
        </w:rPr>
        <w:t>兹证明上述声明是真实、正确的，并提供了全部能提供的资料和数据，我们同意遵照贵方要求出示有关证明文件。</w:t>
      </w:r>
    </w:p>
    <w:p w14:paraId="50D69942">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p w14:paraId="3319A211">
      <w:pPr>
        <w:pStyle w:val="2"/>
        <w:keepNext w:val="0"/>
        <w:keepLines w:val="0"/>
        <w:pageBreakBefore w:val="0"/>
        <w:widowControl w:val="0"/>
        <w:kinsoku/>
        <w:wordWrap/>
        <w:overflowPunct/>
        <w:topLinePunct w:val="0"/>
        <w:bidi w:val="0"/>
        <w:spacing w:line="360" w:lineRule="auto"/>
        <w:ind w:firstLine="560"/>
        <w:textAlignment w:val="auto"/>
        <w:rPr>
          <w:rFonts w:cs="仿宋" w:asciiTheme="majorEastAsia" w:hAnsiTheme="majorEastAsia" w:eastAsiaTheme="majorEastAsia"/>
          <w:color w:val="auto"/>
          <w:highlight w:val="none"/>
          <w:lang w:val="zh-CN"/>
        </w:rPr>
      </w:pPr>
    </w:p>
    <w:p w14:paraId="17CCA09B">
      <w:pPr>
        <w:keepNext w:val="0"/>
        <w:keepLines w:val="0"/>
        <w:pageBreakBefore w:val="0"/>
        <w:widowControl w:val="0"/>
        <w:kinsoku/>
        <w:wordWrap/>
        <w:overflowPunct/>
        <w:topLinePunct w:val="0"/>
        <w:bidi w:val="0"/>
        <w:adjustRightInd w:val="0"/>
        <w:snapToGrid w:val="0"/>
        <w:spacing w:line="360" w:lineRule="auto"/>
        <w:ind w:firstLine="4080" w:firstLineChars="1700"/>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27744302">
      <w:pPr>
        <w:keepNext w:val="0"/>
        <w:keepLines w:val="0"/>
        <w:pageBreakBefore w:val="0"/>
        <w:widowControl w:val="0"/>
        <w:kinsoku/>
        <w:wordWrap/>
        <w:overflowPunct/>
        <w:topLinePunct w:val="0"/>
        <w:bidi w:val="0"/>
        <w:adjustRightInd w:val="0"/>
        <w:snapToGrid w:val="0"/>
        <w:spacing w:line="360" w:lineRule="auto"/>
        <w:ind w:firstLine="4080" w:firstLineChars="1700"/>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69F44652">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p>
    <w:p w14:paraId="4AFF8FAD">
      <w:pPr>
        <w:keepNext w:val="0"/>
        <w:keepLines w:val="0"/>
        <w:pageBreakBefore w:val="0"/>
        <w:widowControl w:val="0"/>
        <w:numPr>
          <w:ilvl w:val="0"/>
          <w:numId w:val="0"/>
        </w:numPr>
        <w:kinsoku/>
        <w:wordWrap/>
        <w:overflowPunct/>
        <w:topLinePunct w:val="0"/>
        <w:bidi w:val="0"/>
        <w:snapToGrid w:val="0"/>
        <w:spacing w:line="360" w:lineRule="auto"/>
        <w:jc w:val="center"/>
        <w:textAlignment w:val="auto"/>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六、距采购人最近或者能为本项目提供最优服务的网点情况表</w:t>
      </w:r>
    </w:p>
    <w:p w14:paraId="7F5326F2">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21C52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1082033">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6DC2EC38">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r>
      <w:tr w14:paraId="33074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172664E">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BE466D8">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r>
      <w:tr w14:paraId="6DAA9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E837F46">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14:paraId="363DCFCD">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0DE119AD">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14:paraId="5B3DDA2C">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r>
      <w:tr w14:paraId="05BD7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7812CF7">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14:paraId="4C4FF178">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25830E24">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14:paraId="1BB1D2E2">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r>
      <w:tr w14:paraId="3A05B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BBC299C">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23694F80">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r>
      <w:tr w14:paraId="402FA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CCAC4FA">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75186A4E">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r>
      <w:tr w14:paraId="53AAA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1347ECA">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74FDC005">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r>
      <w:tr w14:paraId="0D64B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EA1A254">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F62A8E7">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r>
      <w:tr w14:paraId="3E904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4A57647">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833D346">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r>
      <w:tr w14:paraId="37052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E2B71F2">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1B98E1BE">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56A27CE7">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14:paraId="2ED2F15D">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r>
      <w:tr w14:paraId="43542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2091301">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56FC68D0">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01621714">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14:paraId="15EDD82F">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p>
        </w:tc>
      </w:tr>
    </w:tbl>
    <w:p w14:paraId="0398A945">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p w14:paraId="004DCD47">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p w14:paraId="2974E4EE">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highlight w:val="none"/>
        </w:rPr>
        <w:t xml:space="preserve">       </w:t>
      </w:r>
    </w:p>
    <w:p w14:paraId="0719583A">
      <w:pPr>
        <w:keepNext w:val="0"/>
        <w:keepLines w:val="0"/>
        <w:pageBreakBefore w:val="0"/>
        <w:widowControl w:val="0"/>
        <w:kinsoku/>
        <w:wordWrap/>
        <w:overflowPunct/>
        <w:topLinePunct w:val="0"/>
        <w:bidi w:val="0"/>
        <w:adjustRightInd w:val="0"/>
        <w:snapToGrid w:val="0"/>
        <w:spacing w:line="360" w:lineRule="auto"/>
        <w:ind w:left="3990" w:leftChars="1900"/>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4D155A89">
      <w:pPr>
        <w:keepNext w:val="0"/>
        <w:keepLines w:val="0"/>
        <w:pageBreakBefore w:val="0"/>
        <w:widowControl w:val="0"/>
        <w:kinsoku/>
        <w:wordWrap/>
        <w:overflowPunct/>
        <w:topLinePunct w:val="0"/>
        <w:bidi w:val="0"/>
        <w:adjustRightInd w:val="0"/>
        <w:snapToGrid w:val="0"/>
        <w:spacing w:line="360" w:lineRule="auto"/>
        <w:ind w:left="3990" w:leftChars="1900"/>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50EFC66C">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28423F64">
      <w:pPr>
        <w:keepNext w:val="0"/>
        <w:keepLines w:val="0"/>
        <w:pageBreakBefore w:val="0"/>
        <w:widowControl w:val="0"/>
        <w:numPr>
          <w:ilvl w:val="0"/>
          <w:numId w:val="0"/>
        </w:numPr>
        <w:kinsoku/>
        <w:wordWrap/>
        <w:overflowPunct/>
        <w:topLinePunct w:val="0"/>
        <w:bidi w:val="0"/>
        <w:snapToGrid w:val="0"/>
        <w:spacing w:line="360" w:lineRule="auto"/>
        <w:jc w:val="center"/>
        <w:textAlignment w:val="auto"/>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七、评标标准相应的商务技术资料</w:t>
      </w:r>
    </w:p>
    <w:p w14:paraId="2CADD281">
      <w:pPr>
        <w:keepNext w:val="0"/>
        <w:keepLines w:val="0"/>
        <w:pageBreakBefore w:val="0"/>
        <w:widowControl w:val="0"/>
        <w:kinsoku/>
        <w:wordWrap/>
        <w:overflowPunct/>
        <w:topLinePunct w:val="0"/>
        <w:bidi w:val="0"/>
        <w:snapToGrid w:val="0"/>
        <w:spacing w:line="360" w:lineRule="auto"/>
        <w:jc w:val="left"/>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（按招标文件第四部分评标办法前附表中“投标文件中评标标准相应的商务技术资料目录”提供资料）</w:t>
      </w:r>
    </w:p>
    <w:p w14:paraId="6FDD8885">
      <w:pPr>
        <w:pStyle w:val="2"/>
        <w:keepNext w:val="0"/>
        <w:keepLines w:val="0"/>
        <w:pageBreakBefore w:val="0"/>
        <w:widowControl w:val="0"/>
        <w:kinsoku/>
        <w:wordWrap/>
        <w:overflowPunct/>
        <w:topLinePunct w:val="0"/>
        <w:bidi w:val="0"/>
        <w:ind w:firstLine="560"/>
        <w:textAlignment w:val="auto"/>
        <w:rPr>
          <w:rFonts w:asciiTheme="majorEastAsia" w:hAnsiTheme="majorEastAsia" w:eastAsiaTheme="majorEastAsia"/>
          <w:color w:val="auto"/>
          <w:highlight w:val="none"/>
          <w:lang w:val="zh-CN"/>
        </w:rPr>
      </w:pPr>
    </w:p>
    <w:p w14:paraId="2B91DEEE">
      <w:pPr>
        <w:keepNext w:val="0"/>
        <w:keepLines w:val="0"/>
        <w:pageBreakBefore w:val="0"/>
        <w:widowControl w:val="0"/>
        <w:numPr>
          <w:ilvl w:val="0"/>
          <w:numId w:val="0"/>
        </w:numPr>
        <w:kinsoku/>
        <w:wordWrap/>
        <w:overflowPunct/>
        <w:topLinePunct w:val="0"/>
        <w:bidi w:val="0"/>
        <w:snapToGrid w:val="0"/>
        <w:spacing w:line="360" w:lineRule="auto"/>
        <w:jc w:val="center"/>
        <w:textAlignment w:val="auto"/>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八、商务</w:t>
      </w:r>
      <w:r>
        <w:rPr>
          <w:rFonts w:hint="eastAsia" w:cs="仿宋" w:asciiTheme="majorEastAsia" w:hAnsiTheme="majorEastAsia" w:eastAsiaTheme="majorEastAsia"/>
          <w:b/>
          <w:color w:val="auto"/>
          <w:kern w:val="0"/>
          <w:sz w:val="32"/>
          <w:szCs w:val="32"/>
          <w:highlight w:val="none"/>
          <w:lang w:val="en-US" w:eastAsia="zh-CN"/>
        </w:rPr>
        <w:t>响应</w:t>
      </w:r>
      <w:r>
        <w:rPr>
          <w:rFonts w:hint="eastAsia" w:cs="仿宋" w:asciiTheme="majorEastAsia" w:hAnsiTheme="majorEastAsia" w:eastAsiaTheme="majorEastAsia"/>
          <w:b/>
          <w:color w:val="auto"/>
          <w:kern w:val="0"/>
          <w:sz w:val="32"/>
          <w:szCs w:val="32"/>
          <w:highlight w:val="none"/>
          <w:lang w:val="zh-CN"/>
        </w:rPr>
        <w:t>表</w:t>
      </w:r>
    </w:p>
    <w:tbl>
      <w:tblPr>
        <w:tblStyle w:val="2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72"/>
        <w:gridCol w:w="3285"/>
        <w:gridCol w:w="1948"/>
      </w:tblGrid>
      <w:tr w14:paraId="4620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1C6E9A">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272" w:type="dxa"/>
          </w:tcPr>
          <w:p w14:paraId="21907EA6">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285" w:type="dxa"/>
          </w:tcPr>
          <w:p w14:paraId="55C19BDA">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948" w:type="dxa"/>
          </w:tcPr>
          <w:p w14:paraId="660C306A">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响应或偏离说明</w:t>
            </w:r>
          </w:p>
        </w:tc>
      </w:tr>
      <w:tr w14:paraId="31AE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3B2DA6">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272" w:type="dxa"/>
          </w:tcPr>
          <w:p w14:paraId="76D44411">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color w:val="auto"/>
                <w:kern w:val="0"/>
                <w:sz w:val="32"/>
                <w:szCs w:val="32"/>
                <w:highlight w:val="none"/>
              </w:rPr>
            </w:pPr>
          </w:p>
        </w:tc>
        <w:tc>
          <w:tcPr>
            <w:tcW w:w="3285" w:type="dxa"/>
          </w:tcPr>
          <w:p w14:paraId="221DCB5E">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color w:val="auto"/>
                <w:kern w:val="0"/>
                <w:sz w:val="32"/>
                <w:szCs w:val="32"/>
                <w:highlight w:val="none"/>
              </w:rPr>
            </w:pPr>
          </w:p>
        </w:tc>
        <w:tc>
          <w:tcPr>
            <w:tcW w:w="1948" w:type="dxa"/>
          </w:tcPr>
          <w:p w14:paraId="02EB43B7">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color w:val="auto"/>
                <w:kern w:val="0"/>
                <w:sz w:val="32"/>
                <w:szCs w:val="32"/>
                <w:highlight w:val="none"/>
              </w:rPr>
            </w:pPr>
          </w:p>
        </w:tc>
      </w:tr>
      <w:tr w14:paraId="2604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BC22A3">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272" w:type="dxa"/>
          </w:tcPr>
          <w:p w14:paraId="2ADF4CC5">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color w:val="auto"/>
                <w:kern w:val="0"/>
                <w:sz w:val="32"/>
                <w:szCs w:val="32"/>
                <w:highlight w:val="none"/>
              </w:rPr>
            </w:pPr>
          </w:p>
        </w:tc>
        <w:tc>
          <w:tcPr>
            <w:tcW w:w="3285" w:type="dxa"/>
          </w:tcPr>
          <w:p w14:paraId="2B4EB81C">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color w:val="auto"/>
                <w:kern w:val="0"/>
                <w:sz w:val="32"/>
                <w:szCs w:val="32"/>
                <w:highlight w:val="none"/>
              </w:rPr>
            </w:pPr>
          </w:p>
        </w:tc>
        <w:tc>
          <w:tcPr>
            <w:tcW w:w="1948" w:type="dxa"/>
          </w:tcPr>
          <w:p w14:paraId="3DAD7B67">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color w:val="auto"/>
                <w:kern w:val="0"/>
                <w:sz w:val="32"/>
                <w:szCs w:val="32"/>
                <w:highlight w:val="none"/>
              </w:rPr>
            </w:pPr>
          </w:p>
        </w:tc>
      </w:tr>
      <w:tr w14:paraId="3039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2FE2F1">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272" w:type="dxa"/>
          </w:tcPr>
          <w:p w14:paraId="459BA03C">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color w:val="auto"/>
                <w:kern w:val="0"/>
                <w:sz w:val="32"/>
                <w:szCs w:val="32"/>
                <w:highlight w:val="none"/>
              </w:rPr>
            </w:pPr>
          </w:p>
        </w:tc>
        <w:tc>
          <w:tcPr>
            <w:tcW w:w="3285" w:type="dxa"/>
          </w:tcPr>
          <w:p w14:paraId="391868A5">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color w:val="auto"/>
                <w:kern w:val="0"/>
                <w:sz w:val="32"/>
                <w:szCs w:val="32"/>
                <w:highlight w:val="none"/>
              </w:rPr>
            </w:pPr>
          </w:p>
        </w:tc>
        <w:tc>
          <w:tcPr>
            <w:tcW w:w="1948" w:type="dxa"/>
          </w:tcPr>
          <w:p w14:paraId="4DFB69F1">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color w:val="auto"/>
                <w:kern w:val="0"/>
                <w:sz w:val="32"/>
                <w:szCs w:val="32"/>
                <w:highlight w:val="none"/>
              </w:rPr>
            </w:pPr>
          </w:p>
        </w:tc>
      </w:tr>
    </w:tbl>
    <w:p w14:paraId="012FAD51">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cs="仿宋" w:asciiTheme="majorEastAsia" w:hAnsiTheme="majorEastAsia" w:eastAsiaTheme="majorEastAsia"/>
          <w:color w:val="auto"/>
          <w:kern w:val="0"/>
          <w:sz w:val="24"/>
          <w:highlight w:val="none"/>
          <w:lang w:eastAsia="zh-CN"/>
        </w:rPr>
      </w:pPr>
      <w:r>
        <w:rPr>
          <w:rFonts w:hint="eastAsia" w:cs="仿宋" w:asciiTheme="majorEastAsia" w:hAnsiTheme="majorEastAsia" w:eastAsiaTheme="majorEastAsia"/>
          <w:color w:val="auto"/>
          <w:kern w:val="0"/>
          <w:sz w:val="24"/>
          <w:highlight w:val="none"/>
          <w:lang w:val="zh-CN"/>
        </w:rPr>
        <w:t>备注</w:t>
      </w:r>
      <w:r>
        <w:rPr>
          <w:rFonts w:hint="eastAsia" w:cs="仿宋" w:asciiTheme="majorEastAsia" w:hAnsiTheme="majorEastAsia" w:eastAsiaTheme="majorEastAsia"/>
          <w:color w:val="auto"/>
          <w:kern w:val="0"/>
          <w:sz w:val="24"/>
          <w:highlight w:val="none"/>
        </w:rPr>
        <w:t>：此表根据“第三部分采购需求”商务要求逐</w:t>
      </w:r>
      <w:r>
        <w:rPr>
          <w:rFonts w:hint="eastAsia" w:cs="仿宋" w:asciiTheme="majorEastAsia" w:hAnsiTheme="majorEastAsia" w:eastAsiaTheme="majorEastAsia"/>
          <w:color w:val="auto"/>
          <w:kern w:val="0"/>
          <w:sz w:val="24"/>
          <w:highlight w:val="none"/>
          <w:lang w:eastAsia="zh-CN"/>
        </w:rPr>
        <w:t>条</w:t>
      </w:r>
      <w:r>
        <w:rPr>
          <w:rFonts w:hint="eastAsia" w:cs="仿宋" w:asciiTheme="majorEastAsia" w:hAnsiTheme="majorEastAsia" w:eastAsiaTheme="majorEastAsia"/>
          <w:color w:val="auto"/>
          <w:kern w:val="0"/>
          <w:sz w:val="24"/>
          <w:highlight w:val="none"/>
        </w:rPr>
        <w:t>填写</w:t>
      </w:r>
      <w:r>
        <w:rPr>
          <w:rFonts w:hint="eastAsia" w:cs="仿宋" w:asciiTheme="majorEastAsia" w:hAnsiTheme="majorEastAsia" w:eastAsiaTheme="majorEastAsia"/>
          <w:color w:val="auto"/>
          <w:kern w:val="0"/>
          <w:sz w:val="24"/>
          <w:highlight w:val="none"/>
          <w:lang w:eastAsia="zh-CN"/>
        </w:rPr>
        <w:t>。</w:t>
      </w:r>
    </w:p>
    <w:p w14:paraId="047DDFFF">
      <w:pPr>
        <w:keepNext w:val="0"/>
        <w:keepLines w:val="0"/>
        <w:pageBreakBefore w:val="0"/>
        <w:widowControl w:val="0"/>
        <w:kinsoku/>
        <w:wordWrap/>
        <w:overflowPunct/>
        <w:topLinePunct w:val="0"/>
        <w:bidi w:val="0"/>
        <w:adjustRightInd w:val="0"/>
        <w:snapToGrid w:val="0"/>
        <w:spacing w:line="360" w:lineRule="auto"/>
        <w:jc w:val="right"/>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4DA8A83D">
      <w:pPr>
        <w:keepNext w:val="0"/>
        <w:keepLines w:val="0"/>
        <w:pageBreakBefore w:val="0"/>
        <w:widowControl w:val="0"/>
        <w:kinsoku/>
        <w:wordWrap/>
        <w:overflowPunct/>
        <w:topLinePunct w:val="0"/>
        <w:bidi w:val="0"/>
        <w:adjustRightInd w:val="0"/>
        <w:snapToGrid w:val="0"/>
        <w:spacing w:line="360" w:lineRule="auto"/>
        <w:ind w:left="3990" w:leftChars="1900"/>
        <w:jc w:val="center"/>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166DD0A5">
      <w:pPr>
        <w:keepNext w:val="0"/>
        <w:keepLines w:val="0"/>
        <w:pageBreakBefore w:val="0"/>
        <w:widowControl w:val="0"/>
        <w:kinsoku/>
        <w:wordWrap/>
        <w:overflowPunct/>
        <w:topLinePunct w:val="0"/>
        <w:bidi w:val="0"/>
        <w:adjustRightInd w:val="0"/>
        <w:snapToGrid w:val="0"/>
        <w:spacing w:line="360" w:lineRule="auto"/>
        <w:ind w:right="1920"/>
        <w:jc w:val="center"/>
        <w:textAlignment w:val="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43EA1CF9">
      <w:pPr>
        <w:keepNext w:val="0"/>
        <w:keepLines w:val="0"/>
        <w:pageBreakBefore w:val="0"/>
        <w:widowControl w:val="0"/>
        <w:kinsoku/>
        <w:wordWrap/>
        <w:overflowPunct/>
        <w:topLinePunct w:val="0"/>
        <w:bidi w:val="0"/>
        <w:jc w:val="left"/>
        <w:textAlignment w:val="auto"/>
        <w:rPr>
          <w:rFonts w:asciiTheme="majorEastAsia" w:hAnsiTheme="majorEastAsia" w:eastAsiaTheme="majorEastAsia"/>
          <w:color w:val="auto"/>
          <w:sz w:val="28"/>
          <w:highlight w:val="none"/>
          <w:lang w:val="zh-CN"/>
        </w:rPr>
      </w:pPr>
    </w:p>
    <w:p w14:paraId="511785C3">
      <w:pPr>
        <w:keepNext w:val="0"/>
        <w:keepLines w:val="0"/>
        <w:pageBreakBefore w:val="0"/>
        <w:widowControl w:val="0"/>
        <w:kinsoku/>
        <w:wordWrap/>
        <w:overflowPunct/>
        <w:topLinePunct w:val="0"/>
        <w:bidi w:val="0"/>
        <w:jc w:val="left"/>
        <w:textAlignment w:val="auto"/>
        <w:rPr>
          <w:rFonts w:asciiTheme="majorEastAsia" w:hAnsiTheme="majorEastAsia" w:eastAsiaTheme="majorEastAsia"/>
          <w:color w:val="auto"/>
          <w:sz w:val="28"/>
          <w:highlight w:val="none"/>
          <w:lang w:val="zh-CN"/>
        </w:rPr>
      </w:pPr>
      <w:r>
        <w:rPr>
          <w:rFonts w:asciiTheme="majorEastAsia" w:hAnsiTheme="majorEastAsia" w:eastAsiaTheme="majorEastAsia"/>
          <w:color w:val="auto"/>
          <w:highlight w:val="none"/>
          <w:lang w:val="zh-CN"/>
        </w:rPr>
        <w:br w:type="page"/>
      </w:r>
    </w:p>
    <w:p w14:paraId="19845B24">
      <w:pPr>
        <w:keepNext w:val="0"/>
        <w:keepLines w:val="0"/>
        <w:pageBreakBefore w:val="0"/>
        <w:widowControl w:val="0"/>
        <w:numPr>
          <w:ilvl w:val="0"/>
          <w:numId w:val="0"/>
        </w:numPr>
        <w:kinsoku/>
        <w:wordWrap/>
        <w:overflowPunct/>
        <w:topLinePunct w:val="0"/>
        <w:bidi w:val="0"/>
        <w:snapToGrid w:val="0"/>
        <w:spacing w:line="360" w:lineRule="auto"/>
        <w:jc w:val="center"/>
        <w:textAlignment w:val="auto"/>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九、</w:t>
      </w:r>
      <w:r>
        <w:rPr>
          <w:rFonts w:hint="eastAsia" w:cs="仿宋" w:asciiTheme="majorEastAsia" w:hAnsiTheme="majorEastAsia" w:eastAsiaTheme="majorEastAsia"/>
          <w:b/>
          <w:color w:val="auto"/>
          <w:kern w:val="0"/>
          <w:sz w:val="32"/>
          <w:szCs w:val="32"/>
          <w:highlight w:val="none"/>
          <w:lang w:val="en-US" w:eastAsia="zh-CN"/>
        </w:rPr>
        <w:t>技术响应</w:t>
      </w:r>
      <w:r>
        <w:rPr>
          <w:rFonts w:hint="eastAsia" w:cs="仿宋" w:asciiTheme="majorEastAsia" w:hAnsiTheme="majorEastAsia" w:eastAsiaTheme="majorEastAsia"/>
          <w:b/>
          <w:color w:val="auto"/>
          <w:kern w:val="0"/>
          <w:sz w:val="32"/>
          <w:szCs w:val="32"/>
          <w:highlight w:val="none"/>
          <w:lang w:val="zh-CN"/>
        </w:rPr>
        <w:t>表</w:t>
      </w:r>
    </w:p>
    <w:tbl>
      <w:tblPr>
        <w:tblStyle w:val="2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27"/>
        <w:gridCol w:w="3270"/>
        <w:gridCol w:w="2008"/>
      </w:tblGrid>
      <w:tr w14:paraId="2CC8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D08935">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227" w:type="dxa"/>
          </w:tcPr>
          <w:p w14:paraId="6305B9A8">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270" w:type="dxa"/>
          </w:tcPr>
          <w:p w14:paraId="2CF7F862">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2008" w:type="dxa"/>
          </w:tcPr>
          <w:p w14:paraId="5B96CA3B">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响应或偏离说明</w:t>
            </w:r>
          </w:p>
        </w:tc>
      </w:tr>
      <w:tr w14:paraId="2F6B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29C199">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227" w:type="dxa"/>
          </w:tcPr>
          <w:p w14:paraId="6226532C">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color w:val="auto"/>
                <w:kern w:val="0"/>
                <w:sz w:val="32"/>
                <w:szCs w:val="32"/>
                <w:highlight w:val="none"/>
              </w:rPr>
            </w:pPr>
          </w:p>
        </w:tc>
        <w:tc>
          <w:tcPr>
            <w:tcW w:w="3270" w:type="dxa"/>
          </w:tcPr>
          <w:p w14:paraId="6871A49C">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color w:val="auto"/>
                <w:kern w:val="0"/>
                <w:sz w:val="32"/>
                <w:szCs w:val="32"/>
                <w:highlight w:val="none"/>
              </w:rPr>
            </w:pPr>
          </w:p>
        </w:tc>
        <w:tc>
          <w:tcPr>
            <w:tcW w:w="2008" w:type="dxa"/>
          </w:tcPr>
          <w:p w14:paraId="04FA4D93">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color w:val="auto"/>
                <w:kern w:val="0"/>
                <w:sz w:val="32"/>
                <w:szCs w:val="32"/>
                <w:highlight w:val="none"/>
              </w:rPr>
            </w:pPr>
          </w:p>
        </w:tc>
      </w:tr>
      <w:tr w14:paraId="5D94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C1EE83">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227" w:type="dxa"/>
          </w:tcPr>
          <w:p w14:paraId="70A1D20C">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color w:val="auto"/>
                <w:kern w:val="0"/>
                <w:sz w:val="32"/>
                <w:szCs w:val="32"/>
                <w:highlight w:val="none"/>
              </w:rPr>
            </w:pPr>
          </w:p>
        </w:tc>
        <w:tc>
          <w:tcPr>
            <w:tcW w:w="3270" w:type="dxa"/>
          </w:tcPr>
          <w:p w14:paraId="59D38914">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color w:val="auto"/>
                <w:kern w:val="0"/>
                <w:sz w:val="32"/>
                <w:szCs w:val="32"/>
                <w:highlight w:val="none"/>
              </w:rPr>
            </w:pPr>
          </w:p>
        </w:tc>
        <w:tc>
          <w:tcPr>
            <w:tcW w:w="2008" w:type="dxa"/>
          </w:tcPr>
          <w:p w14:paraId="35AECE17">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color w:val="auto"/>
                <w:kern w:val="0"/>
                <w:sz w:val="32"/>
                <w:szCs w:val="32"/>
                <w:highlight w:val="none"/>
              </w:rPr>
            </w:pPr>
          </w:p>
        </w:tc>
      </w:tr>
      <w:tr w14:paraId="0E4C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7E206A">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227" w:type="dxa"/>
          </w:tcPr>
          <w:p w14:paraId="6AC6BECC">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color w:val="auto"/>
                <w:kern w:val="0"/>
                <w:sz w:val="32"/>
                <w:szCs w:val="32"/>
                <w:highlight w:val="none"/>
              </w:rPr>
            </w:pPr>
          </w:p>
        </w:tc>
        <w:tc>
          <w:tcPr>
            <w:tcW w:w="3270" w:type="dxa"/>
          </w:tcPr>
          <w:p w14:paraId="2BED1B36">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color w:val="auto"/>
                <w:kern w:val="0"/>
                <w:sz w:val="32"/>
                <w:szCs w:val="32"/>
                <w:highlight w:val="none"/>
              </w:rPr>
            </w:pPr>
          </w:p>
        </w:tc>
        <w:tc>
          <w:tcPr>
            <w:tcW w:w="2008" w:type="dxa"/>
          </w:tcPr>
          <w:p w14:paraId="447FB8AB">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color w:val="auto"/>
                <w:kern w:val="0"/>
                <w:sz w:val="32"/>
                <w:szCs w:val="32"/>
                <w:highlight w:val="none"/>
              </w:rPr>
            </w:pPr>
          </w:p>
        </w:tc>
      </w:tr>
    </w:tbl>
    <w:p w14:paraId="29C4008B">
      <w:pPr>
        <w:keepNext w:val="0"/>
        <w:keepLines w:val="0"/>
        <w:pageBreakBefore w:val="0"/>
        <w:widowControl w:val="0"/>
        <w:kinsoku/>
        <w:wordWrap/>
        <w:overflowPunct/>
        <w:topLinePunct w:val="0"/>
        <w:bidi w:val="0"/>
        <w:spacing w:line="360" w:lineRule="auto"/>
        <w:jc w:val="left"/>
        <w:textAlignment w:val="auto"/>
        <w:rPr>
          <w:rFonts w:hint="eastAsia" w:cs="仿宋" w:asciiTheme="majorEastAsia" w:hAnsiTheme="majorEastAsia" w:eastAsiaTheme="majorEastAsia"/>
          <w:color w:val="auto"/>
          <w:kern w:val="0"/>
          <w:sz w:val="24"/>
          <w:highlight w:val="none"/>
          <w:lang w:eastAsia="zh-CN"/>
        </w:rPr>
      </w:pPr>
      <w:r>
        <w:rPr>
          <w:rFonts w:hint="eastAsia" w:cs="仿宋" w:asciiTheme="majorEastAsia" w:hAnsiTheme="majorEastAsia" w:eastAsiaTheme="majorEastAsia"/>
          <w:color w:val="auto"/>
          <w:kern w:val="0"/>
          <w:sz w:val="24"/>
          <w:highlight w:val="none"/>
          <w:lang w:val="zh-CN"/>
        </w:rPr>
        <w:t>备注</w:t>
      </w:r>
      <w:r>
        <w:rPr>
          <w:rFonts w:hint="eastAsia" w:cs="仿宋" w:asciiTheme="majorEastAsia" w:hAnsiTheme="majorEastAsia" w:eastAsiaTheme="majorEastAsia"/>
          <w:color w:val="auto"/>
          <w:kern w:val="0"/>
          <w:sz w:val="24"/>
          <w:highlight w:val="none"/>
        </w:rPr>
        <w:t>：此表根据“第三部分采购需求”</w:t>
      </w:r>
      <w:r>
        <w:rPr>
          <w:rFonts w:hint="eastAsia" w:cs="仿宋" w:asciiTheme="majorEastAsia" w:hAnsiTheme="majorEastAsia" w:eastAsiaTheme="majorEastAsia"/>
          <w:color w:val="auto"/>
          <w:kern w:val="0"/>
          <w:sz w:val="24"/>
          <w:highlight w:val="none"/>
          <w:lang w:val="en-US" w:eastAsia="zh-CN"/>
        </w:rPr>
        <w:t>技术要求</w:t>
      </w:r>
      <w:r>
        <w:rPr>
          <w:rFonts w:hint="eastAsia" w:cs="仿宋" w:asciiTheme="majorEastAsia" w:hAnsiTheme="majorEastAsia" w:eastAsiaTheme="majorEastAsia"/>
          <w:color w:val="auto"/>
          <w:kern w:val="0"/>
          <w:sz w:val="24"/>
          <w:highlight w:val="none"/>
        </w:rPr>
        <w:t>逐</w:t>
      </w:r>
      <w:r>
        <w:rPr>
          <w:rFonts w:hint="eastAsia" w:cs="仿宋" w:asciiTheme="majorEastAsia" w:hAnsiTheme="majorEastAsia" w:eastAsiaTheme="majorEastAsia"/>
          <w:color w:val="auto"/>
          <w:kern w:val="0"/>
          <w:sz w:val="24"/>
          <w:highlight w:val="none"/>
          <w:lang w:eastAsia="zh-CN"/>
        </w:rPr>
        <w:t>条</w:t>
      </w:r>
      <w:r>
        <w:rPr>
          <w:rFonts w:hint="eastAsia" w:cs="仿宋" w:asciiTheme="majorEastAsia" w:hAnsiTheme="majorEastAsia" w:eastAsiaTheme="majorEastAsia"/>
          <w:color w:val="auto"/>
          <w:kern w:val="0"/>
          <w:sz w:val="24"/>
          <w:highlight w:val="none"/>
        </w:rPr>
        <w:t>填写</w:t>
      </w:r>
      <w:r>
        <w:rPr>
          <w:rFonts w:hint="eastAsia" w:cs="仿宋" w:asciiTheme="majorEastAsia" w:hAnsiTheme="majorEastAsia" w:eastAsiaTheme="majorEastAsia"/>
          <w:color w:val="auto"/>
          <w:kern w:val="0"/>
          <w:sz w:val="24"/>
          <w:highlight w:val="none"/>
          <w:lang w:eastAsia="zh-CN"/>
        </w:rPr>
        <w:t>。</w:t>
      </w:r>
    </w:p>
    <w:p w14:paraId="5C69FAD1">
      <w:pPr>
        <w:keepNext w:val="0"/>
        <w:keepLines w:val="0"/>
        <w:pageBreakBefore w:val="0"/>
        <w:widowControl w:val="0"/>
        <w:kinsoku/>
        <w:wordWrap/>
        <w:overflowPunct/>
        <w:topLinePunct w:val="0"/>
        <w:bidi w:val="0"/>
        <w:spacing w:line="360" w:lineRule="auto"/>
        <w:jc w:val="right"/>
        <w:textAlignment w:val="auto"/>
        <w:rPr>
          <w:rFonts w:ascii="宋体" w:hAnsi="宋体" w:cs="宋体"/>
          <w:color w:val="auto"/>
          <w:highlight w:val="none"/>
        </w:rPr>
      </w:pPr>
      <w:r>
        <w:rPr>
          <w:rFonts w:hint="eastAsia" w:ascii="宋体" w:hAnsi="宋体" w:cs="宋体"/>
          <w:color w:val="auto"/>
          <w:highlight w:val="none"/>
        </w:rPr>
        <w:t>法定代表人或其授权委托人（签名或印章）：</w:t>
      </w:r>
    </w:p>
    <w:p w14:paraId="451A4D2F">
      <w:pPr>
        <w:keepNext w:val="0"/>
        <w:keepLines w:val="0"/>
        <w:pageBreakBefore w:val="0"/>
        <w:widowControl w:val="0"/>
        <w:kinsoku/>
        <w:wordWrap/>
        <w:overflowPunct/>
        <w:topLinePunct w:val="0"/>
        <w:bidi w:val="0"/>
        <w:spacing w:line="360" w:lineRule="auto"/>
        <w:ind w:firstLine="4830" w:firstLineChars="2300"/>
        <w:textAlignment w:val="auto"/>
        <w:rPr>
          <w:rFonts w:ascii="宋体" w:hAnsi="宋体" w:cs="宋体"/>
          <w:color w:val="auto"/>
          <w:highlight w:val="none"/>
        </w:rPr>
      </w:pPr>
      <w:r>
        <w:rPr>
          <w:rFonts w:hint="eastAsia" w:ascii="宋体" w:hAnsi="宋体" w:cs="宋体"/>
          <w:color w:val="auto"/>
          <w:highlight w:val="none"/>
        </w:rPr>
        <w:t>投标人（盖章）：</w:t>
      </w:r>
    </w:p>
    <w:p w14:paraId="7425E953">
      <w:pPr>
        <w:keepNext w:val="0"/>
        <w:keepLines w:val="0"/>
        <w:pageBreakBefore w:val="0"/>
        <w:widowControl w:val="0"/>
        <w:kinsoku/>
        <w:wordWrap/>
        <w:overflowPunct/>
        <w:topLinePunct w:val="0"/>
        <w:bidi w:val="0"/>
        <w:spacing w:line="360" w:lineRule="auto"/>
        <w:textAlignment w:val="auto"/>
        <w:rPr>
          <w:rFonts w:ascii="宋体" w:hAnsi="宋体" w:cs="宋体"/>
          <w:color w:val="auto"/>
          <w:sz w:val="24"/>
          <w:highlight w:val="none"/>
        </w:rPr>
      </w:pPr>
      <w:r>
        <w:rPr>
          <w:rFonts w:hint="eastAsia" w:ascii="宋体" w:hAnsi="宋体" w:cs="宋体"/>
          <w:color w:val="auto"/>
          <w:highlight w:val="none"/>
        </w:rPr>
        <w:t xml:space="preserve">                                              日期：</w:t>
      </w:r>
    </w:p>
    <w:p w14:paraId="7DFFD0D0">
      <w:pPr>
        <w:pStyle w:val="2"/>
        <w:keepNext w:val="0"/>
        <w:keepLines w:val="0"/>
        <w:pageBreakBefore w:val="0"/>
        <w:widowControl w:val="0"/>
        <w:kinsoku/>
        <w:wordWrap/>
        <w:overflowPunct/>
        <w:topLinePunct w:val="0"/>
        <w:bidi w:val="0"/>
        <w:ind w:firstLine="560"/>
        <w:textAlignment w:val="auto"/>
        <w:rPr>
          <w:color w:val="auto"/>
          <w:highlight w:val="none"/>
        </w:rPr>
      </w:pPr>
    </w:p>
    <w:p w14:paraId="6A4A51C7">
      <w:pPr>
        <w:keepNext w:val="0"/>
        <w:keepLines w:val="0"/>
        <w:pageBreakBefore w:val="0"/>
        <w:widowControl w:val="0"/>
        <w:numPr>
          <w:ilvl w:val="0"/>
          <w:numId w:val="0"/>
        </w:numPr>
        <w:kinsoku/>
        <w:wordWrap/>
        <w:overflowPunct/>
        <w:topLinePunct w:val="0"/>
        <w:bidi w:val="0"/>
        <w:snapToGrid w:val="0"/>
        <w:spacing w:line="360" w:lineRule="auto"/>
        <w:jc w:val="center"/>
        <w:textAlignment w:val="auto"/>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lang w:eastAsia="zh-CN"/>
        </w:rPr>
        <w:t>十、</w:t>
      </w:r>
      <w:r>
        <w:rPr>
          <w:rFonts w:hint="eastAsia" w:cs="仿宋" w:asciiTheme="majorEastAsia" w:hAnsiTheme="majorEastAsia" w:eastAsiaTheme="majorEastAsia"/>
          <w:b/>
          <w:color w:val="auto"/>
          <w:kern w:val="0"/>
          <w:sz w:val="32"/>
          <w:szCs w:val="32"/>
          <w:highlight w:val="none"/>
        </w:rPr>
        <w:t>同类业绩情况一览表</w:t>
      </w:r>
    </w:p>
    <w:p w14:paraId="15BF1871">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highlight w:val="none"/>
        </w:rPr>
      </w:pPr>
    </w:p>
    <w:tbl>
      <w:tblPr>
        <w:tblStyle w:val="20"/>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7CE40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4ACB06D9">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090C8CAF">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采购单位名称</w:t>
            </w:r>
          </w:p>
        </w:tc>
        <w:tc>
          <w:tcPr>
            <w:tcW w:w="1732" w:type="dxa"/>
            <w:tcBorders>
              <w:top w:val="single" w:color="auto" w:sz="4" w:space="0"/>
              <w:left w:val="single" w:color="auto" w:sz="4" w:space="0"/>
              <w:right w:val="single" w:color="auto" w:sz="4" w:space="0"/>
            </w:tcBorders>
            <w:vAlign w:val="center"/>
          </w:tcPr>
          <w:p w14:paraId="0B99FA6A">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5E809A81">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合同金额</w:t>
            </w:r>
          </w:p>
          <w:p w14:paraId="6A319A43">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0BBB922C">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25568397">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合同签订时间</w:t>
            </w:r>
          </w:p>
        </w:tc>
      </w:tr>
      <w:tr w14:paraId="3FACD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2FD7D8E8">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1</w:t>
            </w:r>
          </w:p>
        </w:tc>
        <w:tc>
          <w:tcPr>
            <w:tcW w:w="1555" w:type="dxa"/>
            <w:tcBorders>
              <w:top w:val="single" w:color="auto" w:sz="4" w:space="0"/>
              <w:left w:val="single" w:color="auto" w:sz="4" w:space="0"/>
              <w:bottom w:val="single" w:color="auto" w:sz="4" w:space="0"/>
              <w:right w:val="single" w:color="auto" w:sz="4" w:space="0"/>
            </w:tcBorders>
            <w:vAlign w:val="center"/>
          </w:tcPr>
          <w:p w14:paraId="075998CF">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3DD25852">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1083B553">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02DF1DD8">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D4A6526">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p>
        </w:tc>
      </w:tr>
      <w:tr w14:paraId="31AE5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280ACC3C">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w:t>
            </w:r>
          </w:p>
        </w:tc>
        <w:tc>
          <w:tcPr>
            <w:tcW w:w="1555" w:type="dxa"/>
            <w:tcBorders>
              <w:top w:val="single" w:color="auto" w:sz="4" w:space="0"/>
              <w:left w:val="single" w:color="auto" w:sz="4" w:space="0"/>
              <w:bottom w:val="single" w:color="auto" w:sz="4" w:space="0"/>
              <w:right w:val="single" w:color="auto" w:sz="4" w:space="0"/>
            </w:tcBorders>
            <w:vAlign w:val="center"/>
          </w:tcPr>
          <w:p w14:paraId="71863D09">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2F4B5C12">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09ADCCE3">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37FC9039">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450B2C3F">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p>
        </w:tc>
      </w:tr>
      <w:tr w14:paraId="46F67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21AEEE0">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w:t>
            </w:r>
          </w:p>
        </w:tc>
        <w:tc>
          <w:tcPr>
            <w:tcW w:w="1555" w:type="dxa"/>
            <w:tcBorders>
              <w:top w:val="single" w:color="auto" w:sz="4" w:space="0"/>
              <w:left w:val="single" w:color="auto" w:sz="4" w:space="0"/>
              <w:bottom w:val="single" w:color="auto" w:sz="4" w:space="0"/>
              <w:right w:val="single" w:color="auto" w:sz="4" w:space="0"/>
            </w:tcBorders>
            <w:vAlign w:val="center"/>
          </w:tcPr>
          <w:p w14:paraId="0B54BBAC">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29D502EB">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3F110CF6">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053B6B13">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565702E4">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p>
        </w:tc>
      </w:tr>
      <w:tr w14:paraId="7AB0B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44280AD">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w:t>
            </w:r>
          </w:p>
        </w:tc>
        <w:tc>
          <w:tcPr>
            <w:tcW w:w="1555" w:type="dxa"/>
            <w:tcBorders>
              <w:top w:val="single" w:color="auto" w:sz="4" w:space="0"/>
              <w:left w:val="single" w:color="auto" w:sz="4" w:space="0"/>
              <w:bottom w:val="single" w:color="auto" w:sz="4" w:space="0"/>
              <w:right w:val="single" w:color="auto" w:sz="4" w:space="0"/>
            </w:tcBorders>
            <w:vAlign w:val="center"/>
          </w:tcPr>
          <w:p w14:paraId="489C1EF6">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6D44DF2E">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57727938">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0E9C9160">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273E8F9A">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p>
        </w:tc>
      </w:tr>
      <w:tr w14:paraId="100A3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17E7AE6C">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5</w:t>
            </w:r>
          </w:p>
        </w:tc>
        <w:tc>
          <w:tcPr>
            <w:tcW w:w="1555" w:type="dxa"/>
            <w:tcBorders>
              <w:top w:val="single" w:color="auto" w:sz="4" w:space="0"/>
              <w:left w:val="single" w:color="auto" w:sz="4" w:space="0"/>
              <w:bottom w:val="single" w:color="auto" w:sz="4" w:space="0"/>
              <w:right w:val="single" w:color="auto" w:sz="4" w:space="0"/>
            </w:tcBorders>
            <w:vAlign w:val="center"/>
          </w:tcPr>
          <w:p w14:paraId="400F55BF">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799B0988">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3207324C">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77F472A">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9DB3F2A">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p>
        </w:tc>
      </w:tr>
    </w:tbl>
    <w:p w14:paraId="2A5E4210">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p>
    <w:p w14:paraId="752A84CA">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p>
    <w:p w14:paraId="3B092426">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color w:val="auto"/>
          <w:kern w:val="0"/>
          <w:sz w:val="24"/>
          <w:highlight w:val="none"/>
        </w:rPr>
      </w:pPr>
    </w:p>
    <w:p w14:paraId="053B66B6">
      <w:pPr>
        <w:keepNext w:val="0"/>
        <w:keepLines w:val="0"/>
        <w:pageBreakBefore w:val="0"/>
        <w:widowControl w:val="0"/>
        <w:kinsoku/>
        <w:wordWrap/>
        <w:overflowPunct/>
        <w:topLinePunct w:val="0"/>
        <w:bidi w:val="0"/>
        <w:adjustRightInd w:val="0"/>
        <w:snapToGrid w:val="0"/>
        <w:spacing w:line="360" w:lineRule="auto"/>
        <w:jc w:val="right"/>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0D0652FC">
      <w:pPr>
        <w:keepNext w:val="0"/>
        <w:keepLines w:val="0"/>
        <w:pageBreakBefore w:val="0"/>
        <w:widowControl w:val="0"/>
        <w:kinsoku/>
        <w:wordWrap/>
        <w:overflowPunct/>
        <w:topLinePunct w:val="0"/>
        <w:bidi w:val="0"/>
        <w:adjustRightInd w:val="0"/>
        <w:snapToGrid w:val="0"/>
        <w:spacing w:line="360" w:lineRule="auto"/>
        <w:ind w:left="3990" w:leftChars="1900"/>
        <w:jc w:val="center"/>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12829F91">
      <w:pPr>
        <w:keepNext w:val="0"/>
        <w:keepLines w:val="0"/>
        <w:pageBreakBefore w:val="0"/>
        <w:widowControl w:val="0"/>
        <w:kinsoku/>
        <w:wordWrap/>
        <w:overflowPunct/>
        <w:topLinePunct w:val="0"/>
        <w:bidi w:val="0"/>
        <w:adjustRightInd w:val="0"/>
        <w:snapToGrid w:val="0"/>
        <w:spacing w:line="360" w:lineRule="auto"/>
        <w:ind w:right="1920"/>
        <w:jc w:val="center"/>
        <w:textAlignment w:val="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67B60D76">
      <w:pPr>
        <w:keepNext w:val="0"/>
        <w:keepLines w:val="0"/>
        <w:pageBreakBefore w:val="0"/>
        <w:widowControl w:val="0"/>
        <w:kinsoku/>
        <w:wordWrap/>
        <w:overflowPunct/>
        <w:topLinePunct w:val="0"/>
        <w:bidi w:val="0"/>
        <w:spacing w:line="360" w:lineRule="auto"/>
        <w:ind w:left="4620" w:leftChars="2200"/>
        <w:jc w:val="left"/>
        <w:textAlignment w:val="auto"/>
        <w:rPr>
          <w:rFonts w:cs="仿宋" w:asciiTheme="majorEastAsia" w:hAnsiTheme="majorEastAsia" w:eastAsiaTheme="majorEastAsia"/>
          <w:b/>
          <w:color w:val="auto"/>
          <w:kern w:val="0"/>
          <w:sz w:val="32"/>
          <w:szCs w:val="32"/>
          <w:highlight w:val="none"/>
          <w:lang w:val="zh-CN"/>
        </w:rPr>
      </w:pPr>
    </w:p>
    <w:p w14:paraId="47F93945">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en-US" w:eastAsia="zh-CN"/>
        </w:rPr>
        <w:t>十</w:t>
      </w:r>
      <w:r>
        <w:rPr>
          <w:rFonts w:hint="eastAsia" w:cs="仿宋" w:asciiTheme="majorEastAsia" w:hAnsiTheme="majorEastAsia" w:eastAsiaTheme="majorEastAsia"/>
          <w:b/>
          <w:color w:val="auto"/>
          <w:kern w:val="0"/>
          <w:sz w:val="32"/>
          <w:szCs w:val="32"/>
          <w:highlight w:val="none"/>
          <w:lang w:val="zh-CN"/>
        </w:rPr>
        <w:t>一、项目实施人员一览表</w:t>
      </w:r>
    </w:p>
    <w:p w14:paraId="5F85153A">
      <w:pPr>
        <w:pStyle w:val="12"/>
        <w:shd w:val="clear"/>
        <w:ind w:left="632" w:hanging="632" w:hangingChars="300"/>
        <w:rPr>
          <w:rFonts w:hAnsi="宋体"/>
          <w:b/>
          <w:color w:val="auto"/>
          <w:highlight w:val="none"/>
        </w:rPr>
      </w:pPr>
      <w:r>
        <w:rPr>
          <w:rFonts w:hint="eastAsia" w:hAnsi="宋体"/>
          <w:b/>
          <w:color w:val="auto"/>
          <w:highlight w:val="none"/>
        </w:rPr>
        <w:t>项目名称：                                            项目编号：</w:t>
      </w:r>
    </w:p>
    <w:p w14:paraId="19DC82FD">
      <w:pPr>
        <w:shd w:val="clear"/>
        <w:jc w:val="left"/>
        <w:rPr>
          <w:rFonts w:ascii="仿宋_GB2312" w:hAnsi="仿宋" w:eastAsia="仿宋_GB2312" w:cs="仿宋"/>
          <w:b/>
          <w:color w:val="auto"/>
          <w:sz w:val="24"/>
          <w:highlight w:val="none"/>
        </w:rPr>
      </w:pPr>
    </w:p>
    <w:p w14:paraId="7A2FC1D4">
      <w:pPr>
        <w:shd w:val="clear"/>
        <w:jc w:val="left"/>
        <w:rPr>
          <w:rFonts w:hAnsi="宋体"/>
          <w:b/>
          <w:color w:val="auto"/>
          <w:szCs w:val="21"/>
          <w:highlight w:val="none"/>
        </w:rPr>
      </w:pPr>
      <w:r>
        <w:rPr>
          <w:rFonts w:hint="eastAsia" w:ascii="仿宋_GB2312" w:hAnsi="仿宋" w:eastAsia="仿宋_GB2312" w:cs="仿宋"/>
          <w:b/>
          <w:color w:val="auto"/>
          <w:sz w:val="24"/>
          <w:highlight w:val="none"/>
        </w:rPr>
        <w:t>附表A:本项目的项目负责人情况表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52"/>
        <w:gridCol w:w="1648"/>
        <w:gridCol w:w="1761"/>
        <w:gridCol w:w="1576"/>
        <w:gridCol w:w="1693"/>
      </w:tblGrid>
      <w:tr w14:paraId="5333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12" w:space="0"/>
              <w:left w:val="single" w:color="auto" w:sz="12" w:space="0"/>
              <w:bottom w:val="single" w:color="auto" w:sz="6" w:space="0"/>
              <w:right w:val="single" w:color="auto" w:sz="6" w:space="0"/>
            </w:tcBorders>
            <w:vAlign w:val="center"/>
          </w:tcPr>
          <w:p w14:paraId="4B260B70">
            <w:pPr>
              <w:pStyle w:val="12"/>
              <w:shd w:val="clear"/>
              <w:ind w:left="630" w:hanging="630" w:hangingChars="300"/>
              <w:jc w:val="center"/>
              <w:rPr>
                <w:rFonts w:hAnsi="宋体"/>
                <w:color w:val="auto"/>
                <w:highlight w:val="none"/>
              </w:rPr>
            </w:pPr>
            <w:r>
              <w:rPr>
                <w:rFonts w:hint="eastAsia" w:hAnsi="宋体"/>
                <w:color w:val="auto"/>
                <w:highlight w:val="none"/>
              </w:rPr>
              <w:t>姓 名</w:t>
            </w:r>
          </w:p>
        </w:tc>
        <w:tc>
          <w:tcPr>
            <w:tcW w:w="1652" w:type="dxa"/>
            <w:tcBorders>
              <w:top w:val="single" w:color="auto" w:sz="12" w:space="0"/>
              <w:left w:val="single" w:color="auto" w:sz="6" w:space="0"/>
              <w:bottom w:val="single" w:color="auto" w:sz="6" w:space="0"/>
              <w:right w:val="single" w:color="auto" w:sz="6" w:space="0"/>
            </w:tcBorders>
            <w:vAlign w:val="center"/>
          </w:tcPr>
          <w:p w14:paraId="5576C206">
            <w:pPr>
              <w:pStyle w:val="12"/>
              <w:shd w:val="clear"/>
              <w:ind w:left="630" w:hanging="630" w:hangingChars="300"/>
              <w:jc w:val="center"/>
              <w:rPr>
                <w:rFonts w:hAnsi="宋体"/>
                <w:color w:val="auto"/>
                <w:highlight w:val="none"/>
              </w:rPr>
            </w:pPr>
          </w:p>
        </w:tc>
        <w:tc>
          <w:tcPr>
            <w:tcW w:w="1648" w:type="dxa"/>
            <w:tcBorders>
              <w:top w:val="single" w:color="auto" w:sz="12" w:space="0"/>
              <w:left w:val="single" w:color="auto" w:sz="6" w:space="0"/>
              <w:bottom w:val="single" w:color="auto" w:sz="6" w:space="0"/>
              <w:right w:val="single" w:color="auto" w:sz="6" w:space="0"/>
            </w:tcBorders>
            <w:vAlign w:val="center"/>
          </w:tcPr>
          <w:p w14:paraId="14D3D5A4">
            <w:pPr>
              <w:pStyle w:val="12"/>
              <w:shd w:val="clear"/>
              <w:ind w:left="630" w:hanging="630" w:hangingChars="300"/>
              <w:jc w:val="center"/>
              <w:rPr>
                <w:rFonts w:hAnsi="宋体"/>
                <w:color w:val="auto"/>
                <w:highlight w:val="none"/>
              </w:rPr>
            </w:pPr>
            <w:r>
              <w:rPr>
                <w:rFonts w:hint="eastAsia" w:hAnsi="宋体"/>
                <w:color w:val="auto"/>
                <w:highlight w:val="none"/>
              </w:rPr>
              <w:t>性 别</w:t>
            </w:r>
          </w:p>
        </w:tc>
        <w:tc>
          <w:tcPr>
            <w:tcW w:w="1761" w:type="dxa"/>
            <w:tcBorders>
              <w:top w:val="single" w:color="auto" w:sz="12" w:space="0"/>
              <w:left w:val="single" w:color="auto" w:sz="6" w:space="0"/>
              <w:bottom w:val="single" w:color="auto" w:sz="6" w:space="0"/>
              <w:right w:val="single" w:color="auto" w:sz="6" w:space="0"/>
            </w:tcBorders>
            <w:vAlign w:val="center"/>
          </w:tcPr>
          <w:p w14:paraId="592E7D46">
            <w:pPr>
              <w:pStyle w:val="12"/>
              <w:shd w:val="clear"/>
              <w:ind w:left="630" w:hanging="630" w:hangingChars="300"/>
              <w:jc w:val="center"/>
              <w:rPr>
                <w:rFonts w:hAnsi="宋体"/>
                <w:color w:val="auto"/>
                <w:highlight w:val="none"/>
              </w:rPr>
            </w:pPr>
          </w:p>
        </w:tc>
        <w:tc>
          <w:tcPr>
            <w:tcW w:w="1576" w:type="dxa"/>
            <w:tcBorders>
              <w:top w:val="single" w:color="auto" w:sz="12" w:space="0"/>
              <w:left w:val="single" w:color="auto" w:sz="6" w:space="0"/>
              <w:bottom w:val="single" w:color="auto" w:sz="6" w:space="0"/>
              <w:right w:val="single" w:color="auto" w:sz="6" w:space="0"/>
            </w:tcBorders>
            <w:vAlign w:val="center"/>
          </w:tcPr>
          <w:p w14:paraId="6418263C">
            <w:pPr>
              <w:pStyle w:val="12"/>
              <w:shd w:val="clear"/>
              <w:ind w:left="630" w:hanging="630" w:hangingChars="300"/>
              <w:jc w:val="center"/>
              <w:rPr>
                <w:rFonts w:hAnsi="宋体"/>
                <w:color w:val="auto"/>
                <w:highlight w:val="none"/>
              </w:rPr>
            </w:pPr>
            <w:r>
              <w:rPr>
                <w:rFonts w:hint="eastAsia" w:hAnsi="宋体"/>
                <w:color w:val="auto"/>
                <w:highlight w:val="none"/>
              </w:rPr>
              <w:t>年 龄</w:t>
            </w:r>
          </w:p>
        </w:tc>
        <w:tc>
          <w:tcPr>
            <w:tcW w:w="1693" w:type="dxa"/>
            <w:tcBorders>
              <w:top w:val="single" w:color="auto" w:sz="12" w:space="0"/>
              <w:left w:val="single" w:color="auto" w:sz="6" w:space="0"/>
              <w:bottom w:val="single" w:color="auto" w:sz="6" w:space="0"/>
              <w:right w:val="single" w:color="auto" w:sz="12" w:space="0"/>
            </w:tcBorders>
            <w:vAlign w:val="center"/>
          </w:tcPr>
          <w:p w14:paraId="074522C3">
            <w:pPr>
              <w:pStyle w:val="12"/>
              <w:shd w:val="clear"/>
              <w:ind w:left="630" w:hanging="630" w:hangingChars="300"/>
              <w:jc w:val="center"/>
              <w:rPr>
                <w:rFonts w:hAnsi="宋体"/>
                <w:color w:val="auto"/>
                <w:highlight w:val="none"/>
              </w:rPr>
            </w:pPr>
          </w:p>
        </w:tc>
      </w:tr>
      <w:tr w14:paraId="4BDB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7656D35E">
            <w:pPr>
              <w:pStyle w:val="12"/>
              <w:shd w:val="clear"/>
              <w:ind w:left="630" w:hanging="630" w:hangingChars="300"/>
              <w:jc w:val="center"/>
              <w:rPr>
                <w:rFonts w:hAnsi="宋体"/>
                <w:color w:val="auto"/>
                <w:highlight w:val="none"/>
              </w:rPr>
            </w:pPr>
            <w:r>
              <w:rPr>
                <w:rFonts w:hint="eastAsia" w:hAnsi="宋体"/>
                <w:color w:val="auto"/>
                <w:highlight w:val="none"/>
              </w:rPr>
              <w:t>学 历</w:t>
            </w:r>
          </w:p>
        </w:tc>
        <w:tc>
          <w:tcPr>
            <w:tcW w:w="1652" w:type="dxa"/>
            <w:tcBorders>
              <w:top w:val="single" w:color="auto" w:sz="6" w:space="0"/>
              <w:left w:val="single" w:color="auto" w:sz="6" w:space="0"/>
              <w:bottom w:val="single" w:color="auto" w:sz="6" w:space="0"/>
              <w:right w:val="single" w:color="auto" w:sz="6" w:space="0"/>
            </w:tcBorders>
            <w:vAlign w:val="center"/>
          </w:tcPr>
          <w:p w14:paraId="0758ADF6">
            <w:pPr>
              <w:pStyle w:val="12"/>
              <w:shd w:val="clear"/>
              <w:ind w:left="630" w:hanging="630" w:hangingChars="300"/>
              <w:jc w:val="center"/>
              <w:rPr>
                <w:rFonts w:hAnsi="宋体"/>
                <w:color w:val="auto"/>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14:paraId="6D4685C0">
            <w:pPr>
              <w:pStyle w:val="12"/>
              <w:shd w:val="clear"/>
              <w:ind w:left="630" w:hanging="630" w:hangingChars="300"/>
              <w:jc w:val="center"/>
              <w:rPr>
                <w:rFonts w:hAnsi="宋体"/>
                <w:color w:val="auto"/>
                <w:highlight w:val="none"/>
              </w:rPr>
            </w:pPr>
            <w:r>
              <w:rPr>
                <w:rFonts w:hint="eastAsia" w:hAnsi="宋体"/>
                <w:color w:val="auto"/>
                <w:highlight w:val="none"/>
              </w:rPr>
              <w:t>职 称</w:t>
            </w:r>
          </w:p>
        </w:tc>
        <w:tc>
          <w:tcPr>
            <w:tcW w:w="1761" w:type="dxa"/>
            <w:tcBorders>
              <w:top w:val="single" w:color="auto" w:sz="6" w:space="0"/>
              <w:left w:val="single" w:color="auto" w:sz="6" w:space="0"/>
              <w:bottom w:val="single" w:color="auto" w:sz="6" w:space="0"/>
              <w:right w:val="single" w:color="auto" w:sz="6" w:space="0"/>
            </w:tcBorders>
            <w:vAlign w:val="center"/>
          </w:tcPr>
          <w:p w14:paraId="231C2261">
            <w:pPr>
              <w:pStyle w:val="12"/>
              <w:shd w:val="clear"/>
              <w:ind w:left="630" w:hanging="630" w:hangingChars="300"/>
              <w:jc w:val="center"/>
              <w:rPr>
                <w:rFonts w:hAnsi="宋体"/>
                <w:color w:val="auto"/>
                <w:highlight w:val="none"/>
              </w:rPr>
            </w:pPr>
          </w:p>
        </w:tc>
        <w:tc>
          <w:tcPr>
            <w:tcW w:w="1576" w:type="dxa"/>
            <w:tcBorders>
              <w:top w:val="single" w:color="auto" w:sz="6" w:space="0"/>
              <w:left w:val="single" w:color="auto" w:sz="6" w:space="0"/>
              <w:bottom w:val="single" w:color="auto" w:sz="6" w:space="0"/>
              <w:right w:val="single" w:color="auto" w:sz="6" w:space="0"/>
            </w:tcBorders>
            <w:vAlign w:val="center"/>
          </w:tcPr>
          <w:p w14:paraId="6CA006B0">
            <w:pPr>
              <w:pStyle w:val="12"/>
              <w:shd w:val="clear"/>
              <w:ind w:left="630" w:hanging="630" w:hangingChars="300"/>
              <w:jc w:val="center"/>
              <w:rPr>
                <w:rFonts w:hAnsi="宋体"/>
                <w:color w:val="auto"/>
                <w:highlight w:val="none"/>
              </w:rPr>
            </w:pPr>
            <w:r>
              <w:rPr>
                <w:rFonts w:hint="eastAsia" w:hAnsi="宋体"/>
                <w:color w:val="auto"/>
                <w:highlight w:val="none"/>
              </w:rPr>
              <w:t>职 务</w:t>
            </w:r>
          </w:p>
        </w:tc>
        <w:tc>
          <w:tcPr>
            <w:tcW w:w="1693" w:type="dxa"/>
            <w:tcBorders>
              <w:top w:val="single" w:color="auto" w:sz="6" w:space="0"/>
              <w:left w:val="single" w:color="auto" w:sz="6" w:space="0"/>
              <w:bottom w:val="single" w:color="auto" w:sz="6" w:space="0"/>
              <w:right w:val="single" w:color="auto" w:sz="12" w:space="0"/>
            </w:tcBorders>
            <w:vAlign w:val="center"/>
          </w:tcPr>
          <w:p w14:paraId="55D00A78">
            <w:pPr>
              <w:pStyle w:val="12"/>
              <w:shd w:val="clear"/>
              <w:ind w:left="630" w:hanging="630" w:hangingChars="300"/>
              <w:jc w:val="center"/>
              <w:rPr>
                <w:rFonts w:hAnsi="宋体"/>
                <w:color w:val="auto"/>
                <w:highlight w:val="none"/>
              </w:rPr>
            </w:pPr>
          </w:p>
        </w:tc>
      </w:tr>
      <w:tr w14:paraId="37EB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71B5CAF0">
            <w:pPr>
              <w:pStyle w:val="12"/>
              <w:shd w:val="clear"/>
              <w:ind w:left="630" w:hanging="630" w:hangingChars="300"/>
              <w:jc w:val="center"/>
              <w:rPr>
                <w:rFonts w:hAnsi="宋体"/>
                <w:color w:val="auto"/>
                <w:highlight w:val="none"/>
              </w:rPr>
            </w:pPr>
            <w:r>
              <w:rPr>
                <w:rFonts w:hint="eastAsia" w:hAnsi="宋体"/>
                <w:color w:val="auto"/>
                <w:highlight w:val="none"/>
              </w:rPr>
              <w:t>联系电话</w:t>
            </w:r>
          </w:p>
        </w:tc>
        <w:tc>
          <w:tcPr>
            <w:tcW w:w="3300" w:type="dxa"/>
            <w:gridSpan w:val="2"/>
            <w:tcBorders>
              <w:top w:val="single" w:color="auto" w:sz="6" w:space="0"/>
              <w:left w:val="single" w:color="auto" w:sz="6" w:space="0"/>
              <w:bottom w:val="single" w:color="auto" w:sz="6" w:space="0"/>
              <w:right w:val="single" w:color="auto" w:sz="6" w:space="0"/>
            </w:tcBorders>
            <w:vAlign w:val="center"/>
          </w:tcPr>
          <w:p w14:paraId="362D8655">
            <w:pPr>
              <w:pStyle w:val="12"/>
              <w:shd w:val="clear"/>
              <w:ind w:left="630" w:hanging="630" w:hangingChars="300"/>
              <w:jc w:val="center"/>
              <w:rPr>
                <w:rFonts w:hAnsi="宋体"/>
                <w:color w:val="auto"/>
                <w:highlight w:val="none"/>
              </w:rPr>
            </w:pPr>
          </w:p>
        </w:tc>
        <w:tc>
          <w:tcPr>
            <w:tcW w:w="1761" w:type="dxa"/>
            <w:tcBorders>
              <w:top w:val="single" w:color="auto" w:sz="6" w:space="0"/>
              <w:left w:val="single" w:color="auto" w:sz="6" w:space="0"/>
              <w:bottom w:val="single" w:color="auto" w:sz="6" w:space="0"/>
              <w:right w:val="single" w:color="auto" w:sz="6" w:space="0"/>
            </w:tcBorders>
            <w:vAlign w:val="center"/>
          </w:tcPr>
          <w:p w14:paraId="7299BB33">
            <w:pPr>
              <w:pStyle w:val="12"/>
              <w:shd w:val="clear"/>
              <w:ind w:left="630" w:hanging="630" w:hangingChars="300"/>
              <w:jc w:val="center"/>
              <w:rPr>
                <w:rFonts w:hAnsi="宋体"/>
                <w:color w:val="auto"/>
                <w:highlight w:val="none"/>
              </w:rPr>
            </w:pPr>
            <w:r>
              <w:rPr>
                <w:rFonts w:hint="eastAsia" w:hAnsi="宋体"/>
                <w:color w:val="auto"/>
                <w:highlight w:val="none"/>
              </w:rPr>
              <w:t>手 机</w:t>
            </w:r>
          </w:p>
        </w:tc>
        <w:tc>
          <w:tcPr>
            <w:tcW w:w="3269" w:type="dxa"/>
            <w:gridSpan w:val="2"/>
            <w:tcBorders>
              <w:top w:val="single" w:color="auto" w:sz="6" w:space="0"/>
              <w:left w:val="single" w:color="auto" w:sz="6" w:space="0"/>
              <w:bottom w:val="single" w:color="auto" w:sz="6" w:space="0"/>
              <w:right w:val="single" w:color="auto" w:sz="12" w:space="0"/>
            </w:tcBorders>
            <w:vAlign w:val="center"/>
          </w:tcPr>
          <w:p w14:paraId="7AC64D67">
            <w:pPr>
              <w:pStyle w:val="12"/>
              <w:shd w:val="clear"/>
              <w:ind w:left="630" w:hanging="630" w:hangingChars="300"/>
              <w:jc w:val="center"/>
              <w:rPr>
                <w:rFonts w:hAnsi="宋体"/>
                <w:color w:val="auto"/>
                <w:highlight w:val="none"/>
              </w:rPr>
            </w:pPr>
          </w:p>
        </w:tc>
      </w:tr>
      <w:tr w14:paraId="65D0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9949" w:type="dxa"/>
            <w:gridSpan w:val="6"/>
            <w:tcBorders>
              <w:top w:val="single" w:color="auto" w:sz="6" w:space="0"/>
              <w:left w:val="single" w:color="auto" w:sz="12" w:space="0"/>
              <w:bottom w:val="single" w:color="auto" w:sz="12" w:space="0"/>
              <w:right w:val="single" w:color="auto" w:sz="12" w:space="0"/>
            </w:tcBorders>
          </w:tcPr>
          <w:p w14:paraId="691F7A9C">
            <w:pPr>
              <w:pStyle w:val="12"/>
              <w:shd w:val="clear"/>
              <w:spacing w:before="120" w:after="120"/>
              <w:ind w:left="630" w:hanging="630" w:hangingChars="300"/>
              <w:rPr>
                <w:rFonts w:hAnsi="宋体"/>
                <w:color w:val="auto"/>
                <w:highlight w:val="none"/>
              </w:rPr>
            </w:pPr>
            <w:r>
              <w:rPr>
                <w:rFonts w:hint="eastAsia" w:ascii="仿宋_GB2312" w:hAnsi="仿宋" w:eastAsia="仿宋_GB2312" w:cs="仿宋"/>
                <w:color w:val="auto"/>
                <w:highlight w:val="none"/>
              </w:rPr>
              <w:t>投标截止时间前三年业绩及承担的主要工作情况，曾担任项目负责人的项目应列明细</w:t>
            </w:r>
          </w:p>
        </w:tc>
      </w:tr>
    </w:tbl>
    <w:p w14:paraId="52EE4F62">
      <w:pPr>
        <w:pStyle w:val="12"/>
        <w:shd w:val="clear"/>
        <w:spacing w:line="320" w:lineRule="exact"/>
        <w:ind w:left="630" w:hanging="630" w:hangingChars="300"/>
        <w:rPr>
          <w:rFonts w:hAnsi="宋体"/>
          <w:color w:val="auto"/>
          <w:highlight w:val="none"/>
        </w:rPr>
      </w:pPr>
      <w:r>
        <w:rPr>
          <w:rFonts w:hint="eastAsia" w:hAnsi="宋体"/>
          <w:color w:val="auto"/>
          <w:highlight w:val="none"/>
        </w:rPr>
        <w:t>注:1、与评分有关的证明材料附后。</w:t>
      </w:r>
    </w:p>
    <w:p w14:paraId="731E67F8">
      <w:pPr>
        <w:pStyle w:val="12"/>
        <w:shd w:val="clear"/>
        <w:spacing w:line="320" w:lineRule="exact"/>
        <w:ind w:left="630" w:hanging="630" w:hangingChars="300"/>
        <w:rPr>
          <w:rFonts w:hAnsi="宋体"/>
          <w:color w:val="auto"/>
          <w:highlight w:val="none"/>
        </w:rPr>
      </w:pPr>
      <w:r>
        <w:rPr>
          <w:rFonts w:hint="eastAsia" w:hAnsi="宋体"/>
          <w:color w:val="auto"/>
          <w:highlight w:val="none"/>
        </w:rPr>
        <w:t>2、不得随意更换项目负责人，如不经采购人同意擅自更换，则招标人有权解除合同</w:t>
      </w:r>
      <w:r>
        <w:rPr>
          <w:rFonts w:hint="eastAsia" w:ascii="仿宋_GB2312" w:hAnsi="仿宋" w:eastAsia="仿宋_GB2312" w:cs="仿宋"/>
          <w:b/>
          <w:color w:val="auto"/>
          <w:highlight w:val="none"/>
        </w:rPr>
        <w:t xml:space="preserve">。 </w:t>
      </w:r>
      <w:r>
        <w:rPr>
          <w:rFonts w:hint="eastAsia" w:hAnsi="宋体" w:cs="新宋体"/>
          <w:b/>
          <w:bCs/>
          <w:color w:val="auto"/>
          <w:highlight w:val="none"/>
        </w:rPr>
        <w:t xml:space="preserve"> </w:t>
      </w:r>
      <w:r>
        <w:rPr>
          <w:rFonts w:hint="eastAsia" w:hAnsi="宋体"/>
          <w:color w:val="auto"/>
          <w:highlight w:val="none"/>
        </w:rPr>
        <w:t xml:space="preserve">      </w:t>
      </w:r>
      <w:bookmarkStart w:id="422" w:name="OLE_LINK9"/>
    </w:p>
    <w:p w14:paraId="6BDB2511">
      <w:pPr>
        <w:pStyle w:val="12"/>
        <w:shd w:val="clear"/>
        <w:spacing w:line="340" w:lineRule="exact"/>
        <w:jc w:val="left"/>
        <w:rPr>
          <w:rFonts w:ascii="仿宋_GB2312" w:hAnsi="仿宋" w:eastAsia="仿宋_GB2312" w:cs="仿宋"/>
          <w:b/>
          <w:color w:val="auto"/>
          <w:highlight w:val="none"/>
        </w:rPr>
      </w:pPr>
    </w:p>
    <w:p w14:paraId="12DEBDFB">
      <w:pPr>
        <w:pStyle w:val="12"/>
        <w:shd w:val="clear"/>
        <w:spacing w:line="340" w:lineRule="exact"/>
        <w:jc w:val="left"/>
        <w:rPr>
          <w:rFonts w:ascii="仿宋_GB2312" w:hAnsi="仿宋" w:eastAsia="仿宋_GB2312" w:cs="仿宋"/>
          <w:b/>
          <w:color w:val="auto"/>
          <w:highlight w:val="none"/>
        </w:rPr>
      </w:pPr>
    </w:p>
    <w:p w14:paraId="7AA8318F">
      <w:pPr>
        <w:pStyle w:val="12"/>
        <w:shd w:val="clear"/>
        <w:spacing w:line="340" w:lineRule="exact"/>
        <w:jc w:val="left"/>
        <w:rPr>
          <w:rFonts w:hAnsi="宋体"/>
          <w:b/>
          <w:color w:val="auto"/>
          <w:highlight w:val="none"/>
        </w:rPr>
      </w:pPr>
      <w:r>
        <w:rPr>
          <w:rFonts w:hint="eastAsia" w:ascii="仿宋_GB2312" w:hAnsi="仿宋" w:eastAsia="仿宋_GB2312" w:cs="仿宋"/>
          <w:b/>
          <w:color w:val="auto"/>
          <w:highlight w:val="none"/>
        </w:rPr>
        <w:t>附表B:拟投入的项目实施人员名单</w:t>
      </w:r>
      <w:bookmarkEnd w:id="422"/>
    </w:p>
    <w:tbl>
      <w:tblPr>
        <w:tblStyle w:val="20"/>
        <w:tblW w:w="87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2"/>
        <w:gridCol w:w="927"/>
        <w:gridCol w:w="927"/>
        <w:gridCol w:w="742"/>
        <w:gridCol w:w="1297"/>
        <w:gridCol w:w="1284"/>
        <w:gridCol w:w="1766"/>
        <w:gridCol w:w="1112"/>
      </w:tblGrid>
      <w:tr w14:paraId="344BD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42" w:type="dxa"/>
            <w:vAlign w:val="center"/>
          </w:tcPr>
          <w:p w14:paraId="7C2D317F">
            <w:pPr>
              <w:shd w:val="clea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927" w:type="dxa"/>
            <w:vAlign w:val="center"/>
          </w:tcPr>
          <w:p w14:paraId="7A6B8236">
            <w:pPr>
              <w:shd w:val="clea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927" w:type="dxa"/>
            <w:vAlign w:val="center"/>
          </w:tcPr>
          <w:p w14:paraId="53C19028">
            <w:pPr>
              <w:shd w:val="clear"/>
              <w:spacing w:line="360" w:lineRule="auto"/>
              <w:jc w:val="center"/>
              <w:rPr>
                <w:rFonts w:ascii="宋体" w:hAnsi="宋体"/>
                <w:color w:val="auto"/>
                <w:szCs w:val="21"/>
                <w:highlight w:val="none"/>
              </w:rPr>
            </w:pPr>
            <w:r>
              <w:rPr>
                <w:rFonts w:hint="eastAsia" w:ascii="宋体" w:hAnsi="宋体"/>
                <w:color w:val="auto"/>
                <w:szCs w:val="21"/>
                <w:highlight w:val="none"/>
              </w:rPr>
              <w:t>性别</w:t>
            </w:r>
          </w:p>
        </w:tc>
        <w:tc>
          <w:tcPr>
            <w:tcW w:w="742" w:type="dxa"/>
            <w:vAlign w:val="center"/>
          </w:tcPr>
          <w:p w14:paraId="17CD7829">
            <w:pPr>
              <w:shd w:val="clear"/>
              <w:spacing w:line="360" w:lineRule="auto"/>
              <w:jc w:val="center"/>
              <w:rPr>
                <w:rFonts w:ascii="宋体" w:hAnsi="宋体"/>
                <w:color w:val="auto"/>
                <w:szCs w:val="21"/>
                <w:highlight w:val="none"/>
              </w:rPr>
            </w:pPr>
            <w:r>
              <w:rPr>
                <w:rFonts w:hint="eastAsia" w:ascii="宋体" w:hAnsi="宋体"/>
                <w:color w:val="auto"/>
                <w:szCs w:val="21"/>
                <w:highlight w:val="none"/>
              </w:rPr>
              <w:t>年龄</w:t>
            </w:r>
          </w:p>
        </w:tc>
        <w:tc>
          <w:tcPr>
            <w:tcW w:w="1297" w:type="dxa"/>
            <w:vAlign w:val="center"/>
          </w:tcPr>
          <w:p w14:paraId="3FA71302">
            <w:pPr>
              <w:shd w:val="clear"/>
              <w:spacing w:line="280" w:lineRule="exact"/>
              <w:jc w:val="center"/>
              <w:rPr>
                <w:rFonts w:ascii="宋体" w:hAnsi="宋体"/>
                <w:color w:val="auto"/>
                <w:szCs w:val="21"/>
                <w:highlight w:val="none"/>
              </w:rPr>
            </w:pPr>
            <w:r>
              <w:rPr>
                <w:rFonts w:hint="eastAsia" w:ascii="宋体" w:hAnsi="宋体"/>
                <w:color w:val="auto"/>
                <w:szCs w:val="21"/>
                <w:highlight w:val="none"/>
              </w:rPr>
              <w:t>职称/职务</w:t>
            </w:r>
          </w:p>
        </w:tc>
        <w:tc>
          <w:tcPr>
            <w:tcW w:w="1284" w:type="dxa"/>
            <w:vAlign w:val="center"/>
          </w:tcPr>
          <w:p w14:paraId="4B855DD9">
            <w:pPr>
              <w:shd w:val="clear"/>
              <w:spacing w:line="280" w:lineRule="exact"/>
              <w:jc w:val="center"/>
              <w:rPr>
                <w:rFonts w:ascii="宋体" w:hAnsi="宋体"/>
                <w:color w:val="auto"/>
                <w:szCs w:val="21"/>
                <w:highlight w:val="none"/>
              </w:rPr>
            </w:pPr>
            <w:r>
              <w:rPr>
                <w:rFonts w:hint="eastAsia" w:ascii="宋体" w:hAnsi="宋体"/>
                <w:color w:val="auto"/>
                <w:szCs w:val="21"/>
                <w:highlight w:val="none"/>
              </w:rPr>
              <w:t>本项目中的岗位</w:t>
            </w:r>
          </w:p>
        </w:tc>
        <w:tc>
          <w:tcPr>
            <w:tcW w:w="1766" w:type="dxa"/>
            <w:vAlign w:val="center"/>
          </w:tcPr>
          <w:p w14:paraId="44450B58">
            <w:pPr>
              <w:shd w:val="clear"/>
              <w:spacing w:line="360" w:lineRule="auto"/>
              <w:jc w:val="center"/>
              <w:rPr>
                <w:rFonts w:ascii="宋体" w:hAnsi="宋体"/>
                <w:color w:val="auto"/>
                <w:szCs w:val="21"/>
                <w:highlight w:val="none"/>
              </w:rPr>
            </w:pPr>
            <w:r>
              <w:rPr>
                <w:rFonts w:hint="eastAsia" w:ascii="宋体" w:hAnsi="宋体"/>
                <w:color w:val="auto"/>
                <w:szCs w:val="21"/>
                <w:highlight w:val="none"/>
              </w:rPr>
              <w:t>从事专业年限</w:t>
            </w:r>
          </w:p>
        </w:tc>
        <w:tc>
          <w:tcPr>
            <w:tcW w:w="1112" w:type="dxa"/>
            <w:vAlign w:val="center"/>
          </w:tcPr>
          <w:p w14:paraId="0739C494">
            <w:pPr>
              <w:shd w:val="clea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14:paraId="30A0BD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242B2A4B">
            <w:pPr>
              <w:shd w:val="clear"/>
              <w:spacing w:line="360" w:lineRule="auto"/>
              <w:jc w:val="center"/>
              <w:rPr>
                <w:rFonts w:ascii="宋体" w:hAnsi="宋体"/>
                <w:color w:val="auto"/>
                <w:szCs w:val="21"/>
                <w:highlight w:val="none"/>
              </w:rPr>
            </w:pPr>
          </w:p>
        </w:tc>
        <w:tc>
          <w:tcPr>
            <w:tcW w:w="927" w:type="dxa"/>
            <w:vAlign w:val="center"/>
          </w:tcPr>
          <w:p w14:paraId="4FA83DC9">
            <w:pPr>
              <w:shd w:val="clear"/>
              <w:spacing w:line="360" w:lineRule="auto"/>
              <w:jc w:val="center"/>
              <w:rPr>
                <w:rFonts w:ascii="宋体" w:hAnsi="宋体"/>
                <w:color w:val="auto"/>
                <w:szCs w:val="21"/>
                <w:highlight w:val="none"/>
              </w:rPr>
            </w:pPr>
          </w:p>
        </w:tc>
        <w:tc>
          <w:tcPr>
            <w:tcW w:w="927" w:type="dxa"/>
            <w:vAlign w:val="center"/>
          </w:tcPr>
          <w:p w14:paraId="5247A39F">
            <w:pPr>
              <w:shd w:val="clear"/>
              <w:spacing w:line="360" w:lineRule="auto"/>
              <w:jc w:val="center"/>
              <w:rPr>
                <w:rFonts w:ascii="宋体" w:hAnsi="宋体"/>
                <w:color w:val="auto"/>
                <w:szCs w:val="21"/>
                <w:highlight w:val="none"/>
              </w:rPr>
            </w:pPr>
          </w:p>
        </w:tc>
        <w:tc>
          <w:tcPr>
            <w:tcW w:w="742" w:type="dxa"/>
            <w:vAlign w:val="center"/>
          </w:tcPr>
          <w:p w14:paraId="36488F5A">
            <w:pPr>
              <w:shd w:val="clear"/>
              <w:spacing w:line="360" w:lineRule="auto"/>
              <w:jc w:val="center"/>
              <w:rPr>
                <w:rFonts w:ascii="宋体" w:hAnsi="宋体"/>
                <w:color w:val="auto"/>
                <w:szCs w:val="21"/>
                <w:highlight w:val="none"/>
              </w:rPr>
            </w:pPr>
          </w:p>
        </w:tc>
        <w:tc>
          <w:tcPr>
            <w:tcW w:w="1297" w:type="dxa"/>
            <w:vAlign w:val="center"/>
          </w:tcPr>
          <w:p w14:paraId="344F7BD3">
            <w:pPr>
              <w:shd w:val="clear"/>
              <w:spacing w:line="360" w:lineRule="auto"/>
              <w:jc w:val="center"/>
              <w:rPr>
                <w:rFonts w:ascii="宋体" w:hAnsi="宋体"/>
                <w:color w:val="auto"/>
                <w:szCs w:val="21"/>
                <w:highlight w:val="none"/>
              </w:rPr>
            </w:pPr>
          </w:p>
        </w:tc>
        <w:tc>
          <w:tcPr>
            <w:tcW w:w="1284" w:type="dxa"/>
            <w:vAlign w:val="center"/>
          </w:tcPr>
          <w:p w14:paraId="7CA93B16">
            <w:pPr>
              <w:shd w:val="clear"/>
              <w:spacing w:line="360" w:lineRule="auto"/>
              <w:jc w:val="center"/>
              <w:rPr>
                <w:rFonts w:ascii="宋体" w:hAnsi="宋体"/>
                <w:color w:val="auto"/>
                <w:szCs w:val="21"/>
                <w:highlight w:val="none"/>
              </w:rPr>
            </w:pPr>
          </w:p>
        </w:tc>
        <w:tc>
          <w:tcPr>
            <w:tcW w:w="1766" w:type="dxa"/>
          </w:tcPr>
          <w:p w14:paraId="380D9249">
            <w:pPr>
              <w:shd w:val="clear"/>
              <w:spacing w:line="360" w:lineRule="auto"/>
              <w:jc w:val="center"/>
              <w:rPr>
                <w:rFonts w:ascii="宋体" w:hAnsi="宋体"/>
                <w:color w:val="auto"/>
                <w:szCs w:val="21"/>
                <w:highlight w:val="none"/>
              </w:rPr>
            </w:pPr>
          </w:p>
        </w:tc>
        <w:tc>
          <w:tcPr>
            <w:tcW w:w="1112" w:type="dxa"/>
            <w:vAlign w:val="center"/>
          </w:tcPr>
          <w:p w14:paraId="4F0C2E97">
            <w:pPr>
              <w:shd w:val="clear"/>
              <w:spacing w:line="360" w:lineRule="auto"/>
              <w:jc w:val="center"/>
              <w:rPr>
                <w:rFonts w:ascii="宋体" w:hAnsi="宋体"/>
                <w:color w:val="auto"/>
                <w:szCs w:val="21"/>
                <w:highlight w:val="none"/>
              </w:rPr>
            </w:pPr>
          </w:p>
        </w:tc>
      </w:tr>
      <w:tr w14:paraId="6CEF32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6048D933">
            <w:pPr>
              <w:shd w:val="clear"/>
              <w:spacing w:line="360" w:lineRule="auto"/>
              <w:jc w:val="center"/>
              <w:rPr>
                <w:rFonts w:ascii="宋体" w:hAnsi="宋体"/>
                <w:color w:val="auto"/>
                <w:szCs w:val="21"/>
                <w:highlight w:val="none"/>
              </w:rPr>
            </w:pPr>
          </w:p>
        </w:tc>
        <w:tc>
          <w:tcPr>
            <w:tcW w:w="927" w:type="dxa"/>
            <w:vAlign w:val="center"/>
          </w:tcPr>
          <w:p w14:paraId="743A1EAF">
            <w:pPr>
              <w:shd w:val="clear"/>
              <w:spacing w:line="360" w:lineRule="auto"/>
              <w:jc w:val="center"/>
              <w:rPr>
                <w:rFonts w:ascii="宋体" w:hAnsi="宋体"/>
                <w:color w:val="auto"/>
                <w:szCs w:val="21"/>
                <w:highlight w:val="none"/>
              </w:rPr>
            </w:pPr>
          </w:p>
        </w:tc>
        <w:tc>
          <w:tcPr>
            <w:tcW w:w="927" w:type="dxa"/>
            <w:vAlign w:val="center"/>
          </w:tcPr>
          <w:p w14:paraId="0722A274">
            <w:pPr>
              <w:shd w:val="clear"/>
              <w:spacing w:line="360" w:lineRule="auto"/>
              <w:jc w:val="center"/>
              <w:rPr>
                <w:rFonts w:ascii="宋体" w:hAnsi="宋体"/>
                <w:color w:val="auto"/>
                <w:szCs w:val="21"/>
                <w:highlight w:val="none"/>
              </w:rPr>
            </w:pPr>
          </w:p>
        </w:tc>
        <w:tc>
          <w:tcPr>
            <w:tcW w:w="742" w:type="dxa"/>
            <w:vAlign w:val="center"/>
          </w:tcPr>
          <w:p w14:paraId="4D623E66">
            <w:pPr>
              <w:shd w:val="clear"/>
              <w:spacing w:line="360" w:lineRule="auto"/>
              <w:jc w:val="center"/>
              <w:rPr>
                <w:rFonts w:ascii="宋体" w:hAnsi="宋体"/>
                <w:color w:val="auto"/>
                <w:szCs w:val="21"/>
                <w:highlight w:val="none"/>
              </w:rPr>
            </w:pPr>
          </w:p>
        </w:tc>
        <w:tc>
          <w:tcPr>
            <w:tcW w:w="1297" w:type="dxa"/>
            <w:vAlign w:val="center"/>
          </w:tcPr>
          <w:p w14:paraId="2E059932">
            <w:pPr>
              <w:shd w:val="clear"/>
              <w:spacing w:line="360" w:lineRule="auto"/>
              <w:jc w:val="center"/>
              <w:rPr>
                <w:rFonts w:ascii="宋体" w:hAnsi="宋体"/>
                <w:color w:val="auto"/>
                <w:szCs w:val="21"/>
                <w:highlight w:val="none"/>
              </w:rPr>
            </w:pPr>
          </w:p>
        </w:tc>
        <w:tc>
          <w:tcPr>
            <w:tcW w:w="1284" w:type="dxa"/>
            <w:vAlign w:val="center"/>
          </w:tcPr>
          <w:p w14:paraId="11D377AE">
            <w:pPr>
              <w:shd w:val="clear"/>
              <w:spacing w:line="360" w:lineRule="auto"/>
              <w:jc w:val="center"/>
              <w:rPr>
                <w:rFonts w:ascii="宋体" w:hAnsi="宋体"/>
                <w:color w:val="auto"/>
                <w:szCs w:val="21"/>
                <w:highlight w:val="none"/>
              </w:rPr>
            </w:pPr>
          </w:p>
        </w:tc>
        <w:tc>
          <w:tcPr>
            <w:tcW w:w="1766" w:type="dxa"/>
          </w:tcPr>
          <w:p w14:paraId="6466B44C">
            <w:pPr>
              <w:shd w:val="clear"/>
              <w:spacing w:line="360" w:lineRule="auto"/>
              <w:jc w:val="center"/>
              <w:rPr>
                <w:rFonts w:ascii="宋体" w:hAnsi="宋体"/>
                <w:color w:val="auto"/>
                <w:szCs w:val="21"/>
                <w:highlight w:val="none"/>
              </w:rPr>
            </w:pPr>
          </w:p>
        </w:tc>
        <w:tc>
          <w:tcPr>
            <w:tcW w:w="1112" w:type="dxa"/>
            <w:vAlign w:val="center"/>
          </w:tcPr>
          <w:p w14:paraId="0DCA7207">
            <w:pPr>
              <w:shd w:val="clear"/>
              <w:spacing w:line="360" w:lineRule="auto"/>
              <w:jc w:val="center"/>
              <w:rPr>
                <w:rFonts w:ascii="宋体" w:hAnsi="宋体"/>
                <w:color w:val="auto"/>
                <w:szCs w:val="21"/>
                <w:highlight w:val="none"/>
              </w:rPr>
            </w:pPr>
          </w:p>
        </w:tc>
      </w:tr>
      <w:tr w14:paraId="05822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6C705ABB">
            <w:pPr>
              <w:shd w:val="clear"/>
              <w:spacing w:line="360" w:lineRule="auto"/>
              <w:jc w:val="center"/>
              <w:rPr>
                <w:rFonts w:ascii="宋体" w:hAnsi="宋体"/>
                <w:color w:val="auto"/>
                <w:szCs w:val="21"/>
                <w:highlight w:val="none"/>
              </w:rPr>
            </w:pPr>
          </w:p>
        </w:tc>
        <w:tc>
          <w:tcPr>
            <w:tcW w:w="927" w:type="dxa"/>
            <w:vAlign w:val="center"/>
          </w:tcPr>
          <w:p w14:paraId="325D1396">
            <w:pPr>
              <w:shd w:val="clear"/>
              <w:spacing w:line="360" w:lineRule="auto"/>
              <w:jc w:val="center"/>
              <w:rPr>
                <w:rFonts w:ascii="宋体" w:hAnsi="宋体"/>
                <w:color w:val="auto"/>
                <w:szCs w:val="21"/>
                <w:highlight w:val="none"/>
              </w:rPr>
            </w:pPr>
          </w:p>
        </w:tc>
        <w:tc>
          <w:tcPr>
            <w:tcW w:w="927" w:type="dxa"/>
            <w:vAlign w:val="center"/>
          </w:tcPr>
          <w:p w14:paraId="5F971B0F">
            <w:pPr>
              <w:shd w:val="clear"/>
              <w:spacing w:line="360" w:lineRule="auto"/>
              <w:jc w:val="center"/>
              <w:rPr>
                <w:rFonts w:ascii="宋体" w:hAnsi="宋体"/>
                <w:color w:val="auto"/>
                <w:szCs w:val="21"/>
                <w:highlight w:val="none"/>
              </w:rPr>
            </w:pPr>
          </w:p>
        </w:tc>
        <w:tc>
          <w:tcPr>
            <w:tcW w:w="742" w:type="dxa"/>
            <w:vAlign w:val="center"/>
          </w:tcPr>
          <w:p w14:paraId="6C360C9B">
            <w:pPr>
              <w:shd w:val="clear"/>
              <w:spacing w:line="360" w:lineRule="auto"/>
              <w:jc w:val="center"/>
              <w:rPr>
                <w:rFonts w:ascii="宋体" w:hAnsi="宋体"/>
                <w:color w:val="auto"/>
                <w:szCs w:val="21"/>
                <w:highlight w:val="none"/>
              </w:rPr>
            </w:pPr>
          </w:p>
        </w:tc>
        <w:tc>
          <w:tcPr>
            <w:tcW w:w="1297" w:type="dxa"/>
            <w:vAlign w:val="center"/>
          </w:tcPr>
          <w:p w14:paraId="13F08B32">
            <w:pPr>
              <w:shd w:val="clear"/>
              <w:spacing w:line="360" w:lineRule="auto"/>
              <w:jc w:val="center"/>
              <w:rPr>
                <w:rFonts w:ascii="宋体" w:hAnsi="宋体"/>
                <w:color w:val="auto"/>
                <w:szCs w:val="21"/>
                <w:highlight w:val="none"/>
              </w:rPr>
            </w:pPr>
          </w:p>
        </w:tc>
        <w:tc>
          <w:tcPr>
            <w:tcW w:w="1284" w:type="dxa"/>
            <w:vAlign w:val="center"/>
          </w:tcPr>
          <w:p w14:paraId="142EFABF">
            <w:pPr>
              <w:shd w:val="clear"/>
              <w:spacing w:line="360" w:lineRule="auto"/>
              <w:jc w:val="center"/>
              <w:rPr>
                <w:rFonts w:ascii="宋体" w:hAnsi="宋体"/>
                <w:color w:val="auto"/>
                <w:szCs w:val="21"/>
                <w:highlight w:val="none"/>
              </w:rPr>
            </w:pPr>
          </w:p>
        </w:tc>
        <w:tc>
          <w:tcPr>
            <w:tcW w:w="1766" w:type="dxa"/>
          </w:tcPr>
          <w:p w14:paraId="644366A5">
            <w:pPr>
              <w:shd w:val="clear"/>
              <w:spacing w:line="360" w:lineRule="auto"/>
              <w:jc w:val="center"/>
              <w:rPr>
                <w:rFonts w:ascii="宋体" w:hAnsi="宋体"/>
                <w:color w:val="auto"/>
                <w:szCs w:val="21"/>
                <w:highlight w:val="none"/>
              </w:rPr>
            </w:pPr>
          </w:p>
        </w:tc>
        <w:tc>
          <w:tcPr>
            <w:tcW w:w="1112" w:type="dxa"/>
            <w:vAlign w:val="center"/>
          </w:tcPr>
          <w:p w14:paraId="63F5A3C5">
            <w:pPr>
              <w:shd w:val="clear"/>
              <w:spacing w:line="360" w:lineRule="auto"/>
              <w:jc w:val="center"/>
              <w:rPr>
                <w:rFonts w:ascii="宋体" w:hAnsi="宋体"/>
                <w:color w:val="auto"/>
                <w:szCs w:val="21"/>
                <w:highlight w:val="none"/>
              </w:rPr>
            </w:pPr>
          </w:p>
        </w:tc>
      </w:tr>
      <w:tr w14:paraId="4FF4F3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40FE90C5">
            <w:pPr>
              <w:shd w:val="clear"/>
              <w:spacing w:line="360" w:lineRule="auto"/>
              <w:jc w:val="center"/>
              <w:rPr>
                <w:rFonts w:ascii="宋体" w:hAnsi="宋体"/>
                <w:color w:val="auto"/>
                <w:szCs w:val="21"/>
                <w:highlight w:val="none"/>
              </w:rPr>
            </w:pPr>
          </w:p>
        </w:tc>
        <w:tc>
          <w:tcPr>
            <w:tcW w:w="927" w:type="dxa"/>
            <w:vAlign w:val="center"/>
          </w:tcPr>
          <w:p w14:paraId="5F5008AD">
            <w:pPr>
              <w:shd w:val="clear"/>
              <w:spacing w:line="360" w:lineRule="auto"/>
              <w:jc w:val="center"/>
              <w:rPr>
                <w:rFonts w:ascii="宋体" w:hAnsi="宋体"/>
                <w:color w:val="auto"/>
                <w:szCs w:val="21"/>
                <w:highlight w:val="none"/>
              </w:rPr>
            </w:pPr>
          </w:p>
        </w:tc>
        <w:tc>
          <w:tcPr>
            <w:tcW w:w="927" w:type="dxa"/>
            <w:vAlign w:val="center"/>
          </w:tcPr>
          <w:p w14:paraId="77F7C6B8">
            <w:pPr>
              <w:shd w:val="clear"/>
              <w:spacing w:line="360" w:lineRule="auto"/>
              <w:jc w:val="center"/>
              <w:rPr>
                <w:rFonts w:ascii="宋体" w:hAnsi="宋体"/>
                <w:color w:val="auto"/>
                <w:szCs w:val="21"/>
                <w:highlight w:val="none"/>
              </w:rPr>
            </w:pPr>
          </w:p>
        </w:tc>
        <w:tc>
          <w:tcPr>
            <w:tcW w:w="742" w:type="dxa"/>
            <w:vAlign w:val="center"/>
          </w:tcPr>
          <w:p w14:paraId="5DA3015F">
            <w:pPr>
              <w:shd w:val="clear"/>
              <w:spacing w:line="360" w:lineRule="auto"/>
              <w:jc w:val="center"/>
              <w:rPr>
                <w:rFonts w:ascii="宋体" w:hAnsi="宋体"/>
                <w:color w:val="auto"/>
                <w:szCs w:val="21"/>
                <w:highlight w:val="none"/>
              </w:rPr>
            </w:pPr>
          </w:p>
        </w:tc>
        <w:tc>
          <w:tcPr>
            <w:tcW w:w="1297" w:type="dxa"/>
            <w:vAlign w:val="center"/>
          </w:tcPr>
          <w:p w14:paraId="6048EABC">
            <w:pPr>
              <w:shd w:val="clear"/>
              <w:spacing w:line="360" w:lineRule="auto"/>
              <w:jc w:val="center"/>
              <w:rPr>
                <w:rFonts w:ascii="宋体" w:hAnsi="宋体"/>
                <w:color w:val="auto"/>
                <w:szCs w:val="21"/>
                <w:highlight w:val="none"/>
              </w:rPr>
            </w:pPr>
          </w:p>
        </w:tc>
        <w:tc>
          <w:tcPr>
            <w:tcW w:w="1284" w:type="dxa"/>
            <w:vAlign w:val="center"/>
          </w:tcPr>
          <w:p w14:paraId="4E1718FC">
            <w:pPr>
              <w:shd w:val="clear"/>
              <w:spacing w:line="360" w:lineRule="auto"/>
              <w:jc w:val="center"/>
              <w:rPr>
                <w:rFonts w:ascii="宋体" w:hAnsi="宋体"/>
                <w:color w:val="auto"/>
                <w:szCs w:val="21"/>
                <w:highlight w:val="none"/>
              </w:rPr>
            </w:pPr>
          </w:p>
        </w:tc>
        <w:tc>
          <w:tcPr>
            <w:tcW w:w="1766" w:type="dxa"/>
          </w:tcPr>
          <w:p w14:paraId="5D59A6F7">
            <w:pPr>
              <w:shd w:val="clear"/>
              <w:spacing w:line="360" w:lineRule="auto"/>
              <w:jc w:val="center"/>
              <w:rPr>
                <w:rFonts w:ascii="宋体" w:hAnsi="宋体"/>
                <w:color w:val="auto"/>
                <w:szCs w:val="21"/>
                <w:highlight w:val="none"/>
              </w:rPr>
            </w:pPr>
          </w:p>
        </w:tc>
        <w:tc>
          <w:tcPr>
            <w:tcW w:w="1112" w:type="dxa"/>
            <w:vAlign w:val="center"/>
          </w:tcPr>
          <w:p w14:paraId="5F815873">
            <w:pPr>
              <w:shd w:val="clear"/>
              <w:spacing w:line="360" w:lineRule="auto"/>
              <w:jc w:val="center"/>
              <w:rPr>
                <w:rFonts w:ascii="宋体" w:hAnsi="宋体"/>
                <w:color w:val="auto"/>
                <w:szCs w:val="21"/>
                <w:highlight w:val="none"/>
              </w:rPr>
            </w:pPr>
          </w:p>
        </w:tc>
      </w:tr>
      <w:tr w14:paraId="2B4DF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4EB2F5A3">
            <w:pPr>
              <w:shd w:val="clear"/>
              <w:spacing w:line="360" w:lineRule="auto"/>
              <w:jc w:val="center"/>
              <w:rPr>
                <w:rFonts w:ascii="宋体" w:hAnsi="宋体"/>
                <w:color w:val="auto"/>
                <w:szCs w:val="21"/>
                <w:highlight w:val="none"/>
              </w:rPr>
            </w:pPr>
          </w:p>
        </w:tc>
        <w:tc>
          <w:tcPr>
            <w:tcW w:w="927" w:type="dxa"/>
            <w:vAlign w:val="center"/>
          </w:tcPr>
          <w:p w14:paraId="64959C76">
            <w:pPr>
              <w:shd w:val="clear"/>
              <w:spacing w:line="360" w:lineRule="auto"/>
              <w:jc w:val="center"/>
              <w:rPr>
                <w:rFonts w:ascii="宋体" w:hAnsi="宋体"/>
                <w:color w:val="auto"/>
                <w:szCs w:val="21"/>
                <w:highlight w:val="none"/>
              </w:rPr>
            </w:pPr>
          </w:p>
        </w:tc>
        <w:tc>
          <w:tcPr>
            <w:tcW w:w="927" w:type="dxa"/>
            <w:vAlign w:val="center"/>
          </w:tcPr>
          <w:p w14:paraId="11CC933B">
            <w:pPr>
              <w:shd w:val="clear"/>
              <w:spacing w:line="360" w:lineRule="auto"/>
              <w:jc w:val="center"/>
              <w:rPr>
                <w:rFonts w:ascii="宋体" w:hAnsi="宋体"/>
                <w:color w:val="auto"/>
                <w:szCs w:val="21"/>
                <w:highlight w:val="none"/>
              </w:rPr>
            </w:pPr>
          </w:p>
        </w:tc>
        <w:tc>
          <w:tcPr>
            <w:tcW w:w="742" w:type="dxa"/>
            <w:vAlign w:val="center"/>
          </w:tcPr>
          <w:p w14:paraId="0E3952A3">
            <w:pPr>
              <w:shd w:val="clear"/>
              <w:spacing w:line="360" w:lineRule="auto"/>
              <w:jc w:val="center"/>
              <w:rPr>
                <w:rFonts w:ascii="宋体" w:hAnsi="宋体"/>
                <w:color w:val="auto"/>
                <w:szCs w:val="21"/>
                <w:highlight w:val="none"/>
              </w:rPr>
            </w:pPr>
          </w:p>
        </w:tc>
        <w:tc>
          <w:tcPr>
            <w:tcW w:w="1297" w:type="dxa"/>
            <w:vAlign w:val="center"/>
          </w:tcPr>
          <w:p w14:paraId="36985714">
            <w:pPr>
              <w:shd w:val="clear"/>
              <w:spacing w:line="360" w:lineRule="auto"/>
              <w:jc w:val="center"/>
              <w:rPr>
                <w:rFonts w:ascii="宋体" w:hAnsi="宋体"/>
                <w:color w:val="auto"/>
                <w:szCs w:val="21"/>
                <w:highlight w:val="none"/>
              </w:rPr>
            </w:pPr>
          </w:p>
        </w:tc>
        <w:tc>
          <w:tcPr>
            <w:tcW w:w="1284" w:type="dxa"/>
            <w:vAlign w:val="center"/>
          </w:tcPr>
          <w:p w14:paraId="5CA002C4">
            <w:pPr>
              <w:shd w:val="clear"/>
              <w:spacing w:line="360" w:lineRule="auto"/>
              <w:jc w:val="center"/>
              <w:rPr>
                <w:rFonts w:ascii="宋体" w:hAnsi="宋体"/>
                <w:color w:val="auto"/>
                <w:szCs w:val="21"/>
                <w:highlight w:val="none"/>
              </w:rPr>
            </w:pPr>
          </w:p>
        </w:tc>
        <w:tc>
          <w:tcPr>
            <w:tcW w:w="1766" w:type="dxa"/>
          </w:tcPr>
          <w:p w14:paraId="2A89079C">
            <w:pPr>
              <w:shd w:val="clear"/>
              <w:spacing w:line="360" w:lineRule="auto"/>
              <w:jc w:val="center"/>
              <w:rPr>
                <w:rFonts w:ascii="宋体" w:hAnsi="宋体"/>
                <w:color w:val="auto"/>
                <w:szCs w:val="21"/>
                <w:highlight w:val="none"/>
              </w:rPr>
            </w:pPr>
          </w:p>
        </w:tc>
        <w:tc>
          <w:tcPr>
            <w:tcW w:w="1112" w:type="dxa"/>
            <w:vAlign w:val="center"/>
          </w:tcPr>
          <w:p w14:paraId="09F60E17">
            <w:pPr>
              <w:shd w:val="clear"/>
              <w:spacing w:line="360" w:lineRule="auto"/>
              <w:jc w:val="center"/>
              <w:rPr>
                <w:rFonts w:ascii="宋体" w:hAnsi="宋体"/>
                <w:color w:val="auto"/>
                <w:szCs w:val="21"/>
                <w:highlight w:val="none"/>
              </w:rPr>
            </w:pPr>
          </w:p>
        </w:tc>
      </w:tr>
    </w:tbl>
    <w:p w14:paraId="1527461B">
      <w:pPr>
        <w:pStyle w:val="12"/>
        <w:shd w:val="clear"/>
        <w:spacing w:before="120" w:after="120"/>
        <w:ind w:left="630" w:hanging="630" w:hangingChars="300"/>
        <w:rPr>
          <w:rFonts w:hAnsi="宋体"/>
          <w:color w:val="auto"/>
          <w:highlight w:val="none"/>
        </w:rPr>
      </w:pPr>
      <w:r>
        <w:rPr>
          <w:rFonts w:hint="eastAsia" w:hAnsi="宋体"/>
          <w:color w:val="auto"/>
          <w:highlight w:val="none"/>
        </w:rPr>
        <w:t>注：与评分有关的证明材料附后。</w:t>
      </w:r>
    </w:p>
    <w:p w14:paraId="74EF88BC">
      <w:pPr>
        <w:shd w:val="clear"/>
        <w:spacing w:line="400" w:lineRule="exact"/>
        <w:ind w:firstLine="3360" w:firstLineChars="1400"/>
        <w:rPr>
          <w:rFonts w:ascii="宋体" w:hAnsi="宋体"/>
          <w:color w:val="auto"/>
          <w:sz w:val="24"/>
          <w:highlight w:val="none"/>
        </w:rPr>
      </w:pPr>
    </w:p>
    <w:p w14:paraId="3D7928EE">
      <w:pPr>
        <w:shd w:val="clear"/>
        <w:spacing w:line="400" w:lineRule="exact"/>
        <w:ind w:firstLine="3360" w:firstLineChars="1400"/>
        <w:rPr>
          <w:rFonts w:ascii="宋体" w:hAnsi="宋体"/>
          <w:color w:val="auto"/>
          <w:sz w:val="24"/>
          <w:highlight w:val="none"/>
        </w:rPr>
      </w:pPr>
      <w:r>
        <w:rPr>
          <w:rFonts w:hint="eastAsia" w:ascii="宋体" w:hAnsi="宋体"/>
          <w:color w:val="auto"/>
          <w:sz w:val="24"/>
          <w:highlight w:val="none"/>
        </w:rPr>
        <w:t>法定代表人或其授权委托人（签名或印章）：</w:t>
      </w:r>
    </w:p>
    <w:p w14:paraId="763D7A9B">
      <w:pPr>
        <w:shd w:val="clear"/>
        <w:spacing w:line="400" w:lineRule="exact"/>
        <w:ind w:firstLine="3360" w:firstLineChars="1400"/>
        <w:rPr>
          <w:rFonts w:ascii="宋体" w:hAnsi="宋体"/>
          <w:color w:val="auto"/>
          <w:sz w:val="24"/>
          <w:highlight w:val="none"/>
        </w:rPr>
      </w:pPr>
      <w:r>
        <w:rPr>
          <w:rFonts w:hint="eastAsia" w:ascii="宋体" w:hAnsi="宋体"/>
          <w:color w:val="auto"/>
          <w:sz w:val="24"/>
          <w:highlight w:val="none"/>
        </w:rPr>
        <w:t>投标人（盖章）：</w:t>
      </w:r>
    </w:p>
    <w:p w14:paraId="5B3A5E55">
      <w:pPr>
        <w:shd w:val="clear"/>
        <w:rPr>
          <w:color w:val="auto"/>
          <w:highlight w:val="none"/>
        </w:rPr>
      </w:pPr>
      <w:r>
        <w:rPr>
          <w:rFonts w:hint="eastAsia" w:ascii="宋体" w:hAnsi="宋体"/>
          <w:color w:val="auto"/>
          <w:sz w:val="24"/>
          <w:highlight w:val="none"/>
        </w:rPr>
        <w:t xml:space="preserve">                            日期：</w:t>
      </w:r>
    </w:p>
    <w:p w14:paraId="77CCDC8A">
      <w:pPr>
        <w:keepNext w:val="0"/>
        <w:keepLines w:val="0"/>
        <w:pageBreakBefore w:val="0"/>
        <w:widowControl w:val="0"/>
        <w:numPr>
          <w:ilvl w:val="0"/>
          <w:numId w:val="0"/>
        </w:numPr>
        <w:kinsoku/>
        <w:wordWrap/>
        <w:overflowPunct/>
        <w:topLinePunct w:val="0"/>
        <w:bidi w:val="0"/>
        <w:snapToGrid w:val="0"/>
        <w:spacing w:line="360" w:lineRule="auto"/>
        <w:jc w:val="center"/>
        <w:textAlignment w:val="auto"/>
        <w:outlineLvl w:val="0"/>
        <w:rPr>
          <w:rFonts w:hint="eastAsia" w:cs="仿宋" w:asciiTheme="majorEastAsia" w:hAnsiTheme="majorEastAsia" w:eastAsiaTheme="majorEastAsia"/>
          <w:b/>
          <w:color w:val="auto"/>
          <w:kern w:val="0"/>
          <w:sz w:val="32"/>
          <w:szCs w:val="32"/>
          <w:highlight w:val="none"/>
          <w:lang w:val="zh-CN"/>
        </w:rPr>
      </w:pPr>
    </w:p>
    <w:p w14:paraId="01B27771">
      <w:pPr>
        <w:keepNext w:val="0"/>
        <w:keepLines w:val="0"/>
        <w:pageBreakBefore w:val="0"/>
        <w:widowControl w:val="0"/>
        <w:numPr>
          <w:ilvl w:val="0"/>
          <w:numId w:val="0"/>
        </w:numPr>
        <w:kinsoku/>
        <w:wordWrap/>
        <w:overflowPunct/>
        <w:topLinePunct w:val="0"/>
        <w:bidi w:val="0"/>
        <w:snapToGrid w:val="0"/>
        <w:spacing w:line="360" w:lineRule="auto"/>
        <w:jc w:val="center"/>
        <w:textAlignment w:val="auto"/>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十</w:t>
      </w:r>
      <w:r>
        <w:rPr>
          <w:rFonts w:hint="eastAsia" w:cs="仿宋" w:asciiTheme="majorEastAsia" w:hAnsiTheme="majorEastAsia" w:eastAsiaTheme="majorEastAsia"/>
          <w:b/>
          <w:color w:val="auto"/>
          <w:kern w:val="0"/>
          <w:sz w:val="32"/>
          <w:szCs w:val="32"/>
          <w:highlight w:val="none"/>
          <w:lang w:val="en-US" w:eastAsia="zh-CN"/>
        </w:rPr>
        <w:t>二</w:t>
      </w:r>
      <w:r>
        <w:rPr>
          <w:rFonts w:hint="eastAsia" w:cs="仿宋" w:asciiTheme="majorEastAsia" w:hAnsiTheme="majorEastAsia" w:eastAsiaTheme="majorEastAsia"/>
          <w:b/>
          <w:color w:val="auto"/>
          <w:kern w:val="0"/>
          <w:sz w:val="32"/>
          <w:szCs w:val="32"/>
          <w:highlight w:val="none"/>
          <w:lang w:val="zh-CN"/>
        </w:rPr>
        <w:t>、政府采购供应商廉洁自律承诺书</w:t>
      </w:r>
    </w:p>
    <w:p w14:paraId="658B7BCC">
      <w:pPr>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color w:val="auto"/>
          <w:sz w:val="24"/>
          <w:highlight w:val="none"/>
        </w:rPr>
      </w:pPr>
    </w:p>
    <w:p w14:paraId="6CB5C89A">
      <w:pPr>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sz w:val="24"/>
          <w:highlight w:val="none"/>
        </w:rPr>
        <w:t>（采购人）、（采购代理机构）</w:t>
      </w:r>
      <w:r>
        <w:rPr>
          <w:rFonts w:hint="eastAsia" w:cs="仿宋" w:asciiTheme="majorEastAsia" w:hAnsiTheme="majorEastAsia" w:eastAsiaTheme="majorEastAsia"/>
          <w:color w:val="auto"/>
          <w:kern w:val="0"/>
          <w:sz w:val="24"/>
          <w:highlight w:val="none"/>
          <w:lang w:val="zh-CN"/>
        </w:rPr>
        <w:t>：</w:t>
      </w:r>
    </w:p>
    <w:p w14:paraId="64399F50">
      <w:pPr>
        <w:keepNext w:val="0"/>
        <w:keepLines w:val="0"/>
        <w:pageBreakBefore w:val="0"/>
        <w:widowControl w:val="0"/>
        <w:kinsoku/>
        <w:wordWrap/>
        <w:overflowPunct/>
        <w:topLinePunct w:val="0"/>
        <w:autoSpaceDE w:val="0"/>
        <w:autoSpaceDN w:val="0"/>
        <w:bidi w:val="0"/>
        <w:spacing w:line="360" w:lineRule="auto"/>
        <w:ind w:left="2" w:leftChars="1" w:firstLine="480" w:firstLineChars="200"/>
        <w:jc w:val="left"/>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我单位响应你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项目招标要求参加投标。在这次投标过程中和中标后，我们将严格遵守国家法律法规要求，并郑重承诺：</w:t>
      </w:r>
    </w:p>
    <w:p w14:paraId="0234EEF3">
      <w:pPr>
        <w:keepNext w:val="0"/>
        <w:keepLines w:val="0"/>
        <w:pageBreakBefore w:val="0"/>
        <w:widowControl w:val="0"/>
        <w:kinsoku/>
        <w:wordWrap/>
        <w:overflowPunct/>
        <w:topLinePunct w:val="0"/>
        <w:autoSpaceDE w:val="0"/>
        <w:autoSpaceDN w:val="0"/>
        <w:bidi w:val="0"/>
        <w:spacing w:line="360" w:lineRule="auto"/>
        <w:ind w:left="2" w:leftChars="1" w:firstLine="480" w:firstLineChars="200"/>
        <w:jc w:val="left"/>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一、不向项目有关人员及部门赠送礼金礼物、有价证券、回扣以及中介费、介绍费、咨询费等好处费； </w:t>
      </w:r>
    </w:p>
    <w:p w14:paraId="5B1CCB48">
      <w:pPr>
        <w:keepNext w:val="0"/>
        <w:keepLines w:val="0"/>
        <w:pageBreakBefore w:val="0"/>
        <w:widowControl w:val="0"/>
        <w:kinsoku/>
        <w:wordWrap/>
        <w:overflowPunct/>
        <w:topLinePunct w:val="0"/>
        <w:autoSpaceDE w:val="0"/>
        <w:autoSpaceDN w:val="0"/>
        <w:bidi w:val="0"/>
        <w:spacing w:line="360" w:lineRule="auto"/>
        <w:ind w:left="2" w:leftChars="1" w:firstLine="480" w:firstLineChars="200"/>
        <w:jc w:val="left"/>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二、不为项目有关人员及部门报销应由你方单位或个人支付的费用； </w:t>
      </w:r>
    </w:p>
    <w:p w14:paraId="2BD406CA">
      <w:pPr>
        <w:keepNext w:val="0"/>
        <w:keepLines w:val="0"/>
        <w:pageBreakBefore w:val="0"/>
        <w:widowControl w:val="0"/>
        <w:kinsoku/>
        <w:wordWrap/>
        <w:overflowPunct/>
        <w:topLinePunct w:val="0"/>
        <w:autoSpaceDE w:val="0"/>
        <w:autoSpaceDN w:val="0"/>
        <w:bidi w:val="0"/>
        <w:spacing w:line="360" w:lineRule="auto"/>
        <w:ind w:left="2" w:leftChars="1" w:firstLine="480" w:firstLineChars="200"/>
        <w:jc w:val="left"/>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三、不向项目有关人员及部门提供有可能影响公正的宴请和健身娱乐等活动； </w:t>
      </w:r>
    </w:p>
    <w:p w14:paraId="5929C97F">
      <w:pPr>
        <w:keepNext w:val="0"/>
        <w:keepLines w:val="0"/>
        <w:pageBreakBefore w:val="0"/>
        <w:widowControl w:val="0"/>
        <w:kinsoku/>
        <w:wordWrap/>
        <w:overflowPunct/>
        <w:topLinePunct w:val="0"/>
        <w:autoSpaceDE w:val="0"/>
        <w:autoSpaceDN w:val="0"/>
        <w:bidi w:val="0"/>
        <w:spacing w:line="360" w:lineRule="auto"/>
        <w:ind w:left="2" w:leftChars="1" w:firstLine="480" w:firstLineChars="200"/>
        <w:jc w:val="left"/>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四、不为项目有关人员及部门出国（境）、旅游等提供方便；</w:t>
      </w:r>
    </w:p>
    <w:p w14:paraId="68567B28">
      <w:pPr>
        <w:keepNext w:val="0"/>
        <w:keepLines w:val="0"/>
        <w:pageBreakBefore w:val="0"/>
        <w:widowControl w:val="0"/>
        <w:kinsoku/>
        <w:wordWrap/>
        <w:overflowPunct/>
        <w:topLinePunct w:val="0"/>
        <w:autoSpaceDE w:val="0"/>
        <w:autoSpaceDN w:val="0"/>
        <w:bidi w:val="0"/>
        <w:spacing w:line="360" w:lineRule="auto"/>
        <w:ind w:left="481" w:leftChars="229"/>
        <w:jc w:val="left"/>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五、不为项目有关人员个人装修住房、婚丧嫁娶、配偶子女工作安排等提供</w:t>
      </w:r>
    </w:p>
    <w:p w14:paraId="374A673C">
      <w:pPr>
        <w:keepNext w:val="0"/>
        <w:keepLines w:val="0"/>
        <w:pageBreakBefore w:val="0"/>
        <w:widowControl w:val="0"/>
        <w:kinsoku/>
        <w:wordWrap/>
        <w:overflowPunct/>
        <w:topLinePunct w:val="0"/>
        <w:autoSpaceDE w:val="0"/>
        <w:autoSpaceDN w:val="0"/>
        <w:bidi w:val="0"/>
        <w:spacing w:line="360" w:lineRule="auto"/>
        <w:jc w:val="left"/>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好处；</w:t>
      </w:r>
    </w:p>
    <w:p w14:paraId="00D80862">
      <w:pPr>
        <w:keepNext w:val="0"/>
        <w:keepLines w:val="0"/>
        <w:pageBreakBefore w:val="0"/>
        <w:widowControl w:val="0"/>
        <w:kinsoku/>
        <w:wordWrap/>
        <w:overflowPunct/>
        <w:topLinePunct w:val="0"/>
        <w:autoSpaceDE w:val="0"/>
        <w:autoSpaceDN w:val="0"/>
        <w:bidi w:val="0"/>
        <w:spacing w:line="360" w:lineRule="auto"/>
        <w:ind w:left="481" w:leftChars="229"/>
        <w:jc w:val="left"/>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六、严格遵守《</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政府采购法》《</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招标投标</w:t>
      </w:r>
    </w:p>
    <w:p w14:paraId="25BB5C1E">
      <w:pPr>
        <w:keepNext w:val="0"/>
        <w:keepLines w:val="0"/>
        <w:pageBreakBefore w:val="0"/>
        <w:widowControl w:val="0"/>
        <w:kinsoku/>
        <w:wordWrap/>
        <w:overflowPunct/>
        <w:topLinePunct w:val="0"/>
        <w:autoSpaceDE w:val="0"/>
        <w:autoSpaceDN w:val="0"/>
        <w:bidi w:val="0"/>
        <w:spacing w:line="360" w:lineRule="auto"/>
        <w:jc w:val="left"/>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w:t>
      </w:r>
      <w:r>
        <w:rPr>
          <w:rFonts w:hint="eastAsia" w:cs="仿宋" w:asciiTheme="majorEastAsia" w:hAnsiTheme="majorEastAsia" w:eastAsiaTheme="majorEastAsia"/>
          <w:color w:val="auto"/>
          <w:sz w:val="24"/>
          <w:highlight w:val="none"/>
          <w:lang w:val="zh-CN"/>
        </w:rPr>
        <w:t>《中华人民共和国民法典》</w:t>
      </w:r>
      <w:r>
        <w:rPr>
          <w:rFonts w:hint="eastAsia" w:cs="仿宋" w:asciiTheme="majorEastAsia" w:hAnsiTheme="majorEastAsia" w:eastAsiaTheme="majorEastAsia"/>
          <w:color w:val="auto"/>
          <w:kern w:val="0"/>
          <w:sz w:val="24"/>
          <w:highlight w:val="none"/>
          <w:lang w:val="zh-CN"/>
        </w:rPr>
        <w:t xml:space="preserve">等法律法规，诚实守信，合法经营，坚决抵制各种违法违纪行为。 </w:t>
      </w:r>
    </w:p>
    <w:p w14:paraId="74258D65">
      <w:pPr>
        <w:keepNext w:val="0"/>
        <w:keepLines w:val="0"/>
        <w:pageBreakBefore w:val="0"/>
        <w:widowControl w:val="0"/>
        <w:kinsoku/>
        <w:wordWrap/>
        <w:overflowPunct/>
        <w:topLinePunct w:val="0"/>
        <w:autoSpaceDE w:val="0"/>
        <w:autoSpaceDN w:val="0"/>
        <w:bidi w:val="0"/>
        <w:spacing w:line="360" w:lineRule="auto"/>
        <w:ind w:firstLine="480" w:firstLineChars="200"/>
        <w:jc w:val="left"/>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如违反上述承诺，你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有权立即取消我单位投标、中标或在建项目的建设资格，有权拒绝我单位在一定时期内进入你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进行项目建设或其他经营活动，并通报市财政局。由此引起的相应损失均由我单位承担。</w:t>
      </w:r>
    </w:p>
    <w:p w14:paraId="7B114A57">
      <w:pPr>
        <w:keepNext w:val="0"/>
        <w:keepLines w:val="0"/>
        <w:pageBreakBefore w:val="0"/>
        <w:widowControl w:val="0"/>
        <w:kinsoku/>
        <w:wordWrap/>
        <w:overflowPunct/>
        <w:topLinePunct w:val="0"/>
        <w:autoSpaceDE w:val="0"/>
        <w:autoSpaceDN w:val="0"/>
        <w:bidi w:val="0"/>
        <w:spacing w:line="360" w:lineRule="auto"/>
        <w:ind w:left="2"/>
        <w:jc w:val="left"/>
        <w:textAlignment w:val="auto"/>
        <w:rPr>
          <w:rFonts w:cs="仿宋" w:asciiTheme="majorEastAsia" w:hAnsiTheme="majorEastAsia" w:eastAsiaTheme="majorEastAsia"/>
          <w:color w:val="auto"/>
          <w:kern w:val="0"/>
          <w:sz w:val="24"/>
          <w:highlight w:val="none"/>
          <w:lang w:val="zh-CN"/>
        </w:rPr>
      </w:pPr>
    </w:p>
    <w:p w14:paraId="0D81239F">
      <w:pPr>
        <w:keepNext w:val="0"/>
        <w:keepLines w:val="0"/>
        <w:pageBreakBefore w:val="0"/>
        <w:widowControl w:val="0"/>
        <w:kinsoku/>
        <w:wordWrap/>
        <w:overflowPunct/>
        <w:topLinePunct w:val="0"/>
        <w:autoSpaceDE w:val="0"/>
        <w:autoSpaceDN w:val="0"/>
        <w:bidi w:val="0"/>
        <w:spacing w:line="360" w:lineRule="auto"/>
        <w:ind w:left="2"/>
        <w:jc w:val="left"/>
        <w:textAlignment w:val="auto"/>
        <w:rPr>
          <w:rFonts w:cs="仿宋" w:asciiTheme="majorEastAsia" w:hAnsiTheme="majorEastAsia" w:eastAsiaTheme="majorEastAsia"/>
          <w:color w:val="auto"/>
          <w:kern w:val="0"/>
          <w:sz w:val="24"/>
          <w:highlight w:val="none"/>
          <w:lang w:val="zh-CN"/>
        </w:rPr>
      </w:pPr>
    </w:p>
    <w:p w14:paraId="75C9FE2A">
      <w:pPr>
        <w:keepNext w:val="0"/>
        <w:keepLines w:val="0"/>
        <w:pageBreakBefore w:val="0"/>
        <w:widowControl w:val="0"/>
        <w:kinsoku/>
        <w:wordWrap/>
        <w:overflowPunct/>
        <w:topLinePunct w:val="0"/>
        <w:autoSpaceDE w:val="0"/>
        <w:autoSpaceDN w:val="0"/>
        <w:bidi w:val="0"/>
        <w:spacing w:line="360" w:lineRule="auto"/>
        <w:ind w:left="2"/>
        <w:jc w:val="left"/>
        <w:textAlignment w:val="auto"/>
        <w:rPr>
          <w:rFonts w:cs="仿宋" w:asciiTheme="majorEastAsia" w:hAnsiTheme="majorEastAsia" w:eastAsiaTheme="majorEastAsia"/>
          <w:color w:val="auto"/>
          <w:kern w:val="0"/>
          <w:sz w:val="24"/>
          <w:highlight w:val="none"/>
          <w:lang w:val="zh-CN"/>
        </w:rPr>
      </w:pPr>
    </w:p>
    <w:p w14:paraId="60734F33">
      <w:pPr>
        <w:keepNext w:val="0"/>
        <w:keepLines w:val="0"/>
        <w:pageBreakBefore w:val="0"/>
        <w:widowControl w:val="0"/>
        <w:kinsoku/>
        <w:wordWrap/>
        <w:overflowPunct/>
        <w:topLinePunct w:val="0"/>
        <w:bidi w:val="0"/>
        <w:adjustRightInd w:val="0"/>
        <w:snapToGrid w:val="0"/>
        <w:spacing w:line="360" w:lineRule="auto"/>
        <w:jc w:val="right"/>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63C616BF">
      <w:pPr>
        <w:keepNext w:val="0"/>
        <w:keepLines w:val="0"/>
        <w:pageBreakBefore w:val="0"/>
        <w:widowControl w:val="0"/>
        <w:kinsoku/>
        <w:wordWrap/>
        <w:overflowPunct/>
        <w:topLinePunct w:val="0"/>
        <w:bidi w:val="0"/>
        <w:adjustRightInd w:val="0"/>
        <w:snapToGrid w:val="0"/>
        <w:spacing w:line="360" w:lineRule="auto"/>
        <w:ind w:left="3990" w:leftChars="1900"/>
        <w:jc w:val="center"/>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6CC2234E">
      <w:pPr>
        <w:keepNext w:val="0"/>
        <w:keepLines w:val="0"/>
        <w:pageBreakBefore w:val="0"/>
        <w:widowControl w:val="0"/>
        <w:kinsoku/>
        <w:wordWrap/>
        <w:overflowPunct/>
        <w:topLinePunct w:val="0"/>
        <w:bidi w:val="0"/>
        <w:adjustRightInd w:val="0"/>
        <w:snapToGrid w:val="0"/>
        <w:spacing w:line="360" w:lineRule="auto"/>
        <w:ind w:right="1920"/>
        <w:jc w:val="center"/>
        <w:textAlignment w:val="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637ECE12">
      <w:pPr>
        <w:keepNext w:val="0"/>
        <w:keepLines w:val="0"/>
        <w:pageBreakBefore w:val="0"/>
        <w:widowControl w:val="0"/>
        <w:kinsoku/>
        <w:wordWrap/>
        <w:overflowPunct/>
        <w:topLinePunct w:val="0"/>
        <w:bidi w:val="0"/>
        <w:spacing w:line="360" w:lineRule="auto"/>
        <w:ind w:left="4620" w:leftChars="2200"/>
        <w:textAlignment w:val="auto"/>
        <w:rPr>
          <w:rFonts w:cs="仿宋" w:asciiTheme="majorEastAsia" w:hAnsiTheme="majorEastAsia" w:eastAsiaTheme="majorEastAsia"/>
          <w:color w:val="auto"/>
          <w:sz w:val="24"/>
          <w:highlight w:val="none"/>
        </w:rPr>
      </w:pPr>
    </w:p>
    <w:p w14:paraId="1BA90982">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bCs/>
          <w:color w:val="auto"/>
          <w:sz w:val="24"/>
          <w:highlight w:val="none"/>
        </w:rPr>
      </w:pPr>
    </w:p>
    <w:p w14:paraId="04CDC3A7">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3C6B776">
      <w:pPr>
        <w:keepNext w:val="0"/>
        <w:keepLines w:val="0"/>
        <w:pageBreakBefore w:val="0"/>
        <w:widowControl w:val="0"/>
        <w:kinsoku/>
        <w:wordWrap/>
        <w:overflowPunct/>
        <w:topLinePunct w:val="0"/>
        <w:bidi w:val="0"/>
        <w:spacing w:line="360" w:lineRule="auto"/>
        <w:jc w:val="center"/>
        <w:textAlignment w:val="auto"/>
        <w:outlineLvl w:val="0"/>
        <w:rPr>
          <w:rFonts w:cs="仿宋" w:asciiTheme="majorEastAsia" w:hAnsiTheme="majorEastAsia" w:eastAsiaTheme="majorEastAsia"/>
          <w:b/>
          <w:color w:val="auto"/>
          <w:kern w:val="0"/>
          <w:sz w:val="36"/>
          <w:szCs w:val="36"/>
          <w:highlight w:val="none"/>
        </w:rPr>
      </w:pPr>
    </w:p>
    <w:p w14:paraId="0C428002">
      <w:pPr>
        <w:keepNext w:val="0"/>
        <w:keepLines w:val="0"/>
        <w:pageBreakBefore w:val="0"/>
        <w:widowControl w:val="0"/>
        <w:kinsoku/>
        <w:wordWrap/>
        <w:overflowPunct/>
        <w:topLinePunct w:val="0"/>
        <w:bidi w:val="0"/>
        <w:spacing w:line="360" w:lineRule="auto"/>
        <w:jc w:val="center"/>
        <w:textAlignment w:val="auto"/>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报价文件部分</w:t>
      </w:r>
    </w:p>
    <w:p w14:paraId="027A59A9">
      <w:pPr>
        <w:keepNext w:val="0"/>
        <w:keepLines w:val="0"/>
        <w:pageBreakBefore w:val="0"/>
        <w:widowControl w:val="0"/>
        <w:kinsoku/>
        <w:wordWrap/>
        <w:overflowPunct/>
        <w:topLinePunct w:val="0"/>
        <w:bidi w:val="0"/>
        <w:spacing w:line="360" w:lineRule="auto"/>
        <w:jc w:val="center"/>
        <w:textAlignment w:val="auto"/>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14:paraId="71B03A07">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sz w:val="24"/>
          <w:highlight w:val="none"/>
        </w:rPr>
        <w:t xml:space="preserve"> </w:t>
      </w:r>
    </w:p>
    <w:p w14:paraId="40C5DC6F">
      <w:pPr>
        <w:keepNext w:val="0"/>
        <w:keepLines w:val="0"/>
        <w:pageBreakBefore w:val="0"/>
        <w:widowControl w:val="0"/>
        <w:kinsoku/>
        <w:wordWrap/>
        <w:overflowPunct/>
        <w:topLinePunct w:val="0"/>
        <w:bidi w:val="0"/>
        <w:snapToGrid w:val="0"/>
        <w:spacing w:line="360" w:lineRule="auto"/>
        <w:ind w:firstLine="1120" w:firstLineChars="400"/>
        <w:textAlignment w:val="auto"/>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开标一览表；</w:t>
      </w:r>
    </w:p>
    <w:p w14:paraId="38E39949">
      <w:pPr>
        <w:keepNext w:val="0"/>
        <w:keepLines w:val="0"/>
        <w:pageBreakBefore w:val="0"/>
        <w:widowControl w:val="0"/>
        <w:kinsoku/>
        <w:wordWrap/>
        <w:overflowPunct/>
        <w:topLinePunct w:val="0"/>
        <w:bidi w:val="0"/>
        <w:snapToGrid w:val="0"/>
        <w:spacing w:line="360" w:lineRule="auto"/>
        <w:ind w:firstLine="1120" w:firstLineChars="400"/>
        <w:textAlignment w:val="auto"/>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投标报价明细表；</w:t>
      </w:r>
    </w:p>
    <w:p w14:paraId="0BF70D42">
      <w:pPr>
        <w:keepNext w:val="0"/>
        <w:keepLines w:val="0"/>
        <w:pageBreakBefore w:val="0"/>
        <w:widowControl w:val="0"/>
        <w:kinsoku/>
        <w:wordWrap/>
        <w:overflowPunct/>
        <w:topLinePunct w:val="0"/>
        <w:bidi w:val="0"/>
        <w:snapToGrid w:val="0"/>
        <w:spacing w:line="360" w:lineRule="auto"/>
        <w:ind w:firstLine="1120" w:firstLineChars="400"/>
        <w:textAlignment w:val="auto"/>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中小企业声明函（如有）；</w:t>
      </w:r>
    </w:p>
    <w:p w14:paraId="6B10D877">
      <w:pPr>
        <w:keepNext w:val="0"/>
        <w:keepLines w:val="0"/>
        <w:pageBreakBefore w:val="0"/>
        <w:widowControl w:val="0"/>
        <w:kinsoku/>
        <w:wordWrap/>
        <w:overflowPunct/>
        <w:topLinePunct w:val="0"/>
        <w:bidi w:val="0"/>
        <w:snapToGrid w:val="0"/>
        <w:spacing w:line="360" w:lineRule="auto"/>
        <w:ind w:firstLine="1120" w:firstLineChars="400"/>
        <w:textAlignment w:val="auto"/>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残疾人福利性单位声明函（如有）；</w:t>
      </w:r>
    </w:p>
    <w:p w14:paraId="2FD651D9">
      <w:pPr>
        <w:keepNext w:val="0"/>
        <w:keepLines w:val="0"/>
        <w:pageBreakBefore w:val="0"/>
        <w:widowControl w:val="0"/>
        <w:kinsoku/>
        <w:wordWrap/>
        <w:overflowPunct/>
        <w:topLinePunct w:val="0"/>
        <w:bidi w:val="0"/>
        <w:snapToGrid w:val="0"/>
        <w:spacing w:line="360" w:lineRule="auto"/>
        <w:ind w:firstLine="1120" w:firstLineChars="400"/>
        <w:textAlignment w:val="auto"/>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监狱企业的证明文件（如有）；</w:t>
      </w:r>
    </w:p>
    <w:p w14:paraId="3243CA14">
      <w:pPr>
        <w:keepNext w:val="0"/>
        <w:keepLines w:val="0"/>
        <w:pageBreakBefore w:val="0"/>
        <w:widowControl w:val="0"/>
        <w:kinsoku/>
        <w:wordWrap/>
        <w:overflowPunct/>
        <w:topLinePunct w:val="0"/>
        <w:bidi w:val="0"/>
        <w:snapToGrid w:val="0"/>
        <w:spacing w:line="360" w:lineRule="auto"/>
        <w:ind w:firstLine="1120" w:firstLineChars="400"/>
        <w:textAlignment w:val="auto"/>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政府采购统计基础信息表；</w:t>
      </w:r>
    </w:p>
    <w:p w14:paraId="24DD7A00">
      <w:pPr>
        <w:keepNext w:val="0"/>
        <w:keepLines w:val="0"/>
        <w:pageBreakBefore w:val="0"/>
        <w:widowControl w:val="0"/>
        <w:kinsoku/>
        <w:wordWrap/>
        <w:overflowPunct/>
        <w:topLinePunct w:val="0"/>
        <w:bidi w:val="0"/>
        <w:snapToGrid w:val="0"/>
        <w:spacing w:line="360" w:lineRule="auto"/>
        <w:ind w:firstLine="1120" w:firstLineChars="400"/>
        <w:textAlignment w:val="auto"/>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其他资料（如有）。</w:t>
      </w:r>
    </w:p>
    <w:p w14:paraId="2919AB87">
      <w:pPr>
        <w:keepNext w:val="0"/>
        <w:keepLines w:val="0"/>
        <w:pageBreakBefore w:val="0"/>
        <w:widowControl w:val="0"/>
        <w:kinsoku/>
        <w:wordWrap/>
        <w:overflowPunct/>
        <w:topLinePunct w:val="0"/>
        <w:bidi w:val="0"/>
        <w:snapToGrid w:val="0"/>
        <w:spacing w:line="360" w:lineRule="auto"/>
        <w:ind w:right="480"/>
        <w:textAlignment w:val="auto"/>
        <w:rPr>
          <w:rFonts w:cs="仿宋" w:asciiTheme="majorEastAsia" w:hAnsiTheme="majorEastAsia" w:eastAsiaTheme="majorEastAsia"/>
          <w:b/>
          <w:color w:val="auto"/>
          <w:kern w:val="0"/>
          <w:sz w:val="32"/>
          <w:szCs w:val="32"/>
          <w:highlight w:val="none"/>
        </w:rPr>
      </w:pPr>
    </w:p>
    <w:p w14:paraId="2C91CE7F">
      <w:pPr>
        <w:pStyle w:val="35"/>
        <w:keepNext w:val="0"/>
        <w:keepLines w:val="0"/>
        <w:pageBreakBefore w:val="0"/>
        <w:widowControl w:val="0"/>
        <w:tabs>
          <w:tab w:val="clear" w:pos="720"/>
        </w:tabs>
        <w:kinsoku/>
        <w:wordWrap/>
        <w:overflowPunct/>
        <w:topLinePunct w:val="0"/>
        <w:bidi w:val="0"/>
        <w:snapToGrid w:val="0"/>
        <w:spacing w:before="120" w:after="120"/>
        <w:ind w:firstLine="643"/>
        <w:textAlignment w:val="auto"/>
        <w:outlineLvl w:val="9"/>
        <w:rPr>
          <w:rFonts w:cs="仿宋" w:asciiTheme="majorEastAsia" w:hAnsiTheme="majorEastAsia" w:eastAsiaTheme="majorEastAsia"/>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A644A7A">
      <w:pPr>
        <w:pStyle w:val="35"/>
        <w:keepNext w:val="0"/>
        <w:keepLines w:val="0"/>
        <w:pageBreakBefore w:val="0"/>
        <w:widowControl w:val="0"/>
        <w:tabs>
          <w:tab w:val="clear" w:pos="720"/>
        </w:tabs>
        <w:kinsoku/>
        <w:wordWrap/>
        <w:overflowPunct/>
        <w:topLinePunct w:val="0"/>
        <w:bidi w:val="0"/>
        <w:snapToGrid w:val="0"/>
        <w:spacing w:before="120" w:after="120"/>
        <w:ind w:firstLine="643"/>
        <w:textAlignment w:val="auto"/>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一、开标一览表（报价表）</w:t>
      </w:r>
    </w:p>
    <w:p w14:paraId="5A519C78">
      <w:pPr>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color w:val="auto"/>
          <w:kern w:val="0"/>
          <w:sz w:val="24"/>
          <w:highlight w:val="none"/>
          <w:u w:val="single"/>
        </w:rPr>
      </w:pPr>
      <w:r>
        <w:rPr>
          <w:rFonts w:hint="eastAsia" w:cs="仿宋" w:asciiTheme="majorEastAsia" w:hAnsiTheme="majorEastAsia" w:eastAsiaTheme="majorEastAsia"/>
          <w:color w:val="auto"/>
          <w:sz w:val="24"/>
          <w:highlight w:val="none"/>
        </w:rPr>
        <w:t>（采购人）、（采购代理机构）</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kern w:val="0"/>
          <w:sz w:val="24"/>
          <w:highlight w:val="none"/>
          <w:u w:val="single"/>
        </w:rPr>
        <w:t xml:space="preserve">                                     </w:t>
      </w:r>
    </w:p>
    <w:p w14:paraId="321D2997">
      <w:pPr>
        <w:keepNext w:val="0"/>
        <w:keepLines w:val="0"/>
        <w:pageBreakBefore w:val="0"/>
        <w:widowControl w:val="0"/>
        <w:kinsoku/>
        <w:wordWrap/>
        <w:overflowPunct/>
        <w:topLinePunct w:val="0"/>
        <w:bidi w:val="0"/>
        <w:snapToGrid w:val="0"/>
        <w:spacing w:line="360" w:lineRule="auto"/>
        <w:ind w:firstLine="482"/>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仿宋" w:asciiTheme="majorEastAsia" w:hAnsiTheme="majorEastAsia" w:eastAsiaTheme="majorEastAsia"/>
          <w:color w:val="auto"/>
          <w:sz w:val="24"/>
          <w:highlight w:val="none"/>
        </w:rPr>
        <w:t>（项目名称）</w:t>
      </w:r>
      <w:r>
        <w:rPr>
          <w:rFonts w:hint="eastAsia" w:cs="仿宋" w:asciiTheme="majorEastAsia" w:hAnsiTheme="majorEastAsia" w:eastAsiaTheme="majorEastAsia"/>
          <w:color w:val="auto"/>
          <w:kern w:val="0"/>
          <w:sz w:val="24"/>
          <w:highlight w:val="none"/>
          <w:lang w:val="zh-CN"/>
        </w:rPr>
        <w:t>【项目编号：</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lang w:eastAsia="zh-CN"/>
        </w:rPr>
        <w:t>项目</w:t>
      </w:r>
      <w:r>
        <w:rPr>
          <w:rFonts w:hint="eastAsia" w:cs="仿宋" w:asciiTheme="majorEastAsia" w:hAnsiTheme="majorEastAsia" w:eastAsiaTheme="majorEastAsia"/>
          <w:color w:val="auto"/>
          <w:sz w:val="24"/>
          <w:highlight w:val="none"/>
        </w:rPr>
        <w:t>编号）】的实施</w:t>
      </w:r>
      <w:r>
        <w:rPr>
          <w:rFonts w:hint="eastAsia" w:cs="仿宋" w:asciiTheme="majorEastAsia" w:hAnsiTheme="majorEastAsia" w:eastAsiaTheme="majorEastAsia"/>
          <w:color w:val="auto"/>
          <w:kern w:val="0"/>
          <w:sz w:val="24"/>
          <w:highlight w:val="none"/>
          <w:lang w:val="zh-CN"/>
        </w:rPr>
        <w:t>。</w:t>
      </w:r>
    </w:p>
    <w:p w14:paraId="1A49AF65">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开标一览表（报价表）(单位均为人民币元)</w:t>
      </w:r>
    </w:p>
    <w:tbl>
      <w:tblPr>
        <w:tblStyle w:val="2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2EB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A9822BA">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1417" w:type="dxa"/>
            <w:vAlign w:val="center"/>
          </w:tcPr>
          <w:p w14:paraId="7C303443">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名称</w:t>
            </w:r>
          </w:p>
        </w:tc>
        <w:tc>
          <w:tcPr>
            <w:tcW w:w="1843" w:type="dxa"/>
          </w:tcPr>
          <w:p w14:paraId="768B5727">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color w:val="auto"/>
                <w:sz w:val="24"/>
                <w:highlight w:val="none"/>
              </w:rPr>
            </w:pPr>
          </w:p>
          <w:p w14:paraId="06514D39">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品牌（如果有）</w:t>
            </w:r>
          </w:p>
        </w:tc>
        <w:tc>
          <w:tcPr>
            <w:tcW w:w="3118" w:type="dxa"/>
            <w:vAlign w:val="center"/>
          </w:tcPr>
          <w:p w14:paraId="3273649C">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规格型号（或具体服务）</w:t>
            </w:r>
          </w:p>
        </w:tc>
        <w:tc>
          <w:tcPr>
            <w:tcW w:w="993" w:type="dxa"/>
            <w:vAlign w:val="center"/>
          </w:tcPr>
          <w:p w14:paraId="5A3E5CB8">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数量</w:t>
            </w:r>
          </w:p>
        </w:tc>
        <w:tc>
          <w:tcPr>
            <w:tcW w:w="1559" w:type="dxa"/>
            <w:vAlign w:val="center"/>
          </w:tcPr>
          <w:p w14:paraId="166FCCBB">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单价</w:t>
            </w:r>
          </w:p>
        </w:tc>
        <w:tc>
          <w:tcPr>
            <w:tcW w:w="1984" w:type="dxa"/>
            <w:vAlign w:val="center"/>
          </w:tcPr>
          <w:p w14:paraId="080E8292">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总价</w:t>
            </w:r>
          </w:p>
        </w:tc>
        <w:tc>
          <w:tcPr>
            <w:tcW w:w="3119" w:type="dxa"/>
            <w:vAlign w:val="center"/>
          </w:tcPr>
          <w:p w14:paraId="272939DC">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color w:val="auto"/>
                <w:sz w:val="24"/>
                <w:highlight w:val="none"/>
              </w:rPr>
            </w:pPr>
          </w:p>
          <w:p w14:paraId="6B57E65C">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服务要求（年限）</w:t>
            </w:r>
          </w:p>
          <w:p w14:paraId="0397C788">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color w:val="auto"/>
                <w:sz w:val="24"/>
                <w:highlight w:val="none"/>
              </w:rPr>
            </w:pPr>
          </w:p>
        </w:tc>
      </w:tr>
      <w:tr w14:paraId="6BB3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09B6FCA">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1417" w:type="dxa"/>
            <w:vAlign w:val="center"/>
          </w:tcPr>
          <w:p w14:paraId="367E3601">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p>
        </w:tc>
        <w:tc>
          <w:tcPr>
            <w:tcW w:w="1843" w:type="dxa"/>
            <w:vAlign w:val="center"/>
          </w:tcPr>
          <w:p w14:paraId="5E4D985C">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p>
        </w:tc>
        <w:tc>
          <w:tcPr>
            <w:tcW w:w="3118" w:type="dxa"/>
            <w:vAlign w:val="center"/>
          </w:tcPr>
          <w:p w14:paraId="5C652180">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p>
        </w:tc>
        <w:tc>
          <w:tcPr>
            <w:tcW w:w="993" w:type="dxa"/>
            <w:vAlign w:val="center"/>
          </w:tcPr>
          <w:p w14:paraId="264C18B3">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p>
        </w:tc>
        <w:tc>
          <w:tcPr>
            <w:tcW w:w="1559" w:type="dxa"/>
            <w:vAlign w:val="center"/>
          </w:tcPr>
          <w:p w14:paraId="7A6B92B7">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sz w:val="24"/>
                <w:highlight w:val="none"/>
              </w:rPr>
            </w:pPr>
          </w:p>
        </w:tc>
        <w:tc>
          <w:tcPr>
            <w:tcW w:w="1984" w:type="dxa"/>
            <w:vAlign w:val="center"/>
          </w:tcPr>
          <w:p w14:paraId="58A5BB57">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sz w:val="24"/>
                <w:highlight w:val="none"/>
              </w:rPr>
            </w:pPr>
          </w:p>
        </w:tc>
        <w:tc>
          <w:tcPr>
            <w:tcW w:w="3119" w:type="dxa"/>
            <w:vAlign w:val="center"/>
          </w:tcPr>
          <w:p w14:paraId="4E42808F">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sz w:val="24"/>
                <w:highlight w:val="none"/>
              </w:rPr>
            </w:pPr>
          </w:p>
        </w:tc>
      </w:tr>
      <w:tr w14:paraId="72DC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29FBFF6">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1417" w:type="dxa"/>
            <w:vAlign w:val="center"/>
          </w:tcPr>
          <w:p w14:paraId="477FF743">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p>
        </w:tc>
        <w:tc>
          <w:tcPr>
            <w:tcW w:w="1843" w:type="dxa"/>
            <w:vAlign w:val="center"/>
          </w:tcPr>
          <w:p w14:paraId="7F68FF8D">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p>
        </w:tc>
        <w:tc>
          <w:tcPr>
            <w:tcW w:w="3118" w:type="dxa"/>
            <w:vAlign w:val="center"/>
          </w:tcPr>
          <w:p w14:paraId="1C842D51">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p>
        </w:tc>
        <w:tc>
          <w:tcPr>
            <w:tcW w:w="993" w:type="dxa"/>
            <w:vAlign w:val="center"/>
          </w:tcPr>
          <w:p w14:paraId="2124CAF2">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p>
        </w:tc>
        <w:tc>
          <w:tcPr>
            <w:tcW w:w="1559" w:type="dxa"/>
            <w:vAlign w:val="center"/>
          </w:tcPr>
          <w:p w14:paraId="6A936E9D">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sz w:val="24"/>
                <w:highlight w:val="none"/>
              </w:rPr>
            </w:pPr>
          </w:p>
        </w:tc>
        <w:tc>
          <w:tcPr>
            <w:tcW w:w="1984" w:type="dxa"/>
            <w:vAlign w:val="center"/>
          </w:tcPr>
          <w:p w14:paraId="21F7BEF0">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sz w:val="24"/>
                <w:highlight w:val="none"/>
              </w:rPr>
            </w:pPr>
          </w:p>
        </w:tc>
        <w:tc>
          <w:tcPr>
            <w:tcW w:w="3119" w:type="dxa"/>
            <w:vAlign w:val="center"/>
          </w:tcPr>
          <w:p w14:paraId="471128F0">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sz w:val="24"/>
                <w:highlight w:val="none"/>
              </w:rPr>
            </w:pPr>
          </w:p>
        </w:tc>
      </w:tr>
      <w:tr w14:paraId="4D5B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32AE409">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p>
        </w:tc>
        <w:tc>
          <w:tcPr>
            <w:tcW w:w="1417" w:type="dxa"/>
            <w:vAlign w:val="center"/>
          </w:tcPr>
          <w:p w14:paraId="29AAF6B4">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p>
        </w:tc>
        <w:tc>
          <w:tcPr>
            <w:tcW w:w="1843" w:type="dxa"/>
            <w:vAlign w:val="center"/>
          </w:tcPr>
          <w:p w14:paraId="2C49C56C">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p>
        </w:tc>
        <w:tc>
          <w:tcPr>
            <w:tcW w:w="3118" w:type="dxa"/>
            <w:vAlign w:val="center"/>
          </w:tcPr>
          <w:p w14:paraId="144E9CC2">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p>
        </w:tc>
        <w:tc>
          <w:tcPr>
            <w:tcW w:w="993" w:type="dxa"/>
            <w:vAlign w:val="center"/>
          </w:tcPr>
          <w:p w14:paraId="4E0F8679">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p>
        </w:tc>
        <w:tc>
          <w:tcPr>
            <w:tcW w:w="1559" w:type="dxa"/>
            <w:vAlign w:val="center"/>
          </w:tcPr>
          <w:p w14:paraId="56D96C8A">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sz w:val="24"/>
                <w:highlight w:val="none"/>
              </w:rPr>
            </w:pPr>
          </w:p>
        </w:tc>
        <w:tc>
          <w:tcPr>
            <w:tcW w:w="1984" w:type="dxa"/>
            <w:vAlign w:val="center"/>
          </w:tcPr>
          <w:p w14:paraId="1929744D">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sz w:val="24"/>
                <w:highlight w:val="none"/>
              </w:rPr>
            </w:pPr>
          </w:p>
        </w:tc>
        <w:tc>
          <w:tcPr>
            <w:tcW w:w="3119" w:type="dxa"/>
            <w:vAlign w:val="center"/>
          </w:tcPr>
          <w:p w14:paraId="00C82AD7">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sz w:val="24"/>
                <w:highlight w:val="none"/>
              </w:rPr>
            </w:pPr>
          </w:p>
        </w:tc>
      </w:tr>
      <w:tr w14:paraId="6B70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9EF20B1">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sz w:val="24"/>
                <w:highlight w:val="none"/>
              </w:rPr>
            </w:pPr>
          </w:p>
        </w:tc>
        <w:tc>
          <w:tcPr>
            <w:tcW w:w="1417" w:type="dxa"/>
            <w:vAlign w:val="center"/>
          </w:tcPr>
          <w:p w14:paraId="76088FD3">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p>
        </w:tc>
        <w:tc>
          <w:tcPr>
            <w:tcW w:w="1843" w:type="dxa"/>
            <w:vAlign w:val="center"/>
          </w:tcPr>
          <w:p w14:paraId="1B9AA2E7">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p>
        </w:tc>
        <w:tc>
          <w:tcPr>
            <w:tcW w:w="3118" w:type="dxa"/>
            <w:vAlign w:val="center"/>
          </w:tcPr>
          <w:p w14:paraId="32A686B0">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p>
        </w:tc>
        <w:tc>
          <w:tcPr>
            <w:tcW w:w="993" w:type="dxa"/>
            <w:vAlign w:val="center"/>
          </w:tcPr>
          <w:p w14:paraId="525912DC">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p>
        </w:tc>
        <w:tc>
          <w:tcPr>
            <w:tcW w:w="1559" w:type="dxa"/>
            <w:vAlign w:val="center"/>
          </w:tcPr>
          <w:p w14:paraId="563176AD">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sz w:val="24"/>
                <w:highlight w:val="none"/>
              </w:rPr>
            </w:pPr>
          </w:p>
        </w:tc>
        <w:tc>
          <w:tcPr>
            <w:tcW w:w="1984" w:type="dxa"/>
            <w:vAlign w:val="center"/>
          </w:tcPr>
          <w:p w14:paraId="423DDEE1">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sz w:val="24"/>
                <w:highlight w:val="none"/>
              </w:rPr>
            </w:pPr>
          </w:p>
        </w:tc>
        <w:tc>
          <w:tcPr>
            <w:tcW w:w="3119" w:type="dxa"/>
            <w:vAlign w:val="center"/>
          </w:tcPr>
          <w:p w14:paraId="3BDAB043">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sz w:val="24"/>
                <w:highlight w:val="none"/>
              </w:rPr>
            </w:pPr>
          </w:p>
        </w:tc>
      </w:tr>
      <w:tr w14:paraId="7077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FB20FD9">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sz w:val="24"/>
                <w:highlight w:val="none"/>
              </w:rPr>
            </w:pPr>
          </w:p>
        </w:tc>
        <w:tc>
          <w:tcPr>
            <w:tcW w:w="1417" w:type="dxa"/>
            <w:vAlign w:val="center"/>
          </w:tcPr>
          <w:p w14:paraId="725F27C2">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p>
        </w:tc>
        <w:tc>
          <w:tcPr>
            <w:tcW w:w="1843" w:type="dxa"/>
            <w:vAlign w:val="center"/>
          </w:tcPr>
          <w:p w14:paraId="647037E2">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p>
        </w:tc>
        <w:tc>
          <w:tcPr>
            <w:tcW w:w="3118" w:type="dxa"/>
            <w:vAlign w:val="center"/>
          </w:tcPr>
          <w:p w14:paraId="3A98EA97">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p>
        </w:tc>
        <w:tc>
          <w:tcPr>
            <w:tcW w:w="993" w:type="dxa"/>
            <w:vAlign w:val="center"/>
          </w:tcPr>
          <w:p w14:paraId="1FC1DAA6">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p>
        </w:tc>
        <w:tc>
          <w:tcPr>
            <w:tcW w:w="1559" w:type="dxa"/>
            <w:vAlign w:val="center"/>
          </w:tcPr>
          <w:p w14:paraId="755EBDDB">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sz w:val="24"/>
                <w:highlight w:val="none"/>
              </w:rPr>
            </w:pPr>
          </w:p>
        </w:tc>
        <w:tc>
          <w:tcPr>
            <w:tcW w:w="1984" w:type="dxa"/>
            <w:vAlign w:val="center"/>
          </w:tcPr>
          <w:p w14:paraId="25E8DE49">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sz w:val="24"/>
                <w:highlight w:val="none"/>
              </w:rPr>
            </w:pPr>
          </w:p>
        </w:tc>
        <w:tc>
          <w:tcPr>
            <w:tcW w:w="3119" w:type="dxa"/>
            <w:vAlign w:val="center"/>
          </w:tcPr>
          <w:p w14:paraId="1DF69AF8">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sz w:val="24"/>
                <w:highlight w:val="none"/>
              </w:rPr>
            </w:pPr>
          </w:p>
        </w:tc>
      </w:tr>
      <w:tr w14:paraId="226A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9E52151">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投标报价（小写）</w:t>
            </w:r>
          </w:p>
        </w:tc>
        <w:tc>
          <w:tcPr>
            <w:tcW w:w="7655" w:type="dxa"/>
            <w:gridSpan w:val="4"/>
            <w:vAlign w:val="center"/>
          </w:tcPr>
          <w:p w14:paraId="033E83F2">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sz w:val="24"/>
                <w:highlight w:val="none"/>
              </w:rPr>
            </w:pPr>
          </w:p>
        </w:tc>
      </w:tr>
      <w:tr w14:paraId="65E9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470CFC4">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投标报价（大写）</w:t>
            </w:r>
          </w:p>
        </w:tc>
        <w:tc>
          <w:tcPr>
            <w:tcW w:w="7655" w:type="dxa"/>
            <w:gridSpan w:val="4"/>
            <w:vAlign w:val="center"/>
          </w:tcPr>
          <w:p w14:paraId="6F08B693">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color w:val="auto"/>
                <w:sz w:val="24"/>
                <w:highlight w:val="none"/>
              </w:rPr>
            </w:pPr>
          </w:p>
        </w:tc>
      </w:tr>
    </w:tbl>
    <w:p w14:paraId="50453D83">
      <w:pPr>
        <w:keepNext w:val="0"/>
        <w:keepLines w:val="0"/>
        <w:pageBreakBefore w:val="0"/>
        <w:widowControl w:val="0"/>
        <w:kinsoku/>
        <w:wordWrap/>
        <w:overflowPunct/>
        <w:topLinePunct w:val="0"/>
        <w:bidi w:val="0"/>
        <w:snapToGrid w:val="0"/>
        <w:spacing w:line="360" w:lineRule="auto"/>
        <w:ind w:left="480"/>
        <w:textAlignment w:val="auto"/>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注：</w:t>
      </w:r>
    </w:p>
    <w:p w14:paraId="586C51DF">
      <w:pPr>
        <w:keepNext w:val="0"/>
        <w:keepLines w:val="0"/>
        <w:pageBreakBefore w:val="0"/>
        <w:widowControl w:val="0"/>
        <w:kinsoku/>
        <w:wordWrap/>
        <w:overflowPunct/>
        <w:topLinePunct w:val="0"/>
        <w:bidi w:val="0"/>
        <w:spacing w:line="360" w:lineRule="auto"/>
        <w:ind w:left="-2" w:leftChars="-1" w:firstLine="480" w:firstLineChars="200"/>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1、投标人需按本表格式填写，不得自行更改。</w:t>
      </w:r>
    </w:p>
    <w:p w14:paraId="75110050">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2、有关本项目实施所涉及的一切费用均计入报价。</w:t>
      </w:r>
      <w:r>
        <w:rPr>
          <w:rFonts w:hint="eastAsia" w:cs="仿宋" w:asciiTheme="majorEastAsia" w:hAnsiTheme="majorEastAsia" w:eastAsiaTheme="majorEastAsia"/>
          <w:b/>
          <w:color w:val="auto"/>
          <w:kern w:val="0"/>
          <w:sz w:val="24"/>
          <w:highlight w:val="none"/>
          <w:lang w:val="zh-CN"/>
        </w:rPr>
        <w:t>采购人将以合同形式有偿取得货物或服务，不接受投标人给予的赠品、回扣或者与采购无关的其他商品、服务</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b/>
          <w:color w:val="auto"/>
          <w:kern w:val="0"/>
          <w:sz w:val="24"/>
          <w:highlight w:val="none"/>
          <w:lang w:val="zh-CN"/>
        </w:rPr>
        <w:t>不得出现“0元”“免费赠送”等形式的无偿报价，</w:t>
      </w:r>
      <w:r>
        <w:rPr>
          <w:rFonts w:hint="eastAsia" w:cs="仿宋" w:asciiTheme="majorEastAsia" w:hAnsiTheme="majorEastAsia" w:eastAsiaTheme="majorEastAsia"/>
          <w:b/>
          <w:color w:val="auto"/>
          <w:kern w:val="0"/>
          <w:sz w:val="24"/>
          <w:highlight w:val="none"/>
        </w:rPr>
        <w:t>否则视为</w:t>
      </w:r>
      <w:r>
        <w:rPr>
          <w:rFonts w:hint="eastAsia" w:cs="仿宋" w:asciiTheme="majorEastAsia" w:hAnsiTheme="majorEastAsia" w:eastAsiaTheme="majorEastAsia"/>
          <w:b/>
          <w:color w:val="auto"/>
          <w:sz w:val="24"/>
          <w:highlight w:val="none"/>
        </w:rPr>
        <w:t>投标文件含有采购人不能接受的附加条件的，投标无效</w:t>
      </w:r>
      <w:r>
        <w:rPr>
          <w:rFonts w:hint="eastAsia" w:cs="仿宋" w:asciiTheme="majorEastAsia" w:hAnsiTheme="majorEastAsia" w:eastAsiaTheme="majorEastAsia"/>
          <w:b/>
          <w:color w:val="auto"/>
          <w:kern w:val="0"/>
          <w:sz w:val="24"/>
          <w:highlight w:val="none"/>
          <w:lang w:val="zh-CN"/>
        </w:rPr>
        <w:t>。</w:t>
      </w:r>
    </w:p>
    <w:p w14:paraId="23B70160">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3、以上表格要求细分项目及报价，在“规格型号（或具体服务）”一栏中，货物类项目填写规格型号，服务类项目填写具体服务。</w:t>
      </w:r>
    </w:p>
    <w:p w14:paraId="3E4A5E8B">
      <w:pPr>
        <w:keepNext w:val="0"/>
        <w:keepLines w:val="0"/>
        <w:pageBreakBefore w:val="0"/>
        <w:widowControl w:val="0"/>
        <w:kinsoku/>
        <w:wordWrap/>
        <w:overflowPunct/>
        <w:topLinePunct w:val="0"/>
        <w:bidi w:val="0"/>
        <w:spacing w:line="360" w:lineRule="auto"/>
        <w:ind w:left="3780" w:leftChars="1800"/>
        <w:textAlignment w:val="auto"/>
        <w:rPr>
          <w:rFonts w:cs="仿宋" w:asciiTheme="majorEastAsia" w:hAnsiTheme="majorEastAsia" w:eastAsiaTheme="majorEastAsia"/>
          <w:color w:val="auto"/>
          <w:sz w:val="32"/>
          <w:szCs w:val="32"/>
          <w:highlight w:val="none"/>
        </w:rPr>
      </w:pPr>
    </w:p>
    <w:p w14:paraId="61D661F9">
      <w:pPr>
        <w:pStyle w:val="2"/>
        <w:keepNext w:val="0"/>
        <w:keepLines w:val="0"/>
        <w:pageBreakBefore w:val="0"/>
        <w:widowControl w:val="0"/>
        <w:kinsoku/>
        <w:wordWrap/>
        <w:overflowPunct/>
        <w:topLinePunct w:val="0"/>
        <w:bidi w:val="0"/>
        <w:spacing w:line="360" w:lineRule="auto"/>
        <w:ind w:firstLine="640"/>
        <w:textAlignment w:val="auto"/>
        <w:rPr>
          <w:rFonts w:cs="仿宋" w:asciiTheme="majorEastAsia" w:hAnsiTheme="majorEastAsia" w:eastAsiaTheme="majorEastAsia"/>
          <w:color w:val="auto"/>
          <w:sz w:val="32"/>
          <w:szCs w:val="32"/>
          <w:highlight w:val="none"/>
        </w:rPr>
      </w:pPr>
    </w:p>
    <w:p w14:paraId="7871AD7D">
      <w:pPr>
        <w:pStyle w:val="2"/>
        <w:keepNext w:val="0"/>
        <w:keepLines w:val="0"/>
        <w:pageBreakBefore w:val="0"/>
        <w:widowControl w:val="0"/>
        <w:kinsoku/>
        <w:wordWrap/>
        <w:overflowPunct/>
        <w:topLinePunct w:val="0"/>
        <w:bidi w:val="0"/>
        <w:spacing w:line="360" w:lineRule="auto"/>
        <w:ind w:firstLine="640"/>
        <w:textAlignment w:val="auto"/>
        <w:rPr>
          <w:rFonts w:cs="仿宋" w:asciiTheme="majorEastAsia" w:hAnsiTheme="majorEastAsia" w:eastAsiaTheme="majorEastAsia"/>
          <w:color w:val="auto"/>
          <w:sz w:val="32"/>
          <w:szCs w:val="32"/>
          <w:highlight w:val="none"/>
        </w:rPr>
      </w:pPr>
    </w:p>
    <w:p w14:paraId="736E28B5">
      <w:pPr>
        <w:keepNext w:val="0"/>
        <w:keepLines w:val="0"/>
        <w:pageBreakBefore w:val="0"/>
        <w:widowControl w:val="0"/>
        <w:kinsoku/>
        <w:wordWrap/>
        <w:overflowPunct/>
        <w:topLinePunct w:val="0"/>
        <w:bidi w:val="0"/>
        <w:spacing w:line="360" w:lineRule="auto"/>
        <w:ind w:left="7560" w:leftChars="36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75612476">
      <w:pPr>
        <w:keepNext w:val="0"/>
        <w:keepLines w:val="0"/>
        <w:pageBreakBefore w:val="0"/>
        <w:widowControl w:val="0"/>
        <w:kinsoku/>
        <w:wordWrap/>
        <w:overflowPunct/>
        <w:topLinePunct w:val="0"/>
        <w:bidi w:val="0"/>
        <w:spacing w:line="360" w:lineRule="auto"/>
        <w:ind w:left="7560" w:leftChars="36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7A812DD4">
      <w:pPr>
        <w:keepNext w:val="0"/>
        <w:keepLines w:val="0"/>
        <w:pageBreakBefore w:val="0"/>
        <w:widowControl w:val="0"/>
        <w:kinsoku/>
        <w:wordWrap/>
        <w:overflowPunct/>
        <w:topLinePunct w:val="0"/>
        <w:bidi w:val="0"/>
        <w:spacing w:line="360" w:lineRule="auto"/>
        <w:ind w:left="7560" w:leftChars="3600"/>
        <w:textAlignment w:val="auto"/>
        <w:rPr>
          <w:rFonts w:asciiTheme="majorEastAsia" w:hAnsiTheme="majorEastAsia" w:eastAsiaTheme="majorEastAsia"/>
          <w:color w:val="auto"/>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ajorEastAsia" w:hAnsiTheme="majorEastAsia" w:eastAsiaTheme="majorEastAsia"/>
          <w:color w:val="auto"/>
          <w:sz w:val="24"/>
          <w:highlight w:val="none"/>
        </w:rPr>
        <w:t xml:space="preserve">日  期： </w:t>
      </w:r>
    </w:p>
    <w:p w14:paraId="39CF8440">
      <w:pPr>
        <w:pStyle w:val="35"/>
        <w:keepNext w:val="0"/>
        <w:keepLines w:val="0"/>
        <w:pageBreakBefore w:val="0"/>
        <w:widowControl w:val="0"/>
        <w:tabs>
          <w:tab w:val="clear" w:pos="720"/>
        </w:tabs>
        <w:kinsoku/>
        <w:wordWrap/>
        <w:overflowPunct/>
        <w:topLinePunct w:val="0"/>
        <w:bidi w:val="0"/>
        <w:snapToGrid w:val="0"/>
        <w:spacing w:before="120" w:after="120"/>
        <w:ind w:firstLine="643"/>
        <w:textAlignment w:val="auto"/>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二、投标报价明细表</w:t>
      </w:r>
    </w:p>
    <w:p w14:paraId="79AEC708">
      <w:pPr>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投标人名称：</w:t>
      </w:r>
      <w:r>
        <w:rPr>
          <w:rFonts w:hint="eastAsia" w:cs="仿宋" w:asciiTheme="majorEastAsia" w:hAnsiTheme="majorEastAsia" w:eastAsiaTheme="majorEastAsia"/>
          <w:color w:val="auto"/>
          <w:kern w:val="0"/>
          <w:sz w:val="24"/>
          <w:highlight w:val="none"/>
          <w:u w:val="single"/>
        </w:rPr>
        <w:t xml:space="preserve">                            </w:t>
      </w:r>
    </w:p>
    <w:p w14:paraId="7C70BBB8">
      <w:pPr>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标    项：</w:t>
      </w:r>
      <w:r>
        <w:rPr>
          <w:rFonts w:hint="eastAsia" w:cs="仿宋" w:asciiTheme="majorEastAsia" w:hAnsiTheme="majorEastAsia" w:eastAsiaTheme="majorEastAsia"/>
          <w:color w:val="auto"/>
          <w:kern w:val="0"/>
          <w:sz w:val="24"/>
          <w:highlight w:val="none"/>
          <w:u w:val="single"/>
        </w:rPr>
        <w:t xml:space="preserve">                              </w:t>
      </w:r>
    </w:p>
    <w:p w14:paraId="6E2DEAE6">
      <w:pPr>
        <w:keepNext w:val="0"/>
        <w:keepLines w:val="0"/>
        <w:pageBreakBefore w:val="0"/>
        <w:widowControl w:val="0"/>
        <w:kinsoku/>
        <w:wordWrap/>
        <w:overflowPunct/>
        <w:topLinePunct w:val="0"/>
        <w:bidi w:val="0"/>
        <w:snapToGrid w:val="0"/>
        <w:spacing w:line="360" w:lineRule="auto"/>
        <w:jc w:val="left"/>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项目编号： </w:t>
      </w:r>
      <w:r>
        <w:rPr>
          <w:rFonts w:hint="eastAsia" w:cs="仿宋" w:asciiTheme="majorEastAsia" w:hAnsiTheme="majorEastAsia" w:eastAsiaTheme="majorEastAsia"/>
          <w:color w:val="auto"/>
          <w:kern w:val="0"/>
          <w:sz w:val="24"/>
          <w:highlight w:val="none"/>
          <w:u w:val="single"/>
        </w:rPr>
        <w:t xml:space="preserve">                             </w:t>
      </w:r>
      <w:r>
        <w:rPr>
          <w:rFonts w:hint="eastAsia" w:cs="仿宋" w:asciiTheme="majorEastAsia" w:hAnsiTheme="majorEastAsia" w:eastAsiaTheme="majorEastAsia"/>
          <w:color w:val="auto"/>
          <w:sz w:val="24"/>
          <w:highlight w:val="none"/>
        </w:rPr>
        <w:t xml:space="preserve">           金额单位：人民币（元）</w:t>
      </w:r>
    </w:p>
    <w:tbl>
      <w:tblPr>
        <w:tblStyle w:val="20"/>
        <w:tblW w:w="10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399"/>
        <w:gridCol w:w="1846"/>
        <w:gridCol w:w="1637"/>
        <w:gridCol w:w="1513"/>
        <w:gridCol w:w="1500"/>
        <w:gridCol w:w="1411"/>
      </w:tblGrid>
      <w:tr w14:paraId="66712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4A34180">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序号</w:t>
            </w:r>
          </w:p>
        </w:tc>
        <w:tc>
          <w:tcPr>
            <w:tcW w:w="1399" w:type="dxa"/>
            <w:tcBorders>
              <w:top w:val="single" w:color="auto" w:sz="4" w:space="0"/>
              <w:left w:val="single" w:color="auto" w:sz="4" w:space="0"/>
              <w:bottom w:val="single" w:color="auto" w:sz="4" w:space="0"/>
              <w:right w:val="single" w:color="auto" w:sz="4" w:space="0"/>
            </w:tcBorders>
            <w:vAlign w:val="center"/>
          </w:tcPr>
          <w:p w14:paraId="4EDF7941">
            <w:pPr>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名称</w:t>
            </w:r>
          </w:p>
        </w:tc>
        <w:tc>
          <w:tcPr>
            <w:tcW w:w="1846" w:type="dxa"/>
            <w:tcBorders>
              <w:top w:val="single" w:color="auto" w:sz="4" w:space="0"/>
              <w:left w:val="single" w:color="auto" w:sz="4" w:space="0"/>
              <w:bottom w:val="single" w:color="auto" w:sz="4" w:space="0"/>
              <w:right w:val="single" w:color="auto" w:sz="4" w:space="0"/>
            </w:tcBorders>
            <w:vAlign w:val="center"/>
          </w:tcPr>
          <w:p w14:paraId="3ED0D205">
            <w:pPr>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品牌（如有）</w:t>
            </w:r>
          </w:p>
        </w:tc>
        <w:tc>
          <w:tcPr>
            <w:tcW w:w="1637" w:type="dxa"/>
            <w:tcBorders>
              <w:top w:val="single" w:color="auto" w:sz="4" w:space="0"/>
              <w:left w:val="single" w:color="auto" w:sz="4" w:space="0"/>
              <w:bottom w:val="single" w:color="auto" w:sz="4" w:space="0"/>
              <w:right w:val="single" w:color="auto" w:sz="4" w:space="0"/>
            </w:tcBorders>
            <w:vAlign w:val="center"/>
          </w:tcPr>
          <w:p w14:paraId="396E3404">
            <w:pPr>
              <w:keepNext w:val="0"/>
              <w:keepLines w:val="0"/>
              <w:pageBreakBefore w:val="0"/>
              <w:widowControl w:val="0"/>
              <w:kinsoku/>
              <w:wordWrap/>
              <w:overflowPunct/>
              <w:topLinePunct w:val="0"/>
              <w:bidi w:val="0"/>
              <w:snapToGrid w:val="0"/>
              <w:spacing w:line="360" w:lineRule="auto"/>
              <w:textAlignment w:val="auto"/>
              <w:rPr>
                <w:rFonts w:hint="default"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rPr>
              <w:t>规格型号</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lang w:val="en-US" w:eastAsia="zh-CN"/>
              </w:rPr>
              <w:t>或具体服务）</w:t>
            </w:r>
          </w:p>
        </w:tc>
        <w:tc>
          <w:tcPr>
            <w:tcW w:w="1513" w:type="dxa"/>
            <w:tcBorders>
              <w:top w:val="single" w:color="auto" w:sz="4" w:space="0"/>
              <w:left w:val="single" w:color="auto" w:sz="4" w:space="0"/>
              <w:bottom w:val="single" w:color="auto" w:sz="4" w:space="0"/>
              <w:right w:val="single" w:color="auto" w:sz="4" w:space="0"/>
            </w:tcBorders>
            <w:vAlign w:val="center"/>
          </w:tcPr>
          <w:p w14:paraId="4294BB65">
            <w:pPr>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单位及数量</w:t>
            </w:r>
          </w:p>
        </w:tc>
        <w:tc>
          <w:tcPr>
            <w:tcW w:w="1500" w:type="dxa"/>
            <w:tcBorders>
              <w:top w:val="single" w:color="auto" w:sz="4" w:space="0"/>
              <w:left w:val="single" w:color="auto" w:sz="4" w:space="0"/>
              <w:bottom w:val="single" w:color="auto" w:sz="4" w:space="0"/>
              <w:right w:val="single" w:color="auto" w:sz="4" w:space="0"/>
            </w:tcBorders>
            <w:vAlign w:val="center"/>
          </w:tcPr>
          <w:p w14:paraId="6E66D144">
            <w:pPr>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单价</w:t>
            </w:r>
          </w:p>
        </w:tc>
        <w:tc>
          <w:tcPr>
            <w:tcW w:w="1411" w:type="dxa"/>
            <w:tcBorders>
              <w:top w:val="single" w:color="auto" w:sz="4" w:space="0"/>
              <w:left w:val="single" w:color="auto" w:sz="4" w:space="0"/>
              <w:bottom w:val="single" w:color="auto" w:sz="4" w:space="0"/>
              <w:right w:val="single" w:color="auto" w:sz="4" w:space="0"/>
            </w:tcBorders>
            <w:vAlign w:val="center"/>
          </w:tcPr>
          <w:p w14:paraId="6A7FC907">
            <w:pPr>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合计</w:t>
            </w:r>
          </w:p>
        </w:tc>
      </w:tr>
      <w:tr w14:paraId="3AFF6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5E4D9AA4">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79EA07C6">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0B061234">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01701C86">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61700D83">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2C3BACD4">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140FE472">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r>
      <w:tr w14:paraId="07F54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44E15662">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7309ADF3">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1D84897D">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27BC10E1">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0F3E2722">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681BDF20">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3D0354BA">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r>
      <w:tr w14:paraId="1F8C2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46C2F85A">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6BE160DE">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4774B69B">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40B58A9F">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4F556D7F">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7986AEC4">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6F5F96B7">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r>
      <w:tr w14:paraId="1B755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6CE31411">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0AF83DE7">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7B055675">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19FB511C">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6933E2A5">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7DFD1F23">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18CFAE4F">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r>
      <w:tr w14:paraId="39045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295499F2">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5A1E85BD">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1CDE6C1B">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758CFBC2">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20376167">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3BEA9A5B">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320E7BB4">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r>
      <w:tr w14:paraId="396A8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326696C9">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7F06F3D5">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548304AC">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77F949ED">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25896543">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61C4B2AC">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0B28B794">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r>
      <w:tr w14:paraId="36C24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2F5E5BA2">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3FE5E824">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78388895">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726D7B0F">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469C3660">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09178AA7">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2384D586">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r>
      <w:tr w14:paraId="0B6C4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48DC6766">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1068AA8A">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719D777F">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17D95FCB">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33B6B6D9">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71BA687E">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29A41B40">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r>
      <w:tr w14:paraId="3ABB7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10C58353">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64B10ABB">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66F55582">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21ABE1C4">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7BE9DEE5">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1AF00EB4">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22EFD32C">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r>
      <w:tr w14:paraId="03968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4B4615FC">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574C506F">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120B9364">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29FC3CE8">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55F69FDA">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02DB8C0D">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020E199D">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r>
      <w:tr w14:paraId="4F498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704DB9AA">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12A171EA">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1D6A8B5E">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16391D56">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1473171E">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5F3F5414">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3B84F6C6">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r>
      <w:tr w14:paraId="5850E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7EB21A8B">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6A101400">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w:t>
            </w:r>
          </w:p>
        </w:tc>
        <w:tc>
          <w:tcPr>
            <w:tcW w:w="1846" w:type="dxa"/>
            <w:tcBorders>
              <w:top w:val="single" w:color="auto" w:sz="4" w:space="0"/>
              <w:left w:val="single" w:color="auto" w:sz="4" w:space="0"/>
              <w:bottom w:val="single" w:color="auto" w:sz="4" w:space="0"/>
              <w:right w:val="single" w:color="auto" w:sz="4" w:space="0"/>
            </w:tcBorders>
          </w:tcPr>
          <w:p w14:paraId="595CE676">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51B195AE">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68196877">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30BB4173">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75CD5241">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r>
      <w:tr w14:paraId="7CC85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11" w:type="dxa"/>
            <w:tcBorders>
              <w:top w:val="single" w:color="auto" w:sz="4" w:space="0"/>
              <w:left w:val="single" w:color="auto" w:sz="4" w:space="0"/>
              <w:bottom w:val="single" w:color="auto" w:sz="4" w:space="0"/>
              <w:right w:val="single" w:color="auto" w:sz="4" w:space="0"/>
            </w:tcBorders>
          </w:tcPr>
          <w:p w14:paraId="29BABE00">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highlight w:val="none"/>
              </w:rPr>
            </w:pPr>
          </w:p>
        </w:tc>
        <w:tc>
          <w:tcPr>
            <w:tcW w:w="4882" w:type="dxa"/>
            <w:gridSpan w:val="3"/>
            <w:tcBorders>
              <w:top w:val="single" w:color="auto" w:sz="4" w:space="0"/>
              <w:left w:val="single" w:color="auto" w:sz="4" w:space="0"/>
              <w:bottom w:val="single" w:color="auto" w:sz="4" w:space="0"/>
              <w:right w:val="single" w:color="auto" w:sz="4" w:space="0"/>
            </w:tcBorders>
          </w:tcPr>
          <w:p w14:paraId="02A7E02D">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总报价：</w:t>
            </w:r>
          </w:p>
        </w:tc>
        <w:tc>
          <w:tcPr>
            <w:tcW w:w="1513" w:type="dxa"/>
            <w:tcBorders>
              <w:top w:val="single" w:color="auto" w:sz="4" w:space="0"/>
              <w:left w:val="single" w:color="auto" w:sz="4" w:space="0"/>
              <w:bottom w:val="single" w:color="auto" w:sz="4" w:space="0"/>
              <w:right w:val="single" w:color="auto" w:sz="4" w:space="0"/>
            </w:tcBorders>
          </w:tcPr>
          <w:p w14:paraId="30A35750">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319F6223">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2537D62E">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highlight w:val="none"/>
              </w:rPr>
            </w:pPr>
          </w:p>
        </w:tc>
      </w:tr>
    </w:tbl>
    <w:p w14:paraId="33FD0BBF">
      <w:pPr>
        <w:pStyle w:val="9"/>
        <w:keepNext w:val="0"/>
        <w:keepLines w:val="0"/>
        <w:pageBreakBefore w:val="0"/>
        <w:widowControl w:val="0"/>
        <w:kinsoku/>
        <w:wordWrap/>
        <w:overflowPunct/>
        <w:topLinePunct w:val="0"/>
        <w:bidi w:val="0"/>
        <w:spacing w:line="360" w:lineRule="auto"/>
        <w:ind w:left="-178" w:leftChars="-85"/>
        <w:textAlignment w:val="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注：</w:t>
      </w:r>
    </w:p>
    <w:p w14:paraId="0DC6A7EC">
      <w:pPr>
        <w:pStyle w:val="9"/>
        <w:keepNext w:val="0"/>
        <w:keepLines w:val="0"/>
        <w:pageBreakBefore w:val="0"/>
        <w:widowControl w:val="0"/>
        <w:kinsoku/>
        <w:wordWrap/>
        <w:overflowPunct/>
        <w:topLinePunct w:val="0"/>
        <w:bidi w:val="0"/>
        <w:spacing w:line="360" w:lineRule="auto"/>
        <w:ind w:left="-178" w:leftChars="-85"/>
        <w:textAlignment w:val="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1.本表格仅供参考，投标人可根据项目实际情况扩展表格。</w:t>
      </w:r>
    </w:p>
    <w:p w14:paraId="76EA123A">
      <w:pPr>
        <w:pStyle w:val="9"/>
        <w:keepNext w:val="0"/>
        <w:keepLines w:val="0"/>
        <w:pageBreakBefore w:val="0"/>
        <w:widowControl w:val="0"/>
        <w:kinsoku/>
        <w:wordWrap/>
        <w:overflowPunct/>
        <w:topLinePunct w:val="0"/>
        <w:bidi w:val="0"/>
        <w:spacing w:line="360" w:lineRule="auto"/>
        <w:ind w:left="-178" w:leftChars="-85"/>
        <w:textAlignment w:val="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2.投标总价应与开标一览表的投标报价一致。</w:t>
      </w:r>
    </w:p>
    <w:p w14:paraId="6EAEBF22">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highlight w:val="none"/>
        </w:rPr>
      </w:pPr>
    </w:p>
    <w:p w14:paraId="2B47863A">
      <w:pPr>
        <w:keepNext w:val="0"/>
        <w:keepLines w:val="0"/>
        <w:pageBreakBefore w:val="0"/>
        <w:widowControl w:val="0"/>
        <w:kinsoku/>
        <w:wordWrap/>
        <w:overflowPunct/>
        <w:topLinePunct w:val="0"/>
        <w:bidi w:val="0"/>
        <w:spacing w:line="360" w:lineRule="auto"/>
        <w:ind w:left="3780" w:leftChars="18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4944C014">
      <w:pPr>
        <w:keepNext w:val="0"/>
        <w:keepLines w:val="0"/>
        <w:pageBreakBefore w:val="0"/>
        <w:widowControl w:val="0"/>
        <w:kinsoku/>
        <w:wordWrap/>
        <w:overflowPunct/>
        <w:topLinePunct w:val="0"/>
        <w:bidi w:val="0"/>
        <w:spacing w:line="360" w:lineRule="auto"/>
        <w:ind w:left="3780" w:leftChars="18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2D1F3393">
      <w:pPr>
        <w:pStyle w:val="35"/>
        <w:keepNext w:val="0"/>
        <w:keepLines w:val="0"/>
        <w:pageBreakBefore w:val="0"/>
        <w:widowControl w:val="0"/>
        <w:tabs>
          <w:tab w:val="clear" w:pos="720"/>
        </w:tabs>
        <w:kinsoku/>
        <w:wordWrap/>
        <w:overflowPunct/>
        <w:topLinePunct w:val="0"/>
        <w:bidi w:val="0"/>
        <w:snapToGrid w:val="0"/>
        <w:spacing w:before="120" w:after="120"/>
        <w:ind w:left="3780" w:leftChars="1800"/>
        <w:jc w:val="both"/>
        <w:textAlignment w:val="auto"/>
        <w:outlineLvl w:val="9"/>
        <w:rPr>
          <w:rFonts w:cs="仿宋" w:asciiTheme="majorEastAsia" w:hAnsiTheme="majorEastAsia" w:eastAsiaTheme="majorEastAsia"/>
          <w:b w:val="0"/>
          <w:color w:val="auto"/>
          <w:kern w:val="2"/>
          <w:sz w:val="24"/>
          <w:szCs w:val="24"/>
          <w:highlight w:val="none"/>
        </w:rPr>
      </w:pPr>
      <w:r>
        <w:rPr>
          <w:rFonts w:hint="eastAsia" w:cs="仿宋" w:asciiTheme="majorEastAsia" w:hAnsiTheme="majorEastAsia" w:eastAsiaTheme="majorEastAsia"/>
          <w:b w:val="0"/>
          <w:color w:val="auto"/>
          <w:kern w:val="2"/>
          <w:sz w:val="24"/>
          <w:szCs w:val="24"/>
          <w:highlight w:val="none"/>
        </w:rPr>
        <w:t xml:space="preserve">日  期：  </w:t>
      </w:r>
    </w:p>
    <w:p w14:paraId="06088EC0">
      <w:pPr>
        <w:pStyle w:val="35"/>
        <w:keepNext w:val="0"/>
        <w:keepLines w:val="0"/>
        <w:pageBreakBefore w:val="0"/>
        <w:widowControl w:val="0"/>
        <w:tabs>
          <w:tab w:val="clear" w:pos="720"/>
        </w:tabs>
        <w:kinsoku/>
        <w:wordWrap/>
        <w:overflowPunct/>
        <w:topLinePunct w:val="0"/>
        <w:bidi w:val="0"/>
        <w:snapToGrid w:val="0"/>
        <w:spacing w:before="120" w:after="120"/>
        <w:textAlignment w:val="auto"/>
        <w:outlineLvl w:val="9"/>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val="0"/>
          <w:color w:val="auto"/>
          <w:kern w:val="2"/>
          <w:sz w:val="24"/>
          <w:szCs w:val="24"/>
          <w:highlight w:val="none"/>
        </w:rPr>
        <w:br w:type="page"/>
      </w:r>
      <w:r>
        <w:rPr>
          <w:rFonts w:hint="eastAsia" w:cs="仿宋" w:asciiTheme="majorEastAsia" w:hAnsiTheme="majorEastAsia" w:eastAsiaTheme="majorEastAsia"/>
          <w:color w:val="auto"/>
          <w:kern w:val="2"/>
          <w:sz w:val="32"/>
          <w:szCs w:val="32"/>
          <w:highlight w:val="none"/>
        </w:rPr>
        <w:t>三、</w:t>
      </w:r>
      <w:r>
        <w:rPr>
          <w:rFonts w:hint="eastAsia" w:cs="仿宋" w:asciiTheme="majorEastAsia" w:hAnsiTheme="majorEastAsia" w:eastAsiaTheme="majorEastAsia"/>
          <w:color w:val="auto"/>
          <w:sz w:val="32"/>
          <w:szCs w:val="32"/>
          <w:highlight w:val="none"/>
        </w:rPr>
        <w:t>中小企业声明函</w:t>
      </w:r>
    </w:p>
    <w:p w14:paraId="52994760">
      <w:pPr>
        <w:keepNext w:val="0"/>
        <w:keepLines w:val="0"/>
        <w:pageBreakBefore w:val="0"/>
        <w:widowControl w:val="0"/>
        <w:kinsoku/>
        <w:wordWrap/>
        <w:overflowPunct/>
        <w:topLinePunct w:val="0"/>
        <w:bidi w:val="0"/>
        <w:spacing w:line="360" w:lineRule="auto"/>
        <w:ind w:firstLine="120" w:firstLineChars="50"/>
        <w:jc w:val="left"/>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6D56FEC5">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32"/>
          <w:szCs w:val="32"/>
          <w:highlight w:val="none"/>
        </w:rPr>
        <w:t>中小企业声明函</w:t>
      </w:r>
    </w:p>
    <w:p w14:paraId="4A0D10BF">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本公司郑重声明，根据《政府采购促进中小企业发展管理办法》（财库﹝2020﹞46 号）的规定，本公司参加</w:t>
      </w:r>
      <w:r>
        <w:rPr>
          <w:rFonts w:hint="eastAsia" w:cs="仿宋" w:asciiTheme="majorEastAsia" w:hAnsiTheme="majorEastAsia" w:eastAsiaTheme="majorEastAsia"/>
          <w:color w:val="auto"/>
          <w:sz w:val="24"/>
          <w:highlight w:val="none"/>
          <w:u w:val="single"/>
          <w:lang w:val="en-US" w:eastAsia="zh-CN"/>
        </w:rPr>
        <w:t>宁波市兴奉开投建设有限公司</w:t>
      </w:r>
      <w:r>
        <w:rPr>
          <w:rFonts w:hint="eastAsia" w:cs="仿宋" w:asciiTheme="majorEastAsia" w:hAnsiTheme="majorEastAsia" w:eastAsiaTheme="majorEastAsia"/>
          <w:color w:val="auto"/>
          <w:sz w:val="24"/>
          <w:highlight w:val="none"/>
        </w:rPr>
        <w:t>的</w:t>
      </w:r>
      <w:r>
        <w:rPr>
          <w:rFonts w:hint="eastAsia" w:cs="仿宋" w:asciiTheme="majorEastAsia" w:hAnsiTheme="majorEastAsia" w:eastAsiaTheme="majorEastAsia"/>
          <w:color w:val="auto"/>
          <w:sz w:val="24"/>
          <w:highlight w:val="none"/>
          <w:u w:val="single"/>
          <w:lang w:eastAsia="zh-CN"/>
        </w:rPr>
        <w:t>奉化区奉化区FH12-03-01b-1地块停车场交通安全设施及标线采购</w:t>
      </w:r>
      <w:r>
        <w:rPr>
          <w:rFonts w:hint="eastAsia" w:cs="仿宋" w:asciiTheme="majorEastAsia" w:hAnsiTheme="majorEastAsia" w:eastAsiaTheme="majorEastAsia"/>
          <w:color w:val="auto"/>
          <w:sz w:val="24"/>
          <w:highlight w:val="none"/>
          <w:u w:val="single"/>
          <w:lang w:val="en-US" w:eastAsia="zh-CN"/>
        </w:rPr>
        <w:t>项目</w:t>
      </w:r>
      <w:r>
        <w:rPr>
          <w:rFonts w:hint="eastAsia" w:cs="仿宋" w:asciiTheme="majorEastAsia" w:hAnsiTheme="majorEastAsia" w:eastAsiaTheme="majorEastAsia"/>
          <w:color w:val="auto"/>
          <w:sz w:val="24"/>
          <w:highlight w:val="none"/>
        </w:rPr>
        <w:t>采购活动，提供的</w:t>
      </w:r>
      <w:r>
        <w:rPr>
          <w:rFonts w:hint="eastAsia" w:cs="仿宋" w:asciiTheme="majorEastAsia" w:hAnsiTheme="majorEastAsia" w:eastAsiaTheme="majorEastAsia"/>
          <w:color w:val="auto"/>
          <w:sz w:val="24"/>
          <w:highlight w:val="none"/>
          <w:lang w:val="en-US" w:eastAsia="zh-CN"/>
        </w:rPr>
        <w:t>货物</w:t>
      </w:r>
      <w:r>
        <w:rPr>
          <w:rFonts w:hint="eastAsia" w:cs="仿宋" w:asciiTheme="majorEastAsia" w:hAnsiTheme="majorEastAsia" w:eastAsiaTheme="majorEastAsia"/>
          <w:color w:val="auto"/>
          <w:sz w:val="24"/>
          <w:highlight w:val="none"/>
        </w:rPr>
        <w:t>全部由符合政策要求的中小企业</w:t>
      </w:r>
      <w:r>
        <w:rPr>
          <w:rFonts w:hint="eastAsia" w:cs="仿宋" w:asciiTheme="majorEastAsia" w:hAnsiTheme="majorEastAsia" w:eastAsiaTheme="majorEastAsia"/>
          <w:color w:val="auto"/>
          <w:sz w:val="24"/>
          <w:highlight w:val="none"/>
          <w:lang w:val="en-US" w:eastAsia="zh-CN"/>
        </w:rPr>
        <w:t>制造</w:t>
      </w:r>
      <w:r>
        <w:rPr>
          <w:rFonts w:hint="eastAsia" w:cs="仿宋" w:asciiTheme="majorEastAsia" w:hAnsiTheme="majorEastAsia" w:eastAsiaTheme="majorEastAsia"/>
          <w:color w:val="auto"/>
          <w:sz w:val="24"/>
          <w:highlight w:val="none"/>
        </w:rPr>
        <w:t>。相关企业的具体情况如下：</w:t>
      </w:r>
    </w:p>
    <w:p w14:paraId="70029D88">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r>
        <w:rPr>
          <w:rFonts w:hint="eastAsia" w:cs="仿宋" w:asciiTheme="majorEastAsia" w:hAnsiTheme="majorEastAsia" w:eastAsiaTheme="majorEastAsia"/>
          <w:color w:val="auto"/>
          <w:sz w:val="24"/>
          <w:highlight w:val="none"/>
          <w:u w:val="single"/>
          <w:lang w:val="en-US" w:eastAsia="zh-CN"/>
        </w:rPr>
        <w:t>直左(右)箭头</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5D217F7B">
      <w:pPr>
        <w:keepNext w:val="0"/>
        <w:keepLines w:val="0"/>
        <w:pageBreakBefore w:val="0"/>
        <w:widowControl w:val="0"/>
        <w:kinsoku/>
        <w:wordWrap/>
        <w:overflowPunct/>
        <w:topLinePunct w:val="0"/>
        <w:bidi w:val="0"/>
        <w:spacing w:line="240" w:lineRule="auto"/>
        <w:ind w:firstLine="480" w:firstLineChars="200"/>
        <w:textAlignment w:val="auto"/>
        <w:rPr>
          <w:rFonts w:hint="eastAsia"/>
          <w:color w:val="auto"/>
          <w:highlight w:val="none"/>
        </w:rPr>
      </w:pPr>
      <w:r>
        <w:rPr>
          <w:rFonts w:hint="eastAsia" w:cs="仿宋" w:asciiTheme="majorEastAsia" w:hAnsiTheme="majorEastAsia" w:eastAsiaTheme="majorEastAsia"/>
          <w:color w:val="auto"/>
          <w:sz w:val="24"/>
          <w:highlight w:val="none"/>
          <w:lang w:val="en-US" w:eastAsia="zh-CN"/>
        </w:rPr>
        <w:t>2</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左右箭头</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51C3ED13">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3</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直行箭头</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68BC2CFC">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4</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左(右)箭头</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20915CE8">
      <w:pPr>
        <w:keepNext w:val="0"/>
        <w:keepLines w:val="0"/>
        <w:pageBreakBefore w:val="0"/>
        <w:widowControl w:val="0"/>
        <w:kinsoku/>
        <w:wordWrap/>
        <w:overflowPunct/>
        <w:topLinePunct w:val="0"/>
        <w:bidi w:val="0"/>
        <w:spacing w:line="240" w:lineRule="auto"/>
        <w:ind w:firstLine="480" w:firstLineChars="200"/>
        <w:textAlignment w:val="auto"/>
        <w:rPr>
          <w:rFonts w:hint="eastAsia"/>
          <w:color w:val="auto"/>
          <w:highlight w:val="none"/>
        </w:rPr>
      </w:pPr>
      <w:r>
        <w:rPr>
          <w:rFonts w:hint="eastAsia" w:cs="仿宋" w:asciiTheme="majorEastAsia" w:hAnsiTheme="majorEastAsia" w:eastAsiaTheme="majorEastAsia"/>
          <w:color w:val="auto"/>
          <w:sz w:val="24"/>
          <w:highlight w:val="none"/>
          <w:lang w:val="en-US" w:eastAsia="zh-CN"/>
        </w:rPr>
        <w:t>5</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车道边线</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1AD3A880">
      <w:pPr>
        <w:keepNext w:val="0"/>
        <w:keepLines w:val="0"/>
        <w:pageBreakBefore w:val="0"/>
        <w:widowControl w:val="0"/>
        <w:kinsoku/>
        <w:wordWrap/>
        <w:overflowPunct/>
        <w:topLinePunct w:val="0"/>
        <w:bidi w:val="0"/>
        <w:spacing w:line="240" w:lineRule="auto"/>
        <w:ind w:firstLine="480" w:firstLineChars="200"/>
        <w:textAlignment w:val="auto"/>
        <w:rPr>
          <w:rFonts w:hint="eastAsia"/>
          <w:color w:val="auto"/>
          <w:highlight w:val="none"/>
        </w:rPr>
      </w:pPr>
      <w:r>
        <w:rPr>
          <w:rFonts w:hint="eastAsia" w:cs="仿宋" w:asciiTheme="majorEastAsia" w:hAnsiTheme="majorEastAsia" w:eastAsiaTheme="majorEastAsia"/>
          <w:color w:val="auto"/>
          <w:sz w:val="24"/>
          <w:highlight w:val="none"/>
          <w:lang w:val="en-US" w:eastAsia="zh-CN"/>
        </w:rPr>
        <w:t>6</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消防通道标记</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79C906DC">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7</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停车位划线</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10502808">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8</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消防登高台/消防通道/消防回车场地</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26A4C7AF">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9</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停止线</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3D0242EB">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10</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让行标线</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563A2FD9">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11</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定位器</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7BAAC7F8">
      <w:pPr>
        <w:keepNext w:val="0"/>
        <w:keepLines w:val="0"/>
        <w:pageBreakBefore w:val="0"/>
        <w:widowControl w:val="0"/>
        <w:kinsoku/>
        <w:wordWrap/>
        <w:overflowPunct/>
        <w:topLinePunct w:val="0"/>
        <w:bidi w:val="0"/>
        <w:spacing w:line="240" w:lineRule="auto"/>
        <w:ind w:firstLine="480" w:firstLineChars="200"/>
        <w:textAlignment w:val="auto"/>
        <w:rPr>
          <w:rFonts w:hint="eastAsia"/>
          <w:color w:val="auto"/>
          <w:highlight w:val="none"/>
        </w:rPr>
      </w:pPr>
      <w:r>
        <w:rPr>
          <w:rFonts w:hint="eastAsia" w:cs="仿宋" w:asciiTheme="majorEastAsia" w:hAnsiTheme="majorEastAsia" w:eastAsiaTheme="majorEastAsia"/>
          <w:color w:val="auto"/>
          <w:sz w:val="24"/>
          <w:highlight w:val="none"/>
          <w:lang w:val="en-US" w:eastAsia="zh-CN"/>
        </w:rPr>
        <w:t>12</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停车牌(按序停放)(φ76)</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1B8AE177">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13</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停车牌(后退式停放)(φ76)</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1DB3514D">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14</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停车指示牌(φ76)</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3EA8D595">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15</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停车指示牌(φ76)</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2E107A76">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16</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消防登高面标志牌(φ76)</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09C552B3">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17</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消防车道警示牌(φ76)</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77881C67">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18</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限速禁鸣牌(φ76)*2</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16D4F5A9">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19</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禁止左转/右转牌(φ76)</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332FCD75">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20</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让行标志牌(φ76)</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3558B0B4">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21</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爆闪灯(φ76)</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2C0539B4">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22</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橡胶减速垄</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1E72F781">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23</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室外广角镜(φ76)</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58DDB7C2">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24</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道口标注</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24910DFD">
      <w:pPr>
        <w:keepNext w:val="0"/>
        <w:keepLines w:val="0"/>
        <w:pageBreakBefore w:val="0"/>
        <w:widowControl w:val="0"/>
        <w:kinsoku/>
        <w:wordWrap/>
        <w:overflowPunct/>
        <w:topLinePunct w:val="0"/>
        <w:bidi w:val="0"/>
        <w:spacing w:line="240" w:lineRule="auto"/>
        <w:ind w:firstLine="480" w:firstLineChars="200"/>
        <w:textAlignment w:val="auto"/>
        <w:rPr>
          <w:rFonts w:hint="eastAsia"/>
          <w:color w:val="auto"/>
          <w:highlight w:val="none"/>
        </w:rPr>
      </w:pPr>
      <w:r>
        <w:rPr>
          <w:rFonts w:hint="eastAsia" w:cs="仿宋" w:asciiTheme="majorEastAsia" w:hAnsiTheme="majorEastAsia" w:eastAsiaTheme="majorEastAsia"/>
          <w:color w:val="auto"/>
          <w:sz w:val="24"/>
          <w:highlight w:val="none"/>
          <w:lang w:val="en-US" w:eastAsia="zh-CN"/>
        </w:rPr>
        <w:t>25</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直行箭头</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0B6FC20D">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26</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左(右)箭头</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559D3EB2">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27</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直左(右)箭头</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0DAC02AC">
      <w:pPr>
        <w:keepNext w:val="0"/>
        <w:keepLines w:val="0"/>
        <w:pageBreakBefore w:val="0"/>
        <w:widowControl w:val="0"/>
        <w:kinsoku/>
        <w:wordWrap/>
        <w:overflowPunct/>
        <w:topLinePunct w:val="0"/>
        <w:bidi w:val="0"/>
        <w:spacing w:line="240" w:lineRule="auto"/>
        <w:ind w:firstLine="480" w:firstLineChars="200"/>
        <w:textAlignment w:val="auto"/>
        <w:rPr>
          <w:rFonts w:hint="eastAsia"/>
          <w:color w:val="auto"/>
          <w:highlight w:val="none"/>
        </w:rPr>
      </w:pPr>
      <w:r>
        <w:rPr>
          <w:rFonts w:hint="eastAsia" w:cs="仿宋" w:asciiTheme="majorEastAsia" w:hAnsiTheme="majorEastAsia" w:eastAsiaTheme="majorEastAsia"/>
          <w:color w:val="auto"/>
          <w:sz w:val="24"/>
          <w:highlight w:val="none"/>
          <w:lang w:val="en-US" w:eastAsia="zh-CN"/>
        </w:rPr>
        <w:t>28</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左右箭头</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24AB3660">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29</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中心线</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6650245C">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30</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车位标号</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75CE9D05">
      <w:pPr>
        <w:keepNext w:val="0"/>
        <w:keepLines w:val="0"/>
        <w:pageBreakBefore w:val="0"/>
        <w:widowControl w:val="0"/>
        <w:kinsoku/>
        <w:wordWrap/>
        <w:overflowPunct/>
        <w:topLinePunct w:val="0"/>
        <w:bidi w:val="0"/>
        <w:spacing w:line="240" w:lineRule="auto"/>
        <w:ind w:firstLine="480" w:firstLineChars="200"/>
        <w:textAlignment w:val="auto"/>
        <w:rPr>
          <w:rFonts w:hint="eastAsia"/>
          <w:color w:val="auto"/>
          <w:highlight w:val="none"/>
        </w:rPr>
      </w:pPr>
      <w:r>
        <w:rPr>
          <w:rFonts w:hint="eastAsia" w:cs="仿宋" w:asciiTheme="majorEastAsia" w:hAnsiTheme="majorEastAsia" w:eastAsiaTheme="majorEastAsia"/>
          <w:color w:val="auto"/>
          <w:sz w:val="24"/>
          <w:highlight w:val="none"/>
          <w:lang w:val="en-US" w:eastAsia="zh-CN"/>
        </w:rPr>
        <w:t>31</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车位划线</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2BA378C7">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32</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防撞护角</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1D9F669E">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33</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广角镜</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64951732">
      <w:pPr>
        <w:keepNext w:val="0"/>
        <w:keepLines w:val="0"/>
        <w:pageBreakBefore w:val="0"/>
        <w:widowControl w:val="0"/>
        <w:kinsoku/>
        <w:wordWrap/>
        <w:overflowPunct/>
        <w:topLinePunct w:val="0"/>
        <w:bidi w:val="0"/>
        <w:spacing w:line="240" w:lineRule="auto"/>
        <w:ind w:firstLine="480" w:firstLineChars="200"/>
        <w:textAlignment w:val="auto"/>
        <w:rPr>
          <w:rFonts w:hint="eastAsia"/>
          <w:color w:val="auto"/>
          <w:highlight w:val="none"/>
        </w:rPr>
      </w:pPr>
      <w:r>
        <w:rPr>
          <w:rFonts w:hint="eastAsia" w:cs="仿宋" w:asciiTheme="majorEastAsia" w:hAnsiTheme="majorEastAsia" w:eastAsiaTheme="majorEastAsia"/>
          <w:color w:val="auto"/>
          <w:sz w:val="24"/>
          <w:highlight w:val="none"/>
          <w:lang w:val="en-US" w:eastAsia="zh-CN"/>
        </w:rPr>
        <w:t>34</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橡胶减速垄</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40A01EF2">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35</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出入口禁令标志</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2DE6964B">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36</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坡道分道垄</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7E3130D6">
      <w:pPr>
        <w:keepNext w:val="0"/>
        <w:keepLines w:val="0"/>
        <w:pageBreakBefore w:val="0"/>
        <w:widowControl w:val="0"/>
        <w:kinsoku/>
        <w:wordWrap/>
        <w:overflowPunct/>
        <w:topLinePunct w:val="0"/>
        <w:bidi w:val="0"/>
        <w:spacing w:line="240" w:lineRule="auto"/>
        <w:ind w:firstLine="480" w:firstLineChars="200"/>
        <w:textAlignment w:val="auto"/>
        <w:rPr>
          <w:rFonts w:hint="eastAsia"/>
          <w:color w:val="auto"/>
          <w:highlight w:val="none"/>
        </w:rPr>
      </w:pPr>
      <w:r>
        <w:rPr>
          <w:rFonts w:hint="eastAsia" w:cs="仿宋" w:asciiTheme="majorEastAsia" w:hAnsiTheme="majorEastAsia" w:eastAsiaTheme="majorEastAsia"/>
          <w:color w:val="auto"/>
          <w:sz w:val="24"/>
          <w:highlight w:val="none"/>
          <w:lang w:val="en-US" w:eastAsia="zh-CN"/>
        </w:rPr>
        <w:t>37</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柱子及墙体彩色油漆</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609D1A4C">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38</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文字标记</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1B2965C2">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39</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人防车位地坪漆</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0361504F">
      <w:pPr>
        <w:keepNext w:val="0"/>
        <w:keepLines w:val="0"/>
        <w:pageBreakBefore w:val="0"/>
        <w:widowControl w:val="0"/>
        <w:kinsoku/>
        <w:wordWrap/>
        <w:overflowPunct/>
        <w:topLinePunct w:val="0"/>
        <w:bidi w:val="0"/>
        <w:spacing w:line="240" w:lineRule="auto"/>
        <w:ind w:firstLine="480" w:firstLineChars="200"/>
        <w:textAlignment w:val="auto"/>
        <w:rPr>
          <w:rFonts w:hint="eastAsia"/>
          <w:color w:val="auto"/>
          <w:highlight w:val="none"/>
        </w:rPr>
      </w:pPr>
      <w:r>
        <w:rPr>
          <w:rFonts w:hint="eastAsia" w:cs="仿宋" w:asciiTheme="majorEastAsia" w:hAnsiTheme="majorEastAsia" w:eastAsiaTheme="majorEastAsia"/>
          <w:color w:val="auto"/>
          <w:sz w:val="24"/>
          <w:highlight w:val="none"/>
          <w:lang w:val="en-US" w:eastAsia="zh-CN"/>
        </w:rPr>
        <w:t>40</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轮廓标</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73757592">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41</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挡车器</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43514B46">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42</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车位编号牌</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731B0AD2">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43</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踢脚线(铝板)</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4182C3B8">
      <w:pPr>
        <w:keepNext w:val="0"/>
        <w:keepLines w:val="0"/>
        <w:pageBreakBefore w:val="0"/>
        <w:widowControl w:val="0"/>
        <w:kinsoku/>
        <w:wordWrap/>
        <w:overflowPunct/>
        <w:topLinePunct w:val="0"/>
        <w:bidi w:val="0"/>
        <w:spacing w:line="240" w:lineRule="auto"/>
        <w:ind w:firstLine="480" w:firstLineChars="200"/>
        <w:textAlignment w:val="auto"/>
        <w:rPr>
          <w:rFonts w:hint="eastAsia"/>
          <w:color w:val="auto"/>
          <w:highlight w:val="none"/>
        </w:rPr>
      </w:pPr>
      <w:r>
        <w:rPr>
          <w:rFonts w:hint="eastAsia" w:cs="仿宋" w:asciiTheme="majorEastAsia" w:hAnsiTheme="majorEastAsia" w:eastAsiaTheme="majorEastAsia"/>
          <w:color w:val="auto"/>
          <w:sz w:val="24"/>
          <w:highlight w:val="none"/>
          <w:lang w:val="en-US" w:eastAsia="zh-CN"/>
        </w:rPr>
        <w:t>44</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指示标志</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3A781688">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45</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 xml:space="preserve">出口方向标牌 </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5D3B6F4C">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46</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掉头牌</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0C2F69B1">
      <w:pPr>
        <w:keepNext w:val="0"/>
        <w:keepLines w:val="0"/>
        <w:pageBreakBefore w:val="0"/>
        <w:widowControl w:val="0"/>
        <w:kinsoku/>
        <w:wordWrap/>
        <w:overflowPunct/>
        <w:topLinePunct w:val="0"/>
        <w:bidi w:val="0"/>
        <w:spacing w:line="240" w:lineRule="auto"/>
        <w:ind w:firstLine="480" w:firstLineChars="200"/>
        <w:textAlignment w:val="auto"/>
        <w:rPr>
          <w:rFonts w:hint="eastAsia"/>
          <w:color w:val="auto"/>
          <w:highlight w:val="none"/>
        </w:rPr>
      </w:pPr>
      <w:r>
        <w:rPr>
          <w:rFonts w:hint="eastAsia" w:cs="仿宋" w:asciiTheme="majorEastAsia" w:hAnsiTheme="majorEastAsia" w:eastAsiaTheme="majorEastAsia"/>
          <w:color w:val="auto"/>
          <w:sz w:val="24"/>
          <w:highlight w:val="none"/>
          <w:lang w:val="en-US" w:eastAsia="zh-CN"/>
        </w:rPr>
        <w:t>47</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楼号引导牌</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09266BB8">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48</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电楼梯指示牌</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1FA346EE">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49</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入户牌</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60DEA5E4">
      <w:pPr>
        <w:keepNext w:val="0"/>
        <w:keepLines w:val="0"/>
        <w:pageBreakBefore w:val="0"/>
        <w:widowControl w:val="0"/>
        <w:kinsoku/>
        <w:wordWrap/>
        <w:overflowPunct/>
        <w:topLinePunct w:val="0"/>
        <w:bidi w:val="0"/>
        <w:spacing w:line="240" w:lineRule="auto"/>
        <w:ind w:firstLine="480" w:firstLineChars="200"/>
        <w:textAlignment w:val="auto"/>
        <w:rPr>
          <w:rFonts w:hint="eastAsia"/>
          <w:color w:val="auto"/>
          <w:highlight w:val="none"/>
        </w:rPr>
      </w:pPr>
      <w:r>
        <w:rPr>
          <w:rFonts w:hint="eastAsia" w:cs="仿宋" w:asciiTheme="majorEastAsia" w:hAnsiTheme="majorEastAsia" w:eastAsiaTheme="majorEastAsia"/>
          <w:color w:val="auto"/>
          <w:sz w:val="24"/>
          <w:highlight w:val="none"/>
          <w:lang w:val="en-US" w:eastAsia="zh-CN"/>
        </w:rPr>
        <w:t>50</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禁止驶入标志牌</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4064C1F1">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51</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警示柱</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70E9785B">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52</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小型导向牌</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10C4B99A">
      <w:pPr>
        <w:keepNext w:val="0"/>
        <w:keepLines w:val="0"/>
        <w:pageBreakBefore w:val="0"/>
        <w:widowControl w:val="0"/>
        <w:kinsoku/>
        <w:wordWrap/>
        <w:overflowPunct/>
        <w:topLinePunct w:val="0"/>
        <w:bidi w:val="0"/>
        <w:spacing w:line="240" w:lineRule="auto"/>
        <w:ind w:firstLine="480" w:firstLineChars="200"/>
        <w:textAlignment w:val="auto"/>
        <w:rPr>
          <w:rFonts w:hint="eastAsia"/>
          <w:color w:val="auto"/>
          <w:highlight w:val="none"/>
        </w:rPr>
      </w:pPr>
      <w:r>
        <w:rPr>
          <w:rFonts w:hint="eastAsia" w:cs="仿宋" w:asciiTheme="majorEastAsia" w:hAnsiTheme="majorEastAsia" w:eastAsiaTheme="majorEastAsia"/>
          <w:color w:val="auto"/>
          <w:sz w:val="24"/>
          <w:highlight w:val="none"/>
          <w:lang w:val="en-US" w:eastAsia="zh-CN"/>
        </w:rPr>
        <w:t>53</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大型导向牌</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067F4407">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54</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非机动车库标志牌</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295CD157">
      <w:pPr>
        <w:keepNext w:val="0"/>
        <w:keepLines w:val="0"/>
        <w:pageBreakBefore w:val="0"/>
        <w:widowControl w:val="0"/>
        <w:kinsoku/>
        <w:wordWrap/>
        <w:overflowPunct/>
        <w:topLinePunct w:val="0"/>
        <w:bidi w:val="0"/>
        <w:spacing w:line="240" w:lineRule="auto"/>
        <w:ind w:firstLine="480"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55</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非机动坡道标志牌</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25EC60A1">
      <w:pPr>
        <w:keepNext w:val="0"/>
        <w:keepLines w:val="0"/>
        <w:pageBreakBefore w:val="0"/>
        <w:widowControl w:val="0"/>
        <w:kinsoku/>
        <w:wordWrap/>
        <w:overflowPunct/>
        <w:topLinePunct w:val="0"/>
        <w:bidi w:val="0"/>
        <w:spacing w:line="240" w:lineRule="auto"/>
        <w:ind w:firstLine="480" w:firstLineChars="200"/>
        <w:textAlignment w:val="auto"/>
        <w:rPr>
          <w:rFonts w:hint="eastAsia"/>
          <w:color w:val="auto"/>
          <w:highlight w:val="none"/>
        </w:rPr>
      </w:pPr>
      <w:r>
        <w:rPr>
          <w:rFonts w:hint="eastAsia" w:cs="仿宋" w:asciiTheme="majorEastAsia" w:hAnsiTheme="majorEastAsia" w:eastAsiaTheme="majorEastAsia"/>
          <w:color w:val="auto"/>
          <w:sz w:val="24"/>
          <w:highlight w:val="none"/>
          <w:lang w:val="en-US" w:eastAsia="zh-CN"/>
        </w:rPr>
        <w:t>56</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u w:val="single"/>
          <w:lang w:val="en-US" w:eastAsia="zh-CN"/>
        </w:rPr>
        <w:t>反光道钉</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lang w:val="en-US" w:eastAsia="zh-CN"/>
        </w:rPr>
        <w:t>工业</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sz w:val="24"/>
          <w:highlight w:val="none"/>
          <w:lang w:val="en-US" w:eastAsia="zh-CN"/>
        </w:rPr>
        <w:t>制造商</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304CD985">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以上企业，不属于大企业的分支机构，不存在控股股东为大企业的情形，也不存在与大企业的负责人为同一人的情形。</w:t>
      </w:r>
    </w:p>
    <w:p w14:paraId="0BF41B1F">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本企业对上述声明内容的真实性负责。如有虚假，将依法承担相应责任。</w:t>
      </w:r>
    </w:p>
    <w:p w14:paraId="596C8476">
      <w:pPr>
        <w:keepNext w:val="0"/>
        <w:keepLines w:val="0"/>
        <w:pageBreakBefore w:val="0"/>
        <w:widowControl w:val="0"/>
        <w:kinsoku/>
        <w:wordWrap/>
        <w:overflowPunct/>
        <w:topLinePunct w:val="0"/>
        <w:bidi w:val="0"/>
        <w:snapToGrid w:val="0"/>
        <w:spacing w:line="360" w:lineRule="auto"/>
        <w:ind w:firstLine="5160" w:firstLineChars="2150"/>
        <w:textAlignment w:val="auto"/>
        <w:rPr>
          <w:rFonts w:cs="仿宋" w:asciiTheme="majorEastAsia" w:hAnsiTheme="majorEastAsia" w:eastAsiaTheme="majorEastAsia"/>
          <w:color w:val="auto"/>
          <w:kern w:val="0"/>
          <w:sz w:val="24"/>
          <w:highlight w:val="none"/>
          <w:lang w:val="zh-CN"/>
        </w:rPr>
      </w:pPr>
    </w:p>
    <w:p w14:paraId="692B2E7A">
      <w:pPr>
        <w:keepNext w:val="0"/>
        <w:keepLines w:val="0"/>
        <w:pageBreakBefore w:val="0"/>
        <w:widowControl w:val="0"/>
        <w:kinsoku/>
        <w:wordWrap/>
        <w:overflowPunct/>
        <w:topLinePunct w:val="0"/>
        <w:bidi w:val="0"/>
        <w:spacing w:line="360" w:lineRule="auto"/>
        <w:ind w:left="3780" w:leftChars="18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6F3B0AC0">
      <w:pPr>
        <w:keepNext w:val="0"/>
        <w:keepLines w:val="0"/>
        <w:pageBreakBefore w:val="0"/>
        <w:widowControl w:val="0"/>
        <w:kinsoku/>
        <w:wordWrap/>
        <w:overflowPunct/>
        <w:topLinePunct w:val="0"/>
        <w:bidi w:val="0"/>
        <w:spacing w:line="360" w:lineRule="auto"/>
        <w:ind w:left="3780" w:leftChars="18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03507EE5">
      <w:pPr>
        <w:keepNext w:val="0"/>
        <w:keepLines w:val="0"/>
        <w:pageBreakBefore w:val="0"/>
        <w:widowControl w:val="0"/>
        <w:kinsoku/>
        <w:wordWrap/>
        <w:overflowPunct/>
        <w:topLinePunct w:val="0"/>
        <w:bidi w:val="0"/>
        <w:spacing w:line="360" w:lineRule="auto"/>
        <w:ind w:left="3780" w:leftChars="18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日  期：</w:t>
      </w:r>
    </w:p>
    <w:p w14:paraId="43B26956">
      <w:pPr>
        <w:keepNext w:val="0"/>
        <w:keepLines w:val="0"/>
        <w:pageBreakBefore w:val="0"/>
        <w:widowControl w:val="0"/>
        <w:kinsoku/>
        <w:wordWrap/>
        <w:overflowPunct/>
        <w:topLinePunct w:val="0"/>
        <w:bidi w:val="0"/>
        <w:spacing w:line="360" w:lineRule="auto"/>
        <w:ind w:firstLine="482"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b/>
          <w:bCs/>
          <w:color w:val="auto"/>
          <w:sz w:val="24"/>
          <w:highlight w:val="none"/>
        </w:rPr>
        <w:t>从业人员、营业收入、资产总额填报上一年度数据，无上一年度数据的新成立企业可不填报。</w:t>
      </w:r>
    </w:p>
    <w:p w14:paraId="2A9476EC">
      <w:pPr>
        <w:keepNext w:val="0"/>
        <w:keepLines w:val="0"/>
        <w:pageBreakBefore w:val="0"/>
        <w:widowControl w:val="0"/>
        <w:kinsoku/>
        <w:wordWrap/>
        <w:overflowPunct/>
        <w:topLinePunct w:val="0"/>
        <w:bidi w:val="0"/>
        <w:spacing w:line="360" w:lineRule="auto"/>
        <w:ind w:right="-420" w:rightChars="-200" w:firstLine="480" w:firstLineChars="200"/>
        <w:textAlignment w:val="auto"/>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color w:val="auto"/>
          <w:sz w:val="24"/>
          <w:highlight w:val="none"/>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CF4029E">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bCs/>
          <w:color w:val="auto"/>
          <w:sz w:val="32"/>
          <w:szCs w:val="32"/>
          <w:highlight w:val="none"/>
        </w:rPr>
      </w:pPr>
      <w:r>
        <w:rPr>
          <w:rFonts w:hint="eastAsia" w:cs="仿宋" w:asciiTheme="majorEastAsia" w:hAnsiTheme="majorEastAsia" w:eastAsiaTheme="majorEastAsia"/>
          <w:b/>
          <w:color w:val="auto"/>
          <w:sz w:val="32"/>
          <w:szCs w:val="32"/>
          <w:highlight w:val="none"/>
        </w:rPr>
        <w:br w:type="page"/>
      </w:r>
    </w:p>
    <w:p w14:paraId="70B79252">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sz w:val="32"/>
          <w:szCs w:val="32"/>
        </w:rPr>
      </w:pPr>
      <w:r>
        <w:rPr>
          <w:rFonts w:hint="eastAsia" w:cs="仿宋" w:asciiTheme="majorEastAsia" w:hAnsiTheme="majorEastAsia" w:eastAsiaTheme="majorEastAsia"/>
          <w:b/>
          <w:bCs/>
          <w:sz w:val="32"/>
          <w:szCs w:val="32"/>
        </w:rPr>
        <w:t>四、残疾人福利性单位声明函</w:t>
      </w:r>
    </w:p>
    <w:p w14:paraId="6F2C2407">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b/>
          <w:spacing w:val="6"/>
          <w:sz w:val="30"/>
          <w:szCs w:val="30"/>
        </w:rPr>
      </w:pPr>
    </w:p>
    <w:p w14:paraId="1D8FC4E2">
      <w:pPr>
        <w:keepNext w:val="0"/>
        <w:keepLines w:val="0"/>
        <w:pageBreakBefore w:val="0"/>
        <w:widowControl w:val="0"/>
        <w:kinsoku/>
        <w:wordWrap/>
        <w:overflowPunct/>
        <w:topLinePunct w:val="0"/>
        <w:bidi w:val="0"/>
        <w:spacing w:line="360" w:lineRule="auto"/>
        <w:ind w:firstLine="480" w:firstLineChars="200"/>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5FD42B">
      <w:pPr>
        <w:keepNext w:val="0"/>
        <w:keepLines w:val="0"/>
        <w:pageBreakBefore w:val="0"/>
        <w:widowControl w:val="0"/>
        <w:kinsoku/>
        <w:wordWrap/>
        <w:overflowPunct/>
        <w:topLinePunct w:val="0"/>
        <w:bidi w:val="0"/>
        <w:spacing w:line="360" w:lineRule="auto"/>
        <w:ind w:firstLine="480" w:firstLineChars="200"/>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本单位对上述声明的真实性负责。如有虚假，将依法承担相应责任。</w:t>
      </w:r>
    </w:p>
    <w:p w14:paraId="37C8FB22">
      <w:pPr>
        <w:keepNext w:val="0"/>
        <w:keepLines w:val="0"/>
        <w:pageBreakBefore w:val="0"/>
        <w:widowControl w:val="0"/>
        <w:kinsoku/>
        <w:wordWrap/>
        <w:overflowPunct/>
        <w:topLinePunct w:val="0"/>
        <w:bidi w:val="0"/>
        <w:spacing w:line="360" w:lineRule="auto"/>
        <w:ind w:firstLine="480" w:firstLineChars="200"/>
        <w:jc w:val="left"/>
        <w:textAlignment w:val="auto"/>
        <w:rPr>
          <w:rFonts w:cs="仿宋" w:asciiTheme="majorEastAsia" w:hAnsiTheme="majorEastAsia" w:eastAsiaTheme="majorEastAsia"/>
          <w:sz w:val="24"/>
        </w:rPr>
      </w:pPr>
    </w:p>
    <w:p w14:paraId="06D1EC65">
      <w:pPr>
        <w:keepNext w:val="0"/>
        <w:keepLines w:val="0"/>
        <w:pageBreakBefore w:val="0"/>
        <w:widowControl w:val="0"/>
        <w:kinsoku/>
        <w:wordWrap/>
        <w:overflowPunct/>
        <w:topLinePunct w:val="0"/>
        <w:bidi w:val="0"/>
        <w:spacing w:line="360" w:lineRule="auto"/>
        <w:ind w:firstLine="480" w:firstLineChars="200"/>
        <w:jc w:val="left"/>
        <w:textAlignment w:val="auto"/>
        <w:rPr>
          <w:rFonts w:cs="仿宋" w:asciiTheme="majorEastAsia" w:hAnsiTheme="majorEastAsia" w:eastAsiaTheme="majorEastAsia"/>
          <w:sz w:val="24"/>
        </w:rPr>
      </w:pPr>
    </w:p>
    <w:p w14:paraId="23E3CB41">
      <w:pPr>
        <w:keepNext w:val="0"/>
        <w:keepLines w:val="0"/>
        <w:pageBreakBefore w:val="0"/>
        <w:widowControl w:val="0"/>
        <w:kinsoku/>
        <w:wordWrap/>
        <w:overflowPunct/>
        <w:topLinePunct w:val="0"/>
        <w:bidi w:val="0"/>
        <w:adjustRightInd w:val="0"/>
        <w:spacing w:line="360" w:lineRule="auto"/>
        <w:ind w:firstLine="2400" w:firstLineChars="1000"/>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法定代表人或其授权委托人（签名或印章）：</w:t>
      </w:r>
    </w:p>
    <w:p w14:paraId="2955B7E6">
      <w:pPr>
        <w:keepNext w:val="0"/>
        <w:keepLines w:val="0"/>
        <w:pageBreakBefore w:val="0"/>
        <w:widowControl w:val="0"/>
        <w:kinsoku/>
        <w:wordWrap/>
        <w:overflowPunct/>
        <w:topLinePunct w:val="0"/>
        <w:bidi w:val="0"/>
        <w:adjustRightInd w:val="0"/>
        <w:spacing w:line="360" w:lineRule="auto"/>
        <w:ind w:firstLine="3840" w:firstLineChars="1600"/>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投标人（盖章）：</w:t>
      </w:r>
    </w:p>
    <w:p w14:paraId="58BFE42F">
      <w:pPr>
        <w:keepNext w:val="0"/>
        <w:keepLines w:val="0"/>
        <w:pageBreakBefore w:val="0"/>
        <w:widowControl w:val="0"/>
        <w:kinsoku/>
        <w:wordWrap/>
        <w:overflowPunct/>
        <w:topLinePunct w:val="0"/>
        <w:bidi w:val="0"/>
        <w:textAlignment w:val="auto"/>
        <w:rPr>
          <w:rFonts w:asciiTheme="majorEastAsia" w:hAnsiTheme="majorEastAsia" w:eastAsiaTheme="majorEastAsia"/>
        </w:rPr>
      </w:pPr>
      <w:r>
        <w:rPr>
          <w:rFonts w:hint="eastAsia" w:cs="仿宋" w:asciiTheme="majorEastAsia" w:hAnsiTheme="majorEastAsia" w:eastAsiaTheme="majorEastAsia"/>
          <w:sz w:val="24"/>
        </w:rPr>
        <w:t xml:space="preserve">                                日期：</w:t>
      </w:r>
    </w:p>
    <w:p w14:paraId="2AB6BADC">
      <w:pPr>
        <w:keepNext w:val="0"/>
        <w:keepLines w:val="0"/>
        <w:pageBreakBefore w:val="0"/>
        <w:widowControl w:val="0"/>
        <w:kinsoku/>
        <w:wordWrap/>
        <w:overflowPunct/>
        <w:topLinePunct w:val="0"/>
        <w:bidi w:val="0"/>
        <w:spacing w:line="360" w:lineRule="auto"/>
        <w:ind w:firstLine="643" w:firstLineChars="200"/>
        <w:jc w:val="left"/>
        <w:textAlignment w:val="auto"/>
        <w:rPr>
          <w:rFonts w:cs="仿宋" w:asciiTheme="majorEastAsia" w:hAnsiTheme="majorEastAsia" w:eastAsiaTheme="majorEastAsia"/>
          <w:b/>
          <w:sz w:val="32"/>
          <w:szCs w:val="32"/>
        </w:rPr>
      </w:pPr>
    </w:p>
    <w:p w14:paraId="52C39BA4">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b/>
          <w:sz w:val="32"/>
          <w:szCs w:val="32"/>
        </w:rPr>
      </w:pPr>
    </w:p>
    <w:p w14:paraId="008B24D7">
      <w:pPr>
        <w:keepNext w:val="0"/>
        <w:keepLines w:val="0"/>
        <w:pageBreakBefore w:val="0"/>
        <w:widowControl w:val="0"/>
        <w:numPr>
          <w:ilvl w:val="0"/>
          <w:numId w:val="4"/>
        </w:numPr>
        <w:kinsoku/>
        <w:wordWrap/>
        <w:overflowPunct/>
        <w:topLinePunct w:val="0"/>
        <w:bidi w:val="0"/>
        <w:spacing w:line="360" w:lineRule="auto"/>
        <w:jc w:val="center"/>
        <w:textAlignment w:val="auto"/>
        <w:rPr>
          <w:rFonts w:cs="仿宋" w:asciiTheme="majorEastAsia" w:hAnsiTheme="majorEastAsia" w:eastAsiaTheme="majorEastAsia"/>
          <w:b/>
          <w:spacing w:val="6"/>
          <w:sz w:val="32"/>
          <w:szCs w:val="32"/>
        </w:rPr>
      </w:pPr>
      <w:r>
        <w:rPr>
          <w:rFonts w:hint="eastAsia" w:cs="仿宋" w:asciiTheme="majorEastAsia" w:hAnsiTheme="majorEastAsia" w:eastAsiaTheme="majorEastAsia"/>
          <w:b/>
          <w:spacing w:val="6"/>
          <w:sz w:val="32"/>
          <w:szCs w:val="32"/>
        </w:rPr>
        <w:br w:type="page"/>
      </w:r>
      <w:r>
        <w:rPr>
          <w:rFonts w:hint="eastAsia" w:cs="仿宋" w:asciiTheme="majorEastAsia" w:hAnsiTheme="majorEastAsia" w:eastAsiaTheme="majorEastAsia"/>
          <w:b/>
          <w:spacing w:val="6"/>
          <w:sz w:val="32"/>
          <w:szCs w:val="32"/>
        </w:rPr>
        <w:t>政府采购统计基础信息表</w:t>
      </w:r>
    </w:p>
    <w:p w14:paraId="5C95CFCA">
      <w:pPr>
        <w:pStyle w:val="2"/>
        <w:keepNext w:val="0"/>
        <w:keepLines w:val="0"/>
        <w:pageBreakBefore w:val="0"/>
        <w:widowControl w:val="0"/>
        <w:kinsoku/>
        <w:wordWrap/>
        <w:overflowPunct/>
        <w:topLinePunct w:val="0"/>
        <w:bidi w:val="0"/>
        <w:spacing w:line="360" w:lineRule="auto"/>
        <w:ind w:firstLine="0" w:firstLineChars="0"/>
        <w:textAlignment w:val="auto"/>
        <w:rPr>
          <w:rFonts w:cs="仿宋" w:asciiTheme="majorEastAsia" w:hAnsiTheme="majorEastAsia" w:eastAsiaTheme="majorEastAsia"/>
        </w:rPr>
      </w:pPr>
    </w:p>
    <w:tbl>
      <w:tblPr>
        <w:tblStyle w:val="20"/>
        <w:tblW w:w="8537" w:type="dxa"/>
        <w:jc w:val="center"/>
        <w:tblLayout w:type="fixed"/>
        <w:tblCellMar>
          <w:top w:w="0" w:type="dxa"/>
          <w:left w:w="108" w:type="dxa"/>
          <w:bottom w:w="0" w:type="dxa"/>
          <w:right w:w="108" w:type="dxa"/>
        </w:tblCellMar>
      </w:tblPr>
      <w:tblGrid>
        <w:gridCol w:w="4998"/>
        <w:gridCol w:w="3539"/>
      </w:tblGrid>
      <w:tr w14:paraId="35C6A7BF">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88A9B8A">
            <w:pPr>
              <w:keepNext w:val="0"/>
              <w:keepLines w:val="0"/>
              <w:pageBreakBefore w:val="0"/>
              <w:widowControl w:val="0"/>
              <w:kinsoku/>
              <w:wordWrap/>
              <w:overflowPunct/>
              <w:topLinePunct w:val="0"/>
              <w:bidi w:val="0"/>
              <w:adjustRightInd w:val="0"/>
              <w:spacing w:line="360" w:lineRule="auto"/>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采购人及采购项目名称</w:t>
            </w:r>
          </w:p>
        </w:tc>
        <w:tc>
          <w:tcPr>
            <w:tcW w:w="3539" w:type="dxa"/>
            <w:tcBorders>
              <w:top w:val="single" w:color="000000" w:sz="4" w:space="0"/>
              <w:left w:val="nil"/>
              <w:bottom w:val="single" w:color="000000" w:sz="4" w:space="0"/>
              <w:right w:val="single" w:color="000000" w:sz="4" w:space="0"/>
            </w:tcBorders>
          </w:tcPr>
          <w:p w14:paraId="08DA2535">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r w14:paraId="75E0D71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A97AF96">
            <w:pPr>
              <w:keepNext w:val="0"/>
              <w:keepLines w:val="0"/>
              <w:pageBreakBefore w:val="0"/>
              <w:widowControl w:val="0"/>
              <w:kinsoku/>
              <w:wordWrap/>
              <w:overflowPunct/>
              <w:topLinePunct w:val="0"/>
              <w:bidi w:val="0"/>
              <w:adjustRightInd w:val="0"/>
              <w:spacing w:line="360" w:lineRule="auto"/>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投标单位名称</w:t>
            </w:r>
          </w:p>
        </w:tc>
        <w:tc>
          <w:tcPr>
            <w:tcW w:w="3539" w:type="dxa"/>
            <w:tcBorders>
              <w:top w:val="single" w:color="000000" w:sz="4" w:space="0"/>
              <w:left w:val="nil"/>
              <w:bottom w:val="single" w:color="000000" w:sz="4" w:space="0"/>
              <w:right w:val="single" w:color="000000" w:sz="4" w:space="0"/>
            </w:tcBorders>
          </w:tcPr>
          <w:p w14:paraId="2A21FE58">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r w14:paraId="0A7C570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F88D386">
            <w:pPr>
              <w:keepNext w:val="0"/>
              <w:keepLines w:val="0"/>
              <w:pageBreakBefore w:val="0"/>
              <w:widowControl w:val="0"/>
              <w:kinsoku/>
              <w:wordWrap/>
              <w:overflowPunct/>
              <w:topLinePunct w:val="0"/>
              <w:bidi w:val="0"/>
              <w:adjustRightInd w:val="0"/>
              <w:spacing w:line="360" w:lineRule="auto"/>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投标单位是否为外商投资企业</w:t>
            </w:r>
          </w:p>
        </w:tc>
        <w:tc>
          <w:tcPr>
            <w:tcW w:w="3539" w:type="dxa"/>
            <w:tcBorders>
              <w:top w:val="single" w:color="000000" w:sz="4" w:space="0"/>
              <w:left w:val="nil"/>
              <w:bottom w:val="single" w:color="000000" w:sz="4" w:space="0"/>
              <w:right w:val="single" w:color="000000" w:sz="4" w:space="0"/>
            </w:tcBorders>
          </w:tcPr>
          <w:p w14:paraId="44494E51">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r w14:paraId="769F90A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9BA709E">
            <w:pPr>
              <w:keepNext w:val="0"/>
              <w:keepLines w:val="0"/>
              <w:pageBreakBefore w:val="0"/>
              <w:widowControl w:val="0"/>
              <w:kinsoku/>
              <w:wordWrap/>
              <w:overflowPunct/>
              <w:topLinePunct w:val="0"/>
              <w:bidi w:val="0"/>
              <w:adjustRightInd w:val="0"/>
              <w:spacing w:line="360" w:lineRule="auto"/>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投标单位是否为宁波企业</w:t>
            </w:r>
          </w:p>
        </w:tc>
        <w:tc>
          <w:tcPr>
            <w:tcW w:w="3539" w:type="dxa"/>
            <w:tcBorders>
              <w:top w:val="single" w:color="000000" w:sz="4" w:space="0"/>
              <w:left w:val="nil"/>
              <w:bottom w:val="single" w:color="000000" w:sz="4" w:space="0"/>
              <w:right w:val="single" w:color="000000" w:sz="4" w:space="0"/>
            </w:tcBorders>
          </w:tcPr>
          <w:p w14:paraId="0BD023D2">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r w14:paraId="6547AB1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98C72C2">
            <w:pPr>
              <w:keepNext w:val="0"/>
              <w:keepLines w:val="0"/>
              <w:pageBreakBefore w:val="0"/>
              <w:widowControl w:val="0"/>
              <w:kinsoku/>
              <w:wordWrap/>
              <w:overflowPunct/>
              <w:topLinePunct w:val="0"/>
              <w:bidi w:val="0"/>
              <w:adjustRightInd w:val="0"/>
              <w:spacing w:line="360" w:lineRule="auto"/>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18E87A27">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r w14:paraId="1D22847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2AC8EF4">
            <w:pPr>
              <w:keepNext w:val="0"/>
              <w:keepLines w:val="0"/>
              <w:pageBreakBefore w:val="0"/>
              <w:widowControl w:val="0"/>
              <w:kinsoku/>
              <w:wordWrap/>
              <w:overflowPunct/>
              <w:topLinePunct w:val="0"/>
              <w:bidi w:val="0"/>
              <w:adjustRightInd w:val="0"/>
              <w:spacing w:line="360" w:lineRule="auto"/>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提供的货物是否本企业制造</w:t>
            </w:r>
          </w:p>
        </w:tc>
        <w:tc>
          <w:tcPr>
            <w:tcW w:w="3539" w:type="dxa"/>
            <w:tcBorders>
              <w:top w:val="single" w:color="000000" w:sz="4" w:space="0"/>
              <w:left w:val="nil"/>
              <w:bottom w:val="single" w:color="000000" w:sz="4" w:space="0"/>
              <w:right w:val="single" w:color="000000" w:sz="4" w:space="0"/>
            </w:tcBorders>
          </w:tcPr>
          <w:p w14:paraId="472526A1">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r w14:paraId="1767CB5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EBEBFC1">
            <w:pPr>
              <w:keepNext w:val="0"/>
              <w:keepLines w:val="0"/>
              <w:pageBreakBefore w:val="0"/>
              <w:widowControl w:val="0"/>
              <w:kinsoku/>
              <w:wordWrap/>
              <w:overflowPunct/>
              <w:topLinePunct w:val="0"/>
              <w:bidi w:val="0"/>
              <w:adjustRightInd w:val="0"/>
              <w:spacing w:line="360" w:lineRule="auto"/>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货物原产地国别</w:t>
            </w:r>
          </w:p>
        </w:tc>
        <w:tc>
          <w:tcPr>
            <w:tcW w:w="3539" w:type="dxa"/>
            <w:tcBorders>
              <w:top w:val="single" w:color="000000" w:sz="4" w:space="0"/>
              <w:left w:val="nil"/>
              <w:bottom w:val="single" w:color="000000" w:sz="4" w:space="0"/>
              <w:right w:val="single" w:color="000000" w:sz="4" w:space="0"/>
            </w:tcBorders>
          </w:tcPr>
          <w:p w14:paraId="1CCAE7AF">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r w14:paraId="4BD7269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BBDD133">
            <w:pPr>
              <w:keepNext w:val="0"/>
              <w:keepLines w:val="0"/>
              <w:pageBreakBefore w:val="0"/>
              <w:widowControl w:val="0"/>
              <w:kinsoku/>
              <w:wordWrap/>
              <w:overflowPunct/>
              <w:topLinePunct w:val="0"/>
              <w:bidi w:val="0"/>
              <w:adjustRightInd w:val="0"/>
              <w:spacing w:line="360" w:lineRule="auto"/>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提供的货物是否为节能清单产品</w:t>
            </w:r>
          </w:p>
        </w:tc>
        <w:tc>
          <w:tcPr>
            <w:tcW w:w="3539" w:type="dxa"/>
            <w:tcBorders>
              <w:top w:val="single" w:color="000000" w:sz="4" w:space="0"/>
              <w:left w:val="nil"/>
              <w:bottom w:val="single" w:color="000000" w:sz="4" w:space="0"/>
              <w:right w:val="single" w:color="000000" w:sz="4" w:space="0"/>
            </w:tcBorders>
          </w:tcPr>
          <w:p w14:paraId="290AC871">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r w14:paraId="6A62DED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1890E4A">
            <w:pPr>
              <w:keepNext w:val="0"/>
              <w:keepLines w:val="0"/>
              <w:pageBreakBefore w:val="0"/>
              <w:widowControl w:val="0"/>
              <w:kinsoku/>
              <w:wordWrap/>
              <w:overflowPunct/>
              <w:topLinePunct w:val="0"/>
              <w:bidi w:val="0"/>
              <w:adjustRightInd w:val="0"/>
              <w:spacing w:line="360" w:lineRule="auto"/>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4AAFAEC5">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r w14:paraId="6DD55E1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9C612D0">
            <w:pPr>
              <w:keepNext w:val="0"/>
              <w:keepLines w:val="0"/>
              <w:pageBreakBefore w:val="0"/>
              <w:widowControl w:val="0"/>
              <w:kinsoku/>
              <w:wordWrap/>
              <w:overflowPunct/>
              <w:topLinePunct w:val="0"/>
              <w:bidi w:val="0"/>
              <w:adjustRightInd w:val="0"/>
              <w:spacing w:line="360" w:lineRule="auto"/>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06962FA5">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bl>
    <w:p w14:paraId="6458129C">
      <w:pPr>
        <w:keepNext w:val="0"/>
        <w:keepLines w:val="0"/>
        <w:pageBreakBefore w:val="0"/>
        <w:widowControl w:val="0"/>
        <w:kinsoku/>
        <w:wordWrap/>
        <w:overflowPunct/>
        <w:topLinePunct w:val="0"/>
        <w:bidi w:val="0"/>
        <w:adjustRightInd w:val="0"/>
        <w:spacing w:line="360" w:lineRule="auto"/>
        <w:jc w:val="left"/>
        <w:textAlignment w:val="auto"/>
        <w:rPr>
          <w:rFonts w:cs="仿宋" w:asciiTheme="majorEastAsia" w:hAnsiTheme="majorEastAsia" w:eastAsiaTheme="majorEastAsia"/>
          <w:sz w:val="24"/>
        </w:rPr>
      </w:pPr>
    </w:p>
    <w:p w14:paraId="0C71E13A">
      <w:pPr>
        <w:keepNext w:val="0"/>
        <w:keepLines w:val="0"/>
        <w:pageBreakBefore w:val="0"/>
        <w:widowControl w:val="0"/>
        <w:kinsoku/>
        <w:wordWrap/>
        <w:overflowPunct/>
        <w:topLinePunct w:val="0"/>
        <w:bidi w:val="0"/>
        <w:adjustRightInd w:val="0"/>
        <w:spacing w:line="360" w:lineRule="auto"/>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备注：请各投标人务必填写此表作为投标文件的组成部分。</w:t>
      </w:r>
    </w:p>
    <w:p w14:paraId="701692D0">
      <w:pPr>
        <w:keepNext w:val="0"/>
        <w:keepLines w:val="0"/>
        <w:pageBreakBefore w:val="0"/>
        <w:widowControl w:val="0"/>
        <w:kinsoku/>
        <w:wordWrap/>
        <w:overflowPunct/>
        <w:topLinePunct w:val="0"/>
        <w:bidi w:val="0"/>
        <w:adjustRightInd w:val="0"/>
        <w:spacing w:line="360" w:lineRule="auto"/>
        <w:jc w:val="left"/>
        <w:textAlignment w:val="auto"/>
        <w:rPr>
          <w:rFonts w:cs="仿宋" w:asciiTheme="majorEastAsia" w:hAnsiTheme="majorEastAsia" w:eastAsiaTheme="majorEastAsia"/>
          <w:sz w:val="24"/>
        </w:rPr>
      </w:pPr>
    </w:p>
    <w:p w14:paraId="25C2DB02">
      <w:pPr>
        <w:keepNext w:val="0"/>
        <w:keepLines w:val="0"/>
        <w:pageBreakBefore w:val="0"/>
        <w:widowControl w:val="0"/>
        <w:kinsoku/>
        <w:wordWrap/>
        <w:overflowPunct/>
        <w:topLinePunct w:val="0"/>
        <w:bidi w:val="0"/>
        <w:adjustRightInd w:val="0"/>
        <w:spacing w:line="360" w:lineRule="auto"/>
        <w:jc w:val="left"/>
        <w:textAlignment w:val="auto"/>
        <w:rPr>
          <w:rFonts w:cs="仿宋" w:asciiTheme="majorEastAsia" w:hAnsiTheme="majorEastAsia" w:eastAsiaTheme="majorEastAsia"/>
          <w:sz w:val="24"/>
        </w:rPr>
      </w:pPr>
    </w:p>
    <w:p w14:paraId="69201C5B">
      <w:pPr>
        <w:keepNext w:val="0"/>
        <w:keepLines w:val="0"/>
        <w:pageBreakBefore w:val="0"/>
        <w:widowControl w:val="0"/>
        <w:kinsoku/>
        <w:wordWrap/>
        <w:overflowPunct/>
        <w:topLinePunct w:val="0"/>
        <w:bidi w:val="0"/>
        <w:adjustRightInd w:val="0"/>
        <w:spacing w:line="360" w:lineRule="auto"/>
        <w:ind w:firstLine="2400" w:firstLineChars="1000"/>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法定代表人或其授权委托人（签名或印章）：</w:t>
      </w:r>
    </w:p>
    <w:p w14:paraId="7B57FD59">
      <w:pPr>
        <w:keepNext w:val="0"/>
        <w:keepLines w:val="0"/>
        <w:pageBreakBefore w:val="0"/>
        <w:widowControl w:val="0"/>
        <w:kinsoku/>
        <w:wordWrap/>
        <w:overflowPunct/>
        <w:topLinePunct w:val="0"/>
        <w:bidi w:val="0"/>
        <w:adjustRightInd w:val="0"/>
        <w:spacing w:line="360" w:lineRule="auto"/>
        <w:ind w:firstLine="2400" w:firstLineChars="1000"/>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投标人（盖章）：</w:t>
      </w:r>
    </w:p>
    <w:p w14:paraId="209FF81E">
      <w:pPr>
        <w:keepNext w:val="0"/>
        <w:keepLines w:val="0"/>
        <w:pageBreakBefore w:val="0"/>
        <w:widowControl w:val="0"/>
        <w:kinsoku/>
        <w:wordWrap/>
        <w:overflowPunct/>
        <w:topLinePunct w:val="0"/>
        <w:bidi w:val="0"/>
        <w:textAlignment w:val="auto"/>
        <w:rPr>
          <w:rFonts w:asciiTheme="majorEastAsia" w:hAnsiTheme="majorEastAsia" w:eastAsiaTheme="majorEastAsia"/>
        </w:rPr>
      </w:pPr>
      <w:r>
        <w:rPr>
          <w:rFonts w:hint="eastAsia" w:cs="仿宋" w:asciiTheme="majorEastAsia" w:hAnsiTheme="majorEastAsia" w:eastAsiaTheme="majorEastAsia"/>
          <w:sz w:val="24"/>
        </w:rPr>
        <w:t xml:space="preserve">                    日期：</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B58B9">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1D8AB8E3">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45D25">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3DF89958">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88CFB">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5467B647">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DE5B4">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76C5546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20DED">
    <w:pPr>
      <w:pStyle w:val="15"/>
      <w:pBdr>
        <w:bottom w:val="none" w:color="auto" w:sz="0" w:space="0"/>
      </w:pBdr>
      <w:jc w:val="right"/>
      <w:rPr>
        <w:rFonts w:ascii="仿宋_GB2312" w:eastAsia="仿宋_GB2312"/>
        <w:b/>
        <w:i/>
        <w:u w:val="single"/>
      </w:rPr>
    </w:pPr>
    <w:r>
      <w:t></w:t>
    </w:r>
    <w:r>
      <w:rPr>
        <w:rFonts w:hint="eastAsia"/>
      </w:rPr>
      <w:t xml:space="preserve">                                               </w:t>
    </w:r>
  </w:p>
  <w:p w14:paraId="39832B1F">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C4BED">
    <w:pPr>
      <w:pStyle w:val="15"/>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14AAD">
    <w:pPr>
      <w:pStyle w:val="15"/>
      <w:jc w:val="right"/>
      <w:rPr>
        <w:rFonts w:ascii="仿宋_GB2312" w:eastAsia="仿宋_GB2312"/>
        <w:b/>
        <w:i/>
        <w:u w:val="single"/>
      </w:rPr>
    </w:pPr>
    <w:r>
      <w:rPr>
        <w:rFonts w:hint="eastAsia"/>
      </w:rPr>
      <w:t xml:space="preserve">                                 </w:t>
    </w:r>
  </w:p>
  <w:p w14:paraId="31E27A8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83616">
    <w:pPr>
      <w:pStyle w:val="15"/>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2">
    <w:nsid w:val="CDAB53AD"/>
    <w:multiLevelType w:val="singleLevel"/>
    <w:tmpl w:val="CDAB53AD"/>
    <w:lvl w:ilvl="0" w:tentative="0">
      <w:start w:val="1"/>
      <w:numFmt w:val="decimal"/>
      <w:suff w:val="nothing"/>
      <w:lvlText w:val="（%1）"/>
      <w:lvlJc w:val="left"/>
    </w:lvl>
  </w:abstractNum>
  <w:abstractNum w:abstractNumId="3">
    <w:nsid w:val="2DC53F9C"/>
    <w:multiLevelType w:val="singleLevel"/>
    <w:tmpl w:val="2DC53F9C"/>
    <w:lvl w:ilvl="0" w:tentative="0">
      <w:start w:val="5"/>
      <w:numFmt w:val="chineseCounting"/>
      <w:suff w:val="space"/>
      <w:lvlText w:val="第%1部分"/>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4MTNlYjMyNGFhMTJiZTc3NDU0NzVhYzkyZjAxZmIifQ=="/>
  </w:docVars>
  <w:rsids>
    <w:rsidRoot w:val="00982EB4"/>
    <w:rsid w:val="00016734"/>
    <w:rsid w:val="000331D4"/>
    <w:rsid w:val="00061CE1"/>
    <w:rsid w:val="00095D46"/>
    <w:rsid w:val="000E448A"/>
    <w:rsid w:val="000F198F"/>
    <w:rsid w:val="001553AB"/>
    <w:rsid w:val="001716B0"/>
    <w:rsid w:val="001B2FBB"/>
    <w:rsid w:val="001C1283"/>
    <w:rsid w:val="001F3EFC"/>
    <w:rsid w:val="00215736"/>
    <w:rsid w:val="00223803"/>
    <w:rsid w:val="0024092E"/>
    <w:rsid w:val="00257FDF"/>
    <w:rsid w:val="0027141A"/>
    <w:rsid w:val="002936BF"/>
    <w:rsid w:val="003549BF"/>
    <w:rsid w:val="003773A8"/>
    <w:rsid w:val="003874A0"/>
    <w:rsid w:val="00452882"/>
    <w:rsid w:val="004A3340"/>
    <w:rsid w:val="004C3E57"/>
    <w:rsid w:val="004E23EB"/>
    <w:rsid w:val="004E36CD"/>
    <w:rsid w:val="005047BD"/>
    <w:rsid w:val="00507B69"/>
    <w:rsid w:val="00545EB5"/>
    <w:rsid w:val="00550EE6"/>
    <w:rsid w:val="005537BE"/>
    <w:rsid w:val="00555D80"/>
    <w:rsid w:val="005657F7"/>
    <w:rsid w:val="005B0674"/>
    <w:rsid w:val="005B09B1"/>
    <w:rsid w:val="005D37FA"/>
    <w:rsid w:val="0065305C"/>
    <w:rsid w:val="0065579D"/>
    <w:rsid w:val="00673D9C"/>
    <w:rsid w:val="00686437"/>
    <w:rsid w:val="00693366"/>
    <w:rsid w:val="006A264B"/>
    <w:rsid w:val="006B593D"/>
    <w:rsid w:val="006D63C7"/>
    <w:rsid w:val="00706C27"/>
    <w:rsid w:val="00764A69"/>
    <w:rsid w:val="00773362"/>
    <w:rsid w:val="007E5A2D"/>
    <w:rsid w:val="008232A9"/>
    <w:rsid w:val="0083502E"/>
    <w:rsid w:val="00886BF0"/>
    <w:rsid w:val="008B0252"/>
    <w:rsid w:val="008B1170"/>
    <w:rsid w:val="008C7259"/>
    <w:rsid w:val="008F739E"/>
    <w:rsid w:val="009024C2"/>
    <w:rsid w:val="00982EB4"/>
    <w:rsid w:val="00995301"/>
    <w:rsid w:val="009F5B94"/>
    <w:rsid w:val="00A23DA0"/>
    <w:rsid w:val="00B3449C"/>
    <w:rsid w:val="00B408F1"/>
    <w:rsid w:val="00BA7F9C"/>
    <w:rsid w:val="00BF605B"/>
    <w:rsid w:val="00C56A2B"/>
    <w:rsid w:val="00C73083"/>
    <w:rsid w:val="00C82E86"/>
    <w:rsid w:val="00C830F1"/>
    <w:rsid w:val="00CB17EC"/>
    <w:rsid w:val="00CF24DB"/>
    <w:rsid w:val="00D62310"/>
    <w:rsid w:val="00D75034"/>
    <w:rsid w:val="00D75BB4"/>
    <w:rsid w:val="00DF259A"/>
    <w:rsid w:val="00DF7E6B"/>
    <w:rsid w:val="00E23AD0"/>
    <w:rsid w:val="00E80BD5"/>
    <w:rsid w:val="00EB2459"/>
    <w:rsid w:val="00EB25A8"/>
    <w:rsid w:val="00EC3260"/>
    <w:rsid w:val="00ED669C"/>
    <w:rsid w:val="00F0217B"/>
    <w:rsid w:val="00F128C1"/>
    <w:rsid w:val="00F36900"/>
    <w:rsid w:val="00F4077A"/>
    <w:rsid w:val="00F51917"/>
    <w:rsid w:val="00F60919"/>
    <w:rsid w:val="00F85EC7"/>
    <w:rsid w:val="00FD3F44"/>
    <w:rsid w:val="00FF2980"/>
    <w:rsid w:val="00FF710F"/>
    <w:rsid w:val="00FF796A"/>
    <w:rsid w:val="02450F57"/>
    <w:rsid w:val="027E24FE"/>
    <w:rsid w:val="027F7030"/>
    <w:rsid w:val="02CA6675"/>
    <w:rsid w:val="067A5C78"/>
    <w:rsid w:val="068A6FE3"/>
    <w:rsid w:val="06E426D9"/>
    <w:rsid w:val="07180BD8"/>
    <w:rsid w:val="07526E7B"/>
    <w:rsid w:val="07F43A9E"/>
    <w:rsid w:val="086168CD"/>
    <w:rsid w:val="088E7A4F"/>
    <w:rsid w:val="08C739B9"/>
    <w:rsid w:val="08D566D9"/>
    <w:rsid w:val="08DF7B27"/>
    <w:rsid w:val="08EF0F97"/>
    <w:rsid w:val="095B740D"/>
    <w:rsid w:val="096C5A91"/>
    <w:rsid w:val="09B47C7B"/>
    <w:rsid w:val="0A3F208B"/>
    <w:rsid w:val="0A4075BB"/>
    <w:rsid w:val="0AA13015"/>
    <w:rsid w:val="0B414C9C"/>
    <w:rsid w:val="0BCB1F83"/>
    <w:rsid w:val="0BE609A1"/>
    <w:rsid w:val="0C39369B"/>
    <w:rsid w:val="0C75059E"/>
    <w:rsid w:val="0D7A67F4"/>
    <w:rsid w:val="0D9C1E70"/>
    <w:rsid w:val="0DB21912"/>
    <w:rsid w:val="0F9515B3"/>
    <w:rsid w:val="0F9868A8"/>
    <w:rsid w:val="10C5081C"/>
    <w:rsid w:val="110C00AB"/>
    <w:rsid w:val="1192395E"/>
    <w:rsid w:val="11A526D8"/>
    <w:rsid w:val="122F1BC6"/>
    <w:rsid w:val="123A23F6"/>
    <w:rsid w:val="124F633D"/>
    <w:rsid w:val="127B4807"/>
    <w:rsid w:val="133574DA"/>
    <w:rsid w:val="14230AD2"/>
    <w:rsid w:val="148825E3"/>
    <w:rsid w:val="14A5708D"/>
    <w:rsid w:val="15062A69"/>
    <w:rsid w:val="159C777A"/>
    <w:rsid w:val="15F11655"/>
    <w:rsid w:val="15F22551"/>
    <w:rsid w:val="16581268"/>
    <w:rsid w:val="166C623B"/>
    <w:rsid w:val="168A5A33"/>
    <w:rsid w:val="169E17A5"/>
    <w:rsid w:val="16E1647E"/>
    <w:rsid w:val="178C1EAA"/>
    <w:rsid w:val="17FF327C"/>
    <w:rsid w:val="18523CF5"/>
    <w:rsid w:val="19A52923"/>
    <w:rsid w:val="1B375D63"/>
    <w:rsid w:val="1B411CEB"/>
    <w:rsid w:val="1B757C35"/>
    <w:rsid w:val="1BC5039F"/>
    <w:rsid w:val="1C0024A2"/>
    <w:rsid w:val="1C4701E9"/>
    <w:rsid w:val="1C980A44"/>
    <w:rsid w:val="1CE504EA"/>
    <w:rsid w:val="1CF612C5"/>
    <w:rsid w:val="1D8C2A69"/>
    <w:rsid w:val="1DFC6FF9"/>
    <w:rsid w:val="1E1C0EC6"/>
    <w:rsid w:val="1E310A39"/>
    <w:rsid w:val="1E351FC5"/>
    <w:rsid w:val="1E366369"/>
    <w:rsid w:val="1E3D6E7F"/>
    <w:rsid w:val="1E4E2D71"/>
    <w:rsid w:val="1F521A61"/>
    <w:rsid w:val="20114E90"/>
    <w:rsid w:val="20681012"/>
    <w:rsid w:val="216D5DDE"/>
    <w:rsid w:val="21B66950"/>
    <w:rsid w:val="235D1E79"/>
    <w:rsid w:val="239527EE"/>
    <w:rsid w:val="23CA0C85"/>
    <w:rsid w:val="248C1C53"/>
    <w:rsid w:val="252A32AF"/>
    <w:rsid w:val="258B7398"/>
    <w:rsid w:val="260A7937"/>
    <w:rsid w:val="26170C2C"/>
    <w:rsid w:val="2626787B"/>
    <w:rsid w:val="26544042"/>
    <w:rsid w:val="26F03FF6"/>
    <w:rsid w:val="277D71B5"/>
    <w:rsid w:val="28F25980"/>
    <w:rsid w:val="29191A8A"/>
    <w:rsid w:val="298652AC"/>
    <w:rsid w:val="29B93265"/>
    <w:rsid w:val="2A1A747E"/>
    <w:rsid w:val="2A36156A"/>
    <w:rsid w:val="2C9D13B6"/>
    <w:rsid w:val="2CD37B9C"/>
    <w:rsid w:val="2D066EF9"/>
    <w:rsid w:val="2D213A0E"/>
    <w:rsid w:val="2E046C17"/>
    <w:rsid w:val="2E2C017E"/>
    <w:rsid w:val="2EBA2A9C"/>
    <w:rsid w:val="2FC772F6"/>
    <w:rsid w:val="305277BA"/>
    <w:rsid w:val="30CE781C"/>
    <w:rsid w:val="313C1096"/>
    <w:rsid w:val="31653090"/>
    <w:rsid w:val="31744DBB"/>
    <w:rsid w:val="317E5FD1"/>
    <w:rsid w:val="325E6B06"/>
    <w:rsid w:val="329F46CB"/>
    <w:rsid w:val="334D2131"/>
    <w:rsid w:val="33B0446E"/>
    <w:rsid w:val="33D87B9A"/>
    <w:rsid w:val="346D124D"/>
    <w:rsid w:val="348C7AC7"/>
    <w:rsid w:val="34AE4E51"/>
    <w:rsid w:val="35702107"/>
    <w:rsid w:val="35C15D38"/>
    <w:rsid w:val="35FB549E"/>
    <w:rsid w:val="3679148F"/>
    <w:rsid w:val="36994613"/>
    <w:rsid w:val="37585CC7"/>
    <w:rsid w:val="38A02D03"/>
    <w:rsid w:val="38F21F6F"/>
    <w:rsid w:val="39342471"/>
    <w:rsid w:val="398842F2"/>
    <w:rsid w:val="398F08A1"/>
    <w:rsid w:val="3A414072"/>
    <w:rsid w:val="3A620F73"/>
    <w:rsid w:val="3AAA1587"/>
    <w:rsid w:val="3AC16F61"/>
    <w:rsid w:val="3AED5FA8"/>
    <w:rsid w:val="3B5F67F9"/>
    <w:rsid w:val="3B733902"/>
    <w:rsid w:val="3B9974F4"/>
    <w:rsid w:val="3C1A46FD"/>
    <w:rsid w:val="3CC07DAB"/>
    <w:rsid w:val="3CFE221E"/>
    <w:rsid w:val="3D2F040B"/>
    <w:rsid w:val="3D2F3740"/>
    <w:rsid w:val="3D3B124C"/>
    <w:rsid w:val="3DD40F99"/>
    <w:rsid w:val="3F906847"/>
    <w:rsid w:val="3FF316C7"/>
    <w:rsid w:val="40223AEB"/>
    <w:rsid w:val="406308B6"/>
    <w:rsid w:val="412000B0"/>
    <w:rsid w:val="41BB74B3"/>
    <w:rsid w:val="426E64C1"/>
    <w:rsid w:val="42B9270F"/>
    <w:rsid w:val="42E44EEB"/>
    <w:rsid w:val="42F848B2"/>
    <w:rsid w:val="43402962"/>
    <w:rsid w:val="43B70A87"/>
    <w:rsid w:val="447932A3"/>
    <w:rsid w:val="44A519E0"/>
    <w:rsid w:val="45727023"/>
    <w:rsid w:val="45F820AE"/>
    <w:rsid w:val="46867DA4"/>
    <w:rsid w:val="46E26BDC"/>
    <w:rsid w:val="479B5ECC"/>
    <w:rsid w:val="47CA7A66"/>
    <w:rsid w:val="48642DC4"/>
    <w:rsid w:val="489600D3"/>
    <w:rsid w:val="48E57894"/>
    <w:rsid w:val="494147DB"/>
    <w:rsid w:val="49480054"/>
    <w:rsid w:val="496F769B"/>
    <w:rsid w:val="4A233794"/>
    <w:rsid w:val="4A29420F"/>
    <w:rsid w:val="4B35552D"/>
    <w:rsid w:val="4B601F70"/>
    <w:rsid w:val="4B9D6558"/>
    <w:rsid w:val="4BDF2CD4"/>
    <w:rsid w:val="4C913609"/>
    <w:rsid w:val="4CE819FA"/>
    <w:rsid w:val="4DE90850"/>
    <w:rsid w:val="4DF94CA4"/>
    <w:rsid w:val="4E8121B1"/>
    <w:rsid w:val="4EDA3037"/>
    <w:rsid w:val="503C5114"/>
    <w:rsid w:val="50E47147"/>
    <w:rsid w:val="51B760F6"/>
    <w:rsid w:val="51C20070"/>
    <w:rsid w:val="521B73AE"/>
    <w:rsid w:val="52727066"/>
    <w:rsid w:val="53867955"/>
    <w:rsid w:val="543C58B5"/>
    <w:rsid w:val="547F36AC"/>
    <w:rsid w:val="54C016F5"/>
    <w:rsid w:val="5601509B"/>
    <w:rsid w:val="56A549A9"/>
    <w:rsid w:val="57CF5D62"/>
    <w:rsid w:val="58190752"/>
    <w:rsid w:val="5821257D"/>
    <w:rsid w:val="59104786"/>
    <w:rsid w:val="59837DAB"/>
    <w:rsid w:val="59C44F24"/>
    <w:rsid w:val="59DB3743"/>
    <w:rsid w:val="5A7D40C4"/>
    <w:rsid w:val="5AAB2CE4"/>
    <w:rsid w:val="5C2869E8"/>
    <w:rsid w:val="5CB31FA3"/>
    <w:rsid w:val="5CE15AFE"/>
    <w:rsid w:val="5D502A26"/>
    <w:rsid w:val="5EC57D89"/>
    <w:rsid w:val="5F3401D7"/>
    <w:rsid w:val="5F5F4E16"/>
    <w:rsid w:val="5F8B3B79"/>
    <w:rsid w:val="5F9B6EAB"/>
    <w:rsid w:val="5FB943BF"/>
    <w:rsid w:val="602D6CC3"/>
    <w:rsid w:val="61C15914"/>
    <w:rsid w:val="61C616F2"/>
    <w:rsid w:val="62045801"/>
    <w:rsid w:val="628D22CC"/>
    <w:rsid w:val="62931F2A"/>
    <w:rsid w:val="62C04412"/>
    <w:rsid w:val="6324615B"/>
    <w:rsid w:val="63567164"/>
    <w:rsid w:val="63A454EE"/>
    <w:rsid w:val="63D74B43"/>
    <w:rsid w:val="642377E2"/>
    <w:rsid w:val="64481EC9"/>
    <w:rsid w:val="64634072"/>
    <w:rsid w:val="648539B8"/>
    <w:rsid w:val="64EF3414"/>
    <w:rsid w:val="65515DB5"/>
    <w:rsid w:val="664B7EA3"/>
    <w:rsid w:val="66D95B27"/>
    <w:rsid w:val="66EB39CB"/>
    <w:rsid w:val="67236CF2"/>
    <w:rsid w:val="680052B6"/>
    <w:rsid w:val="68CC6A50"/>
    <w:rsid w:val="69373566"/>
    <w:rsid w:val="69682F9F"/>
    <w:rsid w:val="69F4314E"/>
    <w:rsid w:val="6AE07B4D"/>
    <w:rsid w:val="6B080110"/>
    <w:rsid w:val="6B8F2CD0"/>
    <w:rsid w:val="6BA240C1"/>
    <w:rsid w:val="6C7A0240"/>
    <w:rsid w:val="6C936C6A"/>
    <w:rsid w:val="6D6922EF"/>
    <w:rsid w:val="6D883FC0"/>
    <w:rsid w:val="6DBF4921"/>
    <w:rsid w:val="6E743648"/>
    <w:rsid w:val="6EEF3DC1"/>
    <w:rsid w:val="6F0A1E85"/>
    <w:rsid w:val="6F1562FA"/>
    <w:rsid w:val="6F2A2565"/>
    <w:rsid w:val="6F540E38"/>
    <w:rsid w:val="6FCB30E3"/>
    <w:rsid w:val="6FD470B5"/>
    <w:rsid w:val="6FE55124"/>
    <w:rsid w:val="702062C1"/>
    <w:rsid w:val="70445B71"/>
    <w:rsid w:val="710D0DE4"/>
    <w:rsid w:val="7158344A"/>
    <w:rsid w:val="719E1F10"/>
    <w:rsid w:val="71C60867"/>
    <w:rsid w:val="72952BD1"/>
    <w:rsid w:val="7296325C"/>
    <w:rsid w:val="73CC74DB"/>
    <w:rsid w:val="73E54E4C"/>
    <w:rsid w:val="73FC528E"/>
    <w:rsid w:val="741B4352"/>
    <w:rsid w:val="759E1430"/>
    <w:rsid w:val="761B3DA1"/>
    <w:rsid w:val="76504185"/>
    <w:rsid w:val="76C1790D"/>
    <w:rsid w:val="77FB725B"/>
    <w:rsid w:val="79150532"/>
    <w:rsid w:val="7A1C5FCA"/>
    <w:rsid w:val="7A6115EB"/>
    <w:rsid w:val="7A967DB5"/>
    <w:rsid w:val="7AC10876"/>
    <w:rsid w:val="7AD504EF"/>
    <w:rsid w:val="7AE9619A"/>
    <w:rsid w:val="7C2D4CD4"/>
    <w:rsid w:val="7C431A41"/>
    <w:rsid w:val="7C575462"/>
    <w:rsid w:val="7D0B3EF6"/>
    <w:rsid w:val="7EAD4DFF"/>
    <w:rsid w:val="7ECB34D7"/>
    <w:rsid w:val="7ECB41F6"/>
    <w:rsid w:val="7F5C1112"/>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29"/>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43"/>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rFonts w:eastAsia="仿宋_GB2312"/>
      <w:sz w:val="28"/>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w:basedOn w:val="1"/>
    <w:next w:val="8"/>
    <w:link w:val="33"/>
    <w:qFormat/>
    <w:uiPriority w:val="0"/>
    <w:pPr>
      <w:autoSpaceDE w:val="0"/>
      <w:autoSpaceDN w:val="0"/>
      <w:spacing w:line="360" w:lineRule="auto"/>
    </w:pPr>
    <w:rPr>
      <w:rFonts w:ascii="宋体" w:hAnsi="Arial" w:cs="Arial"/>
      <w:snapToGrid w:val="0"/>
      <w:sz w:val="24"/>
      <w:szCs w:val="21"/>
      <w:lang w:val="zh-CN"/>
    </w:rPr>
  </w:style>
  <w:style w:type="paragraph" w:styleId="8">
    <w:name w:val="Date"/>
    <w:basedOn w:val="1"/>
    <w:next w:val="1"/>
    <w:link w:val="31"/>
    <w:qFormat/>
    <w:uiPriority w:val="0"/>
    <w:pPr>
      <w:ind w:left="100" w:leftChars="2500"/>
    </w:pPr>
    <w:rPr>
      <w:rFonts w:ascii="宋体"/>
      <w:sz w:val="24"/>
      <w:szCs w:val="21"/>
      <w:lang w:val="zh-CN"/>
    </w:rPr>
  </w:style>
  <w:style w:type="paragraph" w:styleId="9">
    <w:name w:val="Body Text Indent"/>
    <w:basedOn w:val="1"/>
    <w:next w:val="1"/>
    <w:link w:val="30"/>
    <w:qFormat/>
    <w:uiPriority w:val="0"/>
    <w:pPr>
      <w:spacing w:line="480" w:lineRule="exact"/>
      <w:ind w:firstLine="480" w:firstLineChars="200"/>
    </w:pPr>
    <w:rPr>
      <w:rFonts w:ascii="宋体" w:hAnsi="宋体"/>
      <w:sz w:val="24"/>
    </w:rPr>
  </w:style>
  <w:style w:type="paragraph" w:styleId="10">
    <w:name w:val="Block Text"/>
    <w:basedOn w:val="1"/>
    <w:semiHidden/>
    <w:qFormat/>
    <w:uiPriority w:val="0"/>
    <w:pPr>
      <w:spacing w:after="120"/>
      <w:ind w:left="1440" w:leftChars="700" w:right="1440" w:rightChars="700"/>
    </w:pPr>
  </w:style>
  <w:style w:type="paragraph" w:styleId="11">
    <w:name w:val="toc 3"/>
    <w:basedOn w:val="1"/>
    <w:next w:val="1"/>
    <w:qFormat/>
    <w:uiPriority w:val="0"/>
    <w:pPr>
      <w:ind w:left="840" w:leftChars="400"/>
    </w:pPr>
    <w:rPr>
      <w:rFonts w:ascii="Times New Roman" w:hAnsi="Times New Roman"/>
    </w:rPr>
  </w:style>
  <w:style w:type="paragraph" w:styleId="12">
    <w:name w:val="Plain Text"/>
    <w:basedOn w:val="1"/>
    <w:next w:val="1"/>
    <w:link w:val="32"/>
    <w:qFormat/>
    <w:uiPriority w:val="0"/>
    <w:rPr>
      <w:rFonts w:ascii="宋体" w:hAnsi="Courier New" w:cs="Arial"/>
      <w:snapToGrid w:val="0"/>
      <w:szCs w:val="21"/>
    </w:rPr>
  </w:style>
  <w:style w:type="paragraph" w:styleId="13">
    <w:name w:val="Balloon Text"/>
    <w:basedOn w:val="1"/>
    <w:link w:val="46"/>
    <w:semiHidden/>
    <w:unhideWhenUsed/>
    <w:qFormat/>
    <w:uiPriority w:val="99"/>
    <w:rPr>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spacing w:after="120" w:afterLines="0"/>
      <w:ind w:left="420" w:leftChars="200"/>
    </w:pPr>
    <w:rPr>
      <w:sz w:val="16"/>
      <w:szCs w:val="16"/>
    </w:rPr>
  </w:style>
  <w:style w:type="paragraph" w:styleId="1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8">
    <w:name w:val="Body Text First Indent"/>
    <w:next w:val="1"/>
    <w:qFormat/>
    <w:uiPriority w:val="0"/>
    <w:pPr>
      <w:widowControl w:val="0"/>
      <w:autoSpaceDE w:val="0"/>
      <w:autoSpaceDN w:val="0"/>
      <w:adjustRightInd w:val="0"/>
      <w:spacing w:after="0"/>
      <w:jc w:val="left"/>
    </w:pPr>
    <w:rPr>
      <w:rFonts w:ascii="Times New Roman" w:hAnsi="Times New Roman" w:eastAsia="宋体" w:cs="Times New Roman"/>
      <w:kern w:val="0"/>
      <w:sz w:val="28"/>
      <w:szCs w:val="20"/>
      <w:lang w:val="en-US" w:eastAsia="zh-CN" w:bidi="ar-SA"/>
    </w:rPr>
  </w:style>
  <w:style w:type="paragraph" w:styleId="19">
    <w:name w:val="Body Text First Indent 2"/>
    <w:basedOn w:val="9"/>
    <w:qFormat/>
    <w:uiPriority w:val="0"/>
    <w:pPr>
      <w:ind w:firstLine="420" w:firstLineChars="200"/>
    </w:pPr>
  </w:style>
  <w:style w:type="table" w:styleId="21">
    <w:name w:val="Table Grid"/>
    <w:basedOn w:val="20"/>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rPr>
      <w:rFonts w:ascii="Arial" w:hAnsi="Arial" w:eastAsia="黑体" w:cs="Arial"/>
      <w:snapToGrid w:val="0"/>
      <w:kern w:val="0"/>
      <w:szCs w:val="21"/>
    </w:rPr>
  </w:style>
  <w:style w:type="character" w:styleId="24">
    <w:name w:val="Hyperlink"/>
    <w:qFormat/>
    <w:uiPriority w:val="99"/>
    <w:rPr>
      <w:rFonts w:ascii="Arial" w:hAnsi="Arial" w:eastAsia="黑体" w:cs="Arial"/>
      <w:snapToGrid w:val="0"/>
      <w:color w:val="000000"/>
      <w:kern w:val="0"/>
      <w:sz w:val="18"/>
      <w:szCs w:val="18"/>
      <w:u w:val="none"/>
    </w:rPr>
  </w:style>
  <w:style w:type="paragraph" w:customStyle="1" w:styleId="25">
    <w:name w:val="正文首行缩进 21"/>
    <w:basedOn w:val="26"/>
    <w:autoRedefine/>
    <w:qFormat/>
    <w:uiPriority w:val="0"/>
    <w:pPr>
      <w:autoSpaceDE/>
      <w:autoSpaceDN/>
      <w:adjustRightInd/>
      <w:ind w:firstLine="420"/>
    </w:pPr>
    <w:rPr>
      <w:rFonts w:cs="宋体"/>
      <w:kern w:val="2"/>
    </w:rPr>
  </w:style>
  <w:style w:type="paragraph" w:customStyle="1" w:styleId="26">
    <w:name w:val="正文文本缩进1"/>
    <w:basedOn w:val="1"/>
    <w:next w:val="1"/>
    <w:autoRedefine/>
    <w:qFormat/>
    <w:uiPriority w:val="0"/>
    <w:pPr>
      <w:spacing w:after="120"/>
      <w:ind w:left="420" w:leftChars="200"/>
    </w:pPr>
  </w:style>
  <w:style w:type="character" w:customStyle="1" w:styleId="27">
    <w:name w:val="页眉 Char"/>
    <w:basedOn w:val="22"/>
    <w:link w:val="15"/>
    <w:qFormat/>
    <w:uiPriority w:val="99"/>
    <w:rPr>
      <w:sz w:val="18"/>
      <w:szCs w:val="18"/>
    </w:rPr>
  </w:style>
  <w:style w:type="character" w:customStyle="1" w:styleId="28">
    <w:name w:val="页脚 Char"/>
    <w:basedOn w:val="22"/>
    <w:link w:val="14"/>
    <w:qFormat/>
    <w:uiPriority w:val="99"/>
    <w:rPr>
      <w:sz w:val="18"/>
      <w:szCs w:val="18"/>
    </w:rPr>
  </w:style>
  <w:style w:type="character" w:customStyle="1" w:styleId="29">
    <w:name w:val="标题 2 Char"/>
    <w:basedOn w:val="22"/>
    <w:link w:val="3"/>
    <w:qFormat/>
    <w:uiPriority w:val="0"/>
    <w:rPr>
      <w:rFonts w:ascii="仿宋_GB2312" w:hAnsi="仿宋" w:eastAsia="仿宋_GB2312" w:cs="Times New Roman"/>
      <w:b/>
      <w:bCs/>
      <w:sz w:val="32"/>
      <w:szCs w:val="32"/>
      <w:lang w:val="zh-CN"/>
    </w:rPr>
  </w:style>
  <w:style w:type="character" w:customStyle="1" w:styleId="30">
    <w:name w:val="正文文本缩进 Char"/>
    <w:basedOn w:val="22"/>
    <w:link w:val="9"/>
    <w:qFormat/>
    <w:uiPriority w:val="0"/>
    <w:rPr>
      <w:rFonts w:ascii="宋体" w:hAnsi="宋体" w:eastAsia="宋体" w:cs="Times New Roman"/>
      <w:sz w:val="24"/>
      <w:szCs w:val="24"/>
    </w:rPr>
  </w:style>
  <w:style w:type="character" w:customStyle="1" w:styleId="31">
    <w:name w:val="日期 Char"/>
    <w:basedOn w:val="22"/>
    <w:link w:val="8"/>
    <w:qFormat/>
    <w:uiPriority w:val="0"/>
    <w:rPr>
      <w:rFonts w:ascii="宋体" w:hAnsi="Calibri" w:eastAsia="宋体" w:cs="Times New Roman"/>
      <w:sz w:val="24"/>
      <w:szCs w:val="21"/>
      <w:lang w:val="zh-CN"/>
    </w:rPr>
  </w:style>
  <w:style w:type="character" w:customStyle="1" w:styleId="32">
    <w:name w:val="纯文本 Char"/>
    <w:basedOn w:val="22"/>
    <w:link w:val="12"/>
    <w:qFormat/>
    <w:uiPriority w:val="0"/>
    <w:rPr>
      <w:rFonts w:ascii="宋体" w:hAnsi="Courier New" w:eastAsia="宋体" w:cs="Arial"/>
      <w:snapToGrid w:val="0"/>
      <w:szCs w:val="21"/>
    </w:rPr>
  </w:style>
  <w:style w:type="character" w:customStyle="1" w:styleId="33">
    <w:name w:val="正文文本 Char"/>
    <w:basedOn w:val="22"/>
    <w:link w:val="7"/>
    <w:qFormat/>
    <w:uiPriority w:val="0"/>
    <w:rPr>
      <w:rFonts w:ascii="宋体" w:hAnsi="Arial" w:eastAsia="宋体" w:cs="Arial"/>
      <w:snapToGrid w:val="0"/>
      <w:sz w:val="24"/>
      <w:szCs w:val="21"/>
      <w:lang w:val="zh-CN"/>
    </w:rPr>
  </w:style>
  <w:style w:type="paragraph" w:customStyle="1" w:styleId="34">
    <w:name w:val="索引 11"/>
    <w:basedOn w:val="1"/>
    <w:next w:val="1"/>
    <w:qFormat/>
    <w:uiPriority w:val="99"/>
    <w:pPr>
      <w:spacing w:line="360" w:lineRule="auto"/>
    </w:pPr>
    <w:rPr>
      <w:rFonts w:ascii="仿宋_GB2312" w:eastAsia="仿宋_GB2312"/>
      <w:sz w:val="24"/>
      <w:szCs w:val="20"/>
    </w:rPr>
  </w:style>
  <w:style w:type="paragraph" w:customStyle="1" w:styleId="3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38">
    <w:name w:val="纯文本1"/>
    <w:basedOn w:val="1"/>
    <w:qFormat/>
    <w:uiPriority w:val="0"/>
    <w:rPr>
      <w:rFonts w:ascii="宋体" w:hAnsi="Courier New"/>
      <w:kern w:val="0"/>
      <w:sz w:val="20"/>
      <w:szCs w:val="20"/>
    </w:rPr>
  </w:style>
  <w:style w:type="paragraph" w:customStyle="1" w:styleId="3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0_0"/>
    <w:basedOn w:val="39"/>
    <w:qFormat/>
    <w:uiPriority w:val="0"/>
    <w:rPr>
      <w:rFonts w:ascii="宋体" w:hAnsi="Courier New"/>
      <w:szCs w:val="21"/>
    </w:rPr>
  </w:style>
  <w:style w:type="paragraph" w:customStyle="1" w:styleId="41">
    <w:name w:val="正文2"/>
    <w:basedOn w:val="1"/>
    <w:qFormat/>
    <w:uiPriority w:val="0"/>
    <w:pPr>
      <w:spacing w:before="156" w:line="360" w:lineRule="auto"/>
      <w:ind w:firstLine="510" w:firstLineChars="200"/>
    </w:pPr>
    <w:rPr>
      <w:sz w:val="24"/>
      <w:szCs w:val="20"/>
    </w:rPr>
  </w:style>
  <w:style w:type="paragraph" w:customStyle="1" w:styleId="42">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43">
    <w:name w:val="标题 3 Char"/>
    <w:basedOn w:val="22"/>
    <w:link w:val="4"/>
    <w:semiHidden/>
    <w:qFormat/>
    <w:uiPriority w:val="9"/>
    <w:rPr>
      <w:rFonts w:ascii="Calibri" w:hAnsi="Calibri" w:eastAsia="宋体" w:cs="Times New Roman"/>
      <w:b/>
      <w:bCs/>
      <w:sz w:val="32"/>
      <w:szCs w:val="32"/>
    </w:rPr>
  </w:style>
  <w:style w:type="character" w:customStyle="1" w:styleId="44">
    <w:name w:val="标题 4 Char"/>
    <w:basedOn w:val="22"/>
    <w:link w:val="5"/>
    <w:semiHidden/>
    <w:qFormat/>
    <w:uiPriority w:val="9"/>
    <w:rPr>
      <w:rFonts w:asciiTheme="majorHAnsi" w:hAnsiTheme="majorHAnsi" w:eastAsiaTheme="majorEastAsia" w:cstheme="majorBidi"/>
      <w:b/>
      <w:bCs/>
      <w:sz w:val="28"/>
      <w:szCs w:val="28"/>
    </w:rPr>
  </w:style>
  <w:style w:type="paragraph" w:customStyle="1" w:styleId="45">
    <w:name w:val="标题4"/>
    <w:basedOn w:val="1"/>
    <w:qFormat/>
    <w:uiPriority w:val="0"/>
    <w:rPr>
      <w:rFonts w:ascii="Times New Roman" w:hAnsi="Times New Roman" w:eastAsia="仿宋_GB2312"/>
      <w:sz w:val="32"/>
      <w:szCs w:val="20"/>
    </w:rPr>
  </w:style>
  <w:style w:type="character" w:customStyle="1" w:styleId="46">
    <w:name w:val="批注框文本 Char"/>
    <w:basedOn w:val="22"/>
    <w:link w:val="13"/>
    <w:semiHidden/>
    <w:qFormat/>
    <w:uiPriority w:val="99"/>
    <w:rPr>
      <w:rFonts w:ascii="Calibri" w:hAnsi="Calibri" w:eastAsia="宋体" w:cs="Times New Roman"/>
      <w:sz w:val="18"/>
      <w:szCs w:val="18"/>
    </w:rPr>
  </w:style>
  <w:style w:type="character" w:customStyle="1" w:styleId="47">
    <w:name w:val="List Paragraph Char"/>
    <w:link w:val="48"/>
    <w:qFormat/>
    <w:locked/>
    <w:uiPriority w:val="0"/>
    <w:rPr>
      <w:rFonts w:ascii="Times New Roman" w:hAnsi="Times New Roman"/>
      <w:szCs w:val="24"/>
    </w:rPr>
  </w:style>
  <w:style w:type="paragraph" w:customStyle="1" w:styleId="48">
    <w:name w:val="列出段落1"/>
    <w:basedOn w:val="1"/>
    <w:link w:val="47"/>
    <w:qFormat/>
    <w:uiPriority w:val="0"/>
    <w:pPr>
      <w:ind w:firstLine="420" w:firstLineChars="200"/>
    </w:pPr>
    <w:rPr>
      <w:rFonts w:ascii="Times New Roman" w:hAnsi="Times New Roman" w:eastAsiaTheme="minorEastAsia" w:cstheme="minorBidi"/>
    </w:rPr>
  </w:style>
  <w:style w:type="paragraph" w:styleId="49">
    <w:name w:val="List Paragraph"/>
    <w:basedOn w:val="1"/>
    <w:qFormat/>
    <w:uiPriority w:val="34"/>
    <w:pPr>
      <w:ind w:firstLine="420" w:firstLineChars="200"/>
    </w:pPr>
    <w:rPr>
      <w:rFonts w:ascii="等线" w:hAnsi="等线" w:eastAsia="等线"/>
      <w:szCs w:val="22"/>
    </w:rPr>
  </w:style>
  <w:style w:type="character" w:customStyle="1" w:styleId="50">
    <w:name w:val="font21"/>
    <w:basedOn w:val="22"/>
    <w:qFormat/>
    <w:uiPriority w:val="0"/>
    <w:rPr>
      <w:rFonts w:hint="eastAsia" w:ascii="宋体" w:hAnsi="宋体" w:eastAsia="宋体" w:cs="宋体"/>
      <w:color w:val="000000"/>
      <w:sz w:val="20"/>
      <w:szCs w:val="20"/>
      <w:u w:val="none"/>
    </w:rPr>
  </w:style>
  <w:style w:type="character" w:customStyle="1" w:styleId="51">
    <w:name w:val="font01"/>
    <w:basedOn w:val="22"/>
    <w:qFormat/>
    <w:uiPriority w:val="0"/>
    <w:rPr>
      <w:rFonts w:hint="default" w:ascii="Arial" w:hAnsi="Arial" w:cs="Arial"/>
      <w:color w:val="000000"/>
      <w:sz w:val="20"/>
      <w:szCs w:val="20"/>
      <w:u w:val="none"/>
    </w:rPr>
  </w:style>
  <w:style w:type="character" w:customStyle="1" w:styleId="52">
    <w:name w:val="font11"/>
    <w:basedOn w:val="22"/>
    <w:qFormat/>
    <w:uiPriority w:val="0"/>
    <w:rPr>
      <w:rFonts w:hint="eastAsia" w:ascii="宋体" w:hAnsi="宋体" w:eastAsia="宋体" w:cs="宋体"/>
      <w:b/>
      <w:bCs/>
      <w:color w:val="000000"/>
      <w:sz w:val="20"/>
      <w:szCs w:val="20"/>
      <w:u w:val="none"/>
    </w:rPr>
  </w:style>
  <w:style w:type="character" w:customStyle="1" w:styleId="53">
    <w:name w:val="font31"/>
    <w:basedOn w:val="22"/>
    <w:qFormat/>
    <w:uiPriority w:val="0"/>
    <w:rPr>
      <w:rFonts w:hint="eastAsia" w:ascii="宋体" w:hAnsi="宋体" w:eastAsia="宋体" w:cs="宋体"/>
      <w:color w:val="000000"/>
      <w:sz w:val="20"/>
      <w:szCs w:val="20"/>
      <w:u w:val="none"/>
    </w:rPr>
  </w:style>
  <w:style w:type="character" w:customStyle="1" w:styleId="54">
    <w:name w:val="font41"/>
    <w:basedOn w:val="2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image" Target="media/image39.png"/><Relationship Id="rId5" Type="http://schemas.openxmlformats.org/officeDocument/2006/relationships/footer" Target="footer1.xml"/><Relationship Id="rId49" Type="http://schemas.openxmlformats.org/officeDocument/2006/relationships/image" Target="media/image38.png"/><Relationship Id="rId48" Type="http://schemas.openxmlformats.org/officeDocument/2006/relationships/image" Target="media/image37.png"/><Relationship Id="rId47" Type="http://schemas.openxmlformats.org/officeDocument/2006/relationships/image" Target="media/image36.png"/><Relationship Id="rId46" Type="http://schemas.openxmlformats.org/officeDocument/2006/relationships/image" Target="media/image35.png"/><Relationship Id="rId45" Type="http://schemas.openxmlformats.org/officeDocument/2006/relationships/image" Target="media/image34.png"/><Relationship Id="rId44" Type="http://schemas.openxmlformats.org/officeDocument/2006/relationships/image" Target="media/image33.png"/><Relationship Id="rId43" Type="http://schemas.openxmlformats.org/officeDocument/2006/relationships/image" Target="media/image32.png"/><Relationship Id="rId42" Type="http://schemas.openxmlformats.org/officeDocument/2006/relationships/image" Target="media/image31.png"/><Relationship Id="rId41" Type="http://schemas.openxmlformats.org/officeDocument/2006/relationships/image" Target="media/image30.png"/><Relationship Id="rId40" Type="http://schemas.openxmlformats.org/officeDocument/2006/relationships/image" Target="media/image29.png"/><Relationship Id="rId4" Type="http://schemas.openxmlformats.org/officeDocument/2006/relationships/header" Target="header2.xml"/><Relationship Id="rId39" Type="http://schemas.openxmlformats.org/officeDocument/2006/relationships/image" Target="media/image28.png"/><Relationship Id="rId38" Type="http://schemas.openxmlformats.org/officeDocument/2006/relationships/image" Target="media/image27.png"/><Relationship Id="rId37" Type="http://schemas.openxmlformats.org/officeDocument/2006/relationships/image" Target="media/image26.png"/><Relationship Id="rId36" Type="http://schemas.openxmlformats.org/officeDocument/2006/relationships/image" Target="media/image25.png"/><Relationship Id="rId35" Type="http://schemas.openxmlformats.org/officeDocument/2006/relationships/image" Target="media/image24.png"/><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header" Target="header1.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74</Pages>
  <Words>1823</Words>
  <Characters>2149</Characters>
  <Lines>222</Lines>
  <Paragraphs>62</Paragraphs>
  <TotalTime>31</TotalTime>
  <ScaleCrop>false</ScaleCrop>
  <LinksUpToDate>false</LinksUpToDate>
  <CharactersWithSpaces>2266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2022-04-06T06:41:00Z</dcterms:created>
  <dc:creator>Microsoft</dc:creator>
  <cp:lastModifiedBy>哦，我姓胡</cp:lastModifiedBy>
  <cp:lastPrinted>2025-02-08T02:09:00Z</cp:lastPrinted>
  <dcterms:modified xsi:type="dcterms:W3CDTF">2025-06-11T03:39:42Z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C096875BC9F94AA5B586BB3530FE832E_13</vt:lpwstr>
  </property>
  <property fmtid="{D5CDD505-2E9C-101B-9397-08002B2CF9AE}" pid="4" name="KSOTemplateDocerSaveRecord">
    <vt:lpwstr>eyJoZGlkIjoiZTY5MDM3YmU5N2M5YjkwMmNmODJlZTk5MTQ0ZjdlYmQiLCJ1c2VySWQiOiIzOTIwOTgzMDYifQ==</vt:lpwstr>
  </property>
</Properties>
</file>