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BA73DE">
      <w:pPr>
        <w:jc w:val="center"/>
        <w:rPr>
          <w:rFonts w:hint="eastAsia" w:ascii="宋体" w:hAnsi="宋体" w:cs="宋体"/>
          <w:b/>
          <w:bCs/>
          <w:spacing w:val="100"/>
          <w:sz w:val="72"/>
          <w:szCs w:val="72"/>
        </w:rPr>
      </w:pPr>
      <w:bookmarkStart w:id="0" w:name="_Toc26738"/>
      <w:bookmarkStart w:id="1" w:name="_Toc26357"/>
      <w:bookmarkStart w:id="2" w:name="_Toc21446"/>
      <w:bookmarkStart w:id="3" w:name="_Toc25486"/>
      <w:bookmarkStart w:id="4" w:name="_Toc3002"/>
      <w:bookmarkStart w:id="5" w:name="_Toc26425"/>
      <w:bookmarkStart w:id="6" w:name="_Toc14409"/>
      <w:bookmarkStart w:id="7" w:name="_Toc11227"/>
      <w:bookmarkStart w:id="8" w:name="_Toc31833"/>
      <w:r>
        <w:rPr>
          <w:rFonts w:hint="eastAsia" w:ascii="宋体" w:hAnsi="宋体" w:cs="宋体"/>
          <w:b/>
          <w:bCs/>
          <w:spacing w:val="100"/>
          <w:sz w:val="72"/>
          <w:szCs w:val="72"/>
        </w:rPr>
        <w:t xml:space="preserve"> </w:t>
      </w:r>
    </w:p>
    <w:p w14:paraId="06C0312C">
      <w:pPr>
        <w:jc w:val="center"/>
        <w:rPr>
          <w:rFonts w:hint="eastAsia" w:ascii="宋体" w:hAnsi="宋体" w:cs="宋体"/>
          <w:b/>
          <w:bCs/>
          <w:spacing w:val="100"/>
          <w:sz w:val="72"/>
          <w:szCs w:val="72"/>
          <w:lang w:val="en-US" w:eastAsia="zh-CN"/>
        </w:rPr>
      </w:pPr>
    </w:p>
    <w:p w14:paraId="091D8B82">
      <w:pPr>
        <w:jc w:val="center"/>
        <w:rPr>
          <w:rFonts w:ascii="宋体" w:hAnsi="宋体" w:cs="宋体"/>
          <w:b/>
          <w:bCs/>
          <w:spacing w:val="100"/>
          <w:sz w:val="72"/>
          <w:szCs w:val="72"/>
        </w:rPr>
      </w:pPr>
      <w:r>
        <w:rPr>
          <w:rFonts w:hint="eastAsia" w:ascii="宋体" w:hAnsi="宋体" w:cs="宋体"/>
          <w:b/>
          <w:bCs/>
          <w:spacing w:val="100"/>
          <w:sz w:val="72"/>
          <w:szCs w:val="72"/>
          <w:lang w:val="en-US" w:eastAsia="zh-CN"/>
        </w:rPr>
        <w:t>文成县</w:t>
      </w:r>
      <w:r>
        <w:rPr>
          <w:rFonts w:hint="eastAsia" w:ascii="宋体" w:hAnsi="宋体" w:cs="宋体"/>
          <w:b/>
          <w:bCs/>
          <w:spacing w:val="100"/>
          <w:sz w:val="72"/>
          <w:szCs w:val="72"/>
        </w:rPr>
        <w:t>国有企业采购</w:t>
      </w:r>
    </w:p>
    <w:p w14:paraId="235095F0">
      <w:pPr>
        <w:jc w:val="center"/>
        <w:rPr>
          <w:rFonts w:ascii="宋体" w:hAnsi="宋体" w:cs="宋体"/>
          <w:b/>
          <w:bCs/>
          <w:spacing w:val="26"/>
          <w:sz w:val="52"/>
        </w:rPr>
      </w:pPr>
    </w:p>
    <w:p w14:paraId="7CA18BCC">
      <w:pPr>
        <w:spacing w:line="900" w:lineRule="exact"/>
        <w:jc w:val="both"/>
        <w:rPr>
          <w:rFonts w:ascii="宋体" w:hAnsi="宋体" w:cs="宋体"/>
          <w:b/>
          <w:bCs/>
          <w:spacing w:val="140"/>
          <w:sz w:val="84"/>
          <w:szCs w:val="84"/>
        </w:rPr>
      </w:pPr>
    </w:p>
    <w:p w14:paraId="52668E8A">
      <w:pPr>
        <w:spacing w:line="900" w:lineRule="exact"/>
        <w:jc w:val="center"/>
        <w:rPr>
          <w:rFonts w:ascii="宋体" w:hAnsi="宋体" w:cs="宋体"/>
          <w:b/>
          <w:bCs/>
          <w:spacing w:val="140"/>
          <w:sz w:val="72"/>
          <w:szCs w:val="72"/>
        </w:rPr>
      </w:pPr>
      <w:r>
        <w:rPr>
          <w:rFonts w:hint="eastAsia" w:ascii="宋体" w:hAnsi="宋体" w:cs="宋体"/>
          <w:b/>
          <w:bCs/>
          <w:spacing w:val="140"/>
          <w:sz w:val="72"/>
          <w:szCs w:val="72"/>
        </w:rPr>
        <w:t xml:space="preserve"> 采购文件</w:t>
      </w:r>
    </w:p>
    <w:p w14:paraId="33A13052">
      <w:pPr>
        <w:spacing w:line="600" w:lineRule="exact"/>
        <w:jc w:val="center"/>
        <w:rPr>
          <w:rFonts w:ascii="宋体" w:hAnsi="宋体" w:cs="宋体"/>
          <w:b/>
          <w:bCs/>
          <w:spacing w:val="140"/>
          <w:sz w:val="84"/>
          <w:szCs w:val="84"/>
        </w:rPr>
      </w:pPr>
    </w:p>
    <w:p w14:paraId="56FB9B7A">
      <w:pPr>
        <w:spacing w:line="360" w:lineRule="auto"/>
        <w:jc w:val="center"/>
        <w:rPr>
          <w:rFonts w:ascii="宋体" w:hAnsi="宋体" w:cs="宋体"/>
          <w:b/>
          <w:bCs/>
          <w:sz w:val="32"/>
          <w:szCs w:val="32"/>
        </w:rPr>
      </w:pPr>
      <w:r>
        <w:rPr>
          <w:rFonts w:hint="eastAsia" w:ascii="Arial" w:hAnsi="Arial" w:cs="Arial"/>
          <w:color w:val="000000"/>
          <w:sz w:val="36"/>
          <w:szCs w:val="32"/>
          <w:lang w:eastAsia="zh-CN"/>
        </w:rPr>
        <w:t>（</w:t>
      </w:r>
      <w:r>
        <w:rPr>
          <w:rFonts w:hint="eastAsia" w:ascii="Arial" w:hAnsi="Arial" w:cs="Arial"/>
          <w:color w:val="000000"/>
          <w:sz w:val="36"/>
          <w:szCs w:val="32"/>
          <w:lang w:val="en-US" w:eastAsia="zh-CN"/>
        </w:rPr>
        <w:t>线上电子招投标）</w:t>
      </w:r>
    </w:p>
    <w:p w14:paraId="6A9BC410">
      <w:pPr>
        <w:spacing w:line="360" w:lineRule="auto"/>
        <w:jc w:val="center"/>
        <w:rPr>
          <w:rFonts w:ascii="宋体" w:hAnsi="宋体" w:cs="宋体"/>
          <w:spacing w:val="40"/>
          <w:sz w:val="30"/>
          <w:szCs w:val="30"/>
        </w:rPr>
      </w:pPr>
    </w:p>
    <w:p w14:paraId="6AA0F5A4">
      <w:pPr>
        <w:keepNext w:val="0"/>
        <w:keepLines w:val="0"/>
        <w:pageBreakBefore w:val="0"/>
        <w:widowControl w:val="0"/>
        <w:kinsoku/>
        <w:wordWrap/>
        <w:overflowPunct/>
        <w:topLinePunct w:val="0"/>
        <w:autoSpaceDE/>
        <w:autoSpaceDN/>
        <w:bidi w:val="0"/>
        <w:adjustRightInd/>
        <w:snapToGrid/>
        <w:spacing w:line="360" w:lineRule="auto"/>
        <w:ind w:firstLine="904" w:firstLineChars="300"/>
        <w:textAlignment w:val="auto"/>
        <w:outlineLvl w:val="0"/>
        <w:rPr>
          <w:rFonts w:hint="eastAsia" w:ascii="宋体" w:hAnsi="宋体" w:eastAsia="宋体" w:cs="宋体"/>
          <w:b/>
          <w:bCs/>
          <w:sz w:val="30"/>
          <w:szCs w:val="30"/>
        </w:rPr>
      </w:pPr>
      <w:bookmarkStart w:id="9" w:name="_Toc30315"/>
      <w:r>
        <w:rPr>
          <w:rFonts w:hint="eastAsia" w:ascii="宋体" w:hAnsi="宋体" w:eastAsia="宋体" w:cs="宋体"/>
          <w:b/>
          <w:bCs/>
          <w:sz w:val="30"/>
          <w:szCs w:val="30"/>
        </w:rPr>
        <w:t>项目编号：</w:t>
      </w:r>
      <w:bookmarkEnd w:id="9"/>
      <w:r>
        <w:rPr>
          <w:rFonts w:hint="eastAsia" w:ascii="宋体" w:hAnsi="宋体" w:eastAsia="宋体" w:cs="宋体"/>
          <w:b/>
          <w:bCs/>
          <w:sz w:val="30"/>
          <w:szCs w:val="30"/>
          <w:lang w:eastAsia="zh-CN"/>
        </w:rPr>
        <w:t>WGWC-CTGS-2025006</w:t>
      </w:r>
    </w:p>
    <w:p w14:paraId="35C44D16">
      <w:pPr>
        <w:keepNext w:val="0"/>
        <w:keepLines w:val="0"/>
        <w:pageBreakBefore w:val="0"/>
        <w:widowControl w:val="0"/>
        <w:kinsoku/>
        <w:wordWrap/>
        <w:overflowPunct/>
        <w:topLinePunct w:val="0"/>
        <w:autoSpaceDE/>
        <w:autoSpaceDN/>
        <w:bidi w:val="0"/>
        <w:adjustRightInd/>
        <w:snapToGrid/>
        <w:spacing w:line="360" w:lineRule="auto"/>
        <w:ind w:left="2401" w:leftChars="426" w:hanging="1506" w:hangingChars="50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项目名称：</w:t>
      </w:r>
      <w:r>
        <w:rPr>
          <w:rFonts w:hint="eastAsia" w:ascii="宋体" w:hAnsi="宋体" w:eastAsia="宋体" w:cs="宋体"/>
          <w:b/>
          <w:bCs/>
          <w:sz w:val="30"/>
          <w:szCs w:val="30"/>
          <w:lang w:eastAsia="zh-CN"/>
        </w:rPr>
        <w:t>文成县龙船垟城中村改造（二期）项目配套幼儿园</w:t>
      </w:r>
    </w:p>
    <w:p w14:paraId="474D249B">
      <w:pPr>
        <w:keepNext w:val="0"/>
        <w:keepLines w:val="0"/>
        <w:pageBreakBefore w:val="0"/>
        <w:widowControl w:val="0"/>
        <w:kinsoku/>
        <w:wordWrap/>
        <w:overflowPunct/>
        <w:topLinePunct w:val="0"/>
        <w:autoSpaceDE/>
        <w:autoSpaceDN/>
        <w:bidi w:val="0"/>
        <w:adjustRightInd/>
        <w:snapToGrid/>
        <w:spacing w:line="360" w:lineRule="auto"/>
        <w:ind w:left="2386" w:leftChars="1136" w:firstLine="0" w:firstLineChars="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装修工程-课桌椅采购及安装项目</w:t>
      </w:r>
    </w:p>
    <w:p w14:paraId="7071C34A">
      <w:pPr>
        <w:spacing w:line="360" w:lineRule="auto"/>
        <w:ind w:firstLine="904" w:firstLineChars="300"/>
        <w:rPr>
          <w:rFonts w:ascii="宋体" w:hAnsi="宋体" w:cs="宋体"/>
          <w:b/>
          <w:bCs/>
          <w:sz w:val="30"/>
          <w:szCs w:val="30"/>
        </w:rPr>
      </w:pPr>
      <w:r>
        <w:rPr>
          <w:rFonts w:hint="eastAsia" w:ascii="宋体" w:hAnsi="宋体" w:cs="宋体"/>
          <w:b/>
          <w:bCs/>
          <w:sz w:val="30"/>
          <w:szCs w:val="30"/>
        </w:rPr>
        <w:t>采购方式：公开招标</w:t>
      </w:r>
    </w:p>
    <w:p w14:paraId="5E8E6FC1">
      <w:pPr>
        <w:spacing w:line="600" w:lineRule="exact"/>
        <w:jc w:val="center"/>
        <w:rPr>
          <w:rFonts w:ascii="宋体" w:hAnsi="宋体" w:cs="宋体"/>
          <w:b/>
          <w:sz w:val="30"/>
          <w:szCs w:val="30"/>
        </w:rPr>
      </w:pPr>
    </w:p>
    <w:p w14:paraId="024734D5">
      <w:pPr>
        <w:spacing w:line="600" w:lineRule="exact"/>
        <w:rPr>
          <w:rFonts w:ascii="宋体" w:hAnsi="宋体" w:cs="宋体"/>
          <w:b/>
          <w:sz w:val="30"/>
          <w:szCs w:val="30"/>
        </w:rPr>
      </w:pPr>
    </w:p>
    <w:p w14:paraId="3BF4991D">
      <w:pPr>
        <w:spacing w:line="480" w:lineRule="auto"/>
        <w:ind w:firstLine="1506" w:firstLineChars="500"/>
        <w:outlineLvl w:val="0"/>
        <w:rPr>
          <w:rFonts w:hint="eastAsia" w:ascii="宋体" w:hAnsi="宋体" w:eastAsia="宋体" w:cs="宋体"/>
          <w:b/>
          <w:bCs/>
          <w:sz w:val="30"/>
          <w:szCs w:val="30"/>
          <w:lang w:eastAsia="zh-CN"/>
        </w:rPr>
      </w:pPr>
      <w:bookmarkStart w:id="10" w:name="_Toc12378"/>
      <w:r>
        <w:rPr>
          <w:rFonts w:hint="eastAsia" w:ascii="宋体" w:hAnsi="宋体" w:cs="宋体"/>
          <w:b/>
          <w:bCs/>
          <w:sz w:val="30"/>
          <w:szCs w:val="30"/>
        </w:rPr>
        <w:t xml:space="preserve">采 购 人: </w:t>
      </w:r>
      <w:bookmarkEnd w:id="10"/>
      <w:r>
        <w:rPr>
          <w:rFonts w:hint="eastAsia" w:ascii="宋体" w:hAnsi="宋体" w:cs="宋体"/>
          <w:b/>
          <w:bCs/>
          <w:sz w:val="30"/>
          <w:szCs w:val="30"/>
          <w:lang w:eastAsia="zh-CN"/>
        </w:rPr>
        <w:t>文成县城市发展集团有限公司</w:t>
      </w:r>
    </w:p>
    <w:p w14:paraId="10C4C99B">
      <w:pPr>
        <w:spacing w:line="480" w:lineRule="auto"/>
        <w:ind w:firstLine="1506" w:firstLineChars="500"/>
        <w:outlineLvl w:val="0"/>
        <w:rPr>
          <w:rFonts w:hint="eastAsia" w:ascii="宋体" w:hAnsi="宋体" w:eastAsia="宋体" w:cs="宋体"/>
          <w:b/>
          <w:bCs/>
          <w:sz w:val="30"/>
          <w:szCs w:val="30"/>
          <w:lang w:eastAsia="zh-CN"/>
        </w:rPr>
      </w:pPr>
      <w:bookmarkStart w:id="11" w:name="_Toc7732"/>
      <w:r>
        <w:rPr>
          <w:rFonts w:hint="eastAsia" w:ascii="宋体" w:hAnsi="宋体" w:cs="宋体"/>
          <w:b/>
          <w:bCs/>
          <w:sz w:val="30"/>
          <w:szCs w:val="30"/>
        </w:rPr>
        <w:t xml:space="preserve">代理机构: </w:t>
      </w:r>
      <w:bookmarkEnd w:id="11"/>
      <w:r>
        <w:rPr>
          <w:rFonts w:hint="eastAsia" w:ascii="宋体" w:hAnsi="宋体" w:cs="宋体"/>
          <w:b/>
          <w:bCs/>
          <w:sz w:val="30"/>
          <w:szCs w:val="30"/>
          <w:lang w:eastAsia="zh-CN"/>
        </w:rPr>
        <w:t>浙江信达咨询监理有限公司</w:t>
      </w:r>
    </w:p>
    <w:p w14:paraId="5C10B774">
      <w:pPr>
        <w:spacing w:line="480" w:lineRule="auto"/>
        <w:ind w:firstLine="2711" w:firstLineChars="900"/>
        <w:outlineLvl w:val="0"/>
        <w:rPr>
          <w:rFonts w:ascii="宋体" w:hAnsi="宋体" w:cs="宋体"/>
          <w:b/>
          <w:bCs/>
          <w:sz w:val="30"/>
          <w:szCs w:val="30"/>
        </w:rPr>
      </w:pPr>
      <w:bookmarkStart w:id="12" w:name="_Toc32674"/>
      <w:r>
        <w:rPr>
          <w:rFonts w:hint="eastAsia" w:ascii="宋体" w:hAnsi="宋体" w:cs="宋体"/>
          <w:b/>
          <w:bCs/>
          <w:sz w:val="30"/>
          <w:szCs w:val="30"/>
        </w:rPr>
        <w:t>日    期：二〇二</w:t>
      </w:r>
      <w:r>
        <w:rPr>
          <w:rFonts w:hint="eastAsia" w:ascii="宋体" w:hAnsi="宋体" w:cs="宋体"/>
          <w:b/>
          <w:bCs/>
          <w:sz w:val="30"/>
          <w:szCs w:val="30"/>
          <w:lang w:val="en-US" w:eastAsia="zh-CN"/>
        </w:rPr>
        <w:t>五</w:t>
      </w:r>
      <w:r>
        <w:rPr>
          <w:rFonts w:hint="eastAsia" w:ascii="宋体" w:hAnsi="宋体" w:cs="宋体"/>
          <w:b/>
          <w:bCs/>
          <w:sz w:val="30"/>
          <w:szCs w:val="30"/>
        </w:rPr>
        <w:t>年</w:t>
      </w:r>
      <w:r>
        <w:rPr>
          <w:rFonts w:hint="eastAsia" w:ascii="宋体" w:hAnsi="宋体" w:cs="宋体"/>
          <w:b/>
          <w:bCs/>
          <w:sz w:val="30"/>
          <w:szCs w:val="30"/>
          <w:lang w:val="en-US" w:eastAsia="zh-CN"/>
        </w:rPr>
        <w:t>七</w:t>
      </w:r>
      <w:r>
        <w:rPr>
          <w:rFonts w:hint="eastAsia" w:ascii="宋体" w:hAnsi="宋体" w:cs="宋体"/>
          <w:b/>
          <w:bCs/>
          <w:sz w:val="30"/>
          <w:szCs w:val="30"/>
        </w:rPr>
        <w:t>月</w:t>
      </w:r>
      <w:bookmarkEnd w:id="12"/>
    </w:p>
    <w:p w14:paraId="223A2AD0">
      <w:pPr>
        <w:jc w:val="both"/>
        <w:rPr>
          <w:rFonts w:ascii="宋体" w:hAnsi="宋体" w:cs="宋体"/>
          <w:b/>
          <w:bCs/>
          <w:sz w:val="36"/>
          <w:szCs w:val="36"/>
        </w:rPr>
        <w:sectPr>
          <w:headerReference r:id="rId3" w:type="default"/>
          <w:pgSz w:w="11906" w:h="16838"/>
          <w:pgMar w:top="1440" w:right="1080" w:bottom="1440" w:left="1080" w:header="851" w:footer="992" w:gutter="0"/>
          <w:pgNumType w:start="1"/>
          <w:cols w:space="720" w:num="1"/>
          <w:docGrid w:linePitch="312" w:charSpace="0"/>
        </w:sectPr>
      </w:pPr>
    </w:p>
    <w:p w14:paraId="18B7FFD9">
      <w:pPr>
        <w:spacing w:line="360" w:lineRule="auto"/>
        <w:ind w:left="210" w:leftChars="100"/>
        <w:jc w:val="center"/>
        <w:rPr>
          <w:color w:val="000000"/>
          <w:sz w:val="48"/>
        </w:rPr>
      </w:pPr>
      <w:r>
        <w:rPr>
          <w:color w:val="000000"/>
          <w:sz w:val="48"/>
          <w:lang w:val="zh-CN"/>
        </w:rPr>
        <w:t>目</w:t>
      </w:r>
      <w:r>
        <w:rPr>
          <w:rFonts w:hint="eastAsia"/>
          <w:color w:val="000000"/>
          <w:sz w:val="48"/>
          <w:lang w:val="zh-CN"/>
        </w:rPr>
        <w:t xml:space="preserve"> </w:t>
      </w:r>
      <w:r>
        <w:rPr>
          <w:color w:val="000000"/>
          <w:sz w:val="48"/>
          <w:lang w:val="zh-CN"/>
        </w:rPr>
        <w:t>录</w:t>
      </w:r>
      <w:bookmarkEnd w:id="0"/>
      <w:bookmarkEnd w:id="1"/>
      <w:bookmarkEnd w:id="2"/>
      <w:bookmarkEnd w:id="3"/>
      <w:bookmarkEnd w:id="4"/>
      <w:bookmarkEnd w:id="5"/>
      <w:bookmarkEnd w:id="6"/>
      <w:bookmarkEnd w:id="7"/>
      <w:bookmarkEnd w:id="8"/>
    </w:p>
    <w:p w14:paraId="2C010AE2">
      <w:pPr>
        <w:pStyle w:val="299"/>
        <w:tabs>
          <w:tab w:val="right" w:leader="dot" w:pos="9746"/>
        </w:tabs>
      </w:pPr>
      <w:r>
        <w:rPr>
          <w:color w:val="000000"/>
        </w:rPr>
        <w:fldChar w:fldCharType="begin"/>
      </w:r>
      <w:r>
        <w:rPr>
          <w:color w:val="000000"/>
        </w:rPr>
        <w:instrText xml:space="preserve">TOC \o "1-1" \h \u </w:instrText>
      </w:r>
      <w:r>
        <w:rPr>
          <w:color w:val="000000"/>
        </w:rPr>
        <w:fldChar w:fldCharType="separate"/>
      </w:r>
    </w:p>
    <w:p w14:paraId="7AD63D69">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_Toc8342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第一部分  招标公告</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_Toc8342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3</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679FDEFC">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_Toc23412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第二部分  投标须知及前附表</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_Toc23412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3</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67B02DC7">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_Toc18779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第三部分  招标内容及要求</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_Toc18779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22</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27A4EDC2">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_Toc32019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第四部分  合同条款</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_Toc32019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22</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6EA5E44A">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_Toc9010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第五部分  投标文件格式</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_Toc9010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26</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2DECB6D7">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_Toc14299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第六部分  评标原则及方法</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_Toc14299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42</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4B447624">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_Toc20000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一. 总  则</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_Toc20000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42</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7544B0EA">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_Toc2451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二. 评标组织</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_Toc2451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42</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047D9682">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_Toc22854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三. 评标程序</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_Toc22854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42</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74124A49">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_Toc17480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四. 评标办法</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_Toc17480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42</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2FFCCE88">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_Toc10888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五. 评分细则</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_Toc10888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42</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0EB2D1B5">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_Toc27197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六. 定标办法</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_Toc27197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46</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71BC0879">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_Toc9250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七. 确定中标供应商</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_Toc9250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46</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60EC505D">
      <w:pPr>
        <w:pStyle w:val="300"/>
        <w:tabs>
          <w:tab w:val="right" w:leader="dot" w:pos="9354"/>
        </w:tabs>
        <w:spacing w:line="360" w:lineRule="auto"/>
        <w:ind w:left="420"/>
        <w:rPr>
          <w:rFonts w:hint="eastAsia" w:ascii="宋体" w:hAnsi="Times New Roman" w:eastAsia="宋体" w:cs="宋体"/>
          <w:sz w:val="24"/>
          <w:szCs w:val="24"/>
        </w:rPr>
      </w:pP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HYPERLINK \l _Toc12100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八. 投标供应商义务</w:t>
      </w:r>
      <w:r>
        <w:rPr>
          <w:rFonts w:hint="eastAsia" w:ascii="宋体" w:hAnsi="Times New Roman" w:eastAsia="宋体" w:cs="宋体"/>
          <w:sz w:val="24"/>
          <w:szCs w:val="24"/>
        </w:rPr>
        <w:tab/>
      </w:r>
      <w:r>
        <w:rPr>
          <w:rFonts w:hint="eastAsia" w:ascii="宋体" w:hAnsi="Times New Roman" w:eastAsia="宋体" w:cs="宋体"/>
          <w:sz w:val="24"/>
          <w:szCs w:val="24"/>
        </w:rPr>
        <w:fldChar w:fldCharType="begin"/>
      </w:r>
      <w:r>
        <w:rPr>
          <w:rFonts w:hint="eastAsia" w:ascii="宋体" w:hAnsi="Times New Roman" w:eastAsia="宋体" w:cs="宋体"/>
          <w:sz w:val="24"/>
          <w:szCs w:val="24"/>
        </w:rPr>
        <w:instrText xml:space="preserve"> PAGEREF _Toc12100 \h </w:instrText>
      </w:r>
      <w:r>
        <w:rPr>
          <w:rFonts w:hint="eastAsia" w:ascii="宋体" w:hAnsi="Times New Roman" w:eastAsia="宋体" w:cs="宋体"/>
          <w:sz w:val="24"/>
          <w:szCs w:val="24"/>
        </w:rPr>
        <w:fldChar w:fldCharType="separate"/>
      </w:r>
      <w:r>
        <w:rPr>
          <w:rFonts w:hint="eastAsia" w:ascii="宋体" w:hAnsi="Times New Roman" w:eastAsia="宋体" w:cs="宋体"/>
          <w:sz w:val="24"/>
          <w:szCs w:val="24"/>
        </w:rPr>
        <w:t>47</w:t>
      </w:r>
      <w:r>
        <w:rPr>
          <w:rFonts w:hint="eastAsia" w:ascii="宋体" w:hAnsi="Times New Roman" w:eastAsia="宋体" w:cs="宋体"/>
          <w:sz w:val="24"/>
          <w:szCs w:val="24"/>
        </w:rPr>
        <w:fldChar w:fldCharType="end"/>
      </w:r>
      <w:r>
        <w:rPr>
          <w:rFonts w:hint="eastAsia" w:ascii="宋体" w:hAnsi="Times New Roman" w:eastAsia="宋体" w:cs="宋体"/>
          <w:sz w:val="24"/>
          <w:szCs w:val="24"/>
        </w:rPr>
        <w:fldChar w:fldCharType="end"/>
      </w:r>
    </w:p>
    <w:p w14:paraId="703B8BBD">
      <w:pPr>
        <w:spacing w:line="400" w:lineRule="exact"/>
        <w:rPr>
          <w:color w:val="000000"/>
        </w:rPr>
      </w:pPr>
      <w:r>
        <w:rPr>
          <w:color w:val="000000"/>
        </w:rPr>
        <w:fldChar w:fldCharType="end"/>
      </w:r>
    </w:p>
    <w:p w14:paraId="7ECAECD7">
      <w:pPr>
        <w:spacing w:line="360" w:lineRule="auto"/>
        <w:jc w:val="center"/>
        <w:outlineLvl w:val="0"/>
        <w:rPr>
          <w:rFonts w:ascii="Arial" w:hAnsi="Arial" w:cs="Arial"/>
          <w:b/>
          <w:bCs/>
          <w:color w:val="000000"/>
          <w:sz w:val="28"/>
          <w:szCs w:val="28"/>
          <w:highlight w:val="none"/>
        </w:rPr>
      </w:pPr>
      <w:r>
        <w:rPr>
          <w:color w:val="000000"/>
        </w:rPr>
        <w:br w:type="page"/>
      </w:r>
      <w:bookmarkStart w:id="13" w:name="_Toc20959"/>
      <w:bookmarkStart w:id="14" w:name="_Toc8342"/>
      <w:r>
        <w:rPr>
          <w:rFonts w:ascii="Arial" w:hAnsi="宋体" w:cs="Arial"/>
          <w:b/>
          <w:bCs/>
          <w:color w:val="000000"/>
          <w:sz w:val="28"/>
          <w:szCs w:val="28"/>
          <w:highlight w:val="none"/>
        </w:rPr>
        <w:t xml:space="preserve">第一部分  </w:t>
      </w:r>
      <w:bookmarkStart w:id="15" w:name="_Toc101297031"/>
      <w:r>
        <w:rPr>
          <w:rFonts w:ascii="Arial" w:hAnsi="宋体" w:cs="Arial"/>
          <w:b/>
          <w:bCs/>
          <w:color w:val="000000"/>
          <w:sz w:val="28"/>
          <w:szCs w:val="28"/>
          <w:highlight w:val="none"/>
        </w:rPr>
        <w:t>招标公告</w:t>
      </w:r>
      <w:bookmarkEnd w:id="13"/>
      <w:bookmarkEnd w:id="14"/>
      <w:bookmarkEnd w:id="15"/>
    </w:p>
    <w:p w14:paraId="022558AC">
      <w:pPr>
        <w:spacing w:line="360" w:lineRule="auto"/>
        <w:jc w:val="center"/>
        <w:outlineLvl w:val="0"/>
        <w:rPr>
          <w:rFonts w:hint="eastAsia" w:ascii="楷体" w:hAnsi="楷体" w:eastAsia="Adobe 楷体 Std R"/>
          <w:color w:val="auto"/>
          <w:sz w:val="40"/>
          <w:szCs w:val="40"/>
          <w:highlight w:val="none"/>
        </w:rPr>
      </w:pPr>
      <w:bookmarkStart w:id="16" w:name="_Toc23412"/>
      <w:bookmarkStart w:id="17" w:name="_Toc23940"/>
      <w:r>
        <w:rPr>
          <w:rFonts w:hint="eastAsia" w:ascii="宋体" w:hAnsi="宋体"/>
          <w:b/>
          <w:color w:val="auto"/>
          <w:sz w:val="32"/>
          <w:szCs w:val="32"/>
          <w:highlight w:val="none"/>
          <w:lang w:eastAsia="zh-CN"/>
        </w:rPr>
        <w:t>文成县城市发展集团有限公司</w:t>
      </w:r>
      <w:r>
        <w:rPr>
          <w:rFonts w:hint="default" w:ascii="宋体" w:hAnsi="宋体"/>
          <w:b/>
          <w:color w:val="auto"/>
          <w:sz w:val="32"/>
          <w:szCs w:val="32"/>
          <w:highlight w:val="none"/>
          <w:lang w:eastAsia="zh-CN"/>
        </w:rPr>
        <w:t>关于</w:t>
      </w:r>
      <w:r>
        <w:rPr>
          <w:rFonts w:hint="eastAsia" w:ascii="宋体" w:hAnsi="宋体"/>
          <w:b/>
          <w:color w:val="auto"/>
          <w:sz w:val="32"/>
          <w:szCs w:val="32"/>
          <w:highlight w:val="none"/>
          <w:lang w:eastAsia="zh-CN"/>
        </w:rPr>
        <w:t>文成县龙船垟城中村改造（二期）项目配套幼儿园装修工程-课桌椅采购及安装项目</w:t>
      </w:r>
      <w:r>
        <w:rPr>
          <w:rFonts w:hint="default" w:ascii="宋体" w:hAnsi="宋体"/>
          <w:b/>
          <w:color w:val="auto"/>
          <w:sz w:val="32"/>
          <w:szCs w:val="32"/>
          <w:highlight w:val="none"/>
          <w:lang w:eastAsia="zh-CN"/>
        </w:rPr>
        <w:t>的采购公告</w:t>
      </w:r>
    </w:p>
    <w:p w14:paraId="2AFED81E">
      <w:pPr>
        <w:tabs>
          <w:tab w:val="left" w:pos="420"/>
        </w:tabs>
        <w:spacing w:line="360" w:lineRule="auto"/>
        <w:ind w:firstLine="550" w:firstLineChars="2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根据《温州市市属国有企业采购管理办法》等有关法律、法规的规定，</w:t>
      </w:r>
      <w:r>
        <w:rPr>
          <w:rFonts w:hint="eastAsia" w:ascii="宋体" w:hAnsi="宋体" w:cs="宋体"/>
          <w:color w:val="auto"/>
          <w:kern w:val="0"/>
          <w:sz w:val="22"/>
          <w:szCs w:val="22"/>
          <w:highlight w:val="none"/>
          <w:lang w:eastAsia="zh-CN"/>
        </w:rPr>
        <w:t>浙江信达咨询监理有限公司</w:t>
      </w:r>
      <w:r>
        <w:rPr>
          <w:rFonts w:hint="eastAsia" w:ascii="宋体" w:hAnsi="宋体" w:cs="宋体"/>
          <w:color w:val="auto"/>
          <w:kern w:val="0"/>
          <w:sz w:val="22"/>
          <w:szCs w:val="22"/>
          <w:highlight w:val="none"/>
        </w:rPr>
        <w:t>受</w:t>
      </w:r>
      <w:r>
        <w:rPr>
          <w:rFonts w:hint="eastAsia" w:ascii="宋体" w:hAnsi="宋体" w:cs="宋体"/>
          <w:color w:val="auto"/>
          <w:kern w:val="0"/>
          <w:sz w:val="22"/>
          <w:szCs w:val="22"/>
          <w:highlight w:val="none"/>
          <w:lang w:eastAsia="zh-CN"/>
        </w:rPr>
        <w:t>文成县城市发展集团有限公司</w:t>
      </w:r>
      <w:r>
        <w:rPr>
          <w:rFonts w:hint="eastAsia" w:ascii="宋体" w:hAnsi="宋体" w:cs="宋体"/>
          <w:color w:val="auto"/>
          <w:kern w:val="0"/>
          <w:sz w:val="22"/>
          <w:szCs w:val="22"/>
          <w:highlight w:val="none"/>
        </w:rPr>
        <w:t>的委托，就</w:t>
      </w:r>
      <w:r>
        <w:rPr>
          <w:rFonts w:hint="eastAsia" w:ascii="宋体" w:hAnsi="宋体" w:cs="宋体"/>
          <w:color w:val="auto"/>
          <w:kern w:val="0"/>
          <w:sz w:val="22"/>
          <w:szCs w:val="22"/>
          <w:highlight w:val="none"/>
          <w:lang w:eastAsia="zh-CN"/>
        </w:rPr>
        <w:t>文成县龙船垟城中村改造（二期）项目配套幼儿园装修工程-课桌椅采购及安装项目</w:t>
      </w:r>
      <w:r>
        <w:rPr>
          <w:rFonts w:hint="eastAsia" w:ascii="宋体" w:hAnsi="宋体" w:cs="宋体"/>
          <w:color w:val="auto"/>
          <w:kern w:val="0"/>
          <w:sz w:val="22"/>
          <w:szCs w:val="22"/>
          <w:highlight w:val="none"/>
          <w:lang w:val="en-US" w:eastAsia="zh-CN"/>
        </w:rPr>
        <w:t>项目</w:t>
      </w:r>
      <w:r>
        <w:rPr>
          <w:rFonts w:hint="eastAsia" w:ascii="宋体" w:hAnsi="宋体" w:cs="宋体"/>
          <w:color w:val="auto"/>
          <w:kern w:val="0"/>
          <w:sz w:val="22"/>
          <w:szCs w:val="22"/>
          <w:highlight w:val="none"/>
        </w:rPr>
        <w:t>以公开招标方式进行国有企业采购，欢迎国内合格的投标供应商前来投标。</w:t>
      </w:r>
    </w:p>
    <w:p w14:paraId="43386FB6">
      <w:pPr>
        <w:widowControl/>
        <w:tabs>
          <w:tab w:val="left" w:pos="420"/>
        </w:tabs>
        <w:spacing w:line="360" w:lineRule="auto"/>
        <w:ind w:right="60"/>
        <w:jc w:val="left"/>
        <w:outlineLvl w:val="0"/>
        <w:rPr>
          <w:rFonts w:hint="default" w:ascii="宋体" w:hAnsi="宋体" w:eastAsia="宋体" w:cs="宋体"/>
          <w:color w:val="auto"/>
          <w:kern w:val="0"/>
          <w:sz w:val="22"/>
          <w:szCs w:val="22"/>
          <w:highlight w:val="none"/>
          <w:lang w:eastAsia="zh-CN"/>
        </w:rPr>
      </w:pPr>
      <w:bookmarkStart w:id="18" w:name="_Toc26625"/>
      <w:r>
        <w:rPr>
          <w:rFonts w:hint="eastAsia" w:ascii="宋体" w:hAnsi="宋体" w:cs="宋体"/>
          <w:b/>
          <w:color w:val="auto"/>
          <w:kern w:val="0"/>
          <w:sz w:val="22"/>
          <w:szCs w:val="22"/>
          <w:highlight w:val="none"/>
        </w:rPr>
        <w:t>一、项目编号：</w:t>
      </w:r>
      <w:bookmarkEnd w:id="18"/>
      <w:r>
        <w:rPr>
          <w:rFonts w:hint="eastAsia" w:ascii="宋体" w:hAnsi="宋体" w:cs="宋体"/>
          <w:bCs/>
          <w:color w:val="auto"/>
          <w:kern w:val="0"/>
          <w:sz w:val="22"/>
          <w:szCs w:val="22"/>
          <w:highlight w:val="none"/>
          <w:lang w:eastAsia="zh-CN"/>
        </w:rPr>
        <w:t>WGWC-CTGS-2025006</w:t>
      </w:r>
    </w:p>
    <w:p w14:paraId="7EF79837">
      <w:pPr>
        <w:widowControl/>
        <w:tabs>
          <w:tab w:val="left" w:pos="420"/>
        </w:tabs>
        <w:spacing w:line="360" w:lineRule="auto"/>
        <w:ind w:right="60"/>
        <w:jc w:val="left"/>
        <w:outlineLvl w:val="0"/>
        <w:rPr>
          <w:rFonts w:hint="default" w:ascii="宋体" w:hAnsi="宋体" w:eastAsia="宋体" w:cs="宋体"/>
          <w:color w:val="auto"/>
          <w:kern w:val="0"/>
          <w:sz w:val="22"/>
          <w:szCs w:val="22"/>
          <w:highlight w:val="none"/>
          <w:lang w:eastAsia="zh-CN"/>
        </w:rPr>
      </w:pPr>
      <w:bookmarkStart w:id="19" w:name="_Toc12849"/>
      <w:r>
        <w:rPr>
          <w:rFonts w:hint="eastAsia" w:ascii="宋体" w:hAnsi="宋体" w:cs="宋体"/>
          <w:b/>
          <w:color w:val="auto"/>
          <w:kern w:val="0"/>
          <w:sz w:val="22"/>
          <w:szCs w:val="22"/>
          <w:highlight w:val="none"/>
        </w:rPr>
        <w:t>二、项目名称：</w:t>
      </w:r>
      <w:bookmarkEnd w:id="19"/>
      <w:r>
        <w:rPr>
          <w:rFonts w:hint="eastAsia" w:ascii="宋体" w:hAnsi="宋体" w:cs="宋体"/>
          <w:color w:val="auto"/>
          <w:kern w:val="0"/>
          <w:sz w:val="22"/>
          <w:szCs w:val="22"/>
          <w:highlight w:val="none"/>
          <w:lang w:eastAsia="zh-CN"/>
        </w:rPr>
        <w:t>文成县龙船垟城中村改造（二期）项目配套幼儿园装修工程-课桌椅采购及安装项目</w:t>
      </w:r>
    </w:p>
    <w:p w14:paraId="4AA252FE">
      <w:pPr>
        <w:widowControl/>
        <w:tabs>
          <w:tab w:val="left" w:pos="420"/>
        </w:tabs>
        <w:spacing w:line="360" w:lineRule="auto"/>
        <w:ind w:right="60"/>
        <w:jc w:val="left"/>
        <w:outlineLvl w:val="0"/>
        <w:rPr>
          <w:rFonts w:hint="eastAsia" w:ascii="宋体" w:hAnsi="宋体" w:cs="宋体"/>
          <w:color w:val="auto"/>
          <w:kern w:val="0"/>
          <w:sz w:val="22"/>
          <w:szCs w:val="22"/>
          <w:highlight w:val="none"/>
        </w:rPr>
      </w:pPr>
      <w:bookmarkStart w:id="20" w:name="_Toc518"/>
      <w:r>
        <w:rPr>
          <w:rFonts w:hint="eastAsia" w:ascii="宋体" w:hAnsi="宋体" w:cs="宋体"/>
          <w:b/>
          <w:color w:val="auto"/>
          <w:kern w:val="0"/>
          <w:sz w:val="22"/>
          <w:szCs w:val="22"/>
          <w:highlight w:val="none"/>
        </w:rPr>
        <w:t>三、项目性质：</w:t>
      </w:r>
      <w:r>
        <w:rPr>
          <w:rFonts w:hint="eastAsia" w:ascii="宋体" w:hAnsi="宋体" w:cs="宋体"/>
          <w:color w:val="auto"/>
          <w:kern w:val="0"/>
          <w:sz w:val="22"/>
          <w:szCs w:val="22"/>
          <w:highlight w:val="none"/>
        </w:rPr>
        <w:t>国企采购（非政府采购项目）</w:t>
      </w:r>
      <w:bookmarkEnd w:id="20"/>
    </w:p>
    <w:p w14:paraId="58D14F04">
      <w:pPr>
        <w:widowControl/>
        <w:tabs>
          <w:tab w:val="left" w:pos="420"/>
        </w:tabs>
        <w:spacing w:line="360" w:lineRule="auto"/>
        <w:ind w:right="60"/>
        <w:jc w:val="left"/>
        <w:outlineLvl w:val="0"/>
        <w:rPr>
          <w:rFonts w:hint="eastAsia" w:ascii="宋体" w:hAnsi="宋体" w:cs="宋体"/>
          <w:b/>
          <w:color w:val="auto"/>
          <w:kern w:val="0"/>
          <w:sz w:val="22"/>
          <w:szCs w:val="22"/>
          <w:highlight w:val="none"/>
        </w:rPr>
      </w:pPr>
      <w:bookmarkStart w:id="21" w:name="_Toc3415"/>
      <w:r>
        <w:rPr>
          <w:rFonts w:hint="eastAsia" w:ascii="宋体" w:hAnsi="宋体" w:cs="宋体"/>
          <w:b/>
          <w:color w:val="auto"/>
          <w:kern w:val="0"/>
          <w:sz w:val="22"/>
          <w:szCs w:val="22"/>
          <w:highlight w:val="none"/>
        </w:rPr>
        <w:t>四、采购内容（具体采购内容及详细技术要求见采购文件相关部分）：</w:t>
      </w:r>
      <w:bookmarkEnd w:id="21"/>
    </w:p>
    <w:tbl>
      <w:tblPr>
        <w:tblStyle w:val="49"/>
        <w:tblW w:w="5000" w:type="pct"/>
        <w:jc w:val="center"/>
        <w:tblLayout w:type="fixed"/>
        <w:tblCellMar>
          <w:top w:w="0" w:type="dxa"/>
          <w:left w:w="108" w:type="dxa"/>
          <w:bottom w:w="0" w:type="dxa"/>
          <w:right w:w="108" w:type="dxa"/>
        </w:tblCellMar>
      </w:tblPr>
      <w:tblGrid>
        <w:gridCol w:w="847"/>
        <w:gridCol w:w="2099"/>
        <w:gridCol w:w="871"/>
        <w:gridCol w:w="1126"/>
        <w:gridCol w:w="1366"/>
        <w:gridCol w:w="3653"/>
      </w:tblGrid>
      <w:tr w14:paraId="42FD2C90">
        <w:tblPrEx>
          <w:tblCellMar>
            <w:top w:w="0" w:type="dxa"/>
            <w:left w:w="108" w:type="dxa"/>
            <w:bottom w:w="0" w:type="dxa"/>
            <w:right w:w="108" w:type="dxa"/>
          </w:tblCellMar>
        </w:tblPrEx>
        <w:trPr>
          <w:trHeight w:val="693" w:hRule="atLeast"/>
          <w:jc w:val="center"/>
        </w:trPr>
        <w:tc>
          <w:tcPr>
            <w:tcW w:w="425" w:type="pct"/>
            <w:tcBorders>
              <w:top w:val="single" w:color="000000" w:sz="4" w:space="0"/>
              <w:left w:val="single" w:color="000000" w:sz="4" w:space="0"/>
              <w:bottom w:val="single" w:color="000000" w:sz="4" w:space="0"/>
              <w:right w:val="single" w:color="000000" w:sz="4" w:space="0"/>
            </w:tcBorders>
            <w:noWrap/>
            <w:vAlign w:val="center"/>
          </w:tcPr>
          <w:p w14:paraId="1C6F27D4">
            <w:pPr>
              <w:widowControl/>
              <w:spacing w:line="240" w:lineRule="auto"/>
              <w:ind w:left="60" w:right="60"/>
              <w:jc w:val="center"/>
              <w:rPr>
                <w:rFonts w:hint="eastAsia" w:ascii="宋体" w:hAnsi="宋体" w:cs="宋体"/>
                <w:b/>
                <w:bCs w:val="0"/>
                <w:color w:val="auto"/>
                <w:kern w:val="0"/>
                <w:sz w:val="22"/>
                <w:szCs w:val="22"/>
                <w:highlight w:val="none"/>
              </w:rPr>
            </w:pPr>
            <w:r>
              <w:rPr>
                <w:rFonts w:hint="eastAsia" w:ascii="宋体" w:hAnsi="宋体" w:cs="宋体"/>
                <w:b/>
                <w:bCs w:val="0"/>
                <w:color w:val="auto"/>
                <w:kern w:val="0"/>
                <w:sz w:val="22"/>
                <w:szCs w:val="22"/>
                <w:highlight w:val="none"/>
              </w:rPr>
              <w:t>序号</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0F7DCC13">
            <w:pPr>
              <w:widowControl/>
              <w:spacing w:line="240" w:lineRule="auto"/>
              <w:ind w:left="60" w:right="60"/>
              <w:jc w:val="center"/>
              <w:rPr>
                <w:rFonts w:hint="eastAsia" w:ascii="宋体" w:hAnsi="宋体" w:cs="宋体"/>
                <w:b/>
                <w:bCs w:val="0"/>
                <w:color w:val="auto"/>
                <w:kern w:val="0"/>
                <w:sz w:val="22"/>
                <w:szCs w:val="22"/>
                <w:highlight w:val="none"/>
              </w:rPr>
            </w:pPr>
            <w:r>
              <w:rPr>
                <w:rFonts w:hint="eastAsia" w:ascii="宋体" w:hAnsi="宋体" w:cs="宋体"/>
                <w:b/>
                <w:bCs w:val="0"/>
                <w:color w:val="auto"/>
                <w:kern w:val="0"/>
                <w:sz w:val="22"/>
                <w:szCs w:val="22"/>
                <w:highlight w:val="none"/>
              </w:rPr>
              <w:t>标项内容</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0F821237">
            <w:pPr>
              <w:pStyle w:val="45"/>
              <w:spacing w:before="0" w:beforeAutospacing="0" w:after="0" w:afterAutospacing="0" w:line="240" w:lineRule="auto"/>
              <w:ind w:left="60" w:right="60"/>
              <w:jc w:val="center"/>
              <w:rPr>
                <w:rFonts w:hint="eastAsia"/>
                <w:b/>
                <w:bCs w:val="0"/>
                <w:color w:val="auto"/>
                <w:sz w:val="22"/>
                <w:szCs w:val="22"/>
                <w:highlight w:val="none"/>
              </w:rPr>
            </w:pPr>
            <w:r>
              <w:rPr>
                <w:rFonts w:hint="eastAsia"/>
                <w:b/>
                <w:bCs w:val="0"/>
                <w:color w:val="auto"/>
                <w:sz w:val="22"/>
                <w:szCs w:val="22"/>
                <w:highlight w:val="none"/>
              </w:rPr>
              <w:t>数量</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C4D13E8">
            <w:pPr>
              <w:pStyle w:val="45"/>
              <w:spacing w:before="0" w:beforeAutospacing="0" w:after="0" w:afterAutospacing="0" w:line="240" w:lineRule="auto"/>
              <w:ind w:left="60" w:right="60"/>
              <w:jc w:val="center"/>
              <w:rPr>
                <w:rFonts w:hint="eastAsia"/>
                <w:b/>
                <w:bCs w:val="0"/>
                <w:color w:val="auto"/>
                <w:sz w:val="22"/>
                <w:szCs w:val="22"/>
                <w:highlight w:val="none"/>
              </w:rPr>
            </w:pPr>
            <w:r>
              <w:rPr>
                <w:rFonts w:hint="eastAsia"/>
                <w:b/>
                <w:bCs w:val="0"/>
                <w:color w:val="auto"/>
                <w:sz w:val="22"/>
                <w:szCs w:val="22"/>
                <w:highlight w:val="none"/>
              </w:rPr>
              <w:t>单位</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1238F9C5">
            <w:pPr>
              <w:widowControl/>
              <w:spacing w:line="240" w:lineRule="auto"/>
              <w:ind w:left="60" w:right="60"/>
              <w:jc w:val="center"/>
              <w:rPr>
                <w:rFonts w:hint="eastAsia" w:ascii="宋体" w:hAnsi="宋体" w:cs="宋体"/>
                <w:b/>
                <w:bCs w:val="0"/>
                <w:color w:val="auto"/>
                <w:kern w:val="0"/>
                <w:sz w:val="22"/>
                <w:szCs w:val="22"/>
                <w:highlight w:val="none"/>
              </w:rPr>
            </w:pPr>
            <w:r>
              <w:rPr>
                <w:rFonts w:hint="eastAsia" w:ascii="宋体" w:hAnsi="宋体" w:cs="宋体"/>
                <w:b/>
                <w:bCs w:val="0"/>
                <w:color w:val="auto"/>
                <w:sz w:val="22"/>
                <w:szCs w:val="22"/>
                <w:highlight w:val="none"/>
              </w:rPr>
              <w:t>预算金额（元）</w:t>
            </w:r>
          </w:p>
        </w:tc>
        <w:tc>
          <w:tcPr>
            <w:tcW w:w="1833" w:type="pct"/>
            <w:tcBorders>
              <w:top w:val="single" w:color="000000" w:sz="4" w:space="0"/>
              <w:left w:val="single" w:color="000000" w:sz="4" w:space="0"/>
              <w:bottom w:val="single" w:color="000000" w:sz="4" w:space="0"/>
              <w:right w:val="single" w:color="000000" w:sz="4" w:space="0"/>
            </w:tcBorders>
            <w:noWrap/>
            <w:vAlign w:val="center"/>
          </w:tcPr>
          <w:p w14:paraId="43907EE6">
            <w:pPr>
              <w:widowControl/>
              <w:spacing w:line="360" w:lineRule="auto"/>
              <w:ind w:left="60" w:right="60"/>
              <w:jc w:val="center"/>
              <w:rPr>
                <w:rFonts w:hint="eastAsia" w:ascii="宋体" w:hAnsi="宋体" w:cs="宋体"/>
                <w:b/>
                <w:bCs w:val="0"/>
                <w:color w:val="auto"/>
                <w:kern w:val="0"/>
                <w:sz w:val="22"/>
                <w:szCs w:val="22"/>
                <w:highlight w:val="none"/>
              </w:rPr>
            </w:pPr>
            <w:r>
              <w:rPr>
                <w:rFonts w:hint="eastAsia" w:ascii="宋体" w:hAnsi="宋体" w:cs="宋体"/>
                <w:b/>
                <w:bCs w:val="0"/>
                <w:color w:val="auto"/>
                <w:kern w:val="0"/>
                <w:sz w:val="22"/>
                <w:szCs w:val="22"/>
                <w:highlight w:val="none"/>
              </w:rPr>
              <w:t>简要说明</w:t>
            </w:r>
          </w:p>
        </w:tc>
      </w:tr>
      <w:tr w14:paraId="709017A1">
        <w:tblPrEx>
          <w:tblCellMar>
            <w:top w:w="0" w:type="dxa"/>
            <w:left w:w="108" w:type="dxa"/>
            <w:bottom w:w="0" w:type="dxa"/>
            <w:right w:w="108" w:type="dxa"/>
          </w:tblCellMar>
        </w:tblPrEx>
        <w:trPr>
          <w:trHeight w:val="816" w:hRule="atLeast"/>
          <w:jc w:val="center"/>
        </w:trPr>
        <w:tc>
          <w:tcPr>
            <w:tcW w:w="425" w:type="pct"/>
            <w:tcBorders>
              <w:top w:val="single" w:color="000000" w:sz="4" w:space="0"/>
              <w:left w:val="single" w:color="000000" w:sz="4" w:space="0"/>
              <w:bottom w:val="single" w:color="000000" w:sz="4" w:space="0"/>
              <w:right w:val="single" w:color="000000" w:sz="4" w:space="0"/>
            </w:tcBorders>
            <w:noWrap/>
            <w:vAlign w:val="center"/>
          </w:tcPr>
          <w:p w14:paraId="4B6F0BD9">
            <w:pPr>
              <w:widowControl/>
              <w:spacing w:line="360" w:lineRule="auto"/>
              <w:jc w:val="cente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228C8B9F">
            <w:pPr>
              <w:widowControl/>
              <w:spacing w:line="360" w:lineRule="auto"/>
              <w:jc w:val="center"/>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lang w:eastAsia="zh-CN"/>
              </w:rPr>
              <w:t>文成县龙船垟城中村改造（二期）项目配套幼儿园装修工程-课桌椅采购及安装项目</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3DD8ECDF">
            <w:pPr>
              <w:pStyle w:val="45"/>
              <w:spacing w:before="0" w:beforeAutospacing="0" w:after="0" w:afterAutospacing="0" w:line="360" w:lineRule="auto"/>
              <w:ind w:left="60" w:right="60"/>
              <w:jc w:val="center"/>
              <w:rPr>
                <w:rFonts w:hint="eastAsia"/>
                <w:bCs/>
                <w:color w:val="auto"/>
                <w:sz w:val="22"/>
                <w:szCs w:val="22"/>
                <w:highlight w:val="none"/>
              </w:rPr>
            </w:pPr>
            <w:r>
              <w:rPr>
                <w:rFonts w:hint="eastAsia"/>
                <w:color w:val="auto"/>
                <w:sz w:val="22"/>
                <w:szCs w:val="22"/>
                <w:highlight w:val="none"/>
              </w:rPr>
              <w:t>1</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7219EFD">
            <w:pPr>
              <w:pStyle w:val="45"/>
              <w:spacing w:before="0" w:beforeAutospacing="0" w:after="0" w:afterAutospacing="0" w:line="360" w:lineRule="auto"/>
              <w:ind w:left="60" w:right="60"/>
              <w:jc w:val="center"/>
              <w:rPr>
                <w:rFonts w:hint="eastAsia" w:eastAsia="宋体"/>
                <w:bCs/>
                <w:color w:val="auto"/>
                <w:sz w:val="22"/>
                <w:szCs w:val="22"/>
                <w:highlight w:val="none"/>
                <w:lang w:eastAsia="zh-CN"/>
              </w:rPr>
            </w:pPr>
            <w:r>
              <w:rPr>
                <w:rFonts w:hint="eastAsia"/>
                <w:color w:val="auto"/>
                <w:sz w:val="22"/>
                <w:szCs w:val="22"/>
                <w:highlight w:val="none"/>
                <w:lang w:val="en-US" w:eastAsia="zh-CN"/>
              </w:rPr>
              <w:t>项</w:t>
            </w:r>
          </w:p>
        </w:tc>
        <w:tc>
          <w:tcPr>
            <w:tcW w:w="685" w:type="pct"/>
            <w:tcBorders>
              <w:top w:val="single" w:color="000000" w:sz="4" w:space="0"/>
              <w:left w:val="single" w:color="000000" w:sz="4" w:space="0"/>
              <w:bottom w:val="single" w:color="000000" w:sz="4" w:space="0"/>
              <w:right w:val="single" w:color="000000" w:sz="4" w:space="0"/>
            </w:tcBorders>
            <w:noWrap/>
            <w:vAlign w:val="center"/>
          </w:tcPr>
          <w:p w14:paraId="528B9E7F">
            <w:pPr>
              <w:widowControl/>
              <w:spacing w:line="360" w:lineRule="auto"/>
              <w:jc w:val="cente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3378982</w:t>
            </w:r>
          </w:p>
        </w:tc>
        <w:tc>
          <w:tcPr>
            <w:tcW w:w="1833" w:type="pct"/>
            <w:tcBorders>
              <w:top w:val="single" w:color="000000" w:sz="4" w:space="0"/>
              <w:left w:val="single" w:color="000000" w:sz="4" w:space="0"/>
              <w:bottom w:val="single" w:color="000000" w:sz="4" w:space="0"/>
              <w:right w:val="single" w:color="000000" w:sz="4" w:space="0"/>
            </w:tcBorders>
            <w:noWrap/>
            <w:vAlign w:val="center"/>
          </w:tcPr>
          <w:p w14:paraId="59A3C0C7">
            <w:pPr>
              <w:widowControl/>
              <w:snapToGrid w:val="0"/>
              <w:spacing w:line="360" w:lineRule="auto"/>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eastAsia="zh-CN"/>
              </w:rPr>
              <w:t>文成县龙船垟城中村改造（二期）项目配套幼儿园装修工程-课桌椅采购及安装项目</w:t>
            </w:r>
            <w:r>
              <w:rPr>
                <w:rFonts w:hint="default" w:ascii="宋体" w:hAnsi="宋体" w:cs="宋体"/>
                <w:bCs/>
                <w:color w:val="auto"/>
                <w:kern w:val="0"/>
                <w:sz w:val="22"/>
                <w:szCs w:val="22"/>
                <w:highlight w:val="none"/>
                <w:lang w:eastAsia="zh-CN"/>
              </w:rPr>
              <w:t>，具体招标内容及要求见招标文件相关部分。</w:t>
            </w:r>
          </w:p>
        </w:tc>
      </w:tr>
    </w:tbl>
    <w:p w14:paraId="21EEAE0C">
      <w:pPr>
        <w:widowControl/>
        <w:tabs>
          <w:tab w:val="left" w:pos="420"/>
        </w:tabs>
        <w:spacing w:line="360" w:lineRule="auto"/>
        <w:ind w:right="60"/>
        <w:jc w:val="left"/>
        <w:outlineLvl w:val="0"/>
        <w:rPr>
          <w:rFonts w:hint="eastAsia" w:ascii="宋体" w:hAnsi="宋体" w:cs="宋体"/>
          <w:b/>
          <w:color w:val="auto"/>
          <w:kern w:val="0"/>
          <w:sz w:val="22"/>
          <w:szCs w:val="22"/>
          <w:highlight w:val="none"/>
        </w:rPr>
      </w:pPr>
      <w:bookmarkStart w:id="22" w:name="_Toc29191"/>
      <w:r>
        <w:rPr>
          <w:rFonts w:hint="eastAsia" w:ascii="宋体" w:hAnsi="宋体" w:cs="宋体"/>
          <w:b/>
          <w:color w:val="auto"/>
          <w:kern w:val="0"/>
          <w:sz w:val="22"/>
          <w:szCs w:val="22"/>
          <w:highlight w:val="none"/>
        </w:rPr>
        <w:t>五、投标供应商资格要求：</w:t>
      </w:r>
      <w:bookmarkEnd w:id="22"/>
    </w:p>
    <w:p w14:paraId="7FE1CB8E">
      <w:pPr>
        <w:widowControl/>
        <w:tabs>
          <w:tab w:val="left" w:pos="420"/>
        </w:tabs>
        <w:spacing w:line="360" w:lineRule="auto"/>
        <w:ind w:right="60"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1.符合《温州市市属国有企业采购管理办法》第十五条对供应商参加温州市国有企业采购活动应当具备的条件的要求。</w:t>
      </w:r>
    </w:p>
    <w:p w14:paraId="677DE69E">
      <w:pPr>
        <w:pStyle w:val="45"/>
        <w:spacing w:before="0" w:beforeAutospacing="0" w:after="0" w:afterAutospacing="0" w:line="360" w:lineRule="auto"/>
        <w:ind w:firstLine="450"/>
        <w:rPr>
          <w:rFonts w:ascii="sans-serif" w:hAnsi="sans-serif" w:eastAsia="sans-serif" w:cs="sans-serif"/>
          <w:color w:val="auto"/>
          <w:highlight w:val="none"/>
        </w:rPr>
      </w:pPr>
      <w:r>
        <w:rPr>
          <w:rFonts w:hint="eastAsia"/>
          <w:color w:val="auto"/>
          <w:sz w:val="22"/>
          <w:szCs w:val="22"/>
          <w:highlight w:val="none"/>
        </w:rPr>
        <w:t>（1）具有独立承担民事责任的能力；</w:t>
      </w:r>
    </w:p>
    <w:p w14:paraId="061BA321">
      <w:pPr>
        <w:pStyle w:val="45"/>
        <w:spacing w:before="0" w:beforeAutospacing="0" w:after="0" w:afterAutospacing="0" w:line="360" w:lineRule="auto"/>
        <w:ind w:firstLine="450"/>
        <w:rPr>
          <w:rFonts w:ascii="sans-serif" w:hAnsi="sans-serif" w:eastAsia="sans-serif" w:cs="sans-serif"/>
          <w:color w:val="auto"/>
          <w:highlight w:val="none"/>
        </w:rPr>
      </w:pPr>
      <w:r>
        <w:rPr>
          <w:rFonts w:hint="eastAsia"/>
          <w:color w:val="auto"/>
          <w:sz w:val="22"/>
          <w:szCs w:val="22"/>
          <w:highlight w:val="none"/>
        </w:rPr>
        <w:t>（2）具有良好的商业信誉和健全的财务会计制度；</w:t>
      </w:r>
    </w:p>
    <w:p w14:paraId="0393D3B2">
      <w:pPr>
        <w:pStyle w:val="45"/>
        <w:spacing w:before="0" w:beforeAutospacing="0" w:after="0" w:afterAutospacing="0" w:line="360" w:lineRule="auto"/>
        <w:ind w:firstLine="450"/>
        <w:rPr>
          <w:rFonts w:ascii="sans-serif" w:hAnsi="sans-serif" w:eastAsia="sans-serif" w:cs="sans-serif"/>
          <w:color w:val="auto"/>
          <w:highlight w:val="none"/>
        </w:rPr>
      </w:pPr>
      <w:r>
        <w:rPr>
          <w:rFonts w:hint="eastAsia"/>
          <w:color w:val="auto"/>
          <w:sz w:val="22"/>
          <w:szCs w:val="22"/>
          <w:highlight w:val="none"/>
        </w:rPr>
        <w:t>（3）具有履行合同所必需的设备和专业技术、售后保障等能力；</w:t>
      </w:r>
    </w:p>
    <w:p w14:paraId="3E20F047">
      <w:pPr>
        <w:pStyle w:val="45"/>
        <w:spacing w:before="0" w:beforeAutospacing="0" w:after="0" w:afterAutospacing="0" w:line="360" w:lineRule="auto"/>
        <w:ind w:firstLine="450"/>
        <w:rPr>
          <w:rFonts w:ascii="sans-serif" w:hAnsi="sans-serif" w:eastAsia="sans-serif" w:cs="sans-serif"/>
          <w:color w:val="auto"/>
          <w:highlight w:val="none"/>
        </w:rPr>
      </w:pPr>
      <w:r>
        <w:rPr>
          <w:rFonts w:hint="eastAsia"/>
          <w:color w:val="auto"/>
          <w:sz w:val="22"/>
          <w:szCs w:val="22"/>
          <w:highlight w:val="none"/>
        </w:rPr>
        <w:t>（4）有依法缴纳税收和社会保障资金的良好记录；</w:t>
      </w:r>
    </w:p>
    <w:p w14:paraId="52D8A0A4">
      <w:pPr>
        <w:pStyle w:val="45"/>
        <w:spacing w:before="0" w:beforeAutospacing="0" w:after="0" w:afterAutospacing="0" w:line="360" w:lineRule="auto"/>
        <w:ind w:firstLine="450"/>
        <w:rPr>
          <w:rFonts w:ascii="sans-serif" w:hAnsi="sans-serif" w:eastAsia="sans-serif" w:cs="sans-serif"/>
          <w:color w:val="auto"/>
          <w:highlight w:val="none"/>
        </w:rPr>
      </w:pPr>
      <w:r>
        <w:rPr>
          <w:rFonts w:hint="eastAsia"/>
          <w:color w:val="auto"/>
          <w:sz w:val="22"/>
          <w:szCs w:val="22"/>
          <w:highlight w:val="none"/>
        </w:rPr>
        <w:t>（5）参加采购、招投标等活动前三年内，在经营活动中没有重大违法记录、严重失信行为和行贿记录；</w:t>
      </w:r>
    </w:p>
    <w:p w14:paraId="7D810800">
      <w:pPr>
        <w:widowControl/>
        <w:tabs>
          <w:tab w:val="left" w:pos="420"/>
        </w:tabs>
        <w:spacing w:line="360" w:lineRule="auto"/>
        <w:ind w:right="60" w:firstLine="440" w:firstLineChars="200"/>
        <w:rPr>
          <w:rFonts w:hint="eastAsia" w:ascii="宋体" w:hAnsi="宋体" w:cs="宋体"/>
          <w:color w:val="auto"/>
          <w:kern w:val="0"/>
          <w:sz w:val="22"/>
          <w:szCs w:val="22"/>
          <w:highlight w:val="none"/>
        </w:rPr>
      </w:pPr>
      <w:r>
        <w:rPr>
          <w:rFonts w:hint="eastAsia" w:ascii="宋体" w:cs="宋体"/>
          <w:color w:val="auto"/>
          <w:sz w:val="22"/>
          <w:szCs w:val="22"/>
          <w:highlight w:val="none"/>
        </w:rPr>
        <w:t>（6）法律、行政法规规定的其他条件。</w:t>
      </w:r>
    </w:p>
    <w:p w14:paraId="654FD779">
      <w:pPr>
        <w:widowControl/>
        <w:tabs>
          <w:tab w:val="left" w:pos="420"/>
        </w:tabs>
        <w:spacing w:line="360" w:lineRule="auto"/>
        <w:ind w:right="6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2.投标供应商未被“信用中国”（www.creditchina.gov.cn）、中国政府采购网（www.ccgp.gov.cn）列入失信被执行人、重大税收违法案件当事人名单、采购严重违法失信行为记录名单。</w:t>
      </w:r>
    </w:p>
    <w:p w14:paraId="25D73326">
      <w:pPr>
        <w:widowControl/>
        <w:tabs>
          <w:tab w:val="left" w:pos="420"/>
        </w:tabs>
        <w:spacing w:line="360" w:lineRule="auto"/>
        <w:ind w:right="60"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3.本项目不接受联合体投标</w:t>
      </w:r>
      <w:r>
        <w:rPr>
          <w:rFonts w:hint="eastAsia" w:ascii="宋体" w:hAnsi="宋体" w:cs="宋体"/>
          <w:bCs/>
          <w:color w:val="auto"/>
          <w:sz w:val="22"/>
          <w:szCs w:val="22"/>
          <w:highlight w:val="none"/>
        </w:rPr>
        <w:t>。</w:t>
      </w:r>
    </w:p>
    <w:p w14:paraId="03C03701">
      <w:pPr>
        <w:widowControl/>
        <w:tabs>
          <w:tab w:val="left" w:pos="420"/>
        </w:tabs>
        <w:spacing w:line="360" w:lineRule="auto"/>
        <w:ind w:right="60"/>
        <w:jc w:val="left"/>
        <w:outlineLvl w:val="0"/>
        <w:rPr>
          <w:rFonts w:hint="eastAsia" w:ascii="宋体" w:hAnsi="宋体" w:cs="宋体"/>
          <w:b/>
          <w:color w:val="auto"/>
          <w:kern w:val="0"/>
          <w:sz w:val="22"/>
          <w:szCs w:val="22"/>
          <w:highlight w:val="none"/>
        </w:rPr>
      </w:pPr>
      <w:bookmarkStart w:id="23" w:name="_Toc30268"/>
      <w:r>
        <w:rPr>
          <w:rFonts w:hint="eastAsia" w:ascii="宋体" w:hAnsi="宋体" w:cs="宋体"/>
          <w:b/>
          <w:color w:val="auto"/>
          <w:kern w:val="0"/>
          <w:sz w:val="22"/>
          <w:szCs w:val="22"/>
          <w:highlight w:val="none"/>
        </w:rPr>
        <w:t>六、</w:t>
      </w:r>
      <w:r>
        <w:rPr>
          <w:rFonts w:hint="eastAsia" w:ascii="宋体" w:hAnsi="宋体" w:cs="宋体"/>
          <w:b/>
          <w:color w:val="auto"/>
          <w:kern w:val="0"/>
          <w:sz w:val="22"/>
          <w:szCs w:val="22"/>
          <w:highlight w:val="none"/>
          <w:lang w:val="en-US" w:eastAsia="zh-CN"/>
        </w:rPr>
        <w:t>报名、</w:t>
      </w:r>
      <w:r>
        <w:rPr>
          <w:rFonts w:hint="eastAsia" w:ascii="宋体" w:hAnsi="宋体" w:cs="宋体"/>
          <w:b/>
          <w:color w:val="auto"/>
          <w:kern w:val="0"/>
          <w:sz w:val="22"/>
          <w:szCs w:val="22"/>
          <w:highlight w:val="none"/>
        </w:rPr>
        <w:t>发售采购文件时间及地点：</w:t>
      </w:r>
      <w:bookmarkEnd w:id="23"/>
    </w:p>
    <w:p w14:paraId="1FB5E3C9">
      <w:pPr>
        <w:widowControl/>
        <w:tabs>
          <w:tab w:val="left" w:pos="42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1.报名、采购文件发售时间：自本公告公布日起</w:t>
      </w:r>
      <w:r>
        <w:rPr>
          <w:rFonts w:hint="eastAsia" w:ascii="宋体" w:hAnsi="宋体" w:cs="宋体"/>
          <w:color w:val="auto"/>
          <w:kern w:val="0"/>
          <w:sz w:val="22"/>
          <w:szCs w:val="22"/>
          <w:highlight w:val="none"/>
          <w:lang w:val="en-US" w:eastAsia="zh-CN"/>
        </w:rPr>
        <w:t>至</w:t>
      </w:r>
      <w:r>
        <w:rPr>
          <w:rFonts w:hint="eastAsia" w:ascii="宋体" w:hAnsi="宋体" w:cs="宋体"/>
          <w:color w:val="auto"/>
          <w:kern w:val="0"/>
          <w:sz w:val="22"/>
          <w:szCs w:val="22"/>
          <w:highlight w:val="none"/>
        </w:rPr>
        <w:t>投标文件递交截止时间之前报名、购买采购文件均有效，未按规定购买采购文件的潜在投标供应商拒绝参加投标。</w:t>
      </w:r>
    </w:p>
    <w:p w14:paraId="077EF141">
      <w:pPr>
        <w:widowControl/>
        <w:tabs>
          <w:tab w:val="left" w:pos="420"/>
        </w:tabs>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2.报名方式</w:t>
      </w:r>
      <w:r>
        <w:rPr>
          <w:rFonts w:hint="eastAsia" w:ascii="宋体" w:hAnsi="宋体" w:eastAsia="宋体" w:cs="宋体"/>
          <w:color w:val="auto"/>
          <w:kern w:val="0"/>
          <w:sz w:val="22"/>
          <w:szCs w:val="22"/>
          <w:highlight w:val="none"/>
        </w:rPr>
        <w:t>、购买标书及注意事项：</w:t>
      </w:r>
    </w:p>
    <w:p w14:paraId="1DB890C4">
      <w:pPr>
        <w:widowControl/>
        <w:tabs>
          <w:tab w:val="left" w:pos="420"/>
        </w:tabs>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网上报名（乐采云报名）：请供应商登录乐采云平台（https://www.lecaiyun.com），进入“乐采云”平台进行注册并报名（未注册的供应商请尽早注册，客服电话：95763）。操作路径：乐采云平台-登录-项目采购-获取采购文件-申请获取采购文件。网上报名后，请将标书购买费汇入代理公司账户</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支付宝账号：吴13868685553）</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缴纳标书购买费后将缴费截图、</w:t>
      </w:r>
      <w:r>
        <w:rPr>
          <w:rFonts w:hint="eastAsia" w:ascii="宋体" w:hAnsi="宋体" w:eastAsia="宋体" w:cs="宋体"/>
          <w:color w:val="auto"/>
          <w:kern w:val="0"/>
          <w:sz w:val="22"/>
          <w:szCs w:val="22"/>
          <w:highlight w:val="none"/>
          <w:lang w:val="en-US" w:eastAsia="zh-CN"/>
        </w:rPr>
        <w:t>报名资料</w:t>
      </w:r>
      <w:r>
        <w:rPr>
          <w:rFonts w:hint="eastAsia" w:ascii="宋体" w:hAnsi="宋体" w:eastAsia="宋体" w:cs="宋体"/>
          <w:color w:val="auto"/>
          <w:kern w:val="0"/>
          <w:sz w:val="22"/>
          <w:szCs w:val="22"/>
          <w:highlight w:val="none"/>
        </w:rPr>
        <w:t>等资料发代理机构电子邮箱</w:t>
      </w:r>
      <w:r>
        <w:rPr>
          <w:rFonts w:hint="eastAsia" w:ascii="宋体" w:hAnsi="宋体" w:eastAsia="宋体" w:cs="宋体"/>
          <w:color w:val="auto"/>
          <w:kern w:val="0"/>
          <w:sz w:val="22"/>
          <w:szCs w:val="22"/>
          <w:highlight w:val="none"/>
          <w:lang w:eastAsia="zh-CN"/>
        </w:rPr>
        <w:t>75808147@qq.com</w:t>
      </w:r>
      <w:r>
        <w:rPr>
          <w:rFonts w:hint="eastAsia" w:ascii="宋体" w:hAnsi="宋体" w:eastAsia="宋体" w:cs="宋体"/>
          <w:color w:val="auto"/>
          <w:kern w:val="0"/>
          <w:sz w:val="22"/>
          <w:szCs w:val="22"/>
          <w:highlight w:val="none"/>
        </w:rPr>
        <w:t>，并马上联系采购代理公司审核</w:t>
      </w:r>
      <w:r>
        <w:rPr>
          <w:rFonts w:hint="eastAsia" w:ascii="宋体" w:hAnsi="宋体" w:eastAsia="宋体" w:cs="宋体"/>
          <w:color w:val="auto"/>
          <w:kern w:val="0"/>
          <w:sz w:val="22"/>
          <w:szCs w:val="22"/>
          <w:highlight w:val="none"/>
          <w:lang w:eastAsia="zh-CN"/>
        </w:rPr>
        <w:t>。</w:t>
      </w:r>
    </w:p>
    <w:p w14:paraId="29171207">
      <w:pPr>
        <w:widowControl/>
        <w:tabs>
          <w:tab w:val="left" w:pos="42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提示：仅需浏览采购文件的供应商可点击“游客，浏览采购文件”直接下载采购文件浏览，供应商只有在“乐采云平台”完成获取采购文件申请并下载了采购文件后才视作依法获取采购文件（法律法规所指的供应商获取采购文件时间以供应商完成获取采购文件申请后下载采购文件的时间为准）。</w:t>
      </w:r>
    </w:p>
    <w:p w14:paraId="7599B1DC">
      <w:pPr>
        <w:widowControl/>
        <w:tabs>
          <w:tab w:val="left" w:pos="42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3.报名及采购文件发售地点：</w:t>
      </w:r>
      <w:r>
        <w:rPr>
          <w:rFonts w:hint="eastAsia" w:ascii="宋体" w:hAnsi="宋体" w:cs="宋体"/>
          <w:color w:val="auto"/>
          <w:kern w:val="0"/>
          <w:sz w:val="22"/>
          <w:szCs w:val="22"/>
          <w:highlight w:val="none"/>
          <w:lang w:eastAsia="zh-CN"/>
        </w:rPr>
        <w:t>温州市文成县金龙公寓上首202室</w:t>
      </w:r>
      <w:r>
        <w:rPr>
          <w:rFonts w:hint="eastAsia" w:ascii="宋体" w:hAnsi="宋体" w:cs="宋体"/>
          <w:color w:val="auto"/>
          <w:kern w:val="0"/>
          <w:sz w:val="22"/>
          <w:szCs w:val="22"/>
          <w:highlight w:val="none"/>
        </w:rPr>
        <w:t>。</w:t>
      </w:r>
    </w:p>
    <w:p w14:paraId="03AC7EA4">
      <w:pPr>
        <w:widowControl/>
        <w:tabs>
          <w:tab w:val="left" w:pos="42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4.采购文件售价：人民币500元整(售后不退)</w:t>
      </w:r>
    </w:p>
    <w:p w14:paraId="2378D493">
      <w:pPr>
        <w:widowControl/>
        <w:tabs>
          <w:tab w:val="left" w:pos="42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5.报名时须提交以下文件资料（须装订成册）：</w:t>
      </w:r>
    </w:p>
    <w:p w14:paraId="37ADA338">
      <w:pPr>
        <w:widowControl/>
        <w:tabs>
          <w:tab w:val="left" w:pos="420"/>
          <w:tab w:val="left" w:pos="840"/>
        </w:tabs>
        <w:spacing w:line="360" w:lineRule="auto"/>
        <w:ind w:firstLine="479" w:firstLineChars="218"/>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（1）投标供应商单位法定代表人授权书，被授权人身份证</w:t>
      </w:r>
      <w:r>
        <w:rPr>
          <w:rFonts w:hint="eastAsia" w:ascii="宋体" w:hAnsi="宋体" w:cs="宋体"/>
          <w:color w:val="auto"/>
          <w:kern w:val="0"/>
          <w:sz w:val="22"/>
          <w:szCs w:val="22"/>
          <w:highlight w:val="none"/>
          <w:lang w:val="en-US" w:eastAsia="zh-CN"/>
        </w:rPr>
        <w:t>复印件</w:t>
      </w:r>
      <w:r>
        <w:rPr>
          <w:rFonts w:hint="eastAsia" w:ascii="宋体" w:hAnsi="宋体" w:cs="宋体"/>
          <w:color w:val="auto"/>
          <w:kern w:val="0"/>
          <w:sz w:val="22"/>
          <w:szCs w:val="22"/>
          <w:highlight w:val="none"/>
        </w:rPr>
        <w:t>；</w:t>
      </w:r>
    </w:p>
    <w:p w14:paraId="13E24D97">
      <w:pPr>
        <w:widowControl/>
        <w:tabs>
          <w:tab w:val="left" w:pos="420"/>
          <w:tab w:val="left" w:pos="840"/>
        </w:tabs>
        <w:spacing w:line="360" w:lineRule="auto"/>
        <w:ind w:firstLine="479" w:firstLineChars="218"/>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（2）投标供应商有效的营业执照复印件（加盖单位有效公章）；</w:t>
      </w:r>
    </w:p>
    <w:p w14:paraId="4DEA9012">
      <w:pPr>
        <w:widowControl/>
        <w:tabs>
          <w:tab w:val="left" w:pos="420"/>
        </w:tabs>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en-US" w:eastAsia="zh-CN"/>
        </w:rPr>
        <w:t>文成县</w:t>
      </w:r>
      <w:r>
        <w:rPr>
          <w:rFonts w:hint="eastAsia" w:ascii="宋体" w:hAnsi="宋体" w:cs="宋体"/>
          <w:color w:val="auto"/>
          <w:kern w:val="0"/>
          <w:sz w:val="22"/>
          <w:szCs w:val="22"/>
          <w:highlight w:val="none"/>
        </w:rPr>
        <w:t>国有企业采购投标报名申请表</w:t>
      </w:r>
      <w:r>
        <w:rPr>
          <w:rFonts w:hint="eastAsia" w:ascii="宋体" w:hAnsi="宋体" w:cs="宋体"/>
          <w:color w:val="auto"/>
          <w:kern w:val="0"/>
          <w:sz w:val="22"/>
          <w:szCs w:val="22"/>
          <w:highlight w:val="none"/>
          <w:lang w:eastAsia="zh-CN"/>
        </w:rPr>
        <w:t>；</w:t>
      </w:r>
    </w:p>
    <w:p w14:paraId="5D834BEC">
      <w:pPr>
        <w:widowControl/>
        <w:tabs>
          <w:tab w:val="left" w:pos="42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4）缴费截图。</w:t>
      </w:r>
    </w:p>
    <w:p w14:paraId="669B0A48">
      <w:pPr>
        <w:widowControl/>
        <w:tabs>
          <w:tab w:val="left" w:pos="420"/>
        </w:tabs>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注：请供应商按上述要求获取采购文件，如未在“乐采云”系统内完成相关流程，引起的投标无效责任自负。</w:t>
      </w:r>
      <w:r>
        <w:rPr>
          <w:rFonts w:hint="eastAsia" w:ascii="宋体" w:hAnsi="宋体" w:cs="宋体"/>
          <w:color w:val="auto"/>
          <w:kern w:val="0"/>
          <w:sz w:val="22"/>
          <w:szCs w:val="22"/>
          <w:highlight w:val="none"/>
          <w:lang w:val="en-US" w:eastAsia="zh-CN"/>
        </w:rPr>
        <w:t>本次报名所提交书面资料仅作为报名之用，并不作为投标时的资格审查依据。</w:t>
      </w:r>
    </w:p>
    <w:p w14:paraId="16DE1128">
      <w:pPr>
        <w:widowControl/>
        <w:tabs>
          <w:tab w:val="left" w:pos="420"/>
        </w:tabs>
        <w:spacing w:line="360" w:lineRule="auto"/>
        <w:ind w:right="60"/>
        <w:jc w:val="left"/>
        <w:outlineLvl w:val="0"/>
        <w:rPr>
          <w:rFonts w:hint="eastAsia" w:ascii="宋体" w:hAnsi="宋体" w:cs="宋体"/>
          <w:b/>
          <w:color w:val="auto"/>
          <w:kern w:val="0"/>
          <w:sz w:val="22"/>
          <w:szCs w:val="22"/>
          <w:highlight w:val="none"/>
        </w:rPr>
      </w:pPr>
      <w:bookmarkStart w:id="24" w:name="_Toc3903"/>
      <w:r>
        <w:rPr>
          <w:rFonts w:hint="eastAsia" w:ascii="宋体" w:hAnsi="宋体" w:cs="宋体"/>
          <w:b/>
          <w:color w:val="auto"/>
          <w:kern w:val="0"/>
          <w:sz w:val="22"/>
          <w:szCs w:val="22"/>
          <w:highlight w:val="none"/>
        </w:rPr>
        <w:t>七、投标文件递交截止时间、开标时间及地点：</w:t>
      </w:r>
      <w:bookmarkEnd w:id="24"/>
    </w:p>
    <w:p w14:paraId="428B4B4F">
      <w:pPr>
        <w:widowControl/>
        <w:tabs>
          <w:tab w:val="left" w:pos="420"/>
        </w:tabs>
        <w:spacing w:line="360" w:lineRule="auto"/>
        <w:ind w:right="60"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1.投标截止时间：</w:t>
      </w:r>
      <w:bookmarkStart w:id="25" w:name="B23_谈判响应文件提交截止日期"/>
      <w:bookmarkEnd w:id="25"/>
      <w:r>
        <w:rPr>
          <w:rFonts w:hint="eastAsia" w:ascii="宋体" w:hAnsi="宋体" w:cs="宋体"/>
          <w:color w:val="auto"/>
          <w:kern w:val="0"/>
          <w:sz w:val="22"/>
          <w:szCs w:val="22"/>
          <w:highlight w:val="none"/>
          <w:lang w:eastAsia="zh-CN"/>
        </w:rPr>
        <w:t>2025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18</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09</w:t>
      </w:r>
      <w:r>
        <w:rPr>
          <w:rFonts w:hint="eastAsia" w:ascii="宋体" w:hAnsi="宋体" w:cs="宋体"/>
          <w:color w:val="auto"/>
          <w:kern w:val="0"/>
          <w:sz w:val="22"/>
          <w:szCs w:val="22"/>
          <w:highlight w:val="none"/>
          <w:lang w:eastAsia="zh-CN"/>
        </w:rPr>
        <w:t>时30分</w:t>
      </w:r>
      <w:r>
        <w:rPr>
          <w:rFonts w:hint="eastAsia" w:ascii="宋体" w:hAnsi="宋体" w:cs="宋体"/>
          <w:color w:val="auto"/>
          <w:kern w:val="0"/>
          <w:sz w:val="22"/>
          <w:szCs w:val="22"/>
          <w:highlight w:val="none"/>
        </w:rPr>
        <w:t>(北京时间，下同)。</w:t>
      </w:r>
    </w:p>
    <w:p w14:paraId="4FEEA4E3">
      <w:pPr>
        <w:widowControl/>
        <w:tabs>
          <w:tab w:val="left" w:pos="420"/>
        </w:tabs>
        <w:spacing w:line="360" w:lineRule="auto"/>
        <w:ind w:right="60"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2.投标文件提交地点：通过“</w:t>
      </w:r>
      <w:r>
        <w:rPr>
          <w:rFonts w:hint="eastAsia" w:ascii="宋体" w:hAnsi="宋体" w:cs="宋体"/>
          <w:color w:val="auto"/>
          <w:kern w:val="0"/>
          <w:sz w:val="22"/>
          <w:szCs w:val="22"/>
          <w:highlight w:val="none"/>
          <w:lang w:eastAsia="zh-CN"/>
        </w:rPr>
        <w:t>乐采云平台</w:t>
      </w:r>
      <w:r>
        <w:rPr>
          <w:rFonts w:hint="eastAsia" w:ascii="宋体" w:hAnsi="宋体" w:cs="宋体"/>
          <w:color w:val="auto"/>
          <w:kern w:val="0"/>
          <w:sz w:val="22"/>
          <w:szCs w:val="22"/>
          <w:highlight w:val="none"/>
        </w:rPr>
        <w:t>（www.lecaiyun.com）”，实行在线投标响应（电子投标）；</w:t>
      </w:r>
    </w:p>
    <w:p w14:paraId="4A46E67F">
      <w:pPr>
        <w:widowControl/>
        <w:tabs>
          <w:tab w:val="left" w:pos="420"/>
        </w:tabs>
        <w:spacing w:line="360" w:lineRule="auto"/>
        <w:ind w:right="60"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3.开标时间：</w:t>
      </w:r>
      <w:bookmarkStart w:id="26" w:name="B26_谈判时间日期"/>
      <w:bookmarkEnd w:id="26"/>
      <w:r>
        <w:rPr>
          <w:rFonts w:hint="eastAsia" w:ascii="宋体" w:hAnsi="宋体" w:cs="宋体"/>
          <w:color w:val="auto"/>
          <w:kern w:val="0"/>
          <w:sz w:val="22"/>
          <w:szCs w:val="22"/>
          <w:highlight w:val="none"/>
        </w:rPr>
        <w:t>同投标截止时间。</w:t>
      </w:r>
    </w:p>
    <w:p w14:paraId="78480DCE">
      <w:pPr>
        <w:widowControl/>
        <w:tabs>
          <w:tab w:val="left" w:pos="420"/>
        </w:tabs>
        <w:spacing w:line="360" w:lineRule="auto"/>
        <w:ind w:right="60"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4.开标地点：乐采云（www.lecaiyun.com）线上开标</w:t>
      </w:r>
      <w:r>
        <w:rPr>
          <w:rFonts w:hint="eastAsia" w:ascii="宋体" w:hAnsi="宋体" w:cs="宋体"/>
          <w:color w:val="auto"/>
          <w:kern w:val="0"/>
          <w:sz w:val="22"/>
          <w:szCs w:val="22"/>
          <w:highlight w:val="none"/>
          <w:lang w:eastAsia="zh-CN"/>
        </w:rPr>
        <w:t>。</w:t>
      </w:r>
    </w:p>
    <w:p w14:paraId="2EE8B67A">
      <w:pPr>
        <w:widowControl/>
        <w:tabs>
          <w:tab w:val="left" w:pos="420"/>
        </w:tabs>
        <w:spacing w:line="360" w:lineRule="auto"/>
        <w:ind w:right="60"/>
        <w:jc w:val="left"/>
        <w:outlineLvl w:val="0"/>
        <w:rPr>
          <w:rFonts w:hint="eastAsia" w:ascii="宋体" w:hAnsi="宋体" w:cs="宋体"/>
          <w:b/>
          <w:color w:val="auto"/>
          <w:kern w:val="0"/>
          <w:sz w:val="22"/>
          <w:szCs w:val="22"/>
          <w:highlight w:val="none"/>
        </w:rPr>
      </w:pPr>
      <w:bookmarkStart w:id="27" w:name="_Toc24062"/>
      <w:r>
        <w:rPr>
          <w:rFonts w:hint="eastAsia" w:ascii="宋体" w:hAnsi="宋体" w:cs="宋体"/>
          <w:b/>
          <w:color w:val="auto"/>
          <w:kern w:val="0"/>
          <w:sz w:val="22"/>
          <w:szCs w:val="22"/>
          <w:highlight w:val="none"/>
        </w:rPr>
        <w:t>八、投标保证金及交付方式：</w:t>
      </w:r>
      <w:bookmarkEnd w:id="27"/>
    </w:p>
    <w:p w14:paraId="07F7D8A9">
      <w:pPr>
        <w:widowControl/>
        <w:tabs>
          <w:tab w:val="left" w:pos="420"/>
        </w:tabs>
        <w:spacing w:line="360" w:lineRule="auto"/>
        <w:ind w:firstLine="435"/>
        <w:jc w:val="left"/>
        <w:rPr>
          <w:rFonts w:hint="eastAsia" w:ascii="宋体" w:hAnsi="宋体" w:eastAsia="宋体" w:cs="宋体"/>
          <w:color w:val="auto"/>
          <w:kern w:val="0"/>
          <w:sz w:val="22"/>
          <w:szCs w:val="22"/>
          <w:highlight w:val="none"/>
          <w:lang w:val="en-US" w:eastAsia="zh-CN"/>
        </w:rPr>
      </w:pPr>
      <w:bookmarkStart w:id="28" w:name="_Toc17501"/>
      <w:r>
        <w:rPr>
          <w:rFonts w:hint="eastAsia" w:ascii="宋体" w:hAnsi="宋体" w:eastAsia="宋体" w:cs="宋体"/>
          <w:color w:val="auto"/>
          <w:kern w:val="0"/>
          <w:sz w:val="22"/>
          <w:szCs w:val="22"/>
          <w:highlight w:val="none"/>
          <w:lang w:val="en-US" w:eastAsia="zh-CN"/>
        </w:rPr>
        <w:t>本项目无需投标保证金</w:t>
      </w:r>
    </w:p>
    <w:p w14:paraId="7933D0DF">
      <w:pPr>
        <w:widowControl/>
        <w:tabs>
          <w:tab w:val="left" w:pos="420"/>
        </w:tabs>
        <w:spacing w:line="360" w:lineRule="auto"/>
        <w:ind w:right="60"/>
        <w:jc w:val="left"/>
        <w:outlineLvl w:val="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九、其他事项：</w:t>
      </w:r>
      <w:bookmarkEnd w:id="28"/>
    </w:p>
    <w:p w14:paraId="3D880A16">
      <w:pPr>
        <w:widowControl/>
        <w:tabs>
          <w:tab w:val="left" w:pos="420"/>
        </w:tabs>
        <w:spacing w:line="360" w:lineRule="auto"/>
        <w:ind w:firstLine="43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b/>
          <w:bCs/>
          <w:color w:val="auto"/>
          <w:kern w:val="0"/>
          <w:sz w:val="22"/>
          <w:szCs w:val="22"/>
          <w:highlight w:val="none"/>
          <w:u w:val="single"/>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w:t>
      </w:r>
      <w:r>
        <w:rPr>
          <w:rFonts w:hint="eastAsia" w:ascii="宋体" w:hAnsi="宋体" w:cs="宋体"/>
          <w:b/>
          <w:bCs/>
          <w:color w:val="auto"/>
          <w:kern w:val="0"/>
          <w:sz w:val="22"/>
          <w:szCs w:val="22"/>
          <w:highlight w:val="none"/>
          <w:u w:val="single"/>
          <w:lang w:val="en-US" w:eastAsia="zh-CN"/>
        </w:rPr>
        <w:t>3</w:t>
      </w:r>
      <w:r>
        <w:rPr>
          <w:rFonts w:hint="eastAsia" w:ascii="宋体" w:hAnsi="宋体" w:cs="宋体"/>
          <w:b/>
          <w:bCs/>
          <w:color w:val="auto"/>
          <w:kern w:val="0"/>
          <w:sz w:val="22"/>
          <w:szCs w:val="22"/>
          <w:highlight w:val="none"/>
          <w:u w:val="single"/>
        </w:rPr>
        <w:t>个工作日）起</w:t>
      </w:r>
      <w:r>
        <w:rPr>
          <w:rFonts w:hint="eastAsia" w:ascii="宋体" w:hAnsi="宋体" w:cs="宋体"/>
          <w:b/>
          <w:bCs/>
          <w:color w:val="auto"/>
          <w:kern w:val="0"/>
          <w:sz w:val="22"/>
          <w:szCs w:val="22"/>
          <w:highlight w:val="none"/>
          <w:u w:val="single"/>
          <w:lang w:val="en-US" w:eastAsia="zh-CN"/>
        </w:rPr>
        <w:t>4</w:t>
      </w:r>
      <w:r>
        <w:rPr>
          <w:rFonts w:hint="eastAsia" w:ascii="宋体" w:hAnsi="宋体" w:cs="宋体"/>
          <w:b/>
          <w:bCs/>
          <w:color w:val="auto"/>
          <w:kern w:val="0"/>
          <w:sz w:val="22"/>
          <w:szCs w:val="22"/>
          <w:highlight w:val="none"/>
          <w:u w:val="single"/>
        </w:rPr>
        <w:t>个工作日内，以书面形式向采购人和采购代理机构提出质疑。质疑供应商对采购人、采购代理机构的答复不满意或者采购人、采购代理机构未在规定的时间内作出答复的，可以在答复期满后十五个工作日内向采购人的采购监管部门投诉</w:t>
      </w:r>
      <w:r>
        <w:rPr>
          <w:rFonts w:hint="eastAsia" w:ascii="宋体" w:hAnsi="宋体" w:cs="宋体"/>
          <w:color w:val="auto"/>
          <w:kern w:val="0"/>
          <w:sz w:val="22"/>
          <w:szCs w:val="22"/>
          <w:highlight w:val="none"/>
        </w:rPr>
        <w:t>。</w:t>
      </w:r>
    </w:p>
    <w:p w14:paraId="1F147A4D">
      <w:pPr>
        <w:widowControl/>
        <w:tabs>
          <w:tab w:val="left" w:pos="420"/>
        </w:tabs>
        <w:spacing w:line="360" w:lineRule="auto"/>
        <w:ind w:firstLine="43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eastAsia="宋体" w:cs="宋体"/>
          <w:b/>
          <w:color w:val="auto"/>
          <w:kern w:val="0"/>
          <w:sz w:val="22"/>
          <w:szCs w:val="22"/>
          <w:highlight w:val="none"/>
          <w:u w:val="single"/>
          <w:lang w:eastAsia="zh-CN"/>
        </w:rPr>
        <w:t>文成县城市发展集团有限公司</w:t>
      </w:r>
      <w:r>
        <w:rPr>
          <w:rFonts w:hint="eastAsia" w:ascii="宋体" w:hAnsi="宋体" w:eastAsia="宋体" w:cs="宋体"/>
          <w:b/>
          <w:color w:val="auto"/>
          <w:kern w:val="0"/>
          <w:sz w:val="22"/>
          <w:szCs w:val="22"/>
          <w:highlight w:val="none"/>
          <w:u w:val="single"/>
        </w:rPr>
        <w:t>负责</w:t>
      </w:r>
      <w:r>
        <w:rPr>
          <w:rFonts w:hint="eastAsia" w:ascii="宋体" w:hAnsi="宋体" w:cs="宋体"/>
          <w:b/>
          <w:bCs/>
          <w:color w:val="auto"/>
          <w:kern w:val="0"/>
          <w:sz w:val="22"/>
          <w:szCs w:val="22"/>
          <w:highlight w:val="none"/>
          <w:u w:val="single"/>
        </w:rPr>
        <w:t>对</w:t>
      </w:r>
      <w:r>
        <w:rPr>
          <w:rFonts w:hint="eastAsia" w:ascii="宋体" w:hAnsi="宋体" w:cs="宋体"/>
          <w:b/>
          <w:color w:val="auto"/>
          <w:kern w:val="0"/>
          <w:sz w:val="22"/>
          <w:szCs w:val="22"/>
          <w:highlight w:val="none"/>
          <w:u w:val="single"/>
        </w:rPr>
        <w:t>投标供应商反映的企业本部及所属企业在采购活动中出现的违法违规问题进行投诉回复。投标供应商认为</w:t>
      </w:r>
      <w:r>
        <w:rPr>
          <w:rFonts w:hint="eastAsia" w:ascii="宋体" w:hAnsi="宋体" w:cs="宋体"/>
          <w:b/>
          <w:color w:val="auto"/>
          <w:kern w:val="0"/>
          <w:sz w:val="22"/>
          <w:szCs w:val="22"/>
          <w:highlight w:val="none"/>
          <w:u w:val="single"/>
          <w:lang w:eastAsia="zh-CN"/>
        </w:rPr>
        <w:t>文成县城市发展集团有限公司</w:t>
      </w:r>
      <w:r>
        <w:rPr>
          <w:rFonts w:hint="eastAsia" w:ascii="宋体" w:hAnsi="宋体" w:cs="宋体"/>
          <w:b/>
          <w:color w:val="auto"/>
          <w:kern w:val="0"/>
          <w:sz w:val="22"/>
          <w:szCs w:val="22"/>
          <w:highlight w:val="none"/>
          <w:u w:val="single"/>
        </w:rPr>
        <w:t>投诉回复处理结果不合法的，可以采购人或代理机构为对象依法向人民法院提起诉讼。</w:t>
      </w:r>
    </w:p>
    <w:p w14:paraId="1AD74BB5">
      <w:pPr>
        <w:widowControl/>
        <w:tabs>
          <w:tab w:val="left" w:pos="420"/>
        </w:tabs>
        <w:spacing w:line="360" w:lineRule="auto"/>
        <w:ind w:firstLine="43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3.采购公告附件的采购文件仅供阅览使用，未按照本公告规定的方式获取采购文件的潜在供应商提起的质疑，采购人及采购组织机构将不予受理、答复。</w:t>
      </w:r>
    </w:p>
    <w:p w14:paraId="0207346A">
      <w:pPr>
        <w:widowControl/>
        <w:tabs>
          <w:tab w:val="left" w:pos="420"/>
        </w:tabs>
        <w:spacing w:line="360" w:lineRule="auto"/>
        <w:ind w:firstLine="43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4.供应商如对采购文件有疑问应按采购文件规定的询疑截止时间前提出，逾期提出的，采购组织机构可以不予受理、答复。</w:t>
      </w:r>
    </w:p>
    <w:p w14:paraId="7A71A00B">
      <w:pPr>
        <w:widowControl/>
        <w:tabs>
          <w:tab w:val="left" w:pos="420"/>
        </w:tabs>
        <w:spacing w:line="360" w:lineRule="auto"/>
        <w:ind w:firstLine="43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r>
        <w:rPr>
          <w:rFonts w:hint="eastAsia" w:ascii="宋体" w:hAnsi="宋体" w:cs="宋体"/>
          <w:b w:val="0"/>
          <w:bCs w:val="0"/>
          <w:color w:val="auto"/>
          <w:kern w:val="0"/>
          <w:sz w:val="22"/>
          <w:szCs w:val="22"/>
          <w:highlight w:val="none"/>
          <w:u w:val="none"/>
        </w:rPr>
        <w:t>书面质疑受理地点：</w:t>
      </w:r>
      <w:r>
        <w:rPr>
          <w:rFonts w:hint="eastAsia" w:ascii="宋体" w:hAnsi="宋体" w:cs="宋体"/>
          <w:b w:val="0"/>
          <w:bCs w:val="0"/>
          <w:color w:val="auto"/>
          <w:kern w:val="0"/>
          <w:sz w:val="22"/>
          <w:szCs w:val="22"/>
          <w:highlight w:val="none"/>
          <w:u w:val="none"/>
          <w:lang w:eastAsia="zh-CN"/>
        </w:rPr>
        <w:t>温州市文成县金龙公寓上首202室</w:t>
      </w:r>
      <w:r>
        <w:rPr>
          <w:rFonts w:hint="eastAsia" w:ascii="宋体" w:hAnsi="宋体" w:cs="宋体"/>
          <w:b w:val="0"/>
          <w:bCs w:val="0"/>
          <w:color w:val="auto"/>
          <w:kern w:val="0"/>
          <w:sz w:val="22"/>
          <w:szCs w:val="22"/>
          <w:highlight w:val="none"/>
          <w:u w:val="none"/>
        </w:rPr>
        <w:t>，书面质疑受理人：</w:t>
      </w:r>
      <w:r>
        <w:rPr>
          <w:rFonts w:hint="eastAsia" w:ascii="宋体" w:hAnsi="宋体" w:cs="宋体"/>
          <w:b w:val="0"/>
          <w:bCs w:val="0"/>
          <w:color w:val="auto"/>
          <w:kern w:val="0"/>
          <w:sz w:val="22"/>
          <w:szCs w:val="22"/>
          <w:highlight w:val="none"/>
          <w:u w:val="none"/>
          <w:lang w:eastAsia="zh-CN"/>
        </w:rPr>
        <w:t>吴先生</w:t>
      </w:r>
      <w:r>
        <w:rPr>
          <w:rFonts w:hint="eastAsia" w:ascii="宋体" w:hAnsi="宋体" w:cs="宋体"/>
          <w:b w:val="0"/>
          <w:bCs w:val="0"/>
          <w:color w:val="auto"/>
          <w:kern w:val="0"/>
          <w:sz w:val="22"/>
          <w:szCs w:val="22"/>
          <w:highlight w:val="none"/>
          <w:u w:val="none"/>
        </w:rPr>
        <w:t>，质疑联系电话：</w:t>
      </w:r>
      <w:r>
        <w:rPr>
          <w:rFonts w:hint="eastAsia" w:ascii="宋体" w:hAnsi="宋体" w:cs="宋体"/>
          <w:b w:val="0"/>
          <w:bCs w:val="0"/>
          <w:color w:val="auto"/>
          <w:kern w:val="0"/>
          <w:sz w:val="22"/>
          <w:szCs w:val="22"/>
          <w:highlight w:val="none"/>
          <w:u w:val="none"/>
          <w:lang w:eastAsia="zh-CN"/>
        </w:rPr>
        <w:t>13868685553</w:t>
      </w:r>
      <w:r>
        <w:rPr>
          <w:rFonts w:hint="eastAsia" w:ascii="宋体" w:hAnsi="宋体" w:cs="宋体"/>
          <w:b w:val="0"/>
          <w:bCs w:val="0"/>
          <w:color w:val="auto"/>
          <w:kern w:val="0"/>
          <w:sz w:val="22"/>
          <w:szCs w:val="22"/>
          <w:highlight w:val="none"/>
          <w:u w:val="none"/>
        </w:rPr>
        <w:t>。</w:t>
      </w:r>
    </w:p>
    <w:p w14:paraId="3F62818B">
      <w:pPr>
        <w:widowControl/>
        <w:tabs>
          <w:tab w:val="left" w:pos="420"/>
        </w:tabs>
        <w:spacing w:line="360" w:lineRule="auto"/>
        <w:ind w:firstLine="43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r>
        <w:rPr>
          <w:rFonts w:hint="eastAsia" w:ascii="宋体" w:hAnsi="宋体" w:eastAsia="宋体" w:cs="宋体"/>
          <w:color w:val="auto"/>
          <w:kern w:val="0"/>
          <w:sz w:val="22"/>
          <w:szCs w:val="22"/>
          <w:highlight w:val="none"/>
        </w:rPr>
        <w:t>供应商在使用系统进行投标的过程中遇到涉及平台使用的任何问题，可致电乐采云平台技术支持热线咨询，联系方式：95763。</w:t>
      </w:r>
    </w:p>
    <w:p w14:paraId="00EC25D9">
      <w:pPr>
        <w:widowControl/>
        <w:tabs>
          <w:tab w:val="left" w:pos="420"/>
        </w:tabs>
        <w:spacing w:line="360" w:lineRule="auto"/>
        <w:ind w:right="60"/>
        <w:jc w:val="left"/>
        <w:outlineLvl w:val="0"/>
        <w:rPr>
          <w:rFonts w:hint="eastAsia" w:ascii="宋体" w:hAnsi="宋体" w:cs="宋体"/>
          <w:b/>
          <w:color w:val="auto"/>
          <w:kern w:val="0"/>
          <w:sz w:val="22"/>
          <w:szCs w:val="22"/>
          <w:highlight w:val="none"/>
        </w:rPr>
      </w:pPr>
      <w:bookmarkStart w:id="29" w:name="_Toc31137"/>
      <w:r>
        <w:rPr>
          <w:rFonts w:hint="eastAsia" w:ascii="宋体" w:hAnsi="宋体" w:cs="宋体"/>
          <w:b/>
          <w:color w:val="auto"/>
          <w:kern w:val="0"/>
          <w:sz w:val="22"/>
          <w:szCs w:val="22"/>
          <w:highlight w:val="none"/>
        </w:rPr>
        <w:t>十、联系方式</w:t>
      </w:r>
      <w:bookmarkEnd w:id="29"/>
    </w:p>
    <w:p w14:paraId="100B3FEE">
      <w:pPr>
        <w:widowControl/>
        <w:tabs>
          <w:tab w:val="left" w:pos="420"/>
        </w:tabs>
        <w:spacing w:line="360" w:lineRule="auto"/>
        <w:ind w:firstLine="440" w:firstLineChars="200"/>
        <w:jc w:val="left"/>
        <w:outlineLvl w:val="1"/>
        <w:rPr>
          <w:rFonts w:hint="default" w:ascii="宋体" w:hAnsi="宋体" w:eastAsia="宋体" w:cs="宋体"/>
          <w:color w:val="auto"/>
          <w:kern w:val="0"/>
          <w:sz w:val="22"/>
          <w:szCs w:val="22"/>
          <w:highlight w:val="none"/>
          <w:lang w:eastAsia="zh-CN"/>
        </w:rPr>
      </w:pPr>
      <w:bookmarkStart w:id="30" w:name="_Toc16417"/>
      <w:r>
        <w:rPr>
          <w:rFonts w:hint="eastAsia" w:ascii="宋体" w:hAnsi="宋体" w:eastAsia="宋体" w:cs="宋体"/>
          <w:color w:val="auto"/>
          <w:kern w:val="0"/>
          <w:sz w:val="22"/>
          <w:szCs w:val="22"/>
          <w:highlight w:val="none"/>
        </w:rPr>
        <w:t>1.采购人：</w:t>
      </w:r>
      <w:bookmarkEnd w:id="30"/>
      <w:r>
        <w:rPr>
          <w:rFonts w:hint="eastAsia" w:ascii="宋体" w:hAnsi="宋体" w:eastAsia="宋体" w:cs="宋体"/>
          <w:color w:val="auto"/>
          <w:kern w:val="0"/>
          <w:sz w:val="22"/>
          <w:szCs w:val="22"/>
          <w:highlight w:val="none"/>
          <w:lang w:eastAsia="zh-CN"/>
        </w:rPr>
        <w:t>文成县城市发展集团有限公司</w:t>
      </w:r>
    </w:p>
    <w:p w14:paraId="19F361D2">
      <w:pPr>
        <w:widowControl/>
        <w:tabs>
          <w:tab w:val="left" w:pos="420"/>
        </w:tabs>
        <w:spacing w:line="360" w:lineRule="auto"/>
        <w:ind w:firstLine="440" w:firstLineChars="200"/>
        <w:jc w:val="left"/>
        <w:outlineLvl w:val="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钟先生</w:t>
      </w:r>
      <w:r>
        <w:rPr>
          <w:rFonts w:hint="eastAsia" w:ascii="宋体" w:hAnsi="宋体" w:eastAsia="宋体" w:cs="宋体"/>
          <w:color w:val="auto"/>
          <w:kern w:val="0"/>
          <w:sz w:val="22"/>
          <w:szCs w:val="22"/>
          <w:highlight w:val="none"/>
        </w:rPr>
        <w:t xml:space="preserve">     </w:t>
      </w:r>
    </w:p>
    <w:p w14:paraId="38F50DA5">
      <w:pPr>
        <w:widowControl/>
        <w:tabs>
          <w:tab w:val="left" w:pos="420"/>
        </w:tabs>
        <w:spacing w:line="360" w:lineRule="auto"/>
        <w:ind w:firstLine="440" w:firstLineChars="200"/>
        <w:jc w:val="left"/>
        <w:outlineLvl w:val="1"/>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联系方式：</w:t>
      </w:r>
      <w:r>
        <w:rPr>
          <w:rFonts w:hint="eastAsia" w:ascii="宋体" w:hAnsi="宋体" w:eastAsia="宋体" w:cs="宋体"/>
          <w:color w:val="auto"/>
          <w:kern w:val="0"/>
          <w:sz w:val="22"/>
          <w:szCs w:val="22"/>
          <w:highlight w:val="none"/>
          <w:lang w:eastAsia="zh-CN"/>
        </w:rPr>
        <w:t>0577-59010119</w:t>
      </w:r>
    </w:p>
    <w:p w14:paraId="76A480A2">
      <w:pPr>
        <w:widowControl/>
        <w:tabs>
          <w:tab w:val="left" w:pos="420"/>
        </w:tabs>
        <w:spacing w:line="360" w:lineRule="auto"/>
        <w:ind w:firstLine="440" w:firstLineChars="200"/>
        <w:jc w:val="left"/>
        <w:outlineLvl w:val="1"/>
        <w:rPr>
          <w:rFonts w:hint="default" w:ascii="宋体" w:hAnsi="宋体" w:eastAsia="宋体" w:cs="宋体"/>
          <w:color w:val="auto"/>
          <w:kern w:val="0"/>
          <w:sz w:val="22"/>
          <w:szCs w:val="22"/>
          <w:highlight w:val="none"/>
          <w:lang w:eastAsia="zh-CN"/>
        </w:rPr>
      </w:pPr>
      <w:bookmarkStart w:id="31" w:name="_Toc7017"/>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采购代理机构名称：</w:t>
      </w:r>
      <w:bookmarkEnd w:id="31"/>
      <w:r>
        <w:rPr>
          <w:rFonts w:hint="eastAsia" w:ascii="宋体" w:hAnsi="宋体" w:eastAsia="宋体" w:cs="宋体"/>
          <w:color w:val="auto"/>
          <w:kern w:val="0"/>
          <w:sz w:val="22"/>
          <w:szCs w:val="22"/>
          <w:highlight w:val="none"/>
          <w:lang w:eastAsia="zh-CN"/>
        </w:rPr>
        <w:t>浙江信达咨询监理有限公司</w:t>
      </w:r>
    </w:p>
    <w:p w14:paraId="61BA24DA">
      <w:pPr>
        <w:widowControl/>
        <w:tabs>
          <w:tab w:val="left" w:pos="420"/>
        </w:tabs>
        <w:spacing w:line="360" w:lineRule="auto"/>
        <w:ind w:firstLine="440" w:firstLineChars="200"/>
        <w:jc w:val="left"/>
        <w:outlineLvl w:val="1"/>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地址：</w:t>
      </w:r>
      <w:r>
        <w:rPr>
          <w:rFonts w:hint="eastAsia" w:ascii="宋体" w:hAnsi="宋体" w:eastAsia="宋体" w:cs="宋体"/>
          <w:color w:val="auto"/>
          <w:kern w:val="0"/>
          <w:sz w:val="22"/>
          <w:szCs w:val="22"/>
          <w:highlight w:val="none"/>
          <w:lang w:eastAsia="zh-CN"/>
        </w:rPr>
        <w:t>温州市文成县金龙公寓上首202室</w:t>
      </w:r>
    </w:p>
    <w:p w14:paraId="78BEF3C9">
      <w:pPr>
        <w:widowControl/>
        <w:tabs>
          <w:tab w:val="left" w:pos="420"/>
        </w:tabs>
        <w:spacing w:line="360" w:lineRule="auto"/>
        <w:ind w:firstLine="440" w:firstLineChars="200"/>
        <w:jc w:val="left"/>
        <w:outlineLvl w:val="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吴先生</w:t>
      </w:r>
      <w:r>
        <w:rPr>
          <w:rFonts w:hint="eastAsia" w:ascii="宋体" w:hAnsi="宋体" w:eastAsia="宋体" w:cs="宋体"/>
          <w:color w:val="auto"/>
          <w:kern w:val="0"/>
          <w:sz w:val="22"/>
          <w:szCs w:val="22"/>
          <w:highlight w:val="none"/>
        </w:rPr>
        <w:t xml:space="preserve">    </w:t>
      </w:r>
    </w:p>
    <w:p w14:paraId="4C74B883">
      <w:pPr>
        <w:widowControl/>
        <w:tabs>
          <w:tab w:val="left" w:pos="420"/>
        </w:tabs>
        <w:spacing w:line="360" w:lineRule="auto"/>
        <w:ind w:firstLine="440" w:firstLineChars="200"/>
        <w:jc w:val="left"/>
        <w:outlineLvl w:val="1"/>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联系方式：</w:t>
      </w:r>
      <w:r>
        <w:rPr>
          <w:rFonts w:hint="eastAsia" w:ascii="宋体" w:hAnsi="宋体" w:eastAsia="宋体" w:cs="宋体"/>
          <w:color w:val="auto"/>
          <w:kern w:val="0"/>
          <w:sz w:val="22"/>
          <w:szCs w:val="22"/>
          <w:highlight w:val="none"/>
          <w:lang w:eastAsia="zh-CN"/>
        </w:rPr>
        <w:t>13868685553</w:t>
      </w:r>
    </w:p>
    <w:p w14:paraId="3025ACA9">
      <w:pPr>
        <w:widowControl/>
        <w:tabs>
          <w:tab w:val="left" w:pos="420"/>
        </w:tabs>
        <w:spacing w:line="360" w:lineRule="auto"/>
        <w:ind w:firstLine="440" w:firstLineChars="200"/>
        <w:jc w:val="left"/>
        <w:outlineLvl w:val="1"/>
        <w:rPr>
          <w:rFonts w:hint="eastAsia" w:ascii="宋体" w:hAnsi="宋体" w:eastAsia="宋体" w:cs="宋体"/>
          <w:color w:val="auto"/>
          <w:kern w:val="0"/>
          <w:sz w:val="22"/>
          <w:szCs w:val="22"/>
          <w:highlight w:val="none"/>
          <w:lang w:eastAsia="zh-CN"/>
        </w:rPr>
      </w:pPr>
      <w:bookmarkStart w:id="32" w:name="_Toc6180"/>
      <w:r>
        <w:rPr>
          <w:rFonts w:hint="eastAsia" w:ascii="宋体" w:hAnsi="宋体" w:eastAsia="宋体" w:cs="宋体"/>
          <w:color w:val="auto"/>
          <w:kern w:val="0"/>
          <w:sz w:val="22"/>
          <w:szCs w:val="22"/>
          <w:highlight w:val="none"/>
        </w:rPr>
        <w:t>3.采购监督管理部门：</w:t>
      </w:r>
      <w:bookmarkEnd w:id="32"/>
      <w:r>
        <w:rPr>
          <w:rFonts w:hint="eastAsia" w:ascii="宋体" w:hAnsi="宋体" w:eastAsia="宋体" w:cs="宋体"/>
          <w:color w:val="auto"/>
          <w:kern w:val="0"/>
          <w:sz w:val="22"/>
          <w:szCs w:val="22"/>
          <w:highlight w:val="none"/>
          <w:lang w:eastAsia="zh-CN"/>
        </w:rPr>
        <w:t>文成大峃城市新区管委会</w:t>
      </w:r>
    </w:p>
    <w:p w14:paraId="680B50E4">
      <w:pPr>
        <w:widowControl/>
        <w:tabs>
          <w:tab w:val="left" w:pos="420"/>
        </w:tabs>
        <w:spacing w:line="360" w:lineRule="auto"/>
        <w:ind w:firstLine="440" w:firstLineChars="200"/>
        <w:jc w:val="left"/>
        <w:outlineLvl w:val="1"/>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val="en-US" w:eastAsia="zh-CN"/>
        </w:rPr>
        <w:t>0577-59010112</w:t>
      </w:r>
    </w:p>
    <w:p w14:paraId="53670B04">
      <w:pPr>
        <w:pStyle w:val="20"/>
        <w:rPr>
          <w:rFonts w:hint="eastAsia" w:ascii="宋体" w:hAnsi="宋体" w:eastAsia="宋体" w:cs="宋体"/>
          <w:color w:val="auto"/>
          <w:kern w:val="0"/>
          <w:sz w:val="22"/>
          <w:szCs w:val="22"/>
          <w:highlight w:val="none"/>
          <w:lang w:eastAsia="zh-CN"/>
        </w:rPr>
      </w:pPr>
    </w:p>
    <w:p w14:paraId="6833D0BF">
      <w:pPr>
        <w:pStyle w:val="21"/>
        <w:rPr>
          <w:rFonts w:hint="eastAsia"/>
          <w:color w:val="auto"/>
          <w:highlight w:val="none"/>
          <w:lang w:eastAsia="zh-CN"/>
        </w:rPr>
      </w:pPr>
    </w:p>
    <w:p w14:paraId="5A10E19C">
      <w:pPr>
        <w:tabs>
          <w:tab w:val="left" w:pos="420"/>
        </w:tabs>
        <w:spacing w:line="360" w:lineRule="auto"/>
        <w:ind w:firstLine="418" w:firstLineChars="190"/>
        <w:jc w:val="right"/>
        <w:rPr>
          <w:rFonts w:hint="eastAsia" w:ascii="宋体" w:hAnsi="宋体"/>
          <w:b/>
          <w:color w:val="auto"/>
          <w:sz w:val="28"/>
          <w:szCs w:val="28"/>
          <w:highlight w:val="none"/>
        </w:rPr>
      </w:pPr>
      <w:r>
        <w:rPr>
          <w:rFonts w:hint="eastAsia" w:ascii="宋体" w:hAnsi="宋体" w:cs="宋体"/>
          <w:bCs/>
          <w:color w:val="auto"/>
          <w:kern w:val="36"/>
          <w:sz w:val="22"/>
          <w:szCs w:val="22"/>
          <w:highlight w:val="none"/>
          <w:lang w:eastAsia="zh-CN"/>
        </w:rPr>
        <w:t>2025</w:t>
      </w:r>
      <w:r>
        <w:rPr>
          <w:rFonts w:hint="eastAsia" w:ascii="宋体" w:hAnsi="宋体" w:cs="宋体"/>
          <w:bCs/>
          <w:color w:val="auto"/>
          <w:kern w:val="36"/>
          <w:sz w:val="22"/>
          <w:szCs w:val="22"/>
          <w:highlight w:val="none"/>
        </w:rPr>
        <w:t>年</w:t>
      </w:r>
      <w:r>
        <w:rPr>
          <w:rFonts w:hint="eastAsia" w:ascii="宋体" w:hAnsi="宋体" w:cs="宋体"/>
          <w:bCs/>
          <w:color w:val="auto"/>
          <w:kern w:val="36"/>
          <w:sz w:val="22"/>
          <w:szCs w:val="22"/>
          <w:highlight w:val="none"/>
          <w:lang w:val="en-US" w:eastAsia="zh-CN"/>
        </w:rPr>
        <w:t>7</w:t>
      </w:r>
      <w:r>
        <w:rPr>
          <w:rFonts w:hint="eastAsia" w:ascii="宋体" w:hAnsi="宋体" w:cs="宋体"/>
          <w:bCs/>
          <w:color w:val="auto"/>
          <w:kern w:val="36"/>
          <w:sz w:val="22"/>
          <w:szCs w:val="22"/>
          <w:highlight w:val="none"/>
        </w:rPr>
        <w:t>月</w:t>
      </w:r>
      <w:r>
        <w:rPr>
          <w:rFonts w:hint="eastAsia" w:ascii="宋体" w:hAnsi="宋体" w:cs="宋体"/>
          <w:bCs/>
          <w:color w:val="auto"/>
          <w:kern w:val="36"/>
          <w:sz w:val="22"/>
          <w:szCs w:val="22"/>
          <w:highlight w:val="none"/>
          <w:lang w:val="en-US" w:eastAsia="zh-CN"/>
        </w:rPr>
        <w:t>5</w:t>
      </w:r>
      <w:r>
        <w:rPr>
          <w:rFonts w:hint="eastAsia" w:ascii="宋体" w:hAnsi="宋体" w:cs="宋体"/>
          <w:bCs/>
          <w:color w:val="auto"/>
          <w:kern w:val="36"/>
          <w:sz w:val="22"/>
          <w:szCs w:val="22"/>
          <w:highlight w:val="none"/>
        </w:rPr>
        <w:t>日</w:t>
      </w:r>
    </w:p>
    <w:p w14:paraId="18E9D982">
      <w:pPr>
        <w:widowControl/>
        <w:shd w:val="clear" w:color="auto" w:fill="auto"/>
        <w:spacing w:line="360" w:lineRule="auto"/>
        <w:jc w:val="center"/>
        <w:rPr>
          <w:rFonts w:ascii="宋体" w:hAnsi="宋体" w:cs="Tahoma"/>
          <w:color w:val="auto"/>
          <w:kern w:val="0"/>
          <w:sz w:val="28"/>
          <w:szCs w:val="28"/>
          <w:highlight w:val="none"/>
        </w:rPr>
      </w:pPr>
      <w:r>
        <w:rPr>
          <w:rFonts w:ascii="Arial" w:hAnsi="宋体" w:cs="Arial"/>
          <w:b/>
          <w:bCs/>
          <w:color w:val="000000"/>
          <w:szCs w:val="28"/>
        </w:rPr>
        <w:br w:type="page"/>
      </w:r>
      <w:r>
        <w:rPr>
          <w:rFonts w:hint="eastAsia" w:ascii="宋体" w:hAnsi="宋体"/>
          <w:b/>
          <w:color w:val="auto"/>
          <w:sz w:val="28"/>
          <w:szCs w:val="28"/>
          <w:highlight w:val="none"/>
          <w:lang w:eastAsia="zh-CN"/>
        </w:rPr>
        <w:t>文成县城市发展集团有限公司</w:t>
      </w:r>
      <w:r>
        <w:rPr>
          <w:rFonts w:hint="default" w:ascii="宋体" w:hAnsi="宋体"/>
          <w:b/>
          <w:color w:val="auto"/>
          <w:sz w:val="28"/>
          <w:szCs w:val="28"/>
          <w:highlight w:val="none"/>
          <w:lang w:eastAsia="zh-CN"/>
        </w:rPr>
        <w:t>关于</w:t>
      </w:r>
      <w:r>
        <w:rPr>
          <w:rFonts w:hint="eastAsia" w:ascii="宋体" w:hAnsi="宋体"/>
          <w:b/>
          <w:color w:val="auto"/>
          <w:sz w:val="28"/>
          <w:szCs w:val="28"/>
          <w:highlight w:val="none"/>
          <w:lang w:eastAsia="zh-CN"/>
        </w:rPr>
        <w:t>文成县龙船垟城中村改造（二期）项目配套幼儿园装修工程-课桌椅采购及安装项目</w:t>
      </w:r>
      <w:r>
        <w:rPr>
          <w:rFonts w:hint="default" w:ascii="宋体" w:hAnsi="宋体"/>
          <w:b/>
          <w:color w:val="auto"/>
          <w:sz w:val="28"/>
          <w:szCs w:val="28"/>
          <w:highlight w:val="none"/>
          <w:lang w:eastAsia="zh-CN"/>
        </w:rPr>
        <w:t>（自主）的征求意见公示</w:t>
      </w:r>
    </w:p>
    <w:p w14:paraId="7CBB8EDD">
      <w:pPr>
        <w:widowControl/>
        <w:shd w:val="clear" w:color="auto" w:fill="auto"/>
        <w:spacing w:line="360" w:lineRule="auto"/>
        <w:ind w:firstLine="480"/>
        <w:jc w:val="left"/>
        <w:rPr>
          <w:rFonts w:hint="eastAsia" w:ascii="宋体" w:hAnsi="宋体" w:cs="宋体"/>
          <w:color w:val="auto"/>
          <w:kern w:val="0"/>
          <w:sz w:val="22"/>
          <w:szCs w:val="22"/>
          <w:highlight w:val="none"/>
          <w:lang w:eastAsia="zh-CN"/>
        </w:rPr>
      </w:pPr>
    </w:p>
    <w:p w14:paraId="096EBE36">
      <w:pPr>
        <w:widowControl/>
        <w:shd w:val="clear" w:color="auto" w:fill="auto"/>
        <w:spacing w:line="360" w:lineRule="auto"/>
        <w:ind w:firstLine="48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浙江信达咨询监理有限公司</w:t>
      </w:r>
      <w:r>
        <w:rPr>
          <w:rFonts w:hint="eastAsia" w:ascii="宋体" w:hAnsi="宋体" w:cs="宋体"/>
          <w:color w:val="auto"/>
          <w:kern w:val="0"/>
          <w:sz w:val="22"/>
          <w:szCs w:val="22"/>
          <w:highlight w:val="none"/>
        </w:rPr>
        <w:t>受</w:t>
      </w:r>
      <w:r>
        <w:rPr>
          <w:rFonts w:hint="eastAsia" w:ascii="宋体" w:hAnsi="宋体" w:cs="宋体"/>
          <w:color w:val="auto"/>
          <w:kern w:val="0"/>
          <w:sz w:val="22"/>
          <w:szCs w:val="22"/>
          <w:highlight w:val="none"/>
          <w:lang w:eastAsia="zh-CN"/>
        </w:rPr>
        <w:t>文成县城市发展集团有限公司</w:t>
      </w:r>
      <w:r>
        <w:rPr>
          <w:rFonts w:hint="eastAsia" w:ascii="宋体" w:hAnsi="宋体" w:cs="宋体"/>
          <w:color w:val="auto"/>
          <w:kern w:val="0"/>
          <w:sz w:val="22"/>
          <w:szCs w:val="22"/>
          <w:highlight w:val="none"/>
        </w:rPr>
        <w:t>的委托，就其</w:t>
      </w:r>
      <w:r>
        <w:rPr>
          <w:rFonts w:hint="eastAsia" w:ascii="宋体" w:hAnsi="宋体" w:cs="宋体"/>
          <w:color w:val="auto"/>
          <w:kern w:val="0"/>
          <w:sz w:val="22"/>
          <w:szCs w:val="22"/>
          <w:highlight w:val="none"/>
          <w:lang w:eastAsia="zh-CN"/>
        </w:rPr>
        <w:t>文成县龙船垟城中村改造（二期）项目配套幼儿园装修工程-课桌椅采购及安装项目</w:t>
      </w:r>
      <w:r>
        <w:rPr>
          <w:rFonts w:hint="eastAsia" w:ascii="宋体" w:hAnsi="宋体" w:cs="宋体"/>
          <w:color w:val="auto"/>
          <w:kern w:val="0"/>
          <w:sz w:val="22"/>
          <w:szCs w:val="22"/>
          <w:highlight w:val="none"/>
        </w:rPr>
        <w:t>以公开招标方式进行国有企业采购，现将该项目采购文件公布如下，并公开征求供应商及专家意见。</w:t>
      </w:r>
    </w:p>
    <w:p w14:paraId="1A4EC4B6">
      <w:pPr>
        <w:widowControl/>
        <w:shd w:val="clear" w:color="auto" w:fill="auto"/>
        <w:spacing w:line="360" w:lineRule="auto"/>
        <w:jc w:val="left"/>
        <w:outlineLvl w:val="0"/>
        <w:rPr>
          <w:rFonts w:hint="eastAsia" w:ascii="宋体" w:hAnsi="宋体" w:cs="宋体"/>
          <w:color w:val="auto"/>
          <w:kern w:val="0"/>
          <w:sz w:val="22"/>
          <w:szCs w:val="22"/>
          <w:highlight w:val="none"/>
        </w:rPr>
      </w:pPr>
      <w:bookmarkStart w:id="33" w:name="_Toc25964"/>
      <w:r>
        <w:rPr>
          <w:rFonts w:hint="eastAsia" w:ascii="宋体" w:hAnsi="宋体" w:cs="宋体"/>
          <w:b/>
          <w:bCs/>
          <w:color w:val="auto"/>
          <w:kern w:val="0"/>
          <w:sz w:val="22"/>
          <w:szCs w:val="22"/>
          <w:highlight w:val="none"/>
        </w:rPr>
        <w:t>一、征求意见范围：</w:t>
      </w:r>
      <w:bookmarkEnd w:id="33"/>
    </w:p>
    <w:p w14:paraId="19167B82">
      <w:pPr>
        <w:widowControl/>
        <w:shd w:val="clear" w:color="auto" w:fill="auto"/>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1.是否出现明显的倾向性意见和特定的性能指标；</w:t>
      </w:r>
    </w:p>
    <w:p w14:paraId="794B7DE1">
      <w:pPr>
        <w:widowControl/>
        <w:shd w:val="clear" w:color="auto" w:fill="auto"/>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2.投标供应商资格条件是否具有明显倾向性和歧视性；</w:t>
      </w:r>
    </w:p>
    <w:p w14:paraId="3E8AF6EE">
      <w:pPr>
        <w:widowControl/>
        <w:shd w:val="clear" w:color="auto" w:fill="auto"/>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3.影响温州市国有企业采购“公开、公平、公正”原则的其他情况。</w:t>
      </w:r>
    </w:p>
    <w:p w14:paraId="50C17849">
      <w:pPr>
        <w:widowControl/>
        <w:shd w:val="clear" w:color="auto" w:fill="auto"/>
        <w:spacing w:line="360" w:lineRule="auto"/>
        <w:jc w:val="left"/>
        <w:outlineLvl w:val="0"/>
        <w:rPr>
          <w:rFonts w:hint="eastAsia" w:ascii="宋体" w:hAnsi="宋体" w:cs="宋体"/>
          <w:color w:val="auto"/>
          <w:kern w:val="0"/>
          <w:sz w:val="22"/>
          <w:szCs w:val="22"/>
          <w:highlight w:val="none"/>
        </w:rPr>
      </w:pPr>
      <w:bookmarkStart w:id="34" w:name="_Toc9624"/>
      <w:r>
        <w:rPr>
          <w:rFonts w:hint="eastAsia" w:ascii="宋体" w:hAnsi="宋体" w:cs="宋体"/>
          <w:b/>
          <w:bCs/>
          <w:color w:val="auto"/>
          <w:kern w:val="0"/>
          <w:sz w:val="22"/>
          <w:szCs w:val="22"/>
          <w:highlight w:val="none"/>
        </w:rPr>
        <w:t>二、征求意见的回复：</w:t>
      </w:r>
      <w:bookmarkEnd w:id="34"/>
    </w:p>
    <w:p w14:paraId="46798FC0">
      <w:pPr>
        <w:widowControl/>
        <w:shd w:val="clear" w:color="auto" w:fill="auto"/>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各供应商及专家提出修改理由和建议的，请于</w:t>
      </w:r>
      <w:r>
        <w:rPr>
          <w:rFonts w:hint="eastAsia" w:ascii="宋体" w:hAnsi="宋体" w:cs="宋体"/>
          <w:color w:val="auto"/>
          <w:kern w:val="0"/>
          <w:sz w:val="22"/>
          <w:szCs w:val="22"/>
          <w:highlight w:val="none"/>
          <w:lang w:eastAsia="zh-CN"/>
        </w:rPr>
        <w:t>2025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9</w:t>
      </w:r>
      <w:bookmarkStart w:id="139" w:name="_GoBack"/>
      <w:bookmarkEnd w:id="139"/>
      <w:r>
        <w:rPr>
          <w:rFonts w:hint="eastAsia" w:ascii="宋体" w:hAnsi="宋体" w:cs="宋体"/>
          <w:color w:val="auto"/>
          <w:kern w:val="0"/>
          <w:sz w:val="22"/>
          <w:szCs w:val="22"/>
          <w:highlight w:val="none"/>
        </w:rPr>
        <w:t>日下午17：00前（节假日除外）将书面材料签字（盖章）并密封后送至</w:t>
      </w:r>
      <w:r>
        <w:rPr>
          <w:rFonts w:hint="eastAsia" w:ascii="宋体" w:hAnsi="宋体" w:cs="宋体"/>
          <w:color w:val="auto"/>
          <w:kern w:val="0"/>
          <w:sz w:val="22"/>
          <w:szCs w:val="22"/>
          <w:highlight w:val="none"/>
          <w:lang w:eastAsia="zh-CN"/>
        </w:rPr>
        <w:t>温州市文成县金龙公寓上首202室</w:t>
      </w:r>
      <w:r>
        <w:rPr>
          <w:rFonts w:hint="eastAsia" w:ascii="宋体" w:hAnsi="宋体" w:cs="宋体"/>
          <w:color w:val="auto"/>
          <w:kern w:val="0"/>
          <w:sz w:val="22"/>
          <w:szCs w:val="22"/>
          <w:highlight w:val="none"/>
        </w:rPr>
        <w:t>，或先将扫描件及电子版发送至邮箱：</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"mailto:735135867@qq.com" </w:instrText>
      </w:r>
      <w:r>
        <w:rPr>
          <w:rFonts w:hint="eastAsia" w:ascii="宋体" w:hAnsi="宋体" w:cs="宋体"/>
          <w:color w:val="auto"/>
          <w:kern w:val="0"/>
          <w:sz w:val="22"/>
          <w:szCs w:val="22"/>
          <w:highlight w:val="none"/>
        </w:rPr>
        <w:fldChar w:fldCharType="separate"/>
      </w:r>
      <w:r>
        <w:rPr>
          <w:rStyle w:val="60"/>
          <w:rFonts w:hint="eastAsia" w:ascii="宋体" w:hAnsi="宋体" w:cs="宋体"/>
          <w:color w:val="auto"/>
          <w:kern w:val="0"/>
          <w:sz w:val="22"/>
          <w:szCs w:val="22"/>
          <w:highlight w:val="none"/>
          <w:lang w:eastAsia="zh-CN"/>
        </w:rPr>
        <w:t>75808147@qq.com</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，并同时将该原件书面寄至</w:t>
      </w:r>
      <w:r>
        <w:rPr>
          <w:rFonts w:hint="eastAsia" w:ascii="宋体" w:hAnsi="宋体" w:cs="宋体"/>
          <w:color w:val="auto"/>
          <w:kern w:val="0"/>
          <w:sz w:val="22"/>
          <w:szCs w:val="22"/>
          <w:highlight w:val="none"/>
          <w:lang w:eastAsia="zh-CN"/>
        </w:rPr>
        <w:t>浙江信达咨询监理有限公司</w:t>
      </w:r>
      <w:r>
        <w:rPr>
          <w:rFonts w:hint="eastAsia" w:ascii="宋体" w:hAnsi="宋体" w:cs="宋体"/>
          <w:color w:val="auto"/>
          <w:kern w:val="0"/>
          <w:sz w:val="22"/>
          <w:szCs w:val="22"/>
          <w:highlight w:val="none"/>
        </w:rPr>
        <w:t>。</w:t>
      </w:r>
    </w:p>
    <w:p w14:paraId="16B8D0AB">
      <w:pPr>
        <w:pStyle w:val="19"/>
        <w:shd w:val="clear" w:color="auto" w:fill="auto"/>
        <w:spacing w:after="0" w:line="360" w:lineRule="auto"/>
        <w:ind w:firstLine="465"/>
        <w:rPr>
          <w:rFonts w:hint="eastAsia" w:ascii="宋体" w:hAnsi="宋体" w:cs="宋体"/>
          <w:color w:val="auto"/>
          <w:sz w:val="22"/>
          <w:szCs w:val="22"/>
          <w:highlight w:val="none"/>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lang w:eastAsia="zh-CN"/>
        </w:rPr>
        <w:t>吴先生</w:t>
      </w: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13868685553</w:t>
      </w:r>
      <w:r>
        <w:rPr>
          <w:rFonts w:hint="eastAsia" w:ascii="宋体" w:hAnsi="宋体" w:cs="宋体"/>
          <w:color w:val="auto"/>
          <w:sz w:val="22"/>
          <w:szCs w:val="22"/>
          <w:highlight w:val="none"/>
        </w:rPr>
        <w:t>。</w:t>
      </w:r>
    </w:p>
    <w:p w14:paraId="706C8B3E">
      <w:pPr>
        <w:pStyle w:val="19"/>
        <w:shd w:val="clear" w:color="auto" w:fill="auto"/>
        <w:spacing w:after="0" w:line="360" w:lineRule="auto"/>
        <w:ind w:firstLine="465"/>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对逾期送达的意见、建议书恕不接受。</w:t>
      </w:r>
    </w:p>
    <w:p w14:paraId="21A2C4B1">
      <w:pPr>
        <w:widowControl/>
        <w:shd w:val="clear" w:color="auto" w:fill="auto"/>
        <w:spacing w:line="360" w:lineRule="auto"/>
        <w:jc w:val="left"/>
        <w:outlineLvl w:val="0"/>
        <w:rPr>
          <w:rFonts w:hint="eastAsia" w:ascii="宋体" w:hAnsi="宋体" w:cs="宋体"/>
          <w:b/>
          <w:color w:val="auto"/>
          <w:kern w:val="0"/>
          <w:sz w:val="22"/>
          <w:szCs w:val="22"/>
          <w:highlight w:val="none"/>
        </w:rPr>
      </w:pPr>
      <w:bookmarkStart w:id="35" w:name="_Toc21948"/>
      <w:r>
        <w:rPr>
          <w:rFonts w:hint="eastAsia" w:ascii="宋体" w:hAnsi="宋体" w:cs="宋体"/>
          <w:b/>
          <w:color w:val="auto"/>
          <w:kern w:val="0"/>
          <w:sz w:val="22"/>
          <w:szCs w:val="22"/>
          <w:highlight w:val="none"/>
        </w:rPr>
        <w:t>三、附本项目采购文件</w:t>
      </w:r>
      <w:bookmarkEnd w:id="35"/>
    </w:p>
    <w:p w14:paraId="47C2A9F6">
      <w:pPr>
        <w:shd w:val="clear" w:color="auto" w:fill="auto"/>
        <w:spacing w:line="360" w:lineRule="auto"/>
        <w:ind w:firstLine="418" w:firstLineChars="190"/>
        <w:jc w:val="right"/>
        <w:rPr>
          <w:rFonts w:hint="eastAsia" w:ascii="宋体" w:hAnsi="宋体" w:cs="宋体"/>
          <w:color w:val="auto"/>
          <w:kern w:val="0"/>
          <w:sz w:val="22"/>
          <w:szCs w:val="22"/>
          <w:highlight w:val="none"/>
          <w:lang w:eastAsia="zh-CN"/>
        </w:rPr>
      </w:pPr>
    </w:p>
    <w:p w14:paraId="1F35CC02">
      <w:pPr>
        <w:shd w:val="clear" w:color="auto" w:fill="auto"/>
        <w:spacing w:line="360" w:lineRule="auto"/>
        <w:ind w:firstLine="418" w:firstLineChars="190"/>
        <w:jc w:val="right"/>
        <w:rPr>
          <w:rFonts w:hint="eastAsia" w:ascii="宋体" w:hAnsi="宋体" w:cs="宋体"/>
          <w:color w:val="auto"/>
          <w:kern w:val="0"/>
          <w:sz w:val="22"/>
          <w:szCs w:val="22"/>
          <w:highlight w:val="none"/>
          <w:lang w:eastAsia="zh-CN"/>
        </w:rPr>
      </w:pPr>
    </w:p>
    <w:p w14:paraId="48F8A912">
      <w:pPr>
        <w:shd w:val="clear" w:color="auto" w:fill="auto"/>
        <w:spacing w:line="360" w:lineRule="auto"/>
        <w:ind w:firstLine="418" w:firstLineChars="190"/>
        <w:jc w:val="right"/>
        <w:rPr>
          <w:rFonts w:hint="default"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文成县城市发展集团有限公司</w:t>
      </w:r>
    </w:p>
    <w:p w14:paraId="24A8E718">
      <w:pPr>
        <w:shd w:val="clear" w:color="auto" w:fill="auto"/>
        <w:spacing w:line="360" w:lineRule="auto"/>
        <w:ind w:firstLine="418" w:firstLineChars="190"/>
        <w:jc w:val="right"/>
        <w:rPr>
          <w:rFonts w:hint="default"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浙江信达咨询监理有限公司</w:t>
      </w:r>
    </w:p>
    <w:p w14:paraId="46D4F923">
      <w:pPr>
        <w:shd w:val="clear" w:color="auto" w:fill="auto"/>
        <w:spacing w:line="360" w:lineRule="auto"/>
        <w:ind w:firstLine="418" w:firstLineChars="190"/>
        <w:jc w:val="righ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eastAsia="zh-CN"/>
        </w:rPr>
        <w:t>2025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日</w:t>
      </w:r>
    </w:p>
    <w:p w14:paraId="5720383D">
      <w:pPr>
        <w:pStyle w:val="6"/>
        <w:spacing w:after="50" w:line="360" w:lineRule="auto"/>
        <w:ind w:firstLine="0"/>
        <w:jc w:val="center"/>
        <w:outlineLvl w:val="0"/>
        <w:rPr>
          <w:rFonts w:ascii="Arial" w:hAnsi="Arial" w:cs="Arial"/>
          <w:b/>
          <w:bCs/>
          <w:color w:val="000000"/>
          <w:szCs w:val="28"/>
        </w:rPr>
      </w:pPr>
      <w:r>
        <w:rPr>
          <w:rFonts w:ascii="Arial" w:hAnsi="宋体" w:cs="Arial"/>
          <w:b/>
          <w:bCs/>
          <w:color w:val="000000"/>
          <w:szCs w:val="28"/>
        </w:rPr>
        <w:br w:type="page"/>
      </w:r>
      <w:r>
        <w:rPr>
          <w:rFonts w:ascii="Arial" w:hAnsi="宋体" w:cs="Arial"/>
          <w:b/>
          <w:bCs/>
          <w:color w:val="000000"/>
          <w:szCs w:val="28"/>
        </w:rPr>
        <w:t>第二部分</w:t>
      </w:r>
      <w:r>
        <w:rPr>
          <w:rFonts w:ascii="Arial" w:hAnsi="Arial" w:cs="Arial"/>
          <w:b/>
          <w:bCs/>
          <w:color w:val="000000"/>
          <w:szCs w:val="28"/>
        </w:rPr>
        <w:t xml:space="preserve">  </w:t>
      </w:r>
      <w:r>
        <w:rPr>
          <w:rFonts w:ascii="Arial" w:hAnsi="宋体" w:cs="Arial"/>
          <w:b/>
          <w:bCs/>
          <w:color w:val="000000"/>
          <w:szCs w:val="28"/>
        </w:rPr>
        <w:t>投标须知及前附表</w:t>
      </w:r>
      <w:bookmarkEnd w:id="16"/>
      <w:bookmarkEnd w:id="17"/>
    </w:p>
    <w:p w14:paraId="097DAC0B">
      <w:pPr>
        <w:spacing w:line="360" w:lineRule="auto"/>
        <w:jc w:val="center"/>
        <w:outlineLvl w:val="1"/>
        <w:rPr>
          <w:rFonts w:ascii="Arial" w:hAnsi="Arial" w:cs="Arial"/>
          <w:b/>
          <w:bCs/>
          <w:color w:val="000000"/>
          <w:sz w:val="24"/>
        </w:rPr>
      </w:pPr>
      <w:bookmarkStart w:id="36" w:name="_Toc26694"/>
      <w:r>
        <w:rPr>
          <w:rFonts w:ascii="Arial" w:hAnsi="宋体" w:cs="Arial"/>
          <w:b/>
          <w:bCs/>
          <w:color w:val="000000"/>
          <w:sz w:val="24"/>
        </w:rPr>
        <w:t>（</w:t>
      </w:r>
      <w:r>
        <w:rPr>
          <w:rFonts w:hint="eastAsia" w:ascii="Arial" w:hAnsi="宋体" w:cs="Arial"/>
          <w:b/>
          <w:bCs/>
          <w:color w:val="000000"/>
          <w:sz w:val="24"/>
        </w:rPr>
        <w:t>一</w:t>
      </w:r>
      <w:r>
        <w:rPr>
          <w:rFonts w:ascii="Arial" w:hAnsi="宋体" w:cs="Arial"/>
          <w:b/>
          <w:bCs/>
          <w:color w:val="000000"/>
          <w:sz w:val="24"/>
        </w:rPr>
        <w:t>）投标须知前附表</w:t>
      </w:r>
      <w:bookmarkEnd w:id="36"/>
    </w:p>
    <w:tbl>
      <w:tblPr>
        <w:tblStyle w:val="4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2009"/>
        <w:gridCol w:w="6620"/>
      </w:tblGrid>
      <w:tr w14:paraId="05CFD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14:paraId="1FC9EC17">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项号</w:t>
            </w:r>
          </w:p>
        </w:tc>
        <w:tc>
          <w:tcPr>
            <w:tcW w:w="2009" w:type="dxa"/>
            <w:noWrap w:val="0"/>
            <w:vAlign w:val="center"/>
          </w:tcPr>
          <w:p w14:paraId="6962474C">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内容</w:t>
            </w:r>
          </w:p>
        </w:tc>
        <w:tc>
          <w:tcPr>
            <w:tcW w:w="6620" w:type="dxa"/>
            <w:noWrap w:val="0"/>
            <w:vAlign w:val="center"/>
          </w:tcPr>
          <w:p w14:paraId="2E1DABB8">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说明与要求</w:t>
            </w:r>
          </w:p>
        </w:tc>
      </w:tr>
      <w:tr w14:paraId="0DD1A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9" w:hRule="atLeast"/>
          <w:jc w:val="center"/>
        </w:trPr>
        <w:tc>
          <w:tcPr>
            <w:tcW w:w="645" w:type="dxa"/>
            <w:noWrap w:val="0"/>
            <w:vAlign w:val="center"/>
          </w:tcPr>
          <w:p w14:paraId="0650CFEE">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09" w:type="dxa"/>
            <w:noWrap w:val="0"/>
            <w:vAlign w:val="center"/>
          </w:tcPr>
          <w:p w14:paraId="7298EAFA">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6620" w:type="dxa"/>
            <w:noWrap w:val="0"/>
            <w:vAlign w:val="center"/>
          </w:tcPr>
          <w:p w14:paraId="61F387CA">
            <w:pPr>
              <w:keepNext w:val="0"/>
              <w:keepLines w:val="0"/>
              <w:pageBreakBefore w:val="0"/>
              <w:kinsoku/>
              <w:wordWrap/>
              <w:overflowPunct/>
              <w:topLinePunct w:val="0"/>
              <w:bidi w:val="0"/>
              <w:snapToGrid/>
              <w:spacing w:line="370" w:lineRule="atLeast"/>
              <w:textAlignment w:val="auto"/>
              <w:rPr>
                <w:rFonts w:hint="eastAsia" w:ascii="宋体" w:hAnsi="宋体" w:eastAsia="宋体" w:cs="宋体"/>
                <w:color w:val="000000"/>
                <w:sz w:val="21"/>
                <w:szCs w:val="21"/>
                <w:lang w:eastAsia="zh-CN"/>
              </w:rPr>
            </w:pPr>
            <w:r>
              <w:rPr>
                <w:rFonts w:hint="eastAsia" w:ascii="宋体" w:hAnsi="宋体" w:eastAsia="宋体" w:cs="宋体"/>
                <w:bCs/>
                <w:color w:val="000000"/>
                <w:kern w:val="0"/>
                <w:sz w:val="21"/>
                <w:szCs w:val="21"/>
                <w:lang w:eastAsia="zh-CN"/>
              </w:rPr>
              <w:t>文成县龙船垟城中村改造（二期）项目配套幼儿园装修工程-课桌椅采购及安装项目</w:t>
            </w:r>
          </w:p>
        </w:tc>
      </w:tr>
      <w:tr w14:paraId="2BAF7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9" w:hRule="atLeast"/>
          <w:jc w:val="center"/>
        </w:trPr>
        <w:tc>
          <w:tcPr>
            <w:tcW w:w="645" w:type="dxa"/>
            <w:noWrap w:val="0"/>
            <w:vAlign w:val="center"/>
          </w:tcPr>
          <w:p w14:paraId="728AAAD6">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009" w:type="dxa"/>
            <w:noWrap w:val="0"/>
            <w:vAlign w:val="center"/>
          </w:tcPr>
          <w:p w14:paraId="3F0D6B98">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项目编号</w:t>
            </w:r>
          </w:p>
        </w:tc>
        <w:tc>
          <w:tcPr>
            <w:tcW w:w="6620" w:type="dxa"/>
            <w:noWrap w:val="0"/>
            <w:vAlign w:val="center"/>
          </w:tcPr>
          <w:p w14:paraId="60733EBB">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lang w:eastAsia="zh-CN"/>
              </w:rPr>
              <w:t>WGWC-CTGS-2025006</w:t>
            </w:r>
          </w:p>
        </w:tc>
      </w:tr>
      <w:tr w14:paraId="689B8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9" w:hRule="atLeast"/>
          <w:jc w:val="center"/>
        </w:trPr>
        <w:tc>
          <w:tcPr>
            <w:tcW w:w="645" w:type="dxa"/>
            <w:noWrap w:val="0"/>
            <w:vAlign w:val="center"/>
          </w:tcPr>
          <w:p w14:paraId="323DB24B">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009" w:type="dxa"/>
            <w:noWrap w:val="0"/>
            <w:vAlign w:val="center"/>
          </w:tcPr>
          <w:p w14:paraId="43EC0834">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采购预算</w:t>
            </w:r>
          </w:p>
        </w:tc>
        <w:tc>
          <w:tcPr>
            <w:tcW w:w="6620" w:type="dxa"/>
            <w:noWrap w:val="0"/>
            <w:vAlign w:val="center"/>
          </w:tcPr>
          <w:p w14:paraId="6F46B381">
            <w:pPr>
              <w:keepNext w:val="0"/>
              <w:keepLines w:val="0"/>
              <w:pageBreakBefore w:val="0"/>
              <w:kinsoku/>
              <w:wordWrap/>
              <w:overflowPunct/>
              <w:topLinePunct w:val="0"/>
              <w:bidi w:val="0"/>
              <w:snapToGrid/>
              <w:spacing w:line="370" w:lineRule="atLeast"/>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人民币</w:t>
            </w:r>
            <w:r>
              <w:rPr>
                <w:rFonts w:hint="eastAsia" w:ascii="宋体" w:hAnsi="宋体" w:cs="宋体"/>
                <w:color w:val="000000"/>
                <w:sz w:val="21"/>
                <w:szCs w:val="21"/>
                <w:lang w:val="en-US" w:eastAsia="zh-CN"/>
              </w:rPr>
              <w:t>3378982</w:t>
            </w:r>
            <w:r>
              <w:rPr>
                <w:rFonts w:hint="eastAsia" w:ascii="宋体" w:hAnsi="宋体" w:eastAsia="宋体" w:cs="宋体"/>
                <w:color w:val="000000"/>
                <w:sz w:val="21"/>
                <w:szCs w:val="21"/>
              </w:rPr>
              <w:t>元整</w:t>
            </w:r>
          </w:p>
        </w:tc>
      </w:tr>
      <w:tr w14:paraId="10B07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41DE2C16">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009" w:type="dxa"/>
            <w:noWrap w:val="0"/>
            <w:vAlign w:val="center"/>
          </w:tcPr>
          <w:p w14:paraId="0473B13F">
            <w:pPr>
              <w:keepNext w:val="0"/>
              <w:keepLines w:val="0"/>
              <w:pageBreakBefore w:val="0"/>
              <w:kinsoku/>
              <w:wordWrap/>
              <w:overflowPunct/>
              <w:topLinePunct w:val="0"/>
              <w:bidi w:val="0"/>
              <w:adjustRightInd w:val="0"/>
              <w:snapToGrid/>
              <w:spacing w:line="370" w:lineRule="atLeas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采购人</w:t>
            </w:r>
          </w:p>
        </w:tc>
        <w:tc>
          <w:tcPr>
            <w:tcW w:w="6620" w:type="dxa"/>
            <w:noWrap w:val="0"/>
            <w:vAlign w:val="center"/>
          </w:tcPr>
          <w:p w14:paraId="1F631754">
            <w:pPr>
              <w:spacing w:line="300" w:lineRule="exact"/>
              <w:rPr>
                <w:rFonts w:hint="eastAsia" w:ascii="宋体" w:hAnsi="宋体" w:eastAsia="宋体" w:cs="宋体"/>
                <w:color w:val="000000"/>
                <w:sz w:val="21"/>
                <w:szCs w:val="21"/>
              </w:rPr>
            </w:pPr>
            <w:r>
              <w:rPr>
                <w:rFonts w:hint="eastAsia" w:ascii="宋体" w:cs="宋体"/>
                <w:color w:val="auto"/>
                <w:kern w:val="0"/>
                <w:sz w:val="22"/>
                <w:szCs w:val="22"/>
                <w:highlight w:val="none"/>
              </w:rPr>
              <w:t>见采购公告</w:t>
            </w:r>
          </w:p>
        </w:tc>
      </w:tr>
      <w:tr w14:paraId="7CACD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1" w:hRule="atLeast"/>
          <w:jc w:val="center"/>
        </w:trPr>
        <w:tc>
          <w:tcPr>
            <w:tcW w:w="645" w:type="dxa"/>
            <w:noWrap w:val="0"/>
            <w:vAlign w:val="center"/>
          </w:tcPr>
          <w:p w14:paraId="31244F9C">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009" w:type="dxa"/>
            <w:noWrap w:val="0"/>
            <w:vAlign w:val="center"/>
          </w:tcPr>
          <w:p w14:paraId="133BFA70">
            <w:pPr>
              <w:keepNext w:val="0"/>
              <w:keepLines w:val="0"/>
              <w:pageBreakBefore w:val="0"/>
              <w:kinsoku/>
              <w:wordWrap/>
              <w:overflowPunct/>
              <w:topLinePunct w:val="0"/>
              <w:bidi w:val="0"/>
              <w:adjustRightInd w:val="0"/>
              <w:snapToGrid/>
              <w:spacing w:line="370" w:lineRule="atLeas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采购代理机构</w:t>
            </w:r>
          </w:p>
        </w:tc>
        <w:tc>
          <w:tcPr>
            <w:tcW w:w="6620" w:type="dxa"/>
            <w:noWrap w:val="0"/>
            <w:vAlign w:val="center"/>
          </w:tcPr>
          <w:p w14:paraId="55BAD9CF">
            <w:pPr>
              <w:spacing w:line="300" w:lineRule="exact"/>
              <w:rPr>
                <w:rFonts w:hint="eastAsia" w:ascii="宋体" w:hAnsi="宋体" w:eastAsia="宋体" w:cs="宋体"/>
                <w:bCs/>
                <w:color w:val="000000"/>
                <w:kern w:val="0"/>
                <w:sz w:val="21"/>
                <w:szCs w:val="21"/>
                <w:lang w:eastAsia="zh-CN"/>
              </w:rPr>
            </w:pPr>
            <w:r>
              <w:rPr>
                <w:rFonts w:hint="eastAsia" w:ascii="宋体" w:cs="宋体"/>
                <w:color w:val="auto"/>
                <w:kern w:val="0"/>
                <w:sz w:val="22"/>
                <w:szCs w:val="22"/>
                <w:highlight w:val="none"/>
              </w:rPr>
              <w:t>见采购公告</w:t>
            </w:r>
          </w:p>
        </w:tc>
      </w:tr>
      <w:tr w14:paraId="3F8FD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645" w:type="dxa"/>
            <w:noWrap w:val="0"/>
            <w:vAlign w:val="center"/>
          </w:tcPr>
          <w:p w14:paraId="1C3FD113">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009" w:type="dxa"/>
            <w:noWrap w:val="0"/>
            <w:vAlign w:val="center"/>
          </w:tcPr>
          <w:p w14:paraId="6CF54EE9">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招标内容</w:t>
            </w:r>
          </w:p>
        </w:tc>
        <w:tc>
          <w:tcPr>
            <w:tcW w:w="6620" w:type="dxa"/>
            <w:noWrap w:val="0"/>
            <w:vAlign w:val="center"/>
          </w:tcPr>
          <w:p w14:paraId="2C9F38F4">
            <w:pPr>
              <w:keepNext w:val="0"/>
              <w:keepLines w:val="0"/>
              <w:pageBreakBefore w:val="0"/>
              <w:kinsoku/>
              <w:wordWrap/>
              <w:overflowPunct/>
              <w:topLinePunct w:val="0"/>
              <w:bidi w:val="0"/>
              <w:snapToGrid/>
              <w:spacing w:line="370" w:lineRule="atLeast"/>
              <w:jc w:val="left"/>
              <w:textAlignment w:val="auto"/>
              <w:rPr>
                <w:rFonts w:hint="eastAsia" w:ascii="宋体" w:hAnsi="宋体" w:eastAsia="宋体" w:cs="宋体"/>
                <w:color w:val="000000"/>
                <w:spacing w:val="-2"/>
                <w:sz w:val="21"/>
                <w:szCs w:val="21"/>
              </w:rPr>
            </w:pPr>
            <w:r>
              <w:rPr>
                <w:rFonts w:hint="eastAsia" w:ascii="宋体" w:hAnsi="宋体" w:cs="宋体"/>
                <w:color w:val="auto"/>
                <w:kern w:val="0"/>
                <w:sz w:val="22"/>
                <w:szCs w:val="22"/>
                <w:highlight w:val="none"/>
                <w:lang w:eastAsia="zh-CN"/>
              </w:rPr>
              <w:t>具体招标内容及要求见招标文件相关部分</w:t>
            </w:r>
            <w:r>
              <w:rPr>
                <w:rFonts w:hint="eastAsia" w:ascii="宋体" w:eastAsia="宋体"/>
                <w:b w:val="0"/>
                <w:bCs w:val="0"/>
                <w:sz w:val="22"/>
                <w:szCs w:val="22"/>
              </w:rPr>
              <w:t>。</w:t>
            </w:r>
          </w:p>
        </w:tc>
      </w:tr>
      <w:tr w14:paraId="3D704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45" w:type="dxa"/>
            <w:noWrap w:val="0"/>
            <w:vAlign w:val="center"/>
          </w:tcPr>
          <w:p w14:paraId="52017AC8">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009" w:type="dxa"/>
            <w:noWrap w:val="0"/>
            <w:vAlign w:val="center"/>
          </w:tcPr>
          <w:p w14:paraId="19EEB61D">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投标供应商</w:t>
            </w:r>
          </w:p>
          <w:p w14:paraId="699D4D84">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资格要求</w:t>
            </w:r>
          </w:p>
        </w:tc>
        <w:tc>
          <w:tcPr>
            <w:tcW w:w="6620" w:type="dxa"/>
            <w:noWrap w:val="0"/>
            <w:vAlign w:val="center"/>
          </w:tcPr>
          <w:p w14:paraId="48138EFC">
            <w:pPr>
              <w:pStyle w:val="248"/>
              <w:widowControl w:val="0"/>
              <w:numPr>
                <w:ilvl w:val="0"/>
                <w:numId w:val="0"/>
              </w:numPr>
              <w:tabs>
                <w:tab w:val="left" w:pos="426"/>
              </w:tabs>
              <w:spacing w:line="400" w:lineRule="exact"/>
              <w:ind w:left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1.符合《温州市市属国有企业采购管理办法》第十五条对供应商参加温州市国有企业采购活动应当具备的条件的要求。</w:t>
            </w:r>
          </w:p>
          <w:p w14:paraId="693D886D">
            <w:pPr>
              <w:pStyle w:val="248"/>
              <w:widowControl w:val="0"/>
              <w:numPr>
                <w:ilvl w:val="0"/>
                <w:numId w:val="0"/>
              </w:numPr>
              <w:tabs>
                <w:tab w:val="left" w:pos="426"/>
              </w:tabs>
              <w:spacing w:line="400" w:lineRule="exact"/>
              <w:ind w:left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（1）具有独立承担民事责任的能力；</w:t>
            </w:r>
          </w:p>
          <w:p w14:paraId="37763C4A">
            <w:pPr>
              <w:pStyle w:val="248"/>
              <w:widowControl w:val="0"/>
              <w:numPr>
                <w:ilvl w:val="0"/>
                <w:numId w:val="0"/>
              </w:numPr>
              <w:tabs>
                <w:tab w:val="left" w:pos="426"/>
              </w:tabs>
              <w:spacing w:line="400" w:lineRule="exact"/>
              <w:ind w:left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（2）具有良好的商业信誉和健全的财务会计制度；</w:t>
            </w:r>
          </w:p>
          <w:p w14:paraId="396B69B0">
            <w:pPr>
              <w:pStyle w:val="248"/>
              <w:widowControl w:val="0"/>
              <w:numPr>
                <w:ilvl w:val="0"/>
                <w:numId w:val="0"/>
              </w:numPr>
              <w:tabs>
                <w:tab w:val="left" w:pos="426"/>
              </w:tabs>
              <w:spacing w:line="400" w:lineRule="exact"/>
              <w:ind w:left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（3）具有履行合同所必需的设备和专业技术、售后保障等能力；</w:t>
            </w:r>
          </w:p>
          <w:p w14:paraId="3B4EEF06">
            <w:pPr>
              <w:pStyle w:val="248"/>
              <w:widowControl w:val="0"/>
              <w:numPr>
                <w:ilvl w:val="0"/>
                <w:numId w:val="0"/>
              </w:numPr>
              <w:tabs>
                <w:tab w:val="left" w:pos="426"/>
              </w:tabs>
              <w:spacing w:line="400" w:lineRule="exact"/>
              <w:ind w:left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（4）有依法缴纳税收和社会保障资金的良好记录；</w:t>
            </w:r>
          </w:p>
          <w:p w14:paraId="73D5B817">
            <w:pPr>
              <w:pStyle w:val="248"/>
              <w:widowControl w:val="0"/>
              <w:numPr>
                <w:ilvl w:val="0"/>
                <w:numId w:val="0"/>
              </w:numPr>
              <w:tabs>
                <w:tab w:val="left" w:pos="426"/>
              </w:tabs>
              <w:spacing w:line="400" w:lineRule="exact"/>
              <w:ind w:left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（5）参加采购、招投标等活动前三年内，在经营活动中没有重大违法记录、严重失信行为和行贿记录；</w:t>
            </w:r>
          </w:p>
          <w:p w14:paraId="4E2CF31A">
            <w:pPr>
              <w:pStyle w:val="248"/>
              <w:widowControl w:val="0"/>
              <w:numPr>
                <w:ilvl w:val="0"/>
                <w:numId w:val="0"/>
              </w:numPr>
              <w:tabs>
                <w:tab w:val="left" w:pos="426"/>
              </w:tabs>
              <w:spacing w:line="400" w:lineRule="exact"/>
              <w:ind w:left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（6）法律、行政法规规定的其他条件。</w:t>
            </w:r>
          </w:p>
          <w:p w14:paraId="06A73E40">
            <w:pPr>
              <w:pStyle w:val="248"/>
              <w:widowControl w:val="0"/>
              <w:numPr>
                <w:ilvl w:val="0"/>
                <w:numId w:val="0"/>
              </w:numPr>
              <w:tabs>
                <w:tab w:val="left" w:pos="426"/>
              </w:tabs>
              <w:spacing w:line="400" w:lineRule="exact"/>
              <w:ind w:left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2.投标供应商未被“信用中国”（www.creditchina.gov.cn）、中国政府采购网（www.ccgp.gov.cn）列入失信被执行人、重大税收违法案件当事人名单、采购严重违法失信行为记录名单。</w:t>
            </w:r>
          </w:p>
        </w:tc>
      </w:tr>
      <w:tr w14:paraId="0B758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7" w:hRule="atLeast"/>
          <w:jc w:val="center"/>
        </w:trPr>
        <w:tc>
          <w:tcPr>
            <w:tcW w:w="645" w:type="dxa"/>
            <w:noWrap w:val="0"/>
            <w:vAlign w:val="center"/>
          </w:tcPr>
          <w:p w14:paraId="42DBC6BF">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009" w:type="dxa"/>
            <w:noWrap w:val="0"/>
            <w:vAlign w:val="center"/>
          </w:tcPr>
          <w:p w14:paraId="3087C478">
            <w:pPr>
              <w:keepNext w:val="0"/>
              <w:keepLines w:val="0"/>
              <w:pageBreakBefore w:val="0"/>
              <w:kinsoku/>
              <w:wordWrap/>
              <w:overflowPunct/>
              <w:topLinePunct w:val="0"/>
              <w:bidi w:val="0"/>
              <w:adjustRightInd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是否接受联合体投标</w:t>
            </w:r>
          </w:p>
        </w:tc>
        <w:tc>
          <w:tcPr>
            <w:tcW w:w="6620" w:type="dxa"/>
            <w:noWrap w:val="0"/>
            <w:vAlign w:val="center"/>
          </w:tcPr>
          <w:p w14:paraId="5FAC9138">
            <w:pPr>
              <w:keepNext w:val="0"/>
              <w:keepLines w:val="0"/>
              <w:pageBreakBefore w:val="0"/>
              <w:kinsoku/>
              <w:wordWrap/>
              <w:overflowPunct/>
              <w:topLinePunct w:val="0"/>
              <w:bidi w:val="0"/>
              <w:adjustRightInd w:val="0"/>
              <w:snapToGrid/>
              <w:spacing w:line="370" w:lineRule="atLeas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rPr>
              <w:t>不接受</w:t>
            </w:r>
          </w:p>
        </w:tc>
      </w:tr>
      <w:tr w14:paraId="16CB7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7A45E5F7">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9</w:t>
            </w:r>
          </w:p>
        </w:tc>
        <w:tc>
          <w:tcPr>
            <w:tcW w:w="2009" w:type="dxa"/>
            <w:noWrap w:val="0"/>
            <w:vAlign w:val="center"/>
          </w:tcPr>
          <w:p w14:paraId="0C34AC74">
            <w:pPr>
              <w:keepNext w:val="0"/>
              <w:keepLines w:val="0"/>
              <w:pageBreakBefore w:val="0"/>
              <w:kinsoku/>
              <w:wordWrap/>
              <w:overflowPunct/>
              <w:topLinePunct w:val="0"/>
              <w:bidi w:val="0"/>
              <w:adjustRightInd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是否分包</w:t>
            </w:r>
          </w:p>
        </w:tc>
        <w:tc>
          <w:tcPr>
            <w:tcW w:w="6620" w:type="dxa"/>
            <w:noWrap w:val="0"/>
            <w:vAlign w:val="center"/>
          </w:tcPr>
          <w:p w14:paraId="312F1291">
            <w:pPr>
              <w:keepNext w:val="0"/>
              <w:keepLines w:val="0"/>
              <w:pageBreakBefore w:val="0"/>
              <w:widowControl/>
              <w:kinsoku/>
              <w:wordWrap/>
              <w:overflowPunct/>
              <w:topLinePunct w:val="0"/>
              <w:autoSpaceDE/>
              <w:autoSpaceDN/>
              <w:bidi w:val="0"/>
              <w:adjustRightInd/>
              <w:snapToGrid/>
              <w:spacing w:line="370" w:lineRule="atLeast"/>
              <w:ind w:firstLine="0" w:firstLineChars="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 xml:space="preserve"> </w:t>
            </w:r>
            <w:r>
              <w:rPr>
                <w:rFonts w:hint="eastAsia" w:ascii="宋体" w:hAnsi="宋体" w:eastAsia="宋体" w:cs="宋体"/>
                <w:color w:val="000000"/>
                <w:sz w:val="21"/>
                <w:szCs w:val="21"/>
              </w:rPr>
              <w:t>不接受</w:t>
            </w:r>
          </w:p>
        </w:tc>
      </w:tr>
      <w:tr w14:paraId="44CB9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34BD7E7B">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009" w:type="dxa"/>
            <w:noWrap w:val="0"/>
            <w:vAlign w:val="center"/>
          </w:tcPr>
          <w:p w14:paraId="78611E39">
            <w:pPr>
              <w:keepNext w:val="0"/>
              <w:keepLines w:val="0"/>
              <w:pageBreakBefore w:val="0"/>
              <w:kinsoku/>
              <w:wordWrap/>
              <w:overflowPunct/>
              <w:topLinePunct w:val="0"/>
              <w:bidi w:val="0"/>
              <w:adjustRightInd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踏勘现场</w:t>
            </w:r>
          </w:p>
        </w:tc>
        <w:tc>
          <w:tcPr>
            <w:tcW w:w="6620" w:type="dxa"/>
            <w:noWrap w:val="0"/>
            <w:vAlign w:val="center"/>
          </w:tcPr>
          <w:p w14:paraId="1F4081FF">
            <w:pPr>
              <w:keepNext w:val="0"/>
              <w:keepLines w:val="0"/>
              <w:pageBreakBefore w:val="0"/>
              <w:kinsoku/>
              <w:wordWrap/>
              <w:overflowPunct/>
              <w:topLinePunct w:val="0"/>
              <w:bidi w:val="0"/>
              <w:adjustRightInd w:val="0"/>
              <w:snapToGrid/>
              <w:spacing w:line="370" w:lineRule="atLeas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 xml:space="preserve"> 自行组织</w:t>
            </w:r>
          </w:p>
        </w:tc>
      </w:tr>
      <w:tr w14:paraId="10FC8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63897B4D">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2009" w:type="dxa"/>
            <w:noWrap w:val="0"/>
            <w:vAlign w:val="center"/>
          </w:tcPr>
          <w:p w14:paraId="7713FD2B">
            <w:pPr>
              <w:keepNext w:val="0"/>
              <w:keepLines w:val="0"/>
              <w:pageBreakBefore w:val="0"/>
              <w:kinsoku/>
              <w:wordWrap/>
              <w:overflowPunct/>
              <w:topLinePunct w:val="0"/>
              <w:bidi w:val="0"/>
              <w:adjustRightInd w:val="0"/>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是否允许递交备选投标方案</w:t>
            </w:r>
          </w:p>
        </w:tc>
        <w:tc>
          <w:tcPr>
            <w:tcW w:w="6620" w:type="dxa"/>
            <w:noWrap w:val="0"/>
            <w:vAlign w:val="center"/>
          </w:tcPr>
          <w:p w14:paraId="41C04D8E">
            <w:pPr>
              <w:keepNext w:val="0"/>
              <w:keepLines w:val="0"/>
              <w:pageBreakBefore w:val="0"/>
              <w:kinsoku/>
              <w:wordWrap/>
              <w:overflowPunct/>
              <w:topLinePunct w:val="0"/>
              <w:bidi w:val="0"/>
              <w:adjustRightInd w:val="0"/>
              <w:snapToGrid/>
              <w:spacing w:line="370" w:lineRule="atLeas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 xml:space="preserve"> 不允许</w:t>
            </w:r>
          </w:p>
        </w:tc>
      </w:tr>
      <w:tr w14:paraId="4B4AD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1" w:hRule="atLeast"/>
          <w:jc w:val="center"/>
        </w:trPr>
        <w:tc>
          <w:tcPr>
            <w:tcW w:w="645" w:type="dxa"/>
            <w:noWrap w:val="0"/>
            <w:vAlign w:val="center"/>
          </w:tcPr>
          <w:p w14:paraId="49E5ABA1">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12</w:t>
            </w:r>
          </w:p>
        </w:tc>
        <w:tc>
          <w:tcPr>
            <w:tcW w:w="2009" w:type="dxa"/>
            <w:noWrap w:val="0"/>
            <w:vAlign w:val="center"/>
          </w:tcPr>
          <w:p w14:paraId="7F2E0CB0">
            <w:pPr>
              <w:keepNext w:val="0"/>
              <w:keepLines w:val="0"/>
              <w:pageBreakBefore w:val="0"/>
              <w:kinsoku/>
              <w:wordWrap/>
              <w:overflowPunct/>
              <w:topLinePunct w:val="0"/>
              <w:bidi w:val="0"/>
              <w:adjustRightInd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投标货币</w:t>
            </w:r>
          </w:p>
        </w:tc>
        <w:tc>
          <w:tcPr>
            <w:tcW w:w="6620" w:type="dxa"/>
            <w:noWrap w:val="0"/>
            <w:vAlign w:val="center"/>
          </w:tcPr>
          <w:p w14:paraId="19D4D8F9">
            <w:pPr>
              <w:keepNext w:val="0"/>
              <w:keepLines w:val="0"/>
              <w:pageBreakBefore w:val="0"/>
              <w:kinsoku/>
              <w:wordWrap/>
              <w:overflowPunct/>
              <w:topLinePunct w:val="0"/>
              <w:bidi w:val="0"/>
              <w:adjustRightInd w:val="0"/>
              <w:snapToGrid/>
              <w:spacing w:line="370" w:lineRule="atLeas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人民币</w:t>
            </w:r>
          </w:p>
        </w:tc>
      </w:tr>
      <w:tr w14:paraId="675B6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36ABD101">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w:t>
            </w:r>
          </w:p>
        </w:tc>
        <w:tc>
          <w:tcPr>
            <w:tcW w:w="2009" w:type="dxa"/>
            <w:noWrap w:val="0"/>
            <w:vAlign w:val="center"/>
          </w:tcPr>
          <w:p w14:paraId="5BB53120">
            <w:pPr>
              <w:keepNext w:val="0"/>
              <w:keepLines w:val="0"/>
              <w:pageBreakBefore w:val="0"/>
              <w:kinsoku/>
              <w:wordWrap/>
              <w:overflowPunct/>
              <w:topLinePunct w:val="0"/>
              <w:bidi w:val="0"/>
              <w:adjustRightInd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投标语言</w:t>
            </w:r>
          </w:p>
        </w:tc>
        <w:tc>
          <w:tcPr>
            <w:tcW w:w="6620" w:type="dxa"/>
            <w:noWrap w:val="0"/>
            <w:vAlign w:val="center"/>
          </w:tcPr>
          <w:p w14:paraId="0DB62B71">
            <w:pPr>
              <w:keepNext w:val="0"/>
              <w:keepLines w:val="0"/>
              <w:pageBreakBefore w:val="0"/>
              <w:kinsoku/>
              <w:wordWrap/>
              <w:overflowPunct/>
              <w:topLinePunct w:val="0"/>
              <w:bidi w:val="0"/>
              <w:adjustRightInd w:val="0"/>
              <w:snapToGrid/>
              <w:spacing w:line="370" w:lineRule="atLeas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中文</w:t>
            </w:r>
          </w:p>
        </w:tc>
      </w:tr>
      <w:tr w14:paraId="1D50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noWrap w:val="0"/>
            <w:vAlign w:val="center"/>
          </w:tcPr>
          <w:p w14:paraId="1ABB8645">
            <w:pPr>
              <w:keepNext w:val="0"/>
              <w:keepLines w:val="0"/>
              <w:pageBreakBefore w:val="0"/>
              <w:widowControl/>
              <w:kinsoku/>
              <w:wordWrap/>
              <w:overflowPunct/>
              <w:topLinePunct w:val="0"/>
              <w:autoSpaceDE/>
              <w:autoSpaceDN/>
              <w:bidi w:val="0"/>
              <w:adjustRightInd/>
              <w:snapToGrid/>
              <w:spacing w:line="370" w:lineRule="atLeas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14</w:t>
            </w:r>
          </w:p>
        </w:tc>
        <w:tc>
          <w:tcPr>
            <w:tcW w:w="2009" w:type="dxa"/>
            <w:noWrap w:val="0"/>
            <w:vAlign w:val="center"/>
          </w:tcPr>
          <w:p w14:paraId="71357977">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投标文件份数</w:t>
            </w:r>
          </w:p>
        </w:tc>
        <w:tc>
          <w:tcPr>
            <w:tcW w:w="6620" w:type="dxa"/>
            <w:noWrap w:val="0"/>
            <w:vAlign w:val="center"/>
          </w:tcPr>
          <w:p w14:paraId="18E951CC">
            <w:pPr>
              <w:keepNext w:val="0"/>
              <w:keepLines w:val="0"/>
              <w:pageBreakBefore w:val="0"/>
              <w:kinsoku/>
              <w:wordWrap/>
              <w:overflowPunct/>
              <w:topLinePunct w:val="0"/>
              <w:bidi w:val="0"/>
              <w:snapToGrid/>
              <w:spacing w:line="370" w:lineRule="atLeast"/>
              <w:textAlignment w:val="auto"/>
              <w:rPr>
                <w:rFonts w:hint="eastAsia" w:ascii="宋体" w:eastAsia="宋体"/>
                <w:b w:val="0"/>
                <w:bCs w:val="0"/>
                <w:sz w:val="22"/>
                <w:szCs w:val="22"/>
              </w:rPr>
            </w:pPr>
            <w:r>
              <w:rPr>
                <w:rFonts w:hint="eastAsia" w:ascii="宋体" w:eastAsia="宋体"/>
                <w:b w:val="0"/>
                <w:bCs w:val="0"/>
                <w:sz w:val="22"/>
                <w:szCs w:val="22"/>
              </w:rPr>
              <w:t>“电子加密磋商响应文件”：在线上传递交，一份。</w:t>
            </w:r>
          </w:p>
          <w:p w14:paraId="2707E89A">
            <w:pPr>
              <w:keepNext w:val="0"/>
              <w:keepLines w:val="0"/>
              <w:pageBreakBefore w:val="0"/>
              <w:kinsoku/>
              <w:wordWrap/>
              <w:overflowPunct/>
              <w:topLinePunct w:val="0"/>
              <w:bidi w:val="0"/>
              <w:snapToGrid/>
              <w:spacing w:line="370" w:lineRule="atLeast"/>
              <w:textAlignment w:val="auto"/>
              <w:rPr>
                <w:rFonts w:hint="eastAsia" w:ascii="宋体" w:hAnsi="宋体" w:eastAsia="宋体" w:cs="宋体"/>
                <w:color w:val="000000"/>
                <w:spacing w:val="-2"/>
                <w:sz w:val="21"/>
                <w:szCs w:val="21"/>
              </w:rPr>
            </w:pPr>
            <w:r>
              <w:rPr>
                <w:rFonts w:hint="eastAsia" w:ascii="宋体" w:hAnsi="宋体" w:eastAsia="宋体" w:cs="宋体"/>
                <w:b/>
                <w:bCs/>
                <w:color w:val="000000"/>
                <w:spacing w:val="-2"/>
                <w:sz w:val="21"/>
                <w:szCs w:val="21"/>
              </w:rPr>
              <w:t>中标供应商在领取中标通知书时提供全套纸</w:t>
            </w:r>
            <w:r>
              <w:rPr>
                <w:rFonts w:hint="eastAsia" w:ascii="宋体" w:hAnsi="宋体" w:eastAsia="宋体" w:cs="宋体"/>
                <w:b/>
                <w:bCs/>
                <w:color w:val="000000"/>
                <w:spacing w:val="-2"/>
                <w:sz w:val="21"/>
                <w:szCs w:val="21"/>
                <w:highlight w:val="none"/>
              </w:rPr>
              <w:t>质投标文件一正四副</w:t>
            </w:r>
            <w:r>
              <w:rPr>
                <w:rFonts w:hint="eastAsia" w:ascii="宋体" w:hAnsi="宋体" w:eastAsia="宋体" w:cs="宋体"/>
                <w:b/>
                <w:bCs/>
                <w:color w:val="000000"/>
                <w:spacing w:val="-2"/>
                <w:sz w:val="21"/>
                <w:szCs w:val="21"/>
                <w:highlight w:val="none"/>
                <w:lang w:eastAsia="zh-CN"/>
              </w:rPr>
              <w:t>，</w:t>
            </w:r>
            <w:r>
              <w:rPr>
                <w:rFonts w:hint="eastAsia" w:ascii="宋体" w:hAnsi="宋体" w:eastAsia="宋体" w:cs="宋体"/>
                <w:b/>
                <w:bCs/>
                <w:color w:val="000000"/>
                <w:spacing w:val="-2"/>
                <w:sz w:val="21"/>
                <w:szCs w:val="21"/>
                <w:highlight w:val="none"/>
                <w:lang w:val="en-US" w:eastAsia="zh-CN"/>
              </w:rPr>
              <w:t>电子版（u盘）三份</w:t>
            </w:r>
            <w:r>
              <w:rPr>
                <w:rFonts w:hint="eastAsia" w:ascii="宋体" w:hAnsi="宋体" w:eastAsia="宋体" w:cs="宋体"/>
                <w:b/>
                <w:bCs/>
                <w:color w:val="000000"/>
                <w:spacing w:val="-2"/>
                <w:sz w:val="21"/>
                <w:szCs w:val="21"/>
                <w:highlight w:val="none"/>
              </w:rPr>
              <w:t>。</w:t>
            </w:r>
          </w:p>
        </w:tc>
      </w:tr>
      <w:tr w14:paraId="70CEB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0" w:hRule="atLeast"/>
          <w:jc w:val="center"/>
        </w:trPr>
        <w:tc>
          <w:tcPr>
            <w:tcW w:w="645" w:type="dxa"/>
            <w:noWrap w:val="0"/>
            <w:vAlign w:val="center"/>
          </w:tcPr>
          <w:p w14:paraId="3E0F6E05">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15</w:t>
            </w:r>
          </w:p>
        </w:tc>
        <w:tc>
          <w:tcPr>
            <w:tcW w:w="2009" w:type="dxa"/>
            <w:noWrap w:val="0"/>
            <w:vAlign w:val="center"/>
          </w:tcPr>
          <w:p w14:paraId="2C5D5446">
            <w:pPr>
              <w:keepNext w:val="0"/>
              <w:keepLines w:val="0"/>
              <w:pageBreakBefore w:val="0"/>
              <w:widowControl/>
              <w:kinsoku/>
              <w:wordWrap/>
              <w:overflowPunct/>
              <w:topLinePunct w:val="0"/>
              <w:autoSpaceDE/>
              <w:autoSpaceDN/>
              <w:bidi w:val="0"/>
              <w:adjustRightInd/>
              <w:snapToGrid/>
              <w:spacing w:line="370" w:lineRule="atLeast"/>
              <w:ind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color w:val="000000"/>
                <w:sz w:val="21"/>
                <w:szCs w:val="21"/>
                <w:highlight w:val="none"/>
                <w:lang w:val="en-US" w:eastAsia="zh-CN"/>
              </w:rPr>
              <w:t>采购代理机构</w:t>
            </w:r>
            <w:r>
              <w:rPr>
                <w:rFonts w:hint="eastAsia" w:ascii="宋体" w:hAnsi="宋体" w:eastAsia="宋体" w:cs="宋体"/>
                <w:b/>
                <w:color w:val="000000"/>
                <w:sz w:val="21"/>
                <w:szCs w:val="21"/>
                <w:highlight w:val="none"/>
              </w:rPr>
              <w:t>指定邮箱</w:t>
            </w:r>
          </w:p>
        </w:tc>
        <w:tc>
          <w:tcPr>
            <w:tcW w:w="6620" w:type="dxa"/>
            <w:noWrap w:val="0"/>
            <w:vAlign w:val="center"/>
          </w:tcPr>
          <w:p w14:paraId="16848AC3">
            <w:pPr>
              <w:keepNext w:val="0"/>
              <w:keepLines w:val="0"/>
              <w:pageBreakBefore w:val="0"/>
              <w:widowControl/>
              <w:kinsoku/>
              <w:wordWrap/>
              <w:overflowPunct/>
              <w:topLinePunct w:val="0"/>
              <w:autoSpaceDE/>
              <w:autoSpaceDN/>
              <w:bidi w:val="0"/>
              <w:adjustRightInd/>
              <w:snapToGrid/>
              <w:spacing w:line="370" w:lineRule="atLeast"/>
              <w:ind w:firstLine="0"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75808147@qq.com，本采购文件凡涉及采购代理机构指定邮箱的，均指该邮箱。</w:t>
            </w:r>
          </w:p>
        </w:tc>
      </w:tr>
      <w:tr w14:paraId="4E157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0" w:hRule="atLeast"/>
          <w:jc w:val="center"/>
        </w:trPr>
        <w:tc>
          <w:tcPr>
            <w:tcW w:w="645" w:type="dxa"/>
            <w:noWrap w:val="0"/>
            <w:vAlign w:val="center"/>
          </w:tcPr>
          <w:p w14:paraId="5291F933">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16</w:t>
            </w:r>
          </w:p>
        </w:tc>
        <w:tc>
          <w:tcPr>
            <w:tcW w:w="2009" w:type="dxa"/>
            <w:noWrap w:val="0"/>
            <w:vAlign w:val="center"/>
          </w:tcPr>
          <w:p w14:paraId="31D4A170">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投标有效期</w:t>
            </w:r>
          </w:p>
        </w:tc>
        <w:tc>
          <w:tcPr>
            <w:tcW w:w="6620" w:type="dxa"/>
            <w:noWrap w:val="0"/>
            <w:vAlign w:val="center"/>
          </w:tcPr>
          <w:p w14:paraId="7705C2C5">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90日历天</w:t>
            </w:r>
          </w:p>
        </w:tc>
      </w:tr>
      <w:tr w14:paraId="131A6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16" w:hRule="atLeast"/>
          <w:jc w:val="center"/>
        </w:trPr>
        <w:tc>
          <w:tcPr>
            <w:tcW w:w="645" w:type="dxa"/>
            <w:noWrap w:val="0"/>
            <w:vAlign w:val="center"/>
          </w:tcPr>
          <w:p w14:paraId="1DEF71C1">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17</w:t>
            </w:r>
          </w:p>
        </w:tc>
        <w:tc>
          <w:tcPr>
            <w:tcW w:w="2009" w:type="dxa"/>
            <w:noWrap w:val="0"/>
            <w:vAlign w:val="center"/>
          </w:tcPr>
          <w:p w14:paraId="6E6BFA90">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签字或盖章要求</w:t>
            </w:r>
          </w:p>
        </w:tc>
        <w:tc>
          <w:tcPr>
            <w:tcW w:w="6620" w:type="dxa"/>
            <w:noWrap w:val="0"/>
            <w:vAlign w:val="center"/>
          </w:tcPr>
          <w:p w14:paraId="16CE7DE9">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电子投标文件中所须加盖公章的地方可采用CA电子签章或供应商公章，所涉及法定代表人（或其授权代表）的签字（或盖章）的地方均由法定代表人（或其授权代表）本人签字（或盖章）。</w:t>
            </w:r>
          </w:p>
        </w:tc>
      </w:tr>
      <w:tr w14:paraId="750A7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645" w:type="dxa"/>
            <w:noWrap w:val="0"/>
            <w:vAlign w:val="center"/>
          </w:tcPr>
          <w:p w14:paraId="3050C006">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18</w:t>
            </w:r>
          </w:p>
        </w:tc>
        <w:tc>
          <w:tcPr>
            <w:tcW w:w="2009" w:type="dxa"/>
            <w:noWrap w:val="0"/>
            <w:vAlign w:val="center"/>
          </w:tcPr>
          <w:p w14:paraId="44F93FDC">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投标样品</w:t>
            </w:r>
          </w:p>
        </w:tc>
        <w:tc>
          <w:tcPr>
            <w:tcW w:w="6620" w:type="dxa"/>
            <w:noWrap w:val="0"/>
            <w:vAlign w:val="center"/>
          </w:tcPr>
          <w:p w14:paraId="6700039F">
            <w:pPr>
              <w:keepNext w:val="0"/>
              <w:keepLines w:val="0"/>
              <w:pageBreakBefore w:val="0"/>
              <w:kinsoku/>
              <w:wordWrap/>
              <w:overflowPunct/>
              <w:topLinePunct w:val="0"/>
              <w:bidi w:val="0"/>
              <w:snapToGrid/>
              <w:spacing w:line="370" w:lineRule="atLeast"/>
              <w:textAlignment w:val="auto"/>
              <w:rPr>
                <w:rFonts w:hint="eastAsia" w:ascii="宋体" w:hAnsi="宋体" w:eastAsia="宋体" w:cs="宋体"/>
                <w:color w:val="000000"/>
                <w:sz w:val="21"/>
                <w:szCs w:val="21"/>
              </w:rPr>
            </w:pPr>
            <w:r>
              <w:rPr>
                <w:rFonts w:hint="eastAsia" w:ascii="宋体" w:hAnsi="宋体" w:eastAsia="宋体" w:cs="宋体"/>
                <w:bCs/>
                <w:color w:val="000000"/>
                <w:kern w:val="0"/>
                <w:sz w:val="21"/>
                <w:szCs w:val="21"/>
                <w:highlight w:val="none"/>
                <w:lang w:eastAsia="zh-CN"/>
              </w:rPr>
              <w:t>☑</w:t>
            </w:r>
            <w:r>
              <w:rPr>
                <w:rFonts w:hint="eastAsia" w:ascii="宋体" w:hAnsi="宋体" w:eastAsia="宋体" w:cs="宋体"/>
                <w:bCs/>
                <w:color w:val="000000"/>
                <w:kern w:val="0"/>
                <w:sz w:val="21"/>
                <w:szCs w:val="21"/>
                <w:highlight w:val="none"/>
                <w:lang w:val="en-US" w:eastAsia="zh-CN"/>
              </w:rPr>
              <w:t xml:space="preserve"> </w:t>
            </w:r>
            <w:r>
              <w:rPr>
                <w:rFonts w:hint="eastAsia" w:ascii="宋体" w:hAnsi="宋体" w:eastAsia="宋体" w:cs="宋体"/>
                <w:bCs/>
                <w:color w:val="000000"/>
                <w:kern w:val="0"/>
                <w:sz w:val="21"/>
                <w:szCs w:val="21"/>
                <w:highlight w:val="none"/>
              </w:rPr>
              <w:t>需要</w:t>
            </w:r>
          </w:p>
        </w:tc>
      </w:tr>
      <w:tr w14:paraId="7BC37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7935A01B">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19</w:t>
            </w:r>
          </w:p>
        </w:tc>
        <w:tc>
          <w:tcPr>
            <w:tcW w:w="2009" w:type="dxa"/>
            <w:noWrap w:val="0"/>
            <w:vAlign w:val="center"/>
          </w:tcPr>
          <w:p w14:paraId="3B373987">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投标保证金</w:t>
            </w:r>
          </w:p>
        </w:tc>
        <w:tc>
          <w:tcPr>
            <w:tcW w:w="6620" w:type="dxa"/>
            <w:noWrap w:val="0"/>
            <w:vAlign w:val="center"/>
          </w:tcPr>
          <w:p w14:paraId="6CEB827E">
            <w:pPr>
              <w:keepNext w:val="0"/>
              <w:keepLines w:val="0"/>
              <w:pageBreakBefore w:val="0"/>
              <w:kinsoku/>
              <w:wordWrap/>
              <w:overflowPunct/>
              <w:topLinePunct w:val="0"/>
              <w:bidi w:val="0"/>
              <w:snapToGrid/>
              <w:spacing w:line="370" w:lineRule="atLeas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不需要</w:t>
            </w:r>
          </w:p>
        </w:tc>
      </w:tr>
      <w:tr w14:paraId="0084C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noWrap w:val="0"/>
            <w:vAlign w:val="center"/>
          </w:tcPr>
          <w:p w14:paraId="41512434">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c>
          <w:tcPr>
            <w:tcW w:w="2009" w:type="dxa"/>
            <w:noWrap w:val="0"/>
            <w:vAlign w:val="center"/>
          </w:tcPr>
          <w:p w14:paraId="7C59D287">
            <w:pPr>
              <w:keepNext w:val="0"/>
              <w:keepLines w:val="0"/>
              <w:pageBreakBefore w:val="0"/>
              <w:kinsoku/>
              <w:wordWrap/>
              <w:overflowPunct/>
              <w:topLinePunct w:val="0"/>
              <w:bidi w:val="0"/>
              <w:adjustRightInd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履约担保</w:t>
            </w:r>
          </w:p>
        </w:tc>
        <w:tc>
          <w:tcPr>
            <w:tcW w:w="6620" w:type="dxa"/>
            <w:noWrap w:val="0"/>
            <w:vAlign w:val="center"/>
          </w:tcPr>
          <w:p w14:paraId="64C2F943">
            <w:pPr>
              <w:keepNext w:val="0"/>
              <w:keepLines w:val="0"/>
              <w:pageBreakBefore w:val="0"/>
              <w:widowControl/>
              <w:kinsoku/>
              <w:wordWrap/>
              <w:overflowPunct/>
              <w:topLinePunct w:val="0"/>
              <w:autoSpaceDE/>
              <w:autoSpaceDN/>
              <w:bidi w:val="0"/>
              <w:adjustRightInd/>
              <w:snapToGrid/>
              <w:spacing w:line="370" w:lineRule="atLeas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需要 </w:t>
            </w:r>
            <w:r>
              <w:rPr>
                <w:rFonts w:hint="eastAsia" w:ascii="宋体" w:hAnsi="宋体" w:eastAsia="宋体" w:cs="宋体"/>
                <w:b/>
                <w:bCs/>
                <w:color w:val="000000"/>
                <w:sz w:val="21"/>
                <w:szCs w:val="21"/>
                <w:highlight w:val="none"/>
                <w:u w:val="single"/>
                <w:lang w:val="en-US" w:eastAsia="zh-CN"/>
              </w:rPr>
              <w:t>在签</w:t>
            </w:r>
            <w:r>
              <w:rPr>
                <w:rFonts w:hint="eastAsia" w:ascii="宋体" w:hAnsi="宋体" w:eastAsia="宋体" w:cs="宋体"/>
                <w:b/>
                <w:bCs/>
                <w:color w:val="000000"/>
                <w:sz w:val="21"/>
                <w:szCs w:val="21"/>
                <w:highlight w:val="none"/>
                <w:u w:val="single"/>
                <w:lang w:eastAsia="zh-CN"/>
              </w:rPr>
              <w:t>订合同前，</w:t>
            </w:r>
            <w:r>
              <w:rPr>
                <w:rFonts w:hint="eastAsia" w:ascii="宋体" w:hAnsi="宋体" w:eastAsia="宋体" w:cs="宋体"/>
                <w:b/>
                <w:bCs/>
                <w:color w:val="000000"/>
                <w:sz w:val="21"/>
                <w:szCs w:val="21"/>
                <w:highlight w:val="none"/>
                <w:u w:val="single"/>
                <w:lang w:val="en-US" w:eastAsia="zh-CN"/>
              </w:rPr>
              <w:t>中标供应商应</w:t>
            </w:r>
            <w:r>
              <w:rPr>
                <w:rFonts w:hint="eastAsia" w:ascii="宋体" w:hAnsi="宋体" w:eastAsia="宋体" w:cs="宋体"/>
                <w:b/>
                <w:bCs/>
                <w:color w:val="000000"/>
                <w:sz w:val="21"/>
                <w:szCs w:val="21"/>
                <w:highlight w:val="none"/>
                <w:u w:val="single"/>
                <w:lang w:eastAsia="zh-CN"/>
              </w:rPr>
              <w:t>向</w:t>
            </w:r>
            <w:r>
              <w:rPr>
                <w:rFonts w:hint="eastAsia" w:ascii="宋体" w:hAnsi="宋体" w:eastAsia="宋体" w:cs="宋体"/>
                <w:b/>
                <w:bCs/>
                <w:color w:val="000000"/>
                <w:sz w:val="21"/>
                <w:szCs w:val="21"/>
                <w:highlight w:val="none"/>
                <w:u w:val="single"/>
                <w:lang w:val="en-US" w:eastAsia="zh-CN"/>
              </w:rPr>
              <w:t>采购人</w:t>
            </w:r>
            <w:r>
              <w:rPr>
                <w:rFonts w:hint="eastAsia" w:ascii="宋体" w:hAnsi="宋体" w:eastAsia="宋体" w:cs="宋体"/>
                <w:b/>
                <w:bCs/>
                <w:color w:val="000000"/>
                <w:sz w:val="21"/>
                <w:szCs w:val="21"/>
                <w:highlight w:val="none"/>
                <w:u w:val="single"/>
                <w:lang w:eastAsia="zh-CN"/>
              </w:rPr>
              <w:t>缴纳合同金额</w:t>
            </w:r>
            <w:r>
              <w:rPr>
                <w:rFonts w:hint="eastAsia" w:ascii="宋体" w:hAnsi="宋体" w:eastAsia="宋体" w:cs="宋体"/>
                <w:b/>
                <w:bCs/>
                <w:color w:val="000000"/>
                <w:sz w:val="21"/>
                <w:szCs w:val="21"/>
                <w:highlight w:val="none"/>
                <w:u w:val="single"/>
                <w:lang w:val="en-US" w:eastAsia="zh-CN"/>
              </w:rPr>
              <w:t>1</w:t>
            </w:r>
            <w:r>
              <w:rPr>
                <w:rFonts w:hint="eastAsia" w:ascii="宋体" w:hAnsi="宋体" w:eastAsia="宋体" w:cs="宋体"/>
                <w:b/>
                <w:bCs/>
                <w:color w:val="000000"/>
                <w:sz w:val="21"/>
                <w:szCs w:val="21"/>
                <w:highlight w:val="none"/>
                <w:u w:val="single"/>
                <w:lang w:eastAsia="zh-CN"/>
              </w:rPr>
              <w:t>%的履约担保。</w:t>
            </w:r>
          </w:p>
        </w:tc>
      </w:tr>
      <w:tr w14:paraId="196FC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0B125B77">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21</w:t>
            </w:r>
          </w:p>
        </w:tc>
        <w:tc>
          <w:tcPr>
            <w:tcW w:w="2009" w:type="dxa"/>
            <w:noWrap w:val="0"/>
            <w:vAlign w:val="center"/>
          </w:tcPr>
          <w:p w14:paraId="594BC667">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b w:val="0"/>
                <w:bCs w:val="0"/>
                <w:color w:val="000000"/>
                <w:sz w:val="21"/>
                <w:szCs w:val="21"/>
                <w:highlight w:val="none"/>
                <w:lang w:val="en-US" w:eastAsia="zh-CN"/>
              </w:rPr>
              <w:t>招标</w:t>
            </w:r>
            <w:r>
              <w:rPr>
                <w:rFonts w:hint="eastAsia" w:ascii="宋体" w:hAnsi="宋体" w:eastAsia="宋体" w:cs="宋体"/>
                <w:b w:val="0"/>
                <w:bCs w:val="0"/>
                <w:color w:val="000000"/>
                <w:sz w:val="21"/>
                <w:szCs w:val="21"/>
                <w:highlight w:val="none"/>
                <w:lang w:eastAsia="zh-CN"/>
              </w:rPr>
              <w:t>文件</w:t>
            </w:r>
            <w:r>
              <w:rPr>
                <w:rFonts w:hint="eastAsia" w:ascii="宋体" w:hAnsi="宋体" w:eastAsia="宋体" w:cs="宋体"/>
                <w:b w:val="0"/>
                <w:bCs w:val="0"/>
                <w:color w:val="000000"/>
                <w:sz w:val="21"/>
                <w:szCs w:val="21"/>
                <w:highlight w:val="none"/>
                <w:lang w:bidi="ar"/>
              </w:rPr>
              <w:t>获取时间、地址、售价</w:t>
            </w:r>
          </w:p>
        </w:tc>
        <w:tc>
          <w:tcPr>
            <w:tcW w:w="6620" w:type="dxa"/>
            <w:noWrap w:val="0"/>
            <w:vAlign w:val="center"/>
          </w:tcPr>
          <w:p w14:paraId="4BD9E4DB">
            <w:pPr>
              <w:keepNext w:val="0"/>
              <w:keepLines w:val="0"/>
              <w:pageBreakBefore w:val="0"/>
              <w:numPr>
                <w:ilvl w:val="0"/>
                <w:numId w:val="0"/>
              </w:numPr>
              <w:kinsoku/>
              <w:wordWrap/>
              <w:overflowPunct/>
              <w:topLinePunct w:val="0"/>
              <w:bidi w:val="0"/>
              <w:snapToGrid/>
              <w:spacing w:line="370" w:lineRule="atLeast"/>
              <w:ind w:leftChars="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获取时间：至投标截止时间止</w:t>
            </w:r>
            <w:r>
              <w:rPr>
                <w:rFonts w:hint="eastAsia" w:ascii="宋体" w:hAnsi="宋体" w:eastAsia="宋体" w:cs="宋体"/>
                <w:b w:val="0"/>
                <w:bCs w:val="0"/>
                <w:color w:val="000000"/>
                <w:sz w:val="21"/>
                <w:szCs w:val="21"/>
                <w:highlight w:val="none"/>
                <w:lang w:eastAsia="zh-CN"/>
              </w:rPr>
              <w:t>；</w:t>
            </w:r>
          </w:p>
          <w:p w14:paraId="1F962EC8">
            <w:pPr>
              <w:keepNext w:val="0"/>
              <w:keepLines w:val="0"/>
              <w:pageBreakBefore w:val="0"/>
              <w:numPr>
                <w:ilvl w:val="0"/>
                <w:numId w:val="0"/>
              </w:numPr>
              <w:kinsoku/>
              <w:wordWrap/>
              <w:overflowPunct/>
              <w:topLinePunct w:val="0"/>
              <w:bidi w:val="0"/>
              <w:snapToGrid/>
              <w:spacing w:line="370" w:lineRule="atLeast"/>
              <w:ind w:leftChars="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获取地址：</w:t>
            </w:r>
            <w:r>
              <w:rPr>
                <w:rFonts w:hint="eastAsia" w:ascii="宋体" w:hAnsi="宋体" w:eastAsia="宋体" w:cs="宋体"/>
                <w:b w:val="0"/>
                <w:bCs w:val="0"/>
                <w:color w:val="000000"/>
                <w:sz w:val="21"/>
                <w:szCs w:val="21"/>
                <w:highlight w:val="none"/>
                <w:lang w:eastAsia="zh-CN"/>
              </w:rPr>
              <w:t>乐采云（www.lecaiyun.com）；</w:t>
            </w:r>
          </w:p>
          <w:p w14:paraId="3AFA3188">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本项目</w:t>
            </w:r>
            <w:r>
              <w:rPr>
                <w:rFonts w:hint="eastAsia" w:ascii="宋体" w:hAnsi="宋体" w:eastAsia="宋体" w:cs="宋体"/>
                <w:b w:val="0"/>
                <w:bCs w:val="0"/>
                <w:color w:val="000000"/>
                <w:sz w:val="21"/>
                <w:szCs w:val="21"/>
                <w:highlight w:val="none"/>
                <w:lang w:eastAsia="zh-CN"/>
              </w:rPr>
              <w:t>采购文件</w:t>
            </w:r>
            <w:r>
              <w:rPr>
                <w:rFonts w:hint="eastAsia" w:ascii="宋体" w:hAnsi="宋体" w:eastAsia="宋体" w:cs="宋体"/>
                <w:b w:val="0"/>
                <w:bCs w:val="0"/>
                <w:color w:val="000000"/>
                <w:sz w:val="21"/>
                <w:szCs w:val="21"/>
                <w:highlight w:val="none"/>
              </w:rPr>
              <w:t>实行“乐采云平台”在线获取，不提供纸质</w:t>
            </w:r>
            <w:r>
              <w:rPr>
                <w:rFonts w:hint="eastAsia" w:ascii="宋体" w:hAnsi="宋体" w:eastAsia="宋体" w:cs="宋体"/>
                <w:b w:val="0"/>
                <w:bCs w:val="0"/>
                <w:color w:val="000000"/>
                <w:sz w:val="21"/>
                <w:szCs w:val="21"/>
                <w:highlight w:val="none"/>
                <w:lang w:eastAsia="zh-CN"/>
              </w:rPr>
              <w:t>采购文件</w:t>
            </w:r>
            <w:r>
              <w:rPr>
                <w:rFonts w:hint="eastAsia" w:ascii="宋体" w:hAnsi="宋体" w:eastAsia="宋体" w:cs="宋体"/>
                <w:b w:val="0"/>
                <w:bCs w:val="0"/>
                <w:color w:val="000000"/>
                <w:sz w:val="21"/>
                <w:szCs w:val="21"/>
                <w:highlight w:val="none"/>
              </w:rPr>
              <w:t>。</w:t>
            </w:r>
          </w:p>
          <w:p w14:paraId="777446A6">
            <w:pPr>
              <w:pStyle w:val="97"/>
              <w:rPr>
                <w:rFonts w:hint="eastAsia" w:eastAsia="宋体"/>
                <w:lang w:val="en-US" w:eastAsia="zh-CN"/>
              </w:rPr>
            </w:pPr>
            <w:r>
              <w:rPr>
                <w:rFonts w:hint="eastAsia" w:hAnsi="宋体" w:eastAsia="宋体" w:cs="宋体"/>
                <w:b w:val="0"/>
                <w:bCs w:val="0"/>
                <w:color w:val="000000"/>
                <w:sz w:val="21"/>
                <w:szCs w:val="21"/>
                <w:highlight w:val="none"/>
                <w:lang w:val="en-US" w:eastAsia="zh-CN"/>
              </w:rPr>
              <w:t>4.</w:t>
            </w:r>
            <w:r>
              <w:rPr>
                <w:rFonts w:hint="eastAsia" w:ascii="宋体" w:cs="宋体"/>
                <w:color w:val="auto"/>
                <w:kern w:val="0"/>
                <w:sz w:val="22"/>
                <w:szCs w:val="22"/>
                <w:highlight w:val="none"/>
              </w:rPr>
              <w:t>采购文件资料费用：人民币500元整(售后不退)</w:t>
            </w:r>
            <w:r>
              <w:rPr>
                <w:rFonts w:hint="eastAsia" w:ascii="宋体" w:cs="宋体"/>
                <w:color w:val="auto"/>
                <w:kern w:val="0"/>
                <w:sz w:val="22"/>
                <w:szCs w:val="22"/>
                <w:highlight w:val="none"/>
                <w:lang w:eastAsia="zh-CN"/>
              </w:rPr>
              <w:t>。</w:t>
            </w:r>
          </w:p>
          <w:p w14:paraId="0D206274">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Cs/>
                <w:color w:val="000000"/>
                <w:kern w:val="0"/>
                <w:sz w:val="21"/>
                <w:szCs w:val="21"/>
                <w:highlight w:val="none"/>
              </w:rPr>
            </w:pPr>
            <w:r>
              <w:rPr>
                <w:rFonts w:hint="eastAsia" w:ascii="宋体" w:hAnsi="宋体" w:eastAsia="宋体" w:cs="宋体"/>
                <w:b w:val="0"/>
                <w:bCs w:val="0"/>
                <w:color w:val="000000"/>
                <w:sz w:val="21"/>
                <w:szCs w:val="21"/>
                <w:highlight w:val="none"/>
                <w:lang w:bidi="ar"/>
              </w:rPr>
              <w:t>注：</w:t>
            </w:r>
            <w:r>
              <w:rPr>
                <w:rFonts w:hint="eastAsia" w:ascii="宋体" w:hAnsi="宋体" w:eastAsia="宋体" w:cs="宋体"/>
                <w:b w:val="0"/>
                <w:bCs w:val="0"/>
                <w:color w:val="000000"/>
                <w:sz w:val="21"/>
                <w:szCs w:val="21"/>
                <w:highlight w:val="none"/>
                <w:lang w:val="en-US" w:eastAsia="zh-CN" w:bidi="ar"/>
              </w:rPr>
              <w:t>采购公告</w:t>
            </w:r>
            <w:r>
              <w:rPr>
                <w:rFonts w:hint="eastAsia" w:ascii="宋体" w:hAnsi="宋体" w:eastAsia="宋体" w:cs="宋体"/>
                <w:b w:val="0"/>
                <w:bCs w:val="0"/>
                <w:color w:val="000000"/>
                <w:sz w:val="21"/>
                <w:szCs w:val="21"/>
                <w:highlight w:val="none"/>
                <w:lang w:bidi="ar"/>
              </w:rPr>
              <w:t>附件里的</w:t>
            </w:r>
            <w:r>
              <w:rPr>
                <w:rFonts w:hint="eastAsia" w:ascii="宋体" w:hAnsi="宋体" w:eastAsia="宋体" w:cs="宋体"/>
                <w:b w:val="0"/>
                <w:bCs w:val="0"/>
                <w:color w:val="000000"/>
                <w:sz w:val="21"/>
                <w:szCs w:val="21"/>
                <w:highlight w:val="none"/>
                <w:lang w:eastAsia="zh-CN" w:bidi="ar"/>
              </w:rPr>
              <w:t>采购文件</w:t>
            </w:r>
            <w:r>
              <w:rPr>
                <w:rFonts w:hint="eastAsia" w:ascii="宋体" w:hAnsi="宋体" w:eastAsia="宋体" w:cs="宋体"/>
                <w:b w:val="0"/>
                <w:bCs w:val="0"/>
                <w:color w:val="000000"/>
                <w:sz w:val="21"/>
                <w:szCs w:val="21"/>
                <w:highlight w:val="none"/>
                <w:lang w:bidi="ar"/>
              </w:rPr>
              <w:t>仅供阅览使用。</w:t>
            </w:r>
          </w:p>
        </w:tc>
      </w:tr>
      <w:tr w14:paraId="04649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noWrap w:val="0"/>
            <w:vAlign w:val="center"/>
          </w:tcPr>
          <w:p w14:paraId="026D2B0F">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22</w:t>
            </w:r>
          </w:p>
        </w:tc>
        <w:tc>
          <w:tcPr>
            <w:tcW w:w="2009" w:type="dxa"/>
            <w:noWrap w:val="0"/>
            <w:vAlign w:val="center"/>
          </w:tcPr>
          <w:p w14:paraId="1CB2BDC0">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投标截止时间</w:t>
            </w:r>
          </w:p>
        </w:tc>
        <w:tc>
          <w:tcPr>
            <w:tcW w:w="6620" w:type="dxa"/>
            <w:noWrap w:val="0"/>
            <w:vAlign w:val="center"/>
          </w:tcPr>
          <w:p w14:paraId="48812166">
            <w:pPr>
              <w:keepNext w:val="0"/>
              <w:keepLines w:val="0"/>
              <w:pageBreakBefore w:val="0"/>
              <w:kinsoku/>
              <w:wordWrap/>
              <w:overflowPunct/>
              <w:topLinePunct w:val="0"/>
              <w:bidi w:val="0"/>
              <w:snapToGrid/>
              <w:spacing w:line="370" w:lineRule="atLeast"/>
              <w:textAlignment w:val="auto"/>
              <w:rPr>
                <w:rFonts w:hint="eastAsia" w:ascii="宋体" w:hAnsi="宋体" w:eastAsia="宋体" w:cs="宋体"/>
                <w:color w:val="000000"/>
                <w:sz w:val="21"/>
                <w:szCs w:val="21"/>
                <w:highlight w:val="none"/>
              </w:rPr>
            </w:pPr>
            <w:r>
              <w:rPr>
                <w:rFonts w:hint="eastAsia" w:ascii="宋体" w:cs="宋体"/>
                <w:color w:val="auto"/>
                <w:kern w:val="0"/>
                <w:sz w:val="22"/>
                <w:szCs w:val="22"/>
                <w:highlight w:val="none"/>
              </w:rPr>
              <w:t>见采购公告</w:t>
            </w:r>
          </w:p>
        </w:tc>
      </w:tr>
      <w:tr w14:paraId="5C0B5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541CEF8D">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23</w:t>
            </w:r>
          </w:p>
        </w:tc>
        <w:tc>
          <w:tcPr>
            <w:tcW w:w="2009" w:type="dxa"/>
            <w:noWrap w:val="0"/>
            <w:vAlign w:val="center"/>
          </w:tcPr>
          <w:p w14:paraId="2431FF75">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投标</w:t>
            </w:r>
            <w:r>
              <w:rPr>
                <w:rFonts w:hint="eastAsia" w:ascii="宋体" w:hAnsi="宋体" w:eastAsia="宋体" w:cs="宋体"/>
                <w:color w:val="000000"/>
                <w:sz w:val="21"/>
                <w:szCs w:val="21"/>
                <w:highlight w:val="none"/>
                <w:shd w:val="clear" w:color="auto" w:fill="auto"/>
              </w:rPr>
              <w:t>文件的形式及</w:t>
            </w:r>
            <w:r>
              <w:rPr>
                <w:rFonts w:hint="eastAsia" w:ascii="宋体" w:hAnsi="宋体" w:eastAsia="宋体" w:cs="宋体"/>
                <w:color w:val="000000"/>
                <w:sz w:val="21"/>
                <w:szCs w:val="21"/>
                <w:highlight w:val="none"/>
              </w:rPr>
              <w:t>递交</w:t>
            </w:r>
          </w:p>
        </w:tc>
        <w:tc>
          <w:tcPr>
            <w:tcW w:w="6620" w:type="dxa"/>
            <w:noWrap w:val="0"/>
            <w:vAlign w:val="center"/>
          </w:tcPr>
          <w:p w14:paraId="0452CB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本项目实行远程电子投标。</w:t>
            </w:r>
          </w:p>
          <w:p w14:paraId="273F73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供应商通过“</w:t>
            </w:r>
            <w:r>
              <w:rPr>
                <w:rFonts w:hint="eastAsia" w:ascii="宋体" w:hAnsi="宋体" w:eastAsia="宋体" w:cs="宋体"/>
                <w:color w:val="000000"/>
                <w:sz w:val="21"/>
                <w:szCs w:val="21"/>
                <w:lang w:eastAsia="zh-CN"/>
              </w:rPr>
              <w:t>乐采云电子投标客户端</w:t>
            </w:r>
            <w:r>
              <w:rPr>
                <w:rFonts w:hint="eastAsia" w:ascii="宋体" w:hAnsi="宋体" w:eastAsia="宋体" w:cs="宋体"/>
                <w:color w:val="000000"/>
                <w:sz w:val="21"/>
                <w:szCs w:val="21"/>
              </w:rPr>
              <w:t>”完成投标文件编制，采用CA数字证书进行电子签章和加密并</w:t>
            </w:r>
            <w:r>
              <w:rPr>
                <w:rFonts w:hint="eastAsia" w:ascii="宋体" w:hAnsi="宋体" w:eastAsia="宋体" w:cs="宋体"/>
                <w:color w:val="000000"/>
                <w:sz w:val="21"/>
                <w:szCs w:val="21"/>
                <w:lang w:val="en-US" w:eastAsia="zh-CN"/>
              </w:rPr>
              <w:t>生成的“电子加密投标文件”上传递交至“政府采购云平台”。</w:t>
            </w:r>
          </w:p>
          <w:p w14:paraId="6E8039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1.电子加密投标文件：指数据电文形式的后缀名.jmbs文件。供应商在投标文件递交截止时间之前将生成的电子加密投标文件递交至乐采云平台，供应商未按要求递交的电子加密投标文件，乐采云平台将予以拒收。</w:t>
            </w:r>
          </w:p>
          <w:p w14:paraId="3D571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eastAsia="宋体"/>
                <w:b w:val="0"/>
                <w:bCs w:val="0"/>
                <w:sz w:val="22"/>
                <w:szCs w:val="22"/>
                <w:lang w:val="en-US" w:eastAsia="zh-CN"/>
              </w:rPr>
            </w:pPr>
            <w:r>
              <w:rPr>
                <w:rFonts w:hint="eastAsia" w:ascii="宋体" w:eastAsia="宋体"/>
                <w:b w:val="0"/>
                <w:bCs w:val="0"/>
                <w:sz w:val="22"/>
                <w:szCs w:val="22"/>
                <w:lang w:val="en-US" w:eastAsia="zh-CN"/>
              </w:rPr>
              <w:t>“电子加密投标文件”的上传、递交：</w:t>
            </w:r>
          </w:p>
          <w:p w14:paraId="09A3C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eastAsia="宋体"/>
                <w:b w:val="0"/>
                <w:bCs w:val="0"/>
                <w:sz w:val="22"/>
                <w:szCs w:val="22"/>
                <w:lang w:val="en-US" w:eastAsia="zh-CN"/>
              </w:rPr>
            </w:pPr>
            <w:r>
              <w:rPr>
                <w:rFonts w:hint="eastAsia" w:ascii="宋体" w:eastAsia="宋体"/>
                <w:b w:val="0"/>
                <w:bCs w:val="0"/>
                <w:sz w:val="22"/>
                <w:szCs w:val="22"/>
                <w:lang w:val="en-US" w:eastAsia="zh-CN"/>
              </w:rPr>
              <w:t>a.投标供应商应在响应文件递交截止时间前将“电子加密投标文件”成功上传递交至“政府采购云平台”，否则投标无效。</w:t>
            </w:r>
          </w:p>
          <w:p w14:paraId="50F603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rPr>
            </w:pPr>
            <w:r>
              <w:rPr>
                <w:rFonts w:hint="eastAsia" w:ascii="宋体" w:eastAsia="宋体"/>
                <w:b w:val="0"/>
                <w:bCs w:val="0"/>
                <w:sz w:val="22"/>
                <w:szCs w:val="22"/>
                <w:lang w:val="en-US" w:eastAsia="zh-CN"/>
              </w:rPr>
              <w:t>b.“电子加密投标文件”成功上传递交后，供应商可自行打印电子投标文件接收回执。</w:t>
            </w:r>
          </w:p>
        </w:tc>
      </w:tr>
      <w:tr w14:paraId="468DB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74" w:hRule="atLeast"/>
          <w:jc w:val="center"/>
        </w:trPr>
        <w:tc>
          <w:tcPr>
            <w:tcW w:w="645" w:type="dxa"/>
            <w:noWrap w:val="0"/>
            <w:vAlign w:val="center"/>
          </w:tcPr>
          <w:p w14:paraId="635E2B1D">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24</w:t>
            </w:r>
          </w:p>
        </w:tc>
        <w:tc>
          <w:tcPr>
            <w:tcW w:w="2009" w:type="dxa"/>
            <w:noWrap w:val="0"/>
            <w:vAlign w:val="center"/>
          </w:tcPr>
          <w:p w14:paraId="42E784A5">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eastAsia="zh-CN"/>
              </w:rPr>
              <w:t>电子加密投标文件</w:t>
            </w:r>
            <w:r>
              <w:rPr>
                <w:rFonts w:hint="eastAsia" w:ascii="宋体" w:hAnsi="宋体" w:eastAsia="宋体" w:cs="宋体"/>
                <w:color w:val="000000"/>
                <w:sz w:val="21"/>
                <w:szCs w:val="21"/>
                <w:highlight w:val="none"/>
              </w:rPr>
              <w:t>的解密和异常情况处理</w:t>
            </w:r>
          </w:p>
        </w:tc>
        <w:tc>
          <w:tcPr>
            <w:tcW w:w="6620" w:type="dxa"/>
            <w:noWrap w:val="0"/>
            <w:vAlign w:val="center"/>
          </w:tcPr>
          <w:p w14:paraId="2954BA8A">
            <w:pPr>
              <w:keepNext w:val="0"/>
              <w:keepLines w:val="0"/>
              <w:pageBreakBefore w:val="0"/>
              <w:widowControl/>
              <w:numPr>
                <w:ilvl w:val="0"/>
                <w:numId w:val="4"/>
              </w:numPr>
              <w:kinsoku/>
              <w:wordWrap/>
              <w:overflowPunct/>
              <w:topLinePunct w:val="0"/>
              <w:autoSpaceDE/>
              <w:autoSpaceDN/>
              <w:bidi w:val="0"/>
              <w:adjustRightInd/>
              <w:snapToGrid/>
              <w:spacing w:line="37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开标后，</w:t>
            </w:r>
            <w:r>
              <w:rPr>
                <w:rFonts w:hint="eastAsia" w:ascii="宋体" w:hAnsi="宋体" w:eastAsia="宋体" w:cs="宋体"/>
                <w:color w:val="000000"/>
                <w:sz w:val="21"/>
                <w:szCs w:val="21"/>
                <w:lang w:val="en-US" w:eastAsia="zh-CN"/>
              </w:rPr>
              <w:t>采购代理机构</w:t>
            </w:r>
            <w:r>
              <w:rPr>
                <w:rFonts w:hint="eastAsia" w:ascii="宋体" w:hAnsi="宋体" w:eastAsia="宋体" w:cs="宋体"/>
                <w:color w:val="000000"/>
                <w:sz w:val="21"/>
                <w:szCs w:val="21"/>
              </w:rPr>
              <w:t>将向各供应商发出“</w:t>
            </w:r>
            <w:r>
              <w:rPr>
                <w:rFonts w:hint="eastAsia" w:ascii="宋体" w:hAnsi="宋体" w:eastAsia="宋体" w:cs="宋体"/>
                <w:color w:val="000000"/>
                <w:sz w:val="21"/>
                <w:szCs w:val="21"/>
                <w:lang w:eastAsia="zh-CN"/>
              </w:rPr>
              <w:t>电子加密投标文件</w:t>
            </w:r>
            <w:r>
              <w:rPr>
                <w:rFonts w:hint="eastAsia" w:ascii="宋体" w:hAnsi="宋体" w:eastAsia="宋体" w:cs="宋体"/>
                <w:color w:val="000000"/>
                <w:sz w:val="21"/>
                <w:szCs w:val="21"/>
              </w:rPr>
              <w:t>”的解密通知，各供应商代表应当在接到解密通知后</w:t>
            </w:r>
            <w:r>
              <w:rPr>
                <w:rFonts w:hint="eastAsia" w:ascii="宋体" w:hAnsi="宋体" w:eastAsia="宋体" w:cs="宋体"/>
                <w:b/>
                <w:bCs/>
                <w:color w:val="000000"/>
                <w:sz w:val="21"/>
                <w:szCs w:val="21"/>
                <w:u w:val="single"/>
              </w:rPr>
              <w:t>30分钟内</w:t>
            </w:r>
            <w:r>
              <w:rPr>
                <w:rFonts w:hint="eastAsia" w:ascii="宋体" w:hAnsi="宋体" w:eastAsia="宋体" w:cs="宋体"/>
                <w:color w:val="000000"/>
                <w:sz w:val="21"/>
                <w:szCs w:val="21"/>
              </w:rPr>
              <w:t>自行完成“</w:t>
            </w:r>
            <w:r>
              <w:rPr>
                <w:rFonts w:hint="eastAsia" w:ascii="宋体" w:hAnsi="宋体" w:eastAsia="宋体" w:cs="宋体"/>
                <w:color w:val="000000"/>
                <w:sz w:val="21"/>
                <w:szCs w:val="21"/>
                <w:lang w:eastAsia="zh-CN"/>
              </w:rPr>
              <w:t>电子加密投标文件</w:t>
            </w:r>
            <w:r>
              <w:rPr>
                <w:rFonts w:hint="eastAsia" w:ascii="宋体" w:hAnsi="宋体" w:eastAsia="宋体" w:cs="宋体"/>
                <w:color w:val="000000"/>
                <w:sz w:val="21"/>
                <w:szCs w:val="21"/>
              </w:rPr>
              <w:t>”的在线解密。</w:t>
            </w:r>
          </w:p>
          <w:p w14:paraId="048A30C7">
            <w:pPr>
              <w:keepNext w:val="0"/>
              <w:keepLines w:val="0"/>
              <w:pageBreakBefore w:val="0"/>
              <w:kinsoku/>
              <w:wordWrap/>
              <w:overflowPunct/>
              <w:topLinePunct w:val="0"/>
              <w:bidi w:val="0"/>
              <w:snapToGrid/>
              <w:spacing w:line="37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2、通过“</w:t>
            </w:r>
            <w:r>
              <w:rPr>
                <w:rFonts w:hint="eastAsia" w:ascii="宋体" w:hAnsi="宋体" w:eastAsia="宋体" w:cs="宋体"/>
                <w:color w:val="000000"/>
                <w:sz w:val="21"/>
                <w:szCs w:val="21"/>
                <w:lang w:eastAsia="zh-CN"/>
              </w:rPr>
              <w:t>乐采</w:t>
            </w:r>
            <w:r>
              <w:rPr>
                <w:rFonts w:hint="eastAsia" w:ascii="宋体" w:hAnsi="宋体" w:eastAsia="宋体" w:cs="宋体"/>
                <w:color w:val="000000"/>
                <w:sz w:val="21"/>
                <w:szCs w:val="21"/>
                <w:lang w:val="en-US" w:eastAsia="zh-CN"/>
              </w:rPr>
              <w:t>云平台” 成功上传递交的“电子加密</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lang w:val="en-US" w:eastAsia="zh-CN"/>
              </w:rPr>
              <w:t>文件”无法按时解密的，其投标文件按拒收处理。</w:t>
            </w:r>
          </w:p>
        </w:tc>
      </w:tr>
      <w:tr w14:paraId="1EC62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45" w:type="dxa"/>
            <w:noWrap w:val="0"/>
            <w:vAlign w:val="center"/>
          </w:tcPr>
          <w:p w14:paraId="12E49182">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25</w:t>
            </w:r>
          </w:p>
        </w:tc>
        <w:tc>
          <w:tcPr>
            <w:tcW w:w="2009" w:type="dxa"/>
            <w:noWrap w:val="0"/>
            <w:vAlign w:val="center"/>
          </w:tcPr>
          <w:p w14:paraId="693C3652">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开标时间、</w:t>
            </w:r>
          </w:p>
          <w:p w14:paraId="57CA3B50">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地点、形式</w:t>
            </w:r>
          </w:p>
        </w:tc>
        <w:tc>
          <w:tcPr>
            <w:tcW w:w="6620" w:type="dxa"/>
            <w:noWrap w:val="0"/>
            <w:vAlign w:val="center"/>
          </w:tcPr>
          <w:p w14:paraId="69BFA511">
            <w:pPr>
              <w:keepNext w:val="0"/>
              <w:keepLines w:val="0"/>
              <w:pageBreakBefore w:val="0"/>
              <w:widowControl/>
              <w:kinsoku/>
              <w:wordWrap/>
              <w:overflowPunct/>
              <w:topLinePunct w:val="0"/>
              <w:autoSpaceDE/>
              <w:autoSpaceDN/>
              <w:bidi w:val="0"/>
              <w:adjustRightInd/>
              <w:snapToGrid/>
              <w:spacing w:line="370" w:lineRule="atLeas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开标时间：见采购公告</w:t>
            </w:r>
          </w:p>
          <w:p w14:paraId="7F91FCF6">
            <w:pPr>
              <w:keepNext w:val="0"/>
              <w:keepLines w:val="0"/>
              <w:pageBreakBefore w:val="0"/>
              <w:widowControl/>
              <w:kinsoku/>
              <w:wordWrap/>
              <w:overflowPunct/>
              <w:topLinePunct w:val="0"/>
              <w:autoSpaceDE/>
              <w:autoSpaceDN/>
              <w:bidi w:val="0"/>
              <w:adjustRightInd/>
              <w:snapToGrid/>
              <w:spacing w:line="370" w:lineRule="atLeas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开标地点：乐采云（</w:t>
            </w:r>
            <w:r>
              <w:rPr>
                <w:rFonts w:hint="eastAsia" w:ascii="宋体" w:hAnsi="宋体" w:eastAsia="宋体" w:cs="宋体"/>
                <w:color w:val="000000"/>
                <w:sz w:val="21"/>
                <w:szCs w:val="21"/>
                <w:lang w:eastAsia="zh-CN"/>
              </w:rPr>
              <w:t>www.lecaiyun.com</w:t>
            </w:r>
            <w:r>
              <w:rPr>
                <w:rFonts w:hint="eastAsia" w:ascii="宋体" w:hAnsi="宋体" w:eastAsia="宋体" w:cs="宋体"/>
                <w:color w:val="000000"/>
                <w:sz w:val="21"/>
                <w:szCs w:val="21"/>
              </w:rPr>
              <w:t>）</w:t>
            </w:r>
          </w:p>
          <w:p w14:paraId="04F40DF6">
            <w:pPr>
              <w:keepNext w:val="0"/>
              <w:keepLines w:val="0"/>
              <w:pageBreakBefore w:val="0"/>
              <w:widowControl/>
              <w:kinsoku/>
              <w:wordWrap/>
              <w:overflowPunct/>
              <w:topLinePunct w:val="0"/>
              <w:autoSpaceDE/>
              <w:autoSpaceDN/>
              <w:bidi w:val="0"/>
              <w:adjustRightInd/>
              <w:snapToGrid/>
              <w:spacing w:line="370" w:lineRule="atLeas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采购代理机构</w:t>
            </w:r>
            <w:r>
              <w:rPr>
                <w:rFonts w:hint="eastAsia" w:ascii="宋体" w:hAnsi="宋体" w:eastAsia="宋体" w:cs="宋体"/>
                <w:color w:val="000000"/>
                <w:sz w:val="21"/>
                <w:szCs w:val="21"/>
              </w:rPr>
              <w:t>将按照</w:t>
            </w:r>
            <w:r>
              <w:rPr>
                <w:rFonts w:hint="eastAsia" w:ascii="宋体" w:hAnsi="宋体" w:eastAsia="宋体" w:cs="宋体"/>
                <w:color w:val="000000"/>
                <w:sz w:val="21"/>
                <w:szCs w:val="21"/>
                <w:lang w:eastAsia="zh-CN"/>
              </w:rPr>
              <w:t>采购文件</w:t>
            </w:r>
            <w:r>
              <w:rPr>
                <w:rFonts w:hint="eastAsia" w:ascii="宋体" w:hAnsi="宋体" w:eastAsia="宋体" w:cs="宋体"/>
                <w:color w:val="000000"/>
                <w:sz w:val="21"/>
                <w:szCs w:val="21"/>
              </w:rPr>
              <w:t>规定的开标时间通过“乐采云平台”组织开标、开启投标文件，所有供应商均应当准时在线参加。</w:t>
            </w:r>
          </w:p>
        </w:tc>
      </w:tr>
      <w:tr w14:paraId="622A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576673CE">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26</w:t>
            </w:r>
          </w:p>
        </w:tc>
        <w:tc>
          <w:tcPr>
            <w:tcW w:w="2009" w:type="dxa"/>
            <w:noWrap w:val="0"/>
            <w:vAlign w:val="center"/>
          </w:tcPr>
          <w:p w14:paraId="5D466D8D">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开标及评审程序</w:t>
            </w:r>
          </w:p>
        </w:tc>
        <w:tc>
          <w:tcPr>
            <w:tcW w:w="6620" w:type="dxa"/>
            <w:noWrap w:val="0"/>
            <w:vAlign w:val="center"/>
          </w:tcPr>
          <w:p w14:paraId="27FF0701">
            <w:pPr>
              <w:keepNext w:val="0"/>
              <w:keepLines w:val="0"/>
              <w:pageBreakBefore w:val="0"/>
              <w:widowControl/>
              <w:numPr>
                <w:ilvl w:val="0"/>
                <w:numId w:val="5"/>
              </w:numPr>
              <w:kinsoku/>
              <w:wordWrap/>
              <w:overflowPunct/>
              <w:topLinePunct w:val="0"/>
              <w:bidi w:val="0"/>
              <w:snapToGrid/>
              <w:spacing w:line="370" w:lineRule="atLeast"/>
              <w:ind w:firstLine="0"/>
              <w:jc w:val="left"/>
              <w:textAlignment w:val="auto"/>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开标程序</w:t>
            </w:r>
          </w:p>
          <w:p w14:paraId="3C66A674">
            <w:pPr>
              <w:keepNext w:val="0"/>
              <w:keepLines w:val="0"/>
              <w:pageBreakBefore w:val="0"/>
              <w:tabs>
                <w:tab w:val="left" w:pos="-6"/>
              </w:tabs>
              <w:kinsoku/>
              <w:wordWrap/>
              <w:overflowPunct/>
              <w:topLinePunct w:val="0"/>
              <w:bidi w:val="0"/>
              <w:snapToGrid/>
              <w:spacing w:line="370" w:lineRule="atLeast"/>
              <w:ind w:left="211" w:hanging="211" w:hangingChars="1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lang w:val="en-US" w:eastAsia="zh-CN"/>
              </w:rPr>
              <w:t>1</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开标后，</w:t>
            </w:r>
            <w:r>
              <w:rPr>
                <w:rFonts w:hint="eastAsia" w:ascii="宋体" w:hAnsi="宋体" w:eastAsia="宋体" w:cs="宋体"/>
                <w:b/>
                <w:color w:val="000000"/>
                <w:sz w:val="21"/>
                <w:szCs w:val="21"/>
                <w:highlight w:val="none"/>
                <w:lang w:eastAsia="zh-CN"/>
              </w:rPr>
              <w:t>采购代理机构</w:t>
            </w:r>
            <w:r>
              <w:rPr>
                <w:rFonts w:hint="eastAsia" w:ascii="宋体" w:hAnsi="宋体" w:eastAsia="宋体" w:cs="宋体"/>
                <w:b/>
                <w:color w:val="000000"/>
                <w:sz w:val="21"/>
                <w:szCs w:val="21"/>
                <w:highlight w:val="none"/>
              </w:rPr>
              <w:t>将向各投标供应商发出“电子加密投标文件”的解密通知，各投标供应商代表应当在接到解密通知后30分钟内自行完成“电子加密投标文件”的在线解密。</w:t>
            </w:r>
          </w:p>
          <w:p w14:paraId="2A1E3C46">
            <w:pPr>
              <w:spacing w:line="276"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lang w:val="en-US" w:eastAsia="zh-CN"/>
              </w:rPr>
              <w:t>2</w:t>
            </w:r>
            <w:r>
              <w:rPr>
                <w:rFonts w:hint="eastAsia" w:ascii="宋体" w:hAnsi="宋体" w:eastAsia="宋体" w:cs="宋体"/>
                <w:b/>
                <w:color w:val="000000"/>
                <w:sz w:val="21"/>
                <w:szCs w:val="21"/>
                <w:highlight w:val="none"/>
                <w:lang w:eastAsia="zh-CN"/>
              </w:rPr>
              <w:t>）</w:t>
            </w:r>
            <w:r>
              <w:rPr>
                <w:rFonts w:hint="eastAsia" w:ascii="宋体" w:hAnsi="宋体" w:cs="宋体"/>
                <w:color w:val="000000"/>
                <w:szCs w:val="21"/>
                <w:highlight w:val="none"/>
                <w:lang w:eastAsia="zh-CN"/>
              </w:rPr>
              <w:t>采购人</w:t>
            </w:r>
            <w:r>
              <w:rPr>
                <w:rFonts w:hint="eastAsia" w:ascii="宋体" w:hAnsi="宋体" w:cs="宋体"/>
                <w:color w:val="000000"/>
                <w:szCs w:val="21"/>
                <w:highlight w:val="none"/>
              </w:rPr>
              <w:t>或</w:t>
            </w:r>
            <w:r>
              <w:rPr>
                <w:rFonts w:hint="eastAsia" w:ascii="宋体" w:hAnsi="宋体" w:cs="宋体"/>
                <w:color w:val="000000"/>
                <w:szCs w:val="21"/>
                <w:highlight w:val="none"/>
                <w:lang w:eastAsia="zh-CN"/>
              </w:rPr>
              <w:t>采购代理机构</w:t>
            </w:r>
            <w:r>
              <w:rPr>
                <w:rFonts w:hint="eastAsia" w:ascii="宋体" w:hAnsi="宋体" w:cs="宋体"/>
                <w:color w:val="000000"/>
                <w:szCs w:val="21"/>
                <w:highlight w:val="none"/>
              </w:rPr>
              <w:t>先进行资格性审查；</w:t>
            </w:r>
          </w:p>
          <w:p w14:paraId="3F088557">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（3）评标委员会对资格性审查合格的投标供应商进行符合性审查；</w:t>
            </w:r>
          </w:p>
          <w:p w14:paraId="217EFF98">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（4）评标委员会对投标供应商进行技术商务评审；</w:t>
            </w:r>
          </w:p>
          <w:p w14:paraId="224D8903">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（5）开启报价文件，</w:t>
            </w:r>
            <w:r>
              <w:rPr>
                <w:rFonts w:hint="eastAsia" w:ascii="宋体" w:hAnsi="宋体" w:cs="宋体"/>
                <w:color w:val="000000"/>
                <w:szCs w:val="21"/>
                <w:highlight w:val="none"/>
                <w:lang w:val="en-US" w:eastAsia="zh-CN"/>
              </w:rPr>
              <w:t>并进行报价评审</w:t>
            </w:r>
            <w:r>
              <w:rPr>
                <w:rFonts w:hint="eastAsia" w:ascii="宋体" w:hAnsi="宋体" w:cs="宋体"/>
                <w:color w:val="000000"/>
                <w:szCs w:val="21"/>
                <w:highlight w:val="none"/>
              </w:rPr>
              <w:t>。</w:t>
            </w:r>
          </w:p>
          <w:p w14:paraId="0DB60DF9">
            <w:pPr>
              <w:spacing w:line="276" w:lineRule="auto"/>
              <w:rPr>
                <w:rFonts w:hint="eastAsia" w:ascii="宋体" w:hAnsi="宋体" w:cs="宋体"/>
                <w:color w:val="000000"/>
                <w:szCs w:val="21"/>
                <w:highlight w:val="none"/>
              </w:rPr>
            </w:pPr>
            <w:r>
              <w:rPr>
                <w:rFonts w:hint="eastAsia" w:ascii="宋体" w:hAnsi="宋体" w:cs="宋体"/>
                <w:color w:val="000000"/>
                <w:szCs w:val="21"/>
                <w:highlight w:val="none"/>
              </w:rPr>
              <w:t>（6）评标委员会根据综合评分情况，按照综合得分由高到低顺序确定</w:t>
            </w:r>
            <w:r>
              <w:rPr>
                <w:rFonts w:hint="eastAsia" w:ascii="宋体" w:hAnsi="宋体" w:cs="宋体"/>
                <w:color w:val="000000"/>
                <w:szCs w:val="21"/>
                <w:highlight w:val="none"/>
                <w:lang w:val="en-US" w:eastAsia="zh-CN"/>
              </w:rPr>
              <w:t>一</w:t>
            </w:r>
            <w:r>
              <w:rPr>
                <w:rFonts w:hint="eastAsia" w:ascii="宋体" w:hAnsi="宋体" w:cs="宋体"/>
                <w:color w:val="000000"/>
                <w:szCs w:val="21"/>
                <w:highlight w:val="none"/>
              </w:rPr>
              <w:t>个预选中标供应商。</w:t>
            </w:r>
          </w:p>
          <w:p w14:paraId="59F362F7">
            <w:pPr>
              <w:keepNext w:val="0"/>
              <w:keepLines w:val="0"/>
              <w:pageBreakBefore w:val="0"/>
              <w:kinsoku/>
              <w:wordWrap/>
              <w:overflowPunct/>
              <w:topLinePunct w:val="0"/>
              <w:bidi w:val="0"/>
              <w:snapToGrid/>
              <w:spacing w:line="370" w:lineRule="atLeast"/>
              <w:ind w:left="-4" w:leftChars="-2" w:firstLine="2" w:firstLineChars="0"/>
              <w:textAlignment w:val="auto"/>
              <w:rPr>
                <w:rFonts w:hint="eastAsia" w:ascii="宋体" w:hAnsi="宋体" w:eastAsia="宋体" w:cs="宋体"/>
                <w:bCs/>
                <w:color w:val="000000"/>
                <w:kern w:val="0"/>
                <w:sz w:val="21"/>
                <w:szCs w:val="21"/>
              </w:rPr>
            </w:pPr>
            <w:r>
              <w:rPr>
                <w:rFonts w:hint="eastAsia" w:ascii="宋体" w:hAnsi="宋体" w:cs="宋体"/>
                <w:color w:val="000000"/>
                <w:szCs w:val="21"/>
                <w:highlight w:val="none"/>
              </w:rPr>
              <w:t>如遇“乐采云平台”电子化开标或评审程序调整的，按调整后程序执行。</w:t>
            </w:r>
          </w:p>
        </w:tc>
      </w:tr>
      <w:tr w14:paraId="15AAA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4280CF57">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27</w:t>
            </w:r>
          </w:p>
        </w:tc>
        <w:tc>
          <w:tcPr>
            <w:tcW w:w="2009" w:type="dxa"/>
            <w:noWrap w:val="0"/>
            <w:vAlign w:val="center"/>
          </w:tcPr>
          <w:p w14:paraId="4ED66E33">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评标委员会的组建</w:t>
            </w:r>
          </w:p>
        </w:tc>
        <w:tc>
          <w:tcPr>
            <w:tcW w:w="6620" w:type="dxa"/>
            <w:noWrap w:val="0"/>
            <w:vAlign w:val="center"/>
          </w:tcPr>
          <w:p w14:paraId="2D2CCA55">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rPr>
              <w:t>评标委员会构成：由</w:t>
            </w:r>
            <w:r>
              <w:rPr>
                <w:rFonts w:hint="eastAsia" w:ascii="宋体" w:hAnsi="宋体" w:eastAsia="宋体" w:cs="宋体"/>
                <w:bCs/>
                <w:color w:val="000000"/>
                <w:kern w:val="0"/>
                <w:sz w:val="21"/>
                <w:szCs w:val="21"/>
                <w:lang w:eastAsia="zh-CN"/>
              </w:rPr>
              <w:t>采购人</w:t>
            </w:r>
            <w:r>
              <w:rPr>
                <w:rFonts w:hint="eastAsia" w:ascii="宋体" w:hAnsi="宋体" w:eastAsia="宋体" w:cs="宋体"/>
                <w:bCs/>
                <w:color w:val="000000"/>
                <w:kern w:val="0"/>
                <w:sz w:val="21"/>
                <w:szCs w:val="21"/>
              </w:rPr>
              <w:t>代表以及有关技术、经济等方面的专家组成，成</w:t>
            </w:r>
            <w:r>
              <w:rPr>
                <w:rFonts w:hint="eastAsia" w:ascii="宋体" w:hAnsi="宋体" w:eastAsia="宋体" w:cs="宋体"/>
                <w:bCs/>
                <w:color w:val="000000"/>
                <w:kern w:val="0"/>
                <w:sz w:val="21"/>
                <w:szCs w:val="21"/>
                <w:highlight w:val="none"/>
              </w:rPr>
              <w:t>员为</w:t>
            </w:r>
            <w:r>
              <w:rPr>
                <w:rFonts w:hint="eastAsia" w:ascii="宋体" w:hAnsi="宋体" w:eastAsia="宋体" w:cs="宋体"/>
                <w:bCs/>
                <w:color w:val="000000"/>
                <w:kern w:val="0"/>
                <w:sz w:val="21"/>
                <w:szCs w:val="21"/>
                <w:highlight w:val="none"/>
                <w:lang w:val="en-US" w:eastAsia="zh-CN"/>
              </w:rPr>
              <w:t>5人及以上</w:t>
            </w:r>
            <w:r>
              <w:rPr>
                <w:rFonts w:hint="eastAsia" w:ascii="宋体" w:hAnsi="宋体" w:eastAsia="宋体" w:cs="宋体"/>
                <w:bCs/>
                <w:color w:val="000000"/>
                <w:kern w:val="0"/>
                <w:sz w:val="21"/>
                <w:szCs w:val="21"/>
              </w:rPr>
              <w:t>单数，其中技术、经济类专家不得少于总人数的2/3；评标专家确定方式：</w:t>
            </w:r>
            <w:r>
              <w:rPr>
                <w:rFonts w:hint="eastAsia" w:ascii="宋体" w:hAnsi="宋体" w:eastAsia="宋体" w:cs="宋体"/>
                <w:color w:val="000000"/>
                <w:sz w:val="21"/>
                <w:szCs w:val="21"/>
              </w:rPr>
              <w:t>按相关规定从专家库中抽取。</w:t>
            </w:r>
          </w:p>
        </w:tc>
      </w:tr>
      <w:tr w14:paraId="3FB4F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645" w:type="dxa"/>
            <w:noWrap w:val="0"/>
            <w:vAlign w:val="center"/>
          </w:tcPr>
          <w:p w14:paraId="7EB1B878">
            <w:pPr>
              <w:keepNext w:val="0"/>
              <w:keepLines w:val="0"/>
              <w:pageBreakBefore w:val="0"/>
              <w:kinsoku/>
              <w:wordWrap/>
              <w:overflowPunct/>
              <w:topLinePunct w:val="0"/>
              <w:bidi w:val="0"/>
              <w:snapToGrid/>
              <w:spacing w:line="370" w:lineRule="atLeast"/>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28</w:t>
            </w:r>
          </w:p>
        </w:tc>
        <w:tc>
          <w:tcPr>
            <w:tcW w:w="2009" w:type="dxa"/>
            <w:noWrap w:val="0"/>
            <w:vAlign w:val="center"/>
          </w:tcPr>
          <w:p w14:paraId="438B282C">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合同管理</w:t>
            </w:r>
          </w:p>
        </w:tc>
        <w:tc>
          <w:tcPr>
            <w:tcW w:w="6620" w:type="dxa"/>
            <w:noWrap w:val="0"/>
            <w:vAlign w:val="center"/>
          </w:tcPr>
          <w:p w14:paraId="6A2FBE16">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color w:val="000000"/>
                <w:sz w:val="21"/>
                <w:szCs w:val="21"/>
              </w:rPr>
              <w:t>中标供应商与</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签订合同后，</w:t>
            </w:r>
            <w:r>
              <w:rPr>
                <w:rFonts w:hint="eastAsia" w:ascii="宋体" w:hAnsi="宋体" w:eastAsia="宋体" w:cs="宋体"/>
                <w:color w:val="000000"/>
                <w:sz w:val="21"/>
                <w:szCs w:val="21"/>
                <w:highlight w:val="none"/>
              </w:rPr>
              <w:t>两</w:t>
            </w:r>
            <w:r>
              <w:rPr>
                <w:rFonts w:hint="eastAsia" w:ascii="宋体" w:hAnsi="宋体" w:eastAsia="宋体" w:cs="宋体"/>
                <w:color w:val="000000"/>
                <w:sz w:val="21"/>
                <w:szCs w:val="21"/>
              </w:rPr>
              <w:t>个工作日内将合同原件交给</w:t>
            </w:r>
            <w:r>
              <w:rPr>
                <w:rFonts w:hint="eastAsia" w:ascii="宋体" w:hAnsi="宋体" w:eastAsia="宋体" w:cs="宋体"/>
                <w:color w:val="000000"/>
                <w:sz w:val="21"/>
                <w:szCs w:val="21"/>
                <w:lang w:eastAsia="zh-CN"/>
              </w:rPr>
              <w:t>浙江信达咨询监理有限公司</w:t>
            </w:r>
            <w:r>
              <w:rPr>
                <w:rFonts w:hint="eastAsia" w:ascii="宋体" w:hAnsi="宋体" w:eastAsia="宋体" w:cs="宋体"/>
                <w:color w:val="000000"/>
                <w:sz w:val="21"/>
                <w:szCs w:val="21"/>
              </w:rPr>
              <w:t>备案。</w:t>
            </w:r>
          </w:p>
        </w:tc>
      </w:tr>
      <w:tr w14:paraId="2FC94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645" w:type="dxa"/>
            <w:noWrap w:val="0"/>
            <w:vAlign w:val="center"/>
          </w:tcPr>
          <w:p w14:paraId="692865A4">
            <w:pPr>
              <w:keepNext w:val="0"/>
              <w:keepLines w:val="0"/>
              <w:pageBreakBefore w:val="0"/>
              <w:kinsoku/>
              <w:wordWrap/>
              <w:overflowPunct/>
              <w:topLinePunct w:val="0"/>
              <w:bidi w:val="0"/>
              <w:snapToGrid/>
              <w:spacing w:line="370" w:lineRule="atLeas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w:t>
            </w:r>
          </w:p>
        </w:tc>
        <w:tc>
          <w:tcPr>
            <w:tcW w:w="2009" w:type="dxa"/>
            <w:noWrap w:val="0"/>
            <w:vAlign w:val="center"/>
          </w:tcPr>
          <w:p w14:paraId="00BB4E44">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解释权</w:t>
            </w:r>
          </w:p>
        </w:tc>
        <w:tc>
          <w:tcPr>
            <w:tcW w:w="6620" w:type="dxa"/>
            <w:noWrap w:val="0"/>
            <w:vAlign w:val="center"/>
          </w:tcPr>
          <w:p w14:paraId="20A9A0BF">
            <w:pPr>
              <w:keepNext w:val="0"/>
              <w:keepLines w:val="0"/>
              <w:pageBreakBefore w:val="0"/>
              <w:kinsoku/>
              <w:wordWrap/>
              <w:overflowPunct/>
              <w:topLinePunct w:val="0"/>
              <w:bidi w:val="0"/>
              <w:snapToGrid/>
              <w:spacing w:line="370" w:lineRule="atLeast"/>
              <w:textAlignment w:val="auto"/>
              <w:rPr>
                <w:rFonts w:hint="eastAsia" w:ascii="宋体" w:hAnsi="宋体" w:eastAsia="宋体" w:cs="宋体"/>
                <w:color w:val="000000"/>
                <w:sz w:val="21"/>
                <w:szCs w:val="21"/>
              </w:rPr>
            </w:pPr>
            <w:r>
              <w:rPr>
                <w:rFonts w:hint="eastAsia"/>
                <w:color w:val="000000"/>
                <w:highlight w:val="none"/>
              </w:rPr>
              <w:t>本</w:t>
            </w:r>
            <w:r>
              <w:rPr>
                <w:rFonts w:hint="eastAsia"/>
                <w:color w:val="000000"/>
                <w:highlight w:val="none"/>
                <w:lang w:val="en-US" w:eastAsia="zh-CN"/>
              </w:rPr>
              <w:t>招标</w:t>
            </w:r>
            <w:r>
              <w:rPr>
                <w:rFonts w:hint="eastAsia"/>
                <w:color w:val="000000"/>
                <w:highlight w:val="none"/>
              </w:rPr>
              <w:t>文件的解释权属于采购人和采购</w:t>
            </w:r>
            <w:r>
              <w:rPr>
                <w:rFonts w:hint="eastAsia"/>
                <w:color w:val="000000"/>
                <w:highlight w:val="none"/>
                <w:lang w:val="en-US" w:eastAsia="zh-CN"/>
              </w:rPr>
              <w:t>代理</w:t>
            </w:r>
            <w:r>
              <w:rPr>
                <w:rFonts w:hint="eastAsia"/>
                <w:color w:val="000000"/>
                <w:highlight w:val="none"/>
              </w:rPr>
              <w:t>机构</w:t>
            </w:r>
            <w:r>
              <w:rPr>
                <w:rFonts w:hint="eastAsia"/>
                <w:color w:val="000000"/>
                <w:szCs w:val="21"/>
                <w:highlight w:val="none"/>
              </w:rPr>
              <w:t>。</w:t>
            </w:r>
          </w:p>
        </w:tc>
      </w:tr>
      <w:tr w14:paraId="268E6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29F742A1">
            <w:pPr>
              <w:keepNext w:val="0"/>
              <w:keepLines w:val="0"/>
              <w:pageBreakBefore w:val="0"/>
              <w:kinsoku/>
              <w:wordWrap/>
              <w:overflowPunct/>
              <w:topLinePunct w:val="0"/>
              <w:bidi w:val="0"/>
              <w:snapToGrid/>
              <w:spacing w:line="370" w:lineRule="atLeas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2009" w:type="dxa"/>
            <w:noWrap w:val="0"/>
            <w:vAlign w:val="center"/>
          </w:tcPr>
          <w:p w14:paraId="67F5B193">
            <w:pPr>
              <w:keepNext w:val="0"/>
              <w:keepLines w:val="0"/>
              <w:pageBreakBefore w:val="0"/>
              <w:kinsoku/>
              <w:wordWrap/>
              <w:overflowPunct/>
              <w:topLinePunct w:val="0"/>
              <w:bidi w:val="0"/>
              <w:snapToGrid/>
              <w:spacing w:line="37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温馨提醒</w:t>
            </w:r>
          </w:p>
        </w:tc>
        <w:tc>
          <w:tcPr>
            <w:tcW w:w="6620" w:type="dxa"/>
            <w:noWrap w:val="0"/>
            <w:vAlign w:val="center"/>
          </w:tcPr>
          <w:p w14:paraId="3BE6EE0D">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1．请务必确保投标文件制作客户端为最新版本，旧版本可能导致投标文件解密失败。</w:t>
            </w:r>
          </w:p>
          <w:p w14:paraId="059F3AA5">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2．请务必确保投标文件制作时所用的CA锁与投标文件解密时的CA锁为同一把，否则可能导致投标文件解密失败。</w:t>
            </w:r>
          </w:p>
          <w:p w14:paraId="38C9E0F1">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3．在投标文件解密前，请务必检验CA锁与所用电脑的兼容性，部分电脑因CA驱动未正常安装、USB接口兼容性差等原因可能造成投标文件解密失败。</w:t>
            </w:r>
          </w:p>
          <w:p w14:paraId="24FE7993">
            <w:pPr>
              <w:keepNext w:val="0"/>
              <w:keepLines w:val="0"/>
              <w:pageBreakBefore w:val="0"/>
              <w:kinsoku/>
              <w:wordWrap/>
              <w:overflowPunct/>
              <w:topLinePunct w:val="0"/>
              <w:bidi w:val="0"/>
              <w:snapToGrid/>
              <w:spacing w:line="370" w:lineRule="atLeast"/>
              <w:textAlignment w:val="auto"/>
              <w:rPr>
                <w:rFonts w:hint="eastAsia" w:ascii="宋体" w:hAnsi="宋体" w:eastAsia="宋体" w:cs="宋体"/>
                <w:bCs/>
                <w:color w:val="000000"/>
                <w:kern w:val="0"/>
                <w:sz w:val="21"/>
                <w:szCs w:val="21"/>
              </w:rPr>
            </w:pPr>
            <w:r>
              <w:rPr>
                <w:rFonts w:hint="eastAsia" w:ascii="宋体" w:hAnsi="宋体" w:eastAsia="宋体" w:cs="宋体"/>
                <w:b/>
                <w:bCs w:val="0"/>
                <w:color w:val="000000"/>
                <w:kern w:val="0"/>
                <w:sz w:val="21"/>
                <w:szCs w:val="21"/>
              </w:rPr>
              <w:t>4．供应商未按采购文件规定及提醒操作的，引起的一切后果由供应商自行负责。</w:t>
            </w:r>
          </w:p>
        </w:tc>
      </w:tr>
    </w:tbl>
    <w:p w14:paraId="6A7CDC8F">
      <w:pPr>
        <w:spacing w:line="360" w:lineRule="auto"/>
        <w:jc w:val="center"/>
        <w:outlineLvl w:val="1"/>
        <w:rPr>
          <w:rFonts w:ascii="Arial" w:hAnsi="宋体" w:cs="Arial"/>
          <w:b/>
          <w:bCs/>
          <w:color w:val="000000"/>
          <w:sz w:val="30"/>
        </w:rPr>
      </w:pPr>
      <w:bookmarkStart w:id="37" w:name="_Toc2306"/>
      <w:r>
        <w:rPr>
          <w:rFonts w:ascii="Arial" w:hAnsi="宋体" w:cs="Arial"/>
          <w:b/>
          <w:bCs/>
          <w:color w:val="000000"/>
          <w:sz w:val="28"/>
        </w:rPr>
        <w:br w:type="page"/>
      </w:r>
      <w:r>
        <w:rPr>
          <w:rFonts w:ascii="Arial" w:hAnsi="宋体" w:cs="Arial"/>
          <w:b/>
          <w:bCs/>
          <w:color w:val="000000"/>
          <w:sz w:val="28"/>
        </w:rPr>
        <w:t>（</w:t>
      </w:r>
      <w:r>
        <w:rPr>
          <w:rFonts w:hint="eastAsia" w:ascii="Arial" w:hAnsi="宋体" w:cs="Arial"/>
          <w:b/>
          <w:bCs/>
          <w:color w:val="000000"/>
          <w:sz w:val="28"/>
        </w:rPr>
        <w:t>二</w:t>
      </w:r>
      <w:r>
        <w:rPr>
          <w:rFonts w:ascii="Arial" w:hAnsi="宋体" w:cs="Arial"/>
          <w:b/>
          <w:bCs/>
          <w:color w:val="000000"/>
          <w:sz w:val="28"/>
        </w:rPr>
        <w:t>）总</w:t>
      </w:r>
      <w:r>
        <w:rPr>
          <w:rFonts w:ascii="Arial" w:hAnsi="Arial" w:cs="Arial"/>
          <w:b/>
          <w:bCs/>
          <w:color w:val="000000"/>
          <w:sz w:val="28"/>
        </w:rPr>
        <w:t xml:space="preserve"> </w:t>
      </w:r>
      <w:r>
        <w:rPr>
          <w:rFonts w:ascii="Arial" w:hAnsi="宋体" w:cs="Arial"/>
          <w:b/>
          <w:bCs/>
          <w:color w:val="000000"/>
          <w:sz w:val="28"/>
        </w:rPr>
        <w:t>则</w:t>
      </w:r>
      <w:bookmarkEnd w:id="37"/>
    </w:p>
    <w:p w14:paraId="635B83A4">
      <w:pPr>
        <w:numPr>
          <w:ilvl w:val="0"/>
          <w:numId w:val="6"/>
        </w:numPr>
        <w:snapToGrid w:val="0"/>
        <w:spacing w:line="360" w:lineRule="auto"/>
        <w:ind w:left="538" w:hanging="538" w:hangingChars="255"/>
        <w:rPr>
          <w:rFonts w:hint="eastAsia" w:ascii="宋体" w:hAnsi="宋体" w:eastAsia="宋体" w:cs="宋体"/>
          <w:b/>
          <w:color w:val="000000"/>
        </w:rPr>
      </w:pPr>
      <w:r>
        <w:rPr>
          <w:rFonts w:hint="eastAsia" w:ascii="宋体" w:hAnsi="宋体" w:eastAsia="宋体" w:cs="宋体"/>
          <w:b/>
          <w:color w:val="000000"/>
        </w:rPr>
        <w:t>说明</w:t>
      </w:r>
    </w:p>
    <w:p w14:paraId="0D679145">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rPr>
        <w:t>本次招标工作是按照《</w:t>
      </w:r>
      <w:r>
        <w:rPr>
          <w:rFonts w:hint="eastAsia" w:ascii="宋体" w:hAnsi="宋体" w:eastAsia="宋体" w:cs="宋体"/>
          <w:color w:val="000000"/>
          <w:lang w:eastAsia="zh-CN"/>
        </w:rPr>
        <w:t>温州市市属国有企业采购管理办法</w:t>
      </w:r>
      <w:r>
        <w:rPr>
          <w:rFonts w:hint="eastAsia" w:ascii="宋体" w:hAnsi="宋体" w:eastAsia="宋体" w:cs="宋体"/>
          <w:color w:val="000000"/>
        </w:rPr>
        <w:t>》和浙江省及项目所在地的有关</w:t>
      </w:r>
      <w:r>
        <w:rPr>
          <w:rFonts w:hint="eastAsia" w:ascii="宋体" w:hAnsi="宋体" w:eastAsia="宋体" w:cs="宋体"/>
          <w:color w:val="000000"/>
          <w:lang w:val="en-US" w:eastAsia="zh-CN"/>
        </w:rPr>
        <w:t>国企采购相关</w:t>
      </w:r>
      <w:r>
        <w:rPr>
          <w:rFonts w:hint="eastAsia" w:ascii="宋体" w:hAnsi="宋体" w:eastAsia="宋体" w:cs="宋体"/>
          <w:color w:val="000000"/>
        </w:rPr>
        <w:t>规定，结合本项目的实际，组织和实施。</w:t>
      </w:r>
    </w:p>
    <w:p w14:paraId="19ED34EA">
      <w:pPr>
        <w:numPr>
          <w:ilvl w:val="0"/>
          <w:numId w:val="6"/>
        </w:numPr>
        <w:snapToGrid w:val="0"/>
        <w:spacing w:line="360" w:lineRule="auto"/>
        <w:ind w:left="841" w:hanging="841" w:hangingChars="399"/>
        <w:rPr>
          <w:rFonts w:hint="eastAsia" w:ascii="宋体" w:hAnsi="宋体" w:eastAsia="宋体" w:cs="宋体"/>
          <w:b/>
          <w:color w:val="000000"/>
        </w:rPr>
      </w:pPr>
      <w:r>
        <w:rPr>
          <w:rFonts w:hint="eastAsia" w:ascii="宋体" w:hAnsi="宋体" w:eastAsia="宋体" w:cs="宋体"/>
          <w:b/>
          <w:color w:val="000000"/>
        </w:rPr>
        <w:t>定义及解释</w:t>
      </w:r>
    </w:p>
    <w:p w14:paraId="14160CFF">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lang w:eastAsia="zh-CN"/>
        </w:rPr>
        <w:t>采购人</w:t>
      </w:r>
      <w:r>
        <w:rPr>
          <w:rFonts w:hint="eastAsia" w:ascii="宋体" w:hAnsi="宋体" w:eastAsia="宋体" w:cs="宋体"/>
          <w:color w:val="000000"/>
        </w:rPr>
        <w:t>：</w:t>
      </w:r>
      <w:r>
        <w:rPr>
          <w:rFonts w:hint="eastAsia" w:ascii="宋体" w:hAnsi="宋体" w:eastAsia="宋体" w:cs="宋体"/>
          <w:color w:val="000000"/>
          <w:szCs w:val="21"/>
          <w:lang w:eastAsia="zh-CN"/>
        </w:rPr>
        <w:t>文成县城市发展集团有限公司</w:t>
      </w:r>
      <w:r>
        <w:rPr>
          <w:rFonts w:hint="eastAsia" w:ascii="宋体" w:hAnsi="宋体" w:eastAsia="宋体" w:cs="宋体"/>
          <w:color w:val="000000"/>
        </w:rPr>
        <w:t>。</w:t>
      </w:r>
    </w:p>
    <w:p w14:paraId="46F5389D">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lang w:eastAsia="zh-CN"/>
        </w:rPr>
        <w:t>采购代理机构</w:t>
      </w:r>
      <w:r>
        <w:rPr>
          <w:rFonts w:hint="eastAsia" w:ascii="宋体" w:hAnsi="宋体" w:eastAsia="宋体" w:cs="宋体"/>
          <w:color w:val="000000"/>
        </w:rPr>
        <w:t>：</w:t>
      </w:r>
      <w:r>
        <w:rPr>
          <w:rFonts w:hint="eastAsia" w:ascii="宋体" w:hAnsi="宋体" w:eastAsia="宋体" w:cs="宋体"/>
          <w:color w:val="000000"/>
          <w:lang w:eastAsia="zh-CN"/>
        </w:rPr>
        <w:t>浙江信达咨询监理有限公司</w:t>
      </w:r>
      <w:r>
        <w:rPr>
          <w:rFonts w:hint="eastAsia" w:ascii="宋体" w:hAnsi="宋体" w:eastAsia="宋体" w:cs="宋体"/>
          <w:color w:val="000000"/>
        </w:rPr>
        <w:t>。</w:t>
      </w:r>
    </w:p>
    <w:p w14:paraId="0D8B7797">
      <w:pPr>
        <w:numPr>
          <w:ilvl w:val="1"/>
          <w:numId w:val="6"/>
        </w:numPr>
        <w:tabs>
          <w:tab w:val="left" w:pos="592"/>
        </w:tabs>
        <w:snapToGrid w:val="0"/>
        <w:spacing w:line="360" w:lineRule="auto"/>
        <w:ind w:left="588" w:hanging="588" w:hangingChars="280"/>
        <w:rPr>
          <w:rFonts w:hint="eastAsia" w:ascii="宋体" w:hAnsi="宋体" w:eastAsia="宋体" w:cs="宋体"/>
          <w:b/>
          <w:color w:val="000000"/>
        </w:rPr>
      </w:pPr>
      <w:r>
        <w:rPr>
          <w:rFonts w:hint="eastAsia" w:ascii="宋体" w:hAnsi="宋体" w:eastAsia="宋体" w:cs="宋体"/>
          <w:color w:val="000000"/>
        </w:rPr>
        <w:t>投标供应商：系响应招标、参加投标竞争的依法成立的供应商。</w:t>
      </w:r>
    </w:p>
    <w:p w14:paraId="5A6FA597">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rPr>
        <w:t>中标供应商：系在本次招标中，中标的投标供应商。</w:t>
      </w:r>
    </w:p>
    <w:p w14:paraId="050A15BC">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rPr>
        <w:t>评标委员会：评标委员会是依据《</w:t>
      </w:r>
      <w:r>
        <w:rPr>
          <w:rFonts w:hint="eastAsia" w:ascii="宋体" w:hAnsi="宋体" w:eastAsia="宋体" w:cs="宋体"/>
          <w:color w:val="000000"/>
          <w:lang w:eastAsia="zh-CN"/>
        </w:rPr>
        <w:t>温州市市属国有企业采购管理办法</w:t>
      </w:r>
      <w:r>
        <w:rPr>
          <w:rFonts w:hint="eastAsia" w:ascii="宋体" w:hAnsi="宋体" w:eastAsia="宋体" w:cs="宋体"/>
          <w:color w:val="000000"/>
        </w:rPr>
        <w:t>》和浙江省及项目所在地的有关</w:t>
      </w:r>
      <w:r>
        <w:rPr>
          <w:rFonts w:hint="eastAsia" w:ascii="宋体" w:hAnsi="宋体" w:eastAsia="宋体" w:cs="宋体"/>
          <w:color w:val="000000"/>
          <w:lang w:val="en-US" w:eastAsia="zh-CN"/>
        </w:rPr>
        <w:t>国企采购相关</w:t>
      </w:r>
      <w:r>
        <w:rPr>
          <w:rFonts w:hint="eastAsia" w:ascii="宋体" w:hAnsi="宋体" w:eastAsia="宋体" w:cs="宋体"/>
          <w:color w:val="000000"/>
        </w:rPr>
        <w:t>规定，结合本项目的实际组建的专门负责招标评标工作的临时性机构。</w:t>
      </w:r>
    </w:p>
    <w:p w14:paraId="2DF5314A">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rPr>
        <w:t>日期：指公历日。</w:t>
      </w:r>
    </w:p>
    <w:p w14:paraId="52763794">
      <w:pPr>
        <w:numPr>
          <w:ilvl w:val="1"/>
          <w:numId w:val="6"/>
        </w:numPr>
        <w:tabs>
          <w:tab w:val="left" w:pos="592"/>
        </w:tabs>
        <w:snapToGrid w:val="0"/>
        <w:spacing w:line="360" w:lineRule="auto"/>
        <w:ind w:left="588" w:hanging="588" w:hangingChars="280"/>
        <w:rPr>
          <w:rFonts w:hint="eastAsia" w:ascii="宋体" w:hAnsi="宋体" w:eastAsia="宋体" w:cs="宋体"/>
          <w:b w:val="0"/>
          <w:bCs/>
          <w:color w:val="000000"/>
        </w:rPr>
      </w:pPr>
      <w:r>
        <w:rPr>
          <w:rFonts w:hint="eastAsia" w:ascii="宋体" w:hAnsi="宋体" w:eastAsia="宋体" w:cs="宋体"/>
          <w:color w:val="000000"/>
        </w:rPr>
        <w:t>合同：指由招标所产生的合同或合约文件。</w:t>
      </w:r>
    </w:p>
    <w:p w14:paraId="10C0561E">
      <w:pPr>
        <w:numPr>
          <w:ilvl w:val="1"/>
          <w:numId w:val="6"/>
        </w:numPr>
        <w:tabs>
          <w:tab w:val="left" w:pos="592"/>
        </w:tabs>
        <w:snapToGrid w:val="0"/>
        <w:spacing w:line="360" w:lineRule="auto"/>
        <w:ind w:left="588" w:hanging="590" w:hangingChars="280"/>
        <w:rPr>
          <w:rFonts w:hint="eastAsia" w:ascii="宋体" w:hAnsi="宋体" w:eastAsia="宋体" w:cs="宋体"/>
          <w:b/>
          <w:bCs/>
          <w:color w:val="000000"/>
        </w:rPr>
      </w:pPr>
      <w:r>
        <w:rPr>
          <w:rFonts w:hint="eastAsia" w:ascii="宋体" w:hAnsi="宋体" w:eastAsia="宋体" w:cs="宋体"/>
          <w:b/>
          <w:bCs/>
          <w:color w:val="000000"/>
        </w:rPr>
        <w:t>电子加密投标文件：指通过“乐采云电子投标客户端”完成投标文件编制后生成并加密的数据电文 形式的投标文件，文件后缀格式.jmbs。</w:t>
      </w:r>
    </w:p>
    <w:p w14:paraId="5B8B0DAE">
      <w:pPr>
        <w:numPr>
          <w:ilvl w:val="1"/>
          <w:numId w:val="6"/>
        </w:numPr>
        <w:tabs>
          <w:tab w:val="left" w:pos="592"/>
        </w:tabs>
        <w:snapToGrid w:val="0"/>
        <w:spacing w:line="360" w:lineRule="auto"/>
        <w:ind w:left="588" w:hanging="590" w:hangingChars="280"/>
        <w:rPr>
          <w:rFonts w:hint="eastAsia" w:ascii="宋体" w:hAnsi="宋体" w:eastAsia="宋体" w:cs="宋体"/>
          <w:b/>
          <w:bCs/>
          <w:color w:val="000000"/>
        </w:rPr>
      </w:pPr>
      <w:r>
        <w:rPr>
          <w:rFonts w:hint="eastAsia" w:ascii="宋体" w:hAnsi="宋体" w:eastAsia="宋体" w:cs="宋体"/>
          <w:b/>
          <w:bCs/>
          <w:color w:val="000000"/>
        </w:rPr>
        <w:t>备份投标文件：</w:t>
      </w:r>
      <w:r>
        <w:rPr>
          <w:rFonts w:hint="eastAsia" w:ascii="宋体" w:hAnsi="宋体" w:eastAsia="宋体" w:cs="宋体"/>
          <w:b/>
          <w:bCs/>
          <w:color w:val="000000"/>
          <w:lang w:val="en-US" w:eastAsia="zh-CN"/>
        </w:rPr>
        <w:t>不要求。</w:t>
      </w:r>
    </w:p>
    <w:p w14:paraId="2186CEE8">
      <w:pPr>
        <w:numPr>
          <w:ilvl w:val="1"/>
          <w:numId w:val="6"/>
        </w:numPr>
        <w:tabs>
          <w:tab w:val="left" w:pos="592"/>
        </w:tabs>
        <w:snapToGrid w:val="0"/>
        <w:spacing w:line="360" w:lineRule="auto"/>
        <w:ind w:left="588" w:hanging="590" w:hangingChars="280"/>
        <w:rPr>
          <w:rFonts w:hint="eastAsia" w:ascii="宋体" w:hAnsi="宋体" w:eastAsia="宋体" w:cs="宋体"/>
          <w:b/>
          <w:bCs/>
          <w:color w:val="000000"/>
        </w:rPr>
      </w:pPr>
      <w:r>
        <w:rPr>
          <w:rFonts w:hint="eastAsia" w:ascii="宋体" w:hAnsi="宋体" w:eastAsia="宋体" w:cs="宋体"/>
          <w:b/>
          <w:bCs/>
          <w:color w:val="000000"/>
        </w:rPr>
        <w:t>电子签章：投标供应商通过“乐采云平台”办理的CA锁加盖的签章。</w:t>
      </w:r>
    </w:p>
    <w:p w14:paraId="274FF7B9">
      <w:pPr>
        <w:numPr>
          <w:ilvl w:val="1"/>
          <w:numId w:val="6"/>
        </w:numPr>
        <w:tabs>
          <w:tab w:val="left" w:pos="592"/>
        </w:tabs>
        <w:snapToGrid w:val="0"/>
        <w:spacing w:line="360" w:lineRule="auto"/>
        <w:ind w:left="588" w:hanging="590" w:hangingChars="280"/>
        <w:rPr>
          <w:rFonts w:hint="eastAsia" w:ascii="宋体" w:hAnsi="宋体" w:eastAsia="宋体" w:cs="宋体"/>
          <w:b/>
          <w:bCs/>
          <w:color w:val="000000"/>
        </w:rPr>
      </w:pPr>
      <w:r>
        <w:rPr>
          <w:rFonts w:hint="eastAsia" w:ascii="宋体" w:hAnsi="宋体" w:eastAsia="宋体" w:cs="宋体"/>
          <w:b/>
          <w:bCs/>
          <w:color w:val="000000"/>
          <w:lang w:val="en-US" w:eastAsia="zh-CN"/>
        </w:rPr>
        <w:t>招标</w:t>
      </w:r>
      <w:r>
        <w:rPr>
          <w:rFonts w:hint="eastAsia" w:ascii="宋体" w:hAnsi="宋体" w:eastAsia="宋体" w:cs="宋体"/>
          <w:b/>
          <w:bCs/>
          <w:color w:val="000000"/>
        </w:rPr>
        <w:t>文件中的标题或题名仅起引导作用，而不应视为对采购文件内容的理解和解释。</w:t>
      </w:r>
    </w:p>
    <w:p w14:paraId="46A27EBF">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rPr>
        <w:t>“书面形式”</w:t>
      </w:r>
      <w:r>
        <w:rPr>
          <w:rFonts w:hint="eastAsia" w:ascii="宋体" w:hAnsi="宋体" w:cs="宋体"/>
          <w:szCs w:val="21"/>
        </w:rPr>
        <w:t>：包括数据电文形式与纸质形式。数据电文形式与纸质形式的采购活动具有同等法律效力</w:t>
      </w:r>
      <w:r>
        <w:rPr>
          <w:rFonts w:hint="eastAsia" w:ascii="宋体" w:hAnsi="宋体" w:eastAsia="宋体" w:cs="宋体"/>
          <w:color w:val="000000"/>
        </w:rPr>
        <w:t>。</w:t>
      </w:r>
    </w:p>
    <w:p w14:paraId="613C2EF8">
      <w:pPr>
        <w:numPr>
          <w:ilvl w:val="0"/>
          <w:numId w:val="6"/>
        </w:numPr>
        <w:snapToGrid w:val="0"/>
        <w:spacing w:line="360" w:lineRule="auto"/>
        <w:ind w:left="841" w:hanging="841" w:hangingChars="399"/>
        <w:rPr>
          <w:rFonts w:hint="eastAsia" w:ascii="宋体" w:hAnsi="宋体" w:eastAsia="宋体" w:cs="宋体"/>
          <w:color w:val="000000"/>
        </w:rPr>
      </w:pPr>
      <w:r>
        <w:rPr>
          <w:rFonts w:hint="eastAsia" w:ascii="宋体" w:hAnsi="宋体" w:eastAsia="宋体" w:cs="宋体"/>
          <w:b/>
          <w:color w:val="000000"/>
        </w:rPr>
        <w:t>合格的投标供应商</w:t>
      </w:r>
    </w:p>
    <w:p w14:paraId="0D808343">
      <w:pPr>
        <w:numPr>
          <w:ilvl w:val="1"/>
          <w:numId w:val="6"/>
        </w:numPr>
        <w:tabs>
          <w:tab w:val="left" w:pos="592"/>
        </w:tabs>
        <w:snapToGrid w:val="0"/>
        <w:spacing w:line="360" w:lineRule="auto"/>
        <w:ind w:left="588" w:hanging="616" w:hangingChars="280"/>
        <w:rPr>
          <w:rFonts w:hint="eastAsia" w:ascii="宋体" w:hAnsi="宋体" w:eastAsia="宋体" w:cs="宋体"/>
          <w:color w:val="000000"/>
          <w:szCs w:val="21"/>
          <w:highlight w:val="none"/>
        </w:rPr>
      </w:pPr>
      <w:r>
        <w:rPr>
          <w:rFonts w:hint="eastAsia" w:ascii="宋体" w:hAnsi="宋体" w:cs="宋体"/>
          <w:kern w:val="0"/>
          <w:sz w:val="22"/>
          <w:szCs w:val="22"/>
        </w:rPr>
        <w:t>符合《温州市市属国有企业采购管理办法》第十五条对投标供应商参加温州市国有企业采购活动应当具备的条件的要求；</w:t>
      </w:r>
    </w:p>
    <w:p w14:paraId="43D77118">
      <w:pPr>
        <w:numPr>
          <w:ilvl w:val="1"/>
          <w:numId w:val="6"/>
        </w:numPr>
        <w:tabs>
          <w:tab w:val="left" w:pos="592"/>
        </w:tabs>
        <w:snapToGrid w:val="0"/>
        <w:spacing w:line="360" w:lineRule="auto"/>
        <w:ind w:left="588" w:hanging="588" w:hangingChars="28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未被“信用中国” ( www.creditchina.gov.cn )、中国政府采购网(www.ccgp.gov.cn ] 列入失信被执行人、重大税收违法案件当事人名单、政府采购严重违法失信行为记录名单。</w:t>
      </w:r>
    </w:p>
    <w:p w14:paraId="5A2B72D4">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szCs w:val="21"/>
        </w:rPr>
        <w:t>本项目的特定资格要求：</w:t>
      </w: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eastAsia="zh-CN"/>
        </w:rPr>
        <w:t>。</w:t>
      </w:r>
    </w:p>
    <w:p w14:paraId="6614158B">
      <w:pPr>
        <w:numPr>
          <w:ilvl w:val="0"/>
          <w:numId w:val="6"/>
        </w:numPr>
        <w:spacing w:line="360" w:lineRule="auto"/>
        <w:ind w:left="841" w:hanging="841" w:hangingChars="399"/>
        <w:rPr>
          <w:rFonts w:hint="eastAsia" w:ascii="宋体" w:hAnsi="宋体" w:eastAsia="宋体" w:cs="宋体"/>
          <w:b/>
          <w:color w:val="000000"/>
        </w:rPr>
      </w:pPr>
      <w:r>
        <w:rPr>
          <w:rFonts w:hint="eastAsia" w:ascii="宋体" w:hAnsi="宋体" w:eastAsia="宋体" w:cs="宋体"/>
          <w:b/>
          <w:color w:val="000000"/>
        </w:rPr>
        <w:t>信用记录：</w:t>
      </w:r>
    </w:p>
    <w:p w14:paraId="40504CF6">
      <w:pPr>
        <w:numPr>
          <w:ilvl w:val="1"/>
          <w:numId w:val="6"/>
        </w:numPr>
        <w:tabs>
          <w:tab w:val="left" w:pos="592"/>
        </w:tabs>
        <w:snapToGrid w:val="0"/>
        <w:spacing w:line="360" w:lineRule="auto"/>
        <w:ind w:left="588" w:hanging="588" w:hangingChars="28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信用信息查询的截止时点：投标截止时间前。</w:t>
      </w:r>
    </w:p>
    <w:p w14:paraId="3A9702F0">
      <w:pPr>
        <w:numPr>
          <w:ilvl w:val="1"/>
          <w:numId w:val="6"/>
        </w:numPr>
        <w:tabs>
          <w:tab w:val="left" w:pos="592"/>
        </w:tabs>
        <w:snapToGrid w:val="0"/>
        <w:spacing w:line="360" w:lineRule="auto"/>
        <w:ind w:left="588" w:hanging="588" w:hangingChars="28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查询渠道与留存方式：</w:t>
      </w:r>
      <w:r>
        <w:rPr>
          <w:rFonts w:hint="eastAsia" w:ascii="宋体" w:hAnsi="宋体" w:eastAsia="宋体" w:cs="宋体"/>
          <w:color w:val="000000"/>
          <w:szCs w:val="21"/>
          <w:highlight w:val="none"/>
          <w:lang w:val="en-US" w:eastAsia="zh-CN"/>
        </w:rPr>
        <w:t>采购代理机构</w:t>
      </w:r>
      <w:r>
        <w:rPr>
          <w:rFonts w:hint="eastAsia" w:ascii="宋体" w:hAnsi="宋体" w:eastAsia="宋体" w:cs="宋体"/>
          <w:color w:val="000000"/>
          <w:szCs w:val="21"/>
          <w:highlight w:val="none"/>
        </w:rPr>
        <w:t>登录“信用中国”（www.creditchina.gov.cn）、“中国政府采购网”（www.ccgp.gov.cn）网站查询各投标供应商信用记录，网页截图并打印存档。</w:t>
      </w:r>
    </w:p>
    <w:p w14:paraId="3D8BB476">
      <w:pPr>
        <w:numPr>
          <w:ilvl w:val="1"/>
          <w:numId w:val="6"/>
        </w:numPr>
        <w:tabs>
          <w:tab w:val="left" w:pos="592"/>
        </w:tabs>
        <w:snapToGrid w:val="0"/>
        <w:spacing w:line="360" w:lineRule="auto"/>
        <w:ind w:left="588" w:hanging="588" w:hangingChars="28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不良信用记录指：被列入失信被执行人、重大税收违法案件当事人名单、政府采购严重违法失信行为记录名单及其他不满足《</w:t>
      </w:r>
      <w:r>
        <w:rPr>
          <w:rFonts w:hint="eastAsia" w:ascii="宋体" w:hAnsi="宋体" w:eastAsia="宋体" w:cs="宋体"/>
          <w:color w:val="000000"/>
          <w:szCs w:val="21"/>
          <w:highlight w:val="none"/>
          <w:lang w:eastAsia="zh-CN"/>
        </w:rPr>
        <w:t>温州市市属国有企业采购管理办法</w:t>
      </w:r>
      <w:r>
        <w:rPr>
          <w:rFonts w:hint="eastAsia" w:ascii="宋体" w:hAnsi="宋体" w:eastAsia="宋体" w:cs="宋体"/>
          <w:color w:val="000000"/>
          <w:szCs w:val="21"/>
          <w:highlight w:val="none"/>
        </w:rPr>
        <w:t>》第十二条规定条件。存在不良信用记录的投标供应商，将被拒绝参与采购活动。</w:t>
      </w:r>
    </w:p>
    <w:p w14:paraId="689BF29D">
      <w:pPr>
        <w:numPr>
          <w:ilvl w:val="0"/>
          <w:numId w:val="6"/>
        </w:numPr>
        <w:spacing w:line="360" w:lineRule="auto"/>
        <w:ind w:left="841" w:hanging="841" w:hangingChars="399"/>
        <w:rPr>
          <w:rFonts w:hint="eastAsia" w:ascii="宋体" w:hAnsi="宋体" w:eastAsia="宋体" w:cs="宋体"/>
          <w:b/>
          <w:color w:val="000000"/>
        </w:rPr>
      </w:pPr>
      <w:r>
        <w:rPr>
          <w:rFonts w:hint="eastAsia" w:ascii="宋体" w:hAnsi="宋体" w:eastAsia="宋体" w:cs="宋体"/>
          <w:b/>
          <w:color w:val="000000"/>
        </w:rPr>
        <w:t>联合体投标：本项目不接受。</w:t>
      </w:r>
    </w:p>
    <w:p w14:paraId="0DBE4894">
      <w:pPr>
        <w:numPr>
          <w:ilvl w:val="0"/>
          <w:numId w:val="6"/>
        </w:numPr>
        <w:spacing w:line="360" w:lineRule="auto"/>
        <w:ind w:left="841" w:hanging="841" w:hangingChars="399"/>
        <w:rPr>
          <w:rFonts w:hint="eastAsia" w:ascii="宋体" w:hAnsi="宋体" w:eastAsia="宋体" w:cs="宋体"/>
          <w:b/>
          <w:color w:val="000000"/>
        </w:rPr>
      </w:pPr>
      <w:r>
        <w:rPr>
          <w:rFonts w:hint="eastAsia" w:ascii="宋体" w:hAnsi="宋体" w:eastAsia="宋体" w:cs="宋体"/>
          <w:b/>
          <w:color w:val="000000"/>
        </w:rPr>
        <w:t>保密与披露事项</w:t>
      </w:r>
    </w:p>
    <w:p w14:paraId="4CD3B07F">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rPr>
        <w:t>投标供应商不得串通，以不正当的手段妨碍排挤其他投标供应商，扰乱市场，破坏公平竞争原则。</w:t>
      </w:r>
    </w:p>
    <w:p w14:paraId="1949A6D5">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rPr>
        <w:t>投标供应商自购买招标文件之日起，须承诺承担本招标项目的保密义务，不得将因本次招标获得的信息向第三方外传。</w:t>
      </w:r>
    </w:p>
    <w:p w14:paraId="09984160">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lang w:eastAsia="zh-CN"/>
        </w:rPr>
        <w:t>采购人</w:t>
      </w:r>
      <w:r>
        <w:rPr>
          <w:rFonts w:hint="eastAsia" w:ascii="宋体" w:hAnsi="宋体" w:eastAsia="宋体" w:cs="宋体"/>
          <w:color w:val="000000"/>
        </w:rPr>
        <w:t>有权将投标供应商提供的所有资料向其他政府部门或有关的非政府机构负责评审标书的人员或与评标有关的人员披露。</w:t>
      </w:r>
    </w:p>
    <w:p w14:paraId="6BD41741">
      <w:pPr>
        <w:numPr>
          <w:ilvl w:val="1"/>
          <w:numId w:val="6"/>
        </w:numPr>
        <w:tabs>
          <w:tab w:val="left" w:pos="592"/>
        </w:tabs>
        <w:snapToGrid w:val="0"/>
        <w:spacing w:line="360" w:lineRule="auto"/>
        <w:ind w:left="588" w:hanging="588" w:hangingChars="280"/>
        <w:rPr>
          <w:rFonts w:hint="eastAsia" w:ascii="宋体" w:hAnsi="宋体" w:eastAsia="宋体" w:cs="宋体"/>
          <w:b/>
          <w:color w:val="000000"/>
        </w:rPr>
      </w:pPr>
      <w:r>
        <w:rPr>
          <w:rFonts w:hint="eastAsia" w:ascii="宋体" w:hAnsi="宋体" w:eastAsia="宋体" w:cs="宋体"/>
          <w:color w:val="000000"/>
          <w:lang w:eastAsia="zh-CN"/>
        </w:rPr>
        <w:t>采购人</w:t>
      </w:r>
      <w:r>
        <w:rPr>
          <w:rFonts w:hint="eastAsia" w:ascii="宋体" w:hAnsi="宋体" w:eastAsia="宋体" w:cs="宋体"/>
          <w:color w:val="000000"/>
        </w:rPr>
        <w:t>有权在认为适当时，或在任何第三者提出要求（书面或其他方式）时，无须事先征求中标供应商同意而披露关于已订立合约的资料、中标供应商的名称及地址、中标服务的有关信息以及合约条款等。</w:t>
      </w:r>
    </w:p>
    <w:p w14:paraId="0739C5F5">
      <w:pPr>
        <w:numPr>
          <w:ilvl w:val="0"/>
          <w:numId w:val="6"/>
        </w:numPr>
        <w:snapToGrid w:val="0"/>
        <w:spacing w:line="360" w:lineRule="auto"/>
        <w:ind w:left="841" w:hanging="841" w:hangingChars="399"/>
        <w:rPr>
          <w:rFonts w:hint="eastAsia" w:ascii="宋体" w:hAnsi="宋体" w:eastAsia="宋体" w:cs="宋体"/>
          <w:b/>
          <w:color w:val="000000"/>
        </w:rPr>
      </w:pPr>
      <w:r>
        <w:rPr>
          <w:rFonts w:hint="eastAsia" w:ascii="宋体" w:hAnsi="宋体" w:eastAsia="宋体" w:cs="宋体"/>
          <w:b/>
          <w:color w:val="000000"/>
        </w:rPr>
        <w:t>投标费用</w:t>
      </w:r>
    </w:p>
    <w:p w14:paraId="6404661F">
      <w:pPr>
        <w:numPr>
          <w:ilvl w:val="0"/>
          <w:numId w:val="0"/>
        </w:numPr>
        <w:tabs>
          <w:tab w:val="left" w:pos="640"/>
        </w:tabs>
        <w:kinsoku/>
        <w:wordWrap/>
        <w:topLinePunct w:val="0"/>
        <w:bidi w:val="0"/>
        <w:spacing w:line="360" w:lineRule="auto"/>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7.1  </w:t>
      </w:r>
      <w:r>
        <w:rPr>
          <w:rFonts w:hint="eastAsia" w:ascii="宋体" w:hAnsi="宋体" w:eastAsia="宋体" w:cs="宋体"/>
          <w:color w:val="000000"/>
          <w:sz w:val="21"/>
          <w:szCs w:val="21"/>
          <w:highlight w:val="none"/>
        </w:rPr>
        <w:t>不论投标的结果如何，投标供应商应自行承担所有与参加投标有关的全部费用。</w:t>
      </w:r>
    </w:p>
    <w:p w14:paraId="6C77FB25">
      <w:pPr>
        <w:numPr>
          <w:ilvl w:val="0"/>
          <w:numId w:val="0"/>
        </w:numPr>
        <w:tabs>
          <w:tab w:val="left" w:pos="640"/>
        </w:tabs>
        <w:kinsoku/>
        <w:wordWrap/>
        <w:topLinePunct w:val="0"/>
        <w:bidi w:val="0"/>
        <w:spacing w:line="360" w:lineRule="auto"/>
        <w:ind w:left="630" w:leftChars="0" w:hanging="630" w:hangingChars="300"/>
        <w:rPr>
          <w:rFonts w:hint="eastAsia" w:ascii="宋体" w:hAnsi="宋体" w:eastAsia="宋体" w:cs="宋体"/>
          <w:color w:val="000000"/>
          <w:sz w:val="21"/>
          <w:szCs w:val="21"/>
          <w:highlight w:val="none"/>
          <w:u w:val="wave"/>
        </w:rPr>
      </w:pPr>
      <w:r>
        <w:rPr>
          <w:rFonts w:hint="eastAsia" w:ascii="宋体" w:hAnsi="宋体" w:eastAsia="宋体" w:cs="宋体"/>
          <w:color w:val="000000"/>
          <w:sz w:val="21"/>
          <w:szCs w:val="21"/>
          <w:highlight w:val="none"/>
          <w:lang w:val="en-US" w:eastAsia="zh-CN"/>
        </w:rPr>
        <w:t xml:space="preserve">7.2  </w:t>
      </w:r>
      <w:r>
        <w:rPr>
          <w:rFonts w:hint="eastAsia" w:ascii="宋体" w:hAnsi="宋体" w:eastAsia="宋体" w:cs="宋体"/>
          <w:color w:val="000000"/>
          <w:sz w:val="21"/>
          <w:szCs w:val="21"/>
          <w:highlight w:val="none"/>
        </w:rPr>
        <w:t>投标供应商应按中国税法有关规定交纳税费，</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不承担投标供应商因获得上述补偿金所发生的任何税费。</w:t>
      </w:r>
    </w:p>
    <w:p w14:paraId="083D17FE">
      <w:pPr>
        <w:numPr>
          <w:ilvl w:val="0"/>
          <w:numId w:val="6"/>
        </w:numPr>
        <w:spacing w:line="360" w:lineRule="auto"/>
        <w:ind w:left="841" w:hanging="841" w:hangingChars="399"/>
        <w:rPr>
          <w:rFonts w:hint="eastAsia" w:ascii="宋体" w:hAnsi="宋体" w:eastAsia="宋体" w:cs="宋体"/>
          <w:b/>
          <w:color w:val="000000"/>
        </w:rPr>
      </w:pPr>
      <w:r>
        <w:rPr>
          <w:rFonts w:hint="eastAsia" w:ascii="宋体" w:hAnsi="宋体" w:eastAsia="宋体" w:cs="宋体"/>
          <w:b/>
          <w:color w:val="000000"/>
        </w:rPr>
        <w:t>投标货币：人民币。</w:t>
      </w:r>
    </w:p>
    <w:p w14:paraId="3B2D9B57">
      <w:pPr>
        <w:numPr>
          <w:ilvl w:val="0"/>
          <w:numId w:val="6"/>
        </w:numPr>
        <w:spacing w:line="360" w:lineRule="auto"/>
        <w:ind w:left="841" w:hanging="841" w:hangingChars="399"/>
        <w:rPr>
          <w:rFonts w:hint="eastAsia" w:ascii="宋体" w:hAnsi="宋体" w:eastAsia="宋体" w:cs="宋体"/>
          <w:b/>
          <w:color w:val="000000"/>
        </w:rPr>
      </w:pPr>
      <w:r>
        <w:rPr>
          <w:rFonts w:hint="eastAsia" w:ascii="宋体" w:hAnsi="宋体" w:eastAsia="宋体" w:cs="宋体"/>
          <w:b/>
          <w:color w:val="000000"/>
        </w:rPr>
        <w:t>踏勘现场</w:t>
      </w:r>
    </w:p>
    <w:p w14:paraId="26F13CEA">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rPr>
        <w:t>投标供应商自行前往现场踏勘，以便投标供应商获取有关编制投标文件和签署合同所涉及现场的资料，投标供应商承担现场踏勘所发生的费用。</w:t>
      </w:r>
    </w:p>
    <w:p w14:paraId="7EC11336">
      <w:pPr>
        <w:numPr>
          <w:ilvl w:val="1"/>
          <w:numId w:val="6"/>
        </w:numPr>
        <w:tabs>
          <w:tab w:val="left" w:pos="592"/>
        </w:tabs>
        <w:snapToGrid w:val="0"/>
        <w:spacing w:line="360" w:lineRule="auto"/>
        <w:ind w:left="588" w:hanging="588" w:hangingChars="280"/>
        <w:rPr>
          <w:rFonts w:hint="eastAsia" w:ascii="宋体" w:hAnsi="宋体" w:eastAsia="宋体" w:cs="宋体"/>
          <w:color w:val="000000"/>
        </w:rPr>
      </w:pPr>
      <w:r>
        <w:rPr>
          <w:rFonts w:hint="eastAsia" w:ascii="宋体" w:hAnsi="宋体" w:eastAsia="宋体" w:cs="宋体"/>
          <w:color w:val="000000"/>
        </w:rPr>
        <w:t>投标供应商由于对现场条件不了解而造成中标后发生一切不良后果和风险，均由投标供应商自负。</w:t>
      </w:r>
    </w:p>
    <w:p w14:paraId="0DF256A4">
      <w:pPr>
        <w:numPr>
          <w:ilvl w:val="0"/>
          <w:numId w:val="6"/>
        </w:numPr>
        <w:spacing w:line="360" w:lineRule="auto"/>
        <w:ind w:left="841" w:hanging="841" w:hangingChars="399"/>
        <w:rPr>
          <w:rFonts w:hint="eastAsia" w:ascii="宋体" w:hAnsi="宋体" w:eastAsia="宋体" w:cs="宋体"/>
          <w:b/>
          <w:color w:val="000000"/>
        </w:rPr>
      </w:pPr>
      <w:r>
        <w:rPr>
          <w:rFonts w:hint="eastAsia" w:ascii="宋体" w:hAnsi="宋体" w:eastAsia="宋体" w:cs="宋体"/>
          <w:b/>
          <w:color w:val="000000"/>
        </w:rPr>
        <w:t>投标委托</w:t>
      </w:r>
    </w:p>
    <w:p w14:paraId="4B6FC9CA">
      <w:pPr>
        <w:numPr>
          <w:ilvl w:val="0"/>
          <w:numId w:val="0"/>
        </w:numPr>
        <w:kinsoku/>
        <w:wordWrap/>
        <w:topLinePunct w:val="0"/>
        <w:bidi w:val="0"/>
        <w:spacing w:line="480" w:lineRule="auto"/>
        <w:ind w:left="630" w:leftChars="0" w:hanging="630" w:hangingChars="300"/>
        <w:rPr>
          <w:rFonts w:hint="eastAsia" w:ascii="宋体" w:hAnsi="宋体" w:eastAsia="宋体" w:cs="宋体"/>
          <w:color w:val="000000"/>
          <w:sz w:val="21"/>
          <w:szCs w:val="21"/>
          <w:highlight w:val="none"/>
        </w:rPr>
      </w:pPr>
      <w:r>
        <w:rPr>
          <w:rFonts w:hint="eastAsia" w:ascii="宋体" w:hAnsi="宋体" w:eastAsia="宋体" w:cs="宋体"/>
          <w:color w:val="000000"/>
          <w:lang w:val="en-US" w:eastAsia="zh-CN"/>
        </w:rPr>
        <w:t xml:space="preserve">10.1  </w:t>
      </w:r>
      <w:r>
        <w:rPr>
          <w:rFonts w:hint="eastAsia" w:ascii="宋体" w:hAnsi="宋体" w:eastAsia="宋体" w:cs="宋体"/>
          <w:color w:val="000000"/>
        </w:rPr>
        <w:t>如投标供应商</w:t>
      </w:r>
      <w:r>
        <w:rPr>
          <w:rFonts w:hint="eastAsia" w:ascii="宋体" w:hAnsi="宋体" w:eastAsia="宋体" w:cs="宋体"/>
          <w:color w:val="000000"/>
          <w:sz w:val="21"/>
          <w:szCs w:val="21"/>
          <w:highlight w:val="none"/>
        </w:rPr>
        <w:t>代表不是法定代表人，须持有《法定代表人授权委托书》，</w:t>
      </w:r>
      <w:r>
        <w:rPr>
          <w:rFonts w:hint="eastAsia" w:ascii="宋体" w:hAnsi="宋体" w:eastAsia="宋体" w:cs="宋体"/>
          <w:b/>
          <w:color w:val="000000"/>
          <w:sz w:val="21"/>
          <w:szCs w:val="21"/>
          <w:highlight w:val="none"/>
        </w:rPr>
        <w:t>授权委托书需具备以下几项条件。</w:t>
      </w:r>
    </w:p>
    <w:p w14:paraId="19835A66">
      <w:pPr>
        <w:kinsoku/>
        <w:wordWrap/>
        <w:topLinePunct w:val="0"/>
        <w:bidi w:val="0"/>
        <w:spacing w:line="480" w:lineRule="auto"/>
        <w:ind w:left="638" w:leftChars="304"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a.加盖单位公章</w:t>
      </w:r>
    </w:p>
    <w:p w14:paraId="02FC9B0C">
      <w:pPr>
        <w:kinsoku/>
        <w:wordWrap/>
        <w:topLinePunct w:val="0"/>
        <w:bidi w:val="0"/>
        <w:spacing w:line="480" w:lineRule="auto"/>
        <w:ind w:left="638" w:leftChars="304"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b.法定代表人签字或盖章</w:t>
      </w:r>
    </w:p>
    <w:p w14:paraId="67D71662">
      <w:pPr>
        <w:kinsoku/>
        <w:wordWrap/>
        <w:topLinePunct w:val="0"/>
        <w:bidi w:val="0"/>
        <w:spacing w:line="480" w:lineRule="auto"/>
        <w:ind w:left="638" w:leftChars="304"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c.授权代表身份证件</w:t>
      </w:r>
      <w:r>
        <w:rPr>
          <w:rFonts w:hint="eastAsia" w:ascii="宋体" w:hAnsi="宋体" w:eastAsia="宋体" w:cs="宋体"/>
          <w:color w:val="000000"/>
          <w:sz w:val="21"/>
          <w:szCs w:val="21"/>
          <w:highlight w:val="none"/>
          <w:lang w:val="en-US" w:eastAsia="zh-CN"/>
        </w:rPr>
        <w:t>复印件</w:t>
      </w:r>
    </w:p>
    <w:p w14:paraId="657F4D1C">
      <w:pPr>
        <w:numPr>
          <w:ilvl w:val="0"/>
          <w:numId w:val="0"/>
        </w:numPr>
        <w:tabs>
          <w:tab w:val="left" w:pos="592"/>
        </w:tabs>
        <w:snapToGrid w:val="0"/>
        <w:spacing w:line="360" w:lineRule="auto"/>
        <w:ind w:leftChars="-280"/>
        <w:rPr>
          <w:rFonts w:hint="eastAsia" w:ascii="宋体" w:hAnsi="宋体" w:eastAsia="宋体" w:cs="宋体"/>
          <w:color w:val="000000"/>
        </w:rPr>
      </w:pPr>
    </w:p>
    <w:p w14:paraId="636A8A7A">
      <w:pPr>
        <w:spacing w:line="360" w:lineRule="auto"/>
        <w:jc w:val="center"/>
        <w:outlineLvl w:val="1"/>
        <w:rPr>
          <w:rFonts w:ascii="Arial" w:hAnsi="宋体" w:cs="Arial"/>
          <w:b/>
          <w:bCs/>
          <w:color w:val="000000"/>
          <w:sz w:val="28"/>
        </w:rPr>
      </w:pPr>
      <w:bookmarkStart w:id="38" w:name="_Toc495977855"/>
      <w:bookmarkStart w:id="39" w:name="_Toc30608"/>
      <w:r>
        <w:rPr>
          <w:rFonts w:ascii="Arial" w:hAnsi="宋体" w:cs="Arial"/>
          <w:b/>
          <w:bCs/>
          <w:color w:val="000000"/>
          <w:sz w:val="28"/>
        </w:rPr>
        <w:t>（</w:t>
      </w:r>
      <w:r>
        <w:rPr>
          <w:rFonts w:hint="eastAsia" w:ascii="Arial" w:hAnsi="宋体" w:cs="Arial"/>
          <w:b/>
          <w:bCs/>
          <w:color w:val="000000"/>
          <w:sz w:val="28"/>
        </w:rPr>
        <w:t>三</w:t>
      </w:r>
      <w:r>
        <w:rPr>
          <w:rFonts w:ascii="Arial" w:hAnsi="宋体" w:cs="Arial"/>
          <w:b/>
          <w:bCs/>
          <w:color w:val="000000"/>
          <w:sz w:val="28"/>
        </w:rPr>
        <w:t>）招标文件</w:t>
      </w:r>
      <w:bookmarkEnd w:id="38"/>
      <w:r>
        <w:rPr>
          <w:rFonts w:ascii="Arial" w:hAnsi="宋体" w:cs="Arial"/>
          <w:b/>
          <w:bCs/>
          <w:color w:val="000000"/>
          <w:sz w:val="28"/>
        </w:rPr>
        <w:t>说明</w:t>
      </w:r>
      <w:bookmarkEnd w:id="39"/>
    </w:p>
    <w:p w14:paraId="4884BD2F">
      <w:pPr>
        <w:numPr>
          <w:ilvl w:val="0"/>
          <w:numId w:val="6"/>
        </w:numPr>
        <w:snapToGrid w:val="0"/>
        <w:spacing w:line="360" w:lineRule="auto"/>
        <w:ind w:left="841" w:hanging="841" w:hangingChars="399"/>
        <w:rPr>
          <w:rFonts w:ascii="Arial" w:hAnsi="Arial" w:cs="Arial"/>
          <w:b/>
          <w:color w:val="000000"/>
        </w:rPr>
      </w:pPr>
      <w:r>
        <w:rPr>
          <w:rFonts w:ascii="Arial" w:hAnsi="宋体" w:cs="Arial"/>
          <w:b/>
          <w:color w:val="000000"/>
        </w:rPr>
        <w:t>招标文件构成</w:t>
      </w:r>
      <w:bookmarkStart w:id="40" w:name="_Hlt509038174"/>
      <w:bookmarkEnd w:id="40"/>
    </w:p>
    <w:p w14:paraId="4F3E4DE8">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招标文件是用以阐明所需货物、服务及工程，以及招标、投标程序和相应的合同条款。</w:t>
      </w:r>
      <w:r>
        <w:rPr>
          <w:rFonts w:ascii="Arial" w:hAnsi="Arial" w:cs="Arial"/>
          <w:color w:val="000000"/>
        </w:rPr>
        <w:t>“</w:t>
      </w:r>
      <w:r>
        <w:rPr>
          <w:rFonts w:ascii="Arial" w:hAnsi="宋体" w:cs="Arial"/>
          <w:color w:val="000000"/>
        </w:rPr>
        <w:t>招标文件</w:t>
      </w:r>
      <w:r>
        <w:rPr>
          <w:rFonts w:ascii="Arial" w:hAnsi="Arial" w:cs="Arial"/>
          <w:color w:val="000000"/>
        </w:rPr>
        <w:t>”</w:t>
      </w:r>
      <w:r>
        <w:rPr>
          <w:rFonts w:ascii="Arial" w:hAnsi="宋体" w:cs="Arial"/>
          <w:color w:val="000000"/>
        </w:rPr>
        <w:t>由下述部分组成：</w:t>
      </w:r>
      <w:r>
        <w:rPr>
          <w:rFonts w:ascii="Arial" w:hAnsi="Arial" w:cs="Arial"/>
          <w:color w:val="000000"/>
        </w:rPr>
        <w:t xml:space="preserve"> </w:t>
      </w:r>
    </w:p>
    <w:p w14:paraId="3540E00A">
      <w:pPr>
        <w:snapToGrid w:val="0"/>
        <w:spacing w:line="360" w:lineRule="auto"/>
        <w:ind w:firstLine="632" w:firstLineChars="300"/>
        <w:rPr>
          <w:rFonts w:ascii="Arial" w:hAnsi="Arial" w:cs="Arial"/>
          <w:b/>
          <w:bCs/>
          <w:color w:val="000000"/>
        </w:rPr>
      </w:pPr>
      <w:r>
        <w:rPr>
          <w:rFonts w:ascii="Arial" w:hAnsi="宋体" w:cs="Arial"/>
          <w:b/>
          <w:bCs/>
          <w:color w:val="000000"/>
        </w:rPr>
        <w:t>第一部分</w:t>
      </w:r>
      <w:r>
        <w:rPr>
          <w:rFonts w:ascii="Arial" w:hAnsi="Arial" w:cs="Arial"/>
          <w:b/>
          <w:bCs/>
          <w:color w:val="000000"/>
        </w:rPr>
        <w:t xml:space="preserve">   </w:t>
      </w:r>
      <w:r>
        <w:rPr>
          <w:rFonts w:hint="eastAsia" w:ascii="Arial" w:hAnsi="宋体" w:cs="Arial"/>
          <w:b/>
          <w:bCs/>
          <w:color w:val="000000"/>
        </w:rPr>
        <w:t>招标公告</w:t>
      </w:r>
    </w:p>
    <w:p w14:paraId="755E6E94">
      <w:pPr>
        <w:snapToGrid w:val="0"/>
        <w:spacing w:line="360" w:lineRule="auto"/>
        <w:ind w:firstLine="632" w:firstLineChars="300"/>
        <w:rPr>
          <w:rFonts w:ascii="Arial" w:hAnsi="Arial" w:cs="Arial"/>
          <w:b/>
          <w:bCs/>
          <w:color w:val="000000"/>
        </w:rPr>
      </w:pPr>
      <w:r>
        <w:rPr>
          <w:rFonts w:ascii="Arial" w:hAnsi="宋体" w:cs="Arial"/>
          <w:b/>
          <w:bCs/>
          <w:color w:val="000000"/>
        </w:rPr>
        <w:t>第二部分</w:t>
      </w:r>
      <w:r>
        <w:rPr>
          <w:rFonts w:ascii="Arial" w:hAnsi="Arial" w:cs="Arial"/>
          <w:b/>
          <w:bCs/>
          <w:color w:val="000000"/>
        </w:rPr>
        <w:t xml:space="preserve">   </w:t>
      </w:r>
      <w:r>
        <w:rPr>
          <w:rFonts w:ascii="Arial" w:hAnsi="宋体" w:cs="Arial"/>
          <w:b/>
          <w:bCs/>
          <w:color w:val="000000"/>
        </w:rPr>
        <w:t>投标须知及前附表</w:t>
      </w:r>
    </w:p>
    <w:p w14:paraId="00B4C5D2">
      <w:pPr>
        <w:snapToGrid w:val="0"/>
        <w:spacing w:line="360" w:lineRule="auto"/>
        <w:ind w:left="836" w:leftChars="304" w:hanging="198" w:hangingChars="94"/>
        <w:rPr>
          <w:rFonts w:ascii="Arial" w:hAnsi="Arial" w:cs="Arial"/>
          <w:b/>
          <w:bCs/>
          <w:color w:val="000000"/>
        </w:rPr>
      </w:pPr>
      <w:r>
        <w:rPr>
          <w:rFonts w:ascii="Arial" w:hAnsi="宋体" w:cs="Arial"/>
          <w:b/>
          <w:bCs/>
          <w:color w:val="000000"/>
        </w:rPr>
        <w:t>第三部分</w:t>
      </w:r>
      <w:r>
        <w:rPr>
          <w:rFonts w:ascii="Arial" w:hAnsi="Arial" w:cs="Arial"/>
          <w:b/>
          <w:bCs/>
          <w:color w:val="000000"/>
        </w:rPr>
        <w:t xml:space="preserve">   </w:t>
      </w:r>
      <w:r>
        <w:rPr>
          <w:rFonts w:hint="eastAsia" w:ascii="Arial" w:hAnsi="宋体" w:cs="Arial"/>
          <w:b/>
          <w:bCs/>
          <w:color w:val="000000"/>
        </w:rPr>
        <w:t>招标内容及要求</w:t>
      </w:r>
    </w:p>
    <w:p w14:paraId="13AD9CEC">
      <w:pPr>
        <w:snapToGrid w:val="0"/>
        <w:spacing w:line="360" w:lineRule="auto"/>
        <w:ind w:left="836" w:leftChars="304" w:hanging="198" w:hangingChars="94"/>
        <w:rPr>
          <w:rFonts w:ascii="Arial" w:hAnsi="Arial" w:cs="Arial"/>
          <w:b/>
          <w:bCs/>
          <w:color w:val="000000"/>
        </w:rPr>
      </w:pPr>
      <w:r>
        <w:rPr>
          <w:rFonts w:ascii="Arial" w:hAnsi="宋体" w:cs="Arial"/>
          <w:b/>
          <w:bCs/>
          <w:color w:val="000000"/>
        </w:rPr>
        <w:t>第四部分</w:t>
      </w:r>
      <w:r>
        <w:rPr>
          <w:rFonts w:ascii="Arial" w:hAnsi="Arial" w:cs="Arial"/>
          <w:b/>
          <w:bCs/>
          <w:color w:val="000000"/>
        </w:rPr>
        <w:t xml:space="preserve">   </w:t>
      </w:r>
      <w:r>
        <w:rPr>
          <w:rFonts w:ascii="Arial" w:hAnsi="宋体" w:cs="Arial"/>
          <w:b/>
          <w:bCs/>
          <w:color w:val="000000"/>
        </w:rPr>
        <w:t>合同条款</w:t>
      </w:r>
    </w:p>
    <w:p w14:paraId="3D39F5AF">
      <w:pPr>
        <w:snapToGrid w:val="0"/>
        <w:spacing w:line="360" w:lineRule="auto"/>
        <w:ind w:left="836" w:leftChars="304" w:hanging="198" w:hangingChars="94"/>
        <w:rPr>
          <w:rFonts w:ascii="Arial" w:hAnsi="Arial" w:cs="Arial"/>
          <w:b/>
          <w:bCs/>
          <w:color w:val="000000"/>
        </w:rPr>
      </w:pPr>
      <w:r>
        <w:rPr>
          <w:rFonts w:ascii="Arial" w:hAnsi="宋体" w:cs="Arial"/>
          <w:b/>
          <w:bCs/>
          <w:color w:val="000000"/>
        </w:rPr>
        <w:t>第五部分</w:t>
      </w:r>
      <w:r>
        <w:rPr>
          <w:rFonts w:ascii="Arial" w:hAnsi="Arial" w:cs="Arial"/>
          <w:b/>
          <w:bCs/>
          <w:color w:val="000000"/>
        </w:rPr>
        <w:t xml:space="preserve">   </w:t>
      </w:r>
      <w:r>
        <w:rPr>
          <w:rFonts w:ascii="Arial" w:hAnsi="宋体" w:cs="Arial"/>
          <w:b/>
          <w:bCs/>
          <w:color w:val="000000"/>
        </w:rPr>
        <w:t>投标文件格式</w:t>
      </w:r>
    </w:p>
    <w:p w14:paraId="0B817E3C">
      <w:pPr>
        <w:snapToGrid w:val="0"/>
        <w:spacing w:line="360" w:lineRule="auto"/>
        <w:ind w:left="836" w:leftChars="304" w:hanging="198" w:hangingChars="94"/>
        <w:rPr>
          <w:rFonts w:ascii="Arial" w:hAnsi="Arial" w:cs="Arial"/>
          <w:b/>
          <w:bCs/>
          <w:color w:val="000000"/>
        </w:rPr>
      </w:pPr>
      <w:r>
        <w:rPr>
          <w:rFonts w:ascii="Arial" w:hAnsi="宋体" w:cs="Arial"/>
          <w:b/>
          <w:bCs/>
          <w:color w:val="000000"/>
        </w:rPr>
        <w:t>第六部分</w:t>
      </w:r>
      <w:r>
        <w:rPr>
          <w:rFonts w:ascii="Arial" w:hAnsi="Arial" w:cs="Arial"/>
          <w:b/>
          <w:bCs/>
          <w:color w:val="000000"/>
        </w:rPr>
        <w:t xml:space="preserve">   </w:t>
      </w:r>
      <w:r>
        <w:rPr>
          <w:rFonts w:ascii="Arial" w:hAnsi="宋体" w:cs="Arial"/>
          <w:b/>
          <w:bCs/>
          <w:color w:val="000000"/>
        </w:rPr>
        <w:t>评标办法</w:t>
      </w:r>
    </w:p>
    <w:p w14:paraId="561B18E4">
      <w:pPr>
        <w:snapToGrid w:val="0"/>
        <w:spacing w:line="360" w:lineRule="auto"/>
        <w:ind w:left="836" w:leftChars="304" w:hanging="198" w:hangingChars="94"/>
        <w:rPr>
          <w:rFonts w:ascii="Arial" w:hAnsi="Arial" w:cs="Arial"/>
          <w:color w:val="000000"/>
          <w:sz w:val="30"/>
        </w:rPr>
      </w:pPr>
      <w:r>
        <w:rPr>
          <w:rFonts w:ascii="Arial" w:hAnsi="宋体" w:cs="Arial"/>
          <w:b/>
          <w:bCs/>
          <w:color w:val="000000"/>
        </w:rPr>
        <w:t>第七部分</w:t>
      </w:r>
      <w:r>
        <w:rPr>
          <w:rFonts w:ascii="Arial" w:hAnsi="Arial" w:cs="Arial"/>
          <w:b/>
          <w:bCs/>
          <w:color w:val="000000"/>
        </w:rPr>
        <w:t xml:space="preserve">   </w:t>
      </w:r>
      <w:r>
        <w:rPr>
          <w:rFonts w:ascii="Arial" w:hAnsi="宋体" w:cs="Arial"/>
          <w:b/>
          <w:bCs/>
          <w:color w:val="000000"/>
        </w:rPr>
        <w:t>补充通知及答疑（如有）</w:t>
      </w:r>
    </w:p>
    <w:p w14:paraId="7EE5C43A">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投标供应商应详细阅读招标文件的全部内容。如果投标供应商没有按照招标文件要求提交全部资料或者投标</w:t>
      </w:r>
      <w:r>
        <w:rPr>
          <w:rFonts w:hint="eastAsia" w:ascii="Arial" w:hAnsi="宋体" w:cs="Arial"/>
          <w:color w:val="000000"/>
          <w:lang w:val="en-US" w:eastAsia="zh-CN"/>
        </w:rPr>
        <w:t>文件</w:t>
      </w:r>
      <w:r>
        <w:rPr>
          <w:rFonts w:ascii="Arial" w:hAnsi="宋体" w:cs="Arial"/>
          <w:color w:val="000000"/>
        </w:rPr>
        <w:t>没有对招标文件在各方面的要求都做出实质性响应，是投标供应商的风险。没有实质上响应招标文件要求的投标将被</w:t>
      </w:r>
      <w:r>
        <w:rPr>
          <w:rFonts w:hint="eastAsia" w:ascii="Arial" w:hAnsi="宋体" w:cs="Arial"/>
          <w:color w:val="000000"/>
        </w:rPr>
        <w:t>否决</w:t>
      </w:r>
      <w:r>
        <w:rPr>
          <w:rFonts w:ascii="Arial" w:hAnsi="宋体" w:cs="Arial"/>
          <w:color w:val="000000"/>
        </w:rPr>
        <w:t>。</w:t>
      </w:r>
    </w:p>
    <w:p w14:paraId="7A884B2E">
      <w:pPr>
        <w:numPr>
          <w:ilvl w:val="1"/>
          <w:numId w:val="6"/>
        </w:numPr>
        <w:tabs>
          <w:tab w:val="left" w:pos="592"/>
        </w:tabs>
        <w:snapToGrid w:val="0"/>
        <w:spacing w:line="360" w:lineRule="auto"/>
        <w:ind w:left="566" w:hanging="565" w:hangingChars="280"/>
        <w:rPr>
          <w:rFonts w:ascii="Arial" w:hAnsi="Arial" w:cs="Arial"/>
          <w:snapToGrid w:val="0"/>
          <w:color w:val="000000"/>
          <w:kern w:val="0"/>
          <w:szCs w:val="21"/>
        </w:rPr>
      </w:pPr>
      <w:r>
        <w:rPr>
          <w:rFonts w:ascii="Arial" w:hAnsi="宋体" w:cs="Arial"/>
          <w:snapToGrid w:val="0"/>
          <w:color w:val="000000"/>
          <w:spacing w:val="-4"/>
          <w:kern w:val="0"/>
          <w:szCs w:val="21"/>
        </w:rPr>
        <w:t>本招标文件要求投标供应商作出实质性响应的有关技术和商务条款，将在该条款前以</w:t>
      </w:r>
      <w:r>
        <w:rPr>
          <w:rFonts w:ascii="Arial" w:hAnsi="Arial" w:cs="Arial"/>
          <w:snapToGrid w:val="0"/>
          <w:color w:val="000000"/>
          <w:spacing w:val="-4"/>
          <w:kern w:val="0"/>
          <w:szCs w:val="21"/>
        </w:rPr>
        <w:t>“▲”</w:t>
      </w:r>
      <w:r>
        <w:rPr>
          <w:rFonts w:ascii="Arial" w:hAnsi="宋体" w:cs="Arial"/>
          <w:snapToGrid w:val="0"/>
          <w:color w:val="000000"/>
          <w:spacing w:val="-4"/>
          <w:kern w:val="0"/>
          <w:szCs w:val="21"/>
        </w:rPr>
        <w:t>醒目标识</w:t>
      </w:r>
      <w:r>
        <w:rPr>
          <w:rFonts w:ascii="Arial" w:hAnsi="宋体" w:cs="Arial"/>
          <w:snapToGrid w:val="0"/>
          <w:color w:val="000000"/>
          <w:kern w:val="0"/>
          <w:szCs w:val="21"/>
        </w:rPr>
        <w:t>。</w:t>
      </w:r>
    </w:p>
    <w:p w14:paraId="358381DB">
      <w:pPr>
        <w:numPr>
          <w:ilvl w:val="0"/>
          <w:numId w:val="6"/>
        </w:numPr>
        <w:snapToGrid w:val="0"/>
        <w:spacing w:line="360" w:lineRule="auto"/>
        <w:ind w:left="841" w:hanging="841" w:hangingChars="399"/>
        <w:rPr>
          <w:rFonts w:ascii="Arial" w:hAnsi="Arial" w:cs="Arial"/>
          <w:b/>
          <w:color w:val="000000"/>
        </w:rPr>
      </w:pPr>
      <w:r>
        <w:rPr>
          <w:rFonts w:ascii="Arial" w:hAnsi="宋体" w:cs="Arial"/>
          <w:b/>
          <w:color w:val="000000"/>
        </w:rPr>
        <w:t>招标文件的</w:t>
      </w:r>
      <w:r>
        <w:rPr>
          <w:rFonts w:hint="eastAsia" w:ascii="Arial" w:hAnsi="宋体" w:cs="Arial"/>
          <w:b/>
          <w:color w:val="000000"/>
        </w:rPr>
        <w:t>澄清或修改</w:t>
      </w:r>
    </w:p>
    <w:p w14:paraId="61C76439">
      <w:pPr>
        <w:numPr>
          <w:ilvl w:val="1"/>
          <w:numId w:val="6"/>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lang w:eastAsia="zh-CN"/>
        </w:rPr>
        <w:t>采购人</w:t>
      </w:r>
      <w:r>
        <w:rPr>
          <w:rFonts w:hint="eastAsia" w:ascii="Arial" w:hAnsi="宋体" w:cs="Arial"/>
          <w:color w:val="000000"/>
        </w:rPr>
        <w:t>或采购代理机构可以对已发出的招标文件进行必要的澄清或者修改；澄清或者修改在原公告发布媒体上发布澄清公告；澄清或者修改的内容为招标文件的组成部分。</w:t>
      </w:r>
    </w:p>
    <w:p w14:paraId="3567529D">
      <w:pPr>
        <w:numPr>
          <w:ilvl w:val="1"/>
          <w:numId w:val="6"/>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澄清或者修改的内容可能影响投标文件编制的，</w:t>
      </w:r>
      <w:r>
        <w:rPr>
          <w:rFonts w:hint="eastAsia" w:ascii="Arial" w:hAnsi="宋体" w:cs="Arial"/>
          <w:color w:val="000000"/>
          <w:lang w:eastAsia="zh-CN"/>
        </w:rPr>
        <w:t>采购人</w:t>
      </w:r>
      <w:r>
        <w:rPr>
          <w:rFonts w:hint="eastAsia" w:ascii="Arial" w:hAnsi="宋体" w:cs="Arial"/>
          <w:color w:val="000000"/>
        </w:rPr>
        <w:t>或者采购代理机构可酌情推迟投标的截止日期和开标日期，并在澄清公告中说明。</w:t>
      </w:r>
    </w:p>
    <w:p w14:paraId="4BC3933C">
      <w:pPr>
        <w:numPr>
          <w:ilvl w:val="1"/>
          <w:numId w:val="6"/>
        </w:numPr>
        <w:tabs>
          <w:tab w:val="left" w:pos="592"/>
        </w:tabs>
        <w:snapToGrid w:val="0"/>
        <w:spacing w:line="360" w:lineRule="auto"/>
        <w:ind w:left="588" w:hanging="588" w:hangingChars="280"/>
        <w:rPr>
          <w:rFonts w:ascii="Arial" w:hAnsi="Arial" w:cs="Arial"/>
          <w:color w:val="000000"/>
        </w:rPr>
      </w:pPr>
      <w:r>
        <w:rPr>
          <w:rFonts w:hint="eastAsia" w:ascii="Arial" w:hAnsi="宋体" w:cs="Arial"/>
          <w:color w:val="000000"/>
        </w:rPr>
        <w:t>当招标文件与招标文件的答复、澄清、修改、补充通知就同一内容的表述不一致时，以最后发出的文件为准，对所有投标供应商有约束力。</w:t>
      </w:r>
    </w:p>
    <w:p w14:paraId="459CA10B">
      <w:pPr>
        <w:spacing w:line="360" w:lineRule="auto"/>
        <w:jc w:val="center"/>
        <w:outlineLvl w:val="1"/>
        <w:rPr>
          <w:rFonts w:ascii="Arial" w:hAnsi="宋体" w:cs="Arial"/>
          <w:b/>
          <w:bCs/>
          <w:color w:val="000000"/>
          <w:sz w:val="28"/>
        </w:rPr>
      </w:pPr>
      <w:bookmarkStart w:id="41" w:name="_Toc32627"/>
      <w:r>
        <w:rPr>
          <w:rFonts w:ascii="Arial" w:hAnsi="宋体" w:cs="Arial"/>
          <w:b/>
          <w:bCs/>
          <w:color w:val="000000"/>
          <w:sz w:val="28"/>
        </w:rPr>
        <w:t>（</w:t>
      </w:r>
      <w:r>
        <w:rPr>
          <w:rFonts w:hint="eastAsia" w:ascii="Arial" w:hAnsi="宋体" w:cs="Arial"/>
          <w:b/>
          <w:bCs/>
          <w:color w:val="000000"/>
          <w:sz w:val="28"/>
        </w:rPr>
        <w:t>四</w:t>
      </w:r>
      <w:r>
        <w:rPr>
          <w:rFonts w:ascii="Arial" w:hAnsi="宋体" w:cs="Arial"/>
          <w:b/>
          <w:bCs/>
          <w:color w:val="000000"/>
          <w:sz w:val="28"/>
        </w:rPr>
        <w:t>）投标文件的编制</w:t>
      </w:r>
      <w:bookmarkEnd w:id="41"/>
    </w:p>
    <w:p w14:paraId="4E05172D">
      <w:pPr>
        <w:numPr>
          <w:ilvl w:val="0"/>
          <w:numId w:val="6"/>
        </w:numPr>
        <w:snapToGrid w:val="0"/>
        <w:spacing w:line="360" w:lineRule="auto"/>
        <w:ind w:left="841" w:hanging="841" w:hangingChars="399"/>
        <w:rPr>
          <w:rFonts w:ascii="Arial" w:hAnsi="Arial" w:cs="Arial"/>
          <w:b/>
          <w:bCs/>
          <w:color w:val="000000"/>
        </w:rPr>
      </w:pPr>
      <w:r>
        <w:rPr>
          <w:rFonts w:ascii="Arial" w:hAnsi="宋体" w:cs="Arial"/>
          <w:b/>
          <w:bCs/>
          <w:color w:val="000000"/>
        </w:rPr>
        <w:t>投标文件的语言和计量单位</w:t>
      </w:r>
    </w:p>
    <w:p w14:paraId="43E29868">
      <w:pPr>
        <w:numPr>
          <w:ilvl w:val="1"/>
          <w:numId w:val="6"/>
        </w:numPr>
        <w:tabs>
          <w:tab w:val="left" w:pos="592"/>
        </w:tabs>
        <w:snapToGrid w:val="0"/>
        <w:spacing w:line="360" w:lineRule="auto"/>
        <w:ind w:left="588" w:hanging="588" w:hangingChars="280"/>
        <w:rPr>
          <w:rFonts w:ascii="Arial" w:hAnsi="Arial" w:cs="Arial"/>
          <w:color w:val="000000"/>
          <w:szCs w:val="21"/>
        </w:rPr>
      </w:pPr>
      <w:r>
        <w:rPr>
          <w:rFonts w:ascii="Arial" w:hAnsi="宋体" w:cs="Arial"/>
          <w:color w:val="000000"/>
        </w:rPr>
        <w:t>投标供应商提交的投标</w:t>
      </w:r>
      <w:r>
        <w:rPr>
          <w:rFonts w:hint="eastAsia" w:ascii="Arial" w:hAnsi="宋体" w:cs="Arial"/>
          <w:color w:val="000000"/>
          <w:lang w:val="en-US" w:eastAsia="zh-CN"/>
        </w:rPr>
        <w:t>文件</w:t>
      </w:r>
      <w:r>
        <w:rPr>
          <w:rFonts w:ascii="Arial" w:hAnsi="宋体" w:cs="Arial"/>
          <w:color w:val="000000"/>
        </w:rPr>
        <w:t>以及投标供应商与</w:t>
      </w:r>
      <w:r>
        <w:rPr>
          <w:rFonts w:hint="eastAsia" w:ascii="Arial" w:hAnsi="宋体" w:cs="Arial"/>
          <w:color w:val="000000"/>
          <w:lang w:eastAsia="zh-CN"/>
        </w:rPr>
        <w:t>采购人</w:t>
      </w:r>
      <w:r>
        <w:rPr>
          <w:rFonts w:ascii="Arial" w:hAnsi="宋体" w:cs="Arial"/>
          <w:color w:val="000000"/>
        </w:rPr>
        <w:t>就有关投标的所有来往函电均应使用中文。</w:t>
      </w:r>
    </w:p>
    <w:p w14:paraId="40DAFA5D">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投标文件应字迹清楚、内容齐全、不得涂改。如有修改，修改处须有法定代表人或其</w:t>
      </w:r>
      <w:r>
        <w:rPr>
          <w:rFonts w:hint="eastAsia" w:ascii="Arial" w:hAnsi="宋体" w:cs="Arial"/>
          <w:color w:val="000000"/>
        </w:rPr>
        <w:t>授权代表</w:t>
      </w:r>
      <w:r>
        <w:rPr>
          <w:rFonts w:ascii="Arial" w:hAnsi="宋体" w:cs="Arial"/>
          <w:color w:val="000000"/>
        </w:rPr>
        <w:t>签章。</w:t>
      </w:r>
    </w:p>
    <w:p w14:paraId="7409318F">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投标供应商所提供的技术文件和资料，包括图纸中的说明，应使用中文简化字。所使用的计量单位，应使用国家法定计量单位。</w:t>
      </w:r>
    </w:p>
    <w:p w14:paraId="2D0B4CBE">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投标供应商必须按招标文件的要求提供相关技术参数、资料，包括采用的计量单位，并保证投标文件的正确性和真实性，否则评标委员会将作出不利于其投标的评定。不按招标文件的要求提供的投标文件</w:t>
      </w:r>
      <w:r>
        <w:rPr>
          <w:rFonts w:hint="eastAsia" w:ascii="Arial" w:hAnsi="宋体" w:cs="Arial"/>
          <w:color w:val="000000"/>
        </w:rPr>
        <w:t>可能导致</w:t>
      </w:r>
      <w:r>
        <w:rPr>
          <w:rFonts w:ascii="Arial" w:hAnsi="宋体" w:cs="Arial"/>
          <w:color w:val="000000"/>
        </w:rPr>
        <w:t>无效。</w:t>
      </w:r>
    </w:p>
    <w:p w14:paraId="7FD6D697">
      <w:pPr>
        <w:numPr>
          <w:ilvl w:val="0"/>
          <w:numId w:val="6"/>
        </w:numPr>
        <w:snapToGrid w:val="0"/>
        <w:spacing w:line="360" w:lineRule="auto"/>
        <w:ind w:left="841" w:hanging="841" w:hangingChars="399"/>
        <w:rPr>
          <w:rFonts w:hint="eastAsia" w:ascii="Arial" w:hAnsi="宋体" w:cs="Arial"/>
          <w:b/>
          <w:bCs/>
          <w:color w:val="000000"/>
        </w:rPr>
      </w:pPr>
      <w:r>
        <w:rPr>
          <w:rFonts w:ascii="Arial" w:hAnsi="宋体" w:cs="Arial"/>
          <w:b/>
          <w:bCs/>
          <w:color w:val="000000"/>
        </w:rPr>
        <w:t>投标文件的组成（具体格式详见本文件第五部分，表格可以按同样格式扩展）</w:t>
      </w:r>
    </w:p>
    <w:p w14:paraId="00D0EF0D">
      <w:pPr>
        <w:numPr>
          <w:ilvl w:val="1"/>
          <w:numId w:val="6"/>
        </w:numPr>
        <w:tabs>
          <w:tab w:val="left" w:pos="592"/>
        </w:tabs>
        <w:snapToGrid w:val="0"/>
        <w:spacing w:line="360" w:lineRule="auto"/>
        <w:ind w:left="588" w:hanging="588" w:hangingChars="280"/>
        <w:rPr>
          <w:rFonts w:hint="eastAsia" w:ascii="Arial" w:hAnsi="宋体" w:cs="Arial"/>
          <w:color w:val="000000"/>
        </w:rPr>
      </w:pPr>
      <w:r>
        <w:rPr>
          <w:rFonts w:ascii="Arial" w:hAnsi="宋体" w:cs="Arial"/>
          <w:color w:val="000000"/>
        </w:rPr>
        <w:t>投标文件由</w:t>
      </w:r>
      <w:r>
        <w:rPr>
          <w:rFonts w:hint="eastAsia" w:ascii="Arial" w:hAnsi="宋体" w:cs="Arial"/>
          <w:color w:val="000000"/>
        </w:rPr>
        <w:t>资格文件、技术商务文件、报价文件等三部分组成。</w:t>
      </w:r>
      <w:r>
        <w:rPr>
          <w:rFonts w:hint="eastAsia" w:ascii="Arial" w:hAnsi="宋体" w:cs="Arial"/>
          <w:color w:val="000000"/>
          <w:lang w:val="en-US" w:eastAsia="zh-CN"/>
        </w:rPr>
        <w:tab/>
      </w:r>
    </w:p>
    <w:p w14:paraId="676ECCFB">
      <w:pPr>
        <w:tabs>
          <w:tab w:val="left" w:pos="6358"/>
        </w:tabs>
        <w:snapToGrid w:val="0"/>
        <w:spacing w:line="380" w:lineRule="exact"/>
        <w:ind w:left="567"/>
        <w:rPr>
          <w:rFonts w:hint="eastAsia" w:ascii="宋体" w:hAnsi="宋体"/>
          <w:b/>
          <w:color w:val="000000"/>
        </w:rPr>
      </w:pPr>
      <w:r>
        <w:rPr>
          <w:rFonts w:hint="eastAsia" w:ascii="宋体" w:hAnsi="宋体"/>
          <w:b/>
          <w:color w:val="000000"/>
        </w:rPr>
        <w:t>1</w:t>
      </w:r>
      <w:r>
        <w:rPr>
          <w:rFonts w:hint="eastAsia" w:ascii="宋体" w:hAnsi="宋体"/>
          <w:b/>
          <w:color w:val="000000"/>
          <w:lang w:val="en-US" w:eastAsia="zh-CN"/>
        </w:rPr>
        <w:t>4</w:t>
      </w:r>
      <w:r>
        <w:rPr>
          <w:rFonts w:hint="eastAsia" w:ascii="宋体" w:hAnsi="宋体"/>
          <w:b/>
          <w:color w:val="000000"/>
        </w:rPr>
        <w:t>.1.1资格文件：</w:t>
      </w:r>
    </w:p>
    <w:p w14:paraId="61A2AEAD">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（1）供应商须在投标文件中出具符合以下情况的证明材料扫描件（五选一）：</w:t>
      </w:r>
    </w:p>
    <w:p w14:paraId="788312F6">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①如投标供应商是企业（包括合伙企业），提供在工商部门注册的有效“企业法人营业执照”或“营业执照”；</w:t>
      </w:r>
    </w:p>
    <w:p w14:paraId="436C3BD6">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②如投标供应商是事业单位，提供有效的“事业单位法人证书”；</w:t>
      </w:r>
    </w:p>
    <w:p w14:paraId="5DCA5E48">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③如投标供应商是非企业专业服务机构的，提供执业许可证等证明文件；</w:t>
      </w:r>
    </w:p>
    <w:p w14:paraId="4F5DD0B9">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④如投标供应商是个体工商户，提供有效的“个体工商户营业执照”；</w:t>
      </w:r>
    </w:p>
    <w:p w14:paraId="126836A7">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⑤如投标供应商是自然人，提供有效的自然人身份证明（居民身份证正反面或公安机关出具的临时居民身份证正反面或港澳台胞证或证照）。</w:t>
      </w:r>
    </w:p>
    <w:p w14:paraId="32973CB7">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（2）承诺函。附件</w:t>
      </w:r>
      <w:r>
        <w:rPr>
          <w:rFonts w:hint="eastAsia" w:ascii="宋体" w:hAnsi="宋体" w:eastAsia="宋体" w:cs="宋体"/>
          <w:sz w:val="22"/>
          <w:szCs w:val="22"/>
          <w:lang w:val="en-US" w:eastAsia="zh-CN"/>
        </w:rPr>
        <w:t>1</w:t>
      </w:r>
    </w:p>
    <w:p w14:paraId="749FA685">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）商业信誉：</w:t>
      </w:r>
    </w:p>
    <w:p w14:paraId="709E04FC">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至本项目投标截止时间止未列入失信被执行人、重大税收违法案件当事人名单、政府采购严重违法失信行为记录名单；</w:t>
      </w:r>
      <w:r>
        <w:rPr>
          <w:rFonts w:hint="eastAsia" w:ascii="宋体" w:hAnsi="宋体" w:eastAsia="宋体" w:cs="宋体"/>
          <w:sz w:val="22"/>
          <w:szCs w:val="22"/>
          <w:lang w:val="en-US" w:eastAsia="zh-CN"/>
        </w:rPr>
        <w:t>提供</w:t>
      </w:r>
      <w:r>
        <w:rPr>
          <w:rFonts w:hint="eastAsia" w:ascii="宋体" w:hAnsi="宋体" w:eastAsia="宋体" w:cs="宋体"/>
          <w:color w:val="000000"/>
          <w:szCs w:val="21"/>
          <w:highlight w:val="none"/>
        </w:rPr>
        <w:t>网页截图并</w:t>
      </w:r>
      <w:r>
        <w:rPr>
          <w:rFonts w:hint="eastAsia" w:ascii="宋体" w:hAnsi="宋体" w:eastAsia="宋体" w:cs="宋体"/>
          <w:color w:val="000000"/>
          <w:szCs w:val="21"/>
          <w:highlight w:val="none"/>
          <w:lang w:val="en-US" w:eastAsia="zh-CN"/>
        </w:rPr>
        <w:t>加盖公章</w:t>
      </w:r>
      <w:r>
        <w:rPr>
          <w:rFonts w:hint="eastAsia" w:ascii="宋体" w:hAnsi="宋体" w:eastAsia="宋体" w:cs="宋体"/>
          <w:sz w:val="22"/>
          <w:szCs w:val="22"/>
          <w:lang w:eastAsia="zh-CN"/>
        </w:rPr>
        <w:t>。（代理机构以开标当日在“信用中国”网站（www.creditchina.gov.cn）、中国政府采购网（www.ccgp.gov.cn）网页查询记录为准）。</w:t>
      </w:r>
    </w:p>
    <w:p w14:paraId="12120349">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对列入失信被执行人、重大税收违法案件当事人名单、政府采购严重违法失信行为记录名单的供应商，其投标将作无效标处理。</w:t>
      </w:r>
    </w:p>
    <w:p w14:paraId="4C41C583">
      <w:pPr>
        <w:tabs>
          <w:tab w:val="left" w:pos="5355"/>
        </w:tabs>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本项目的特定资格要求：</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w:t>
      </w:r>
    </w:p>
    <w:p w14:paraId="7C4636C8">
      <w:pPr>
        <w:tabs>
          <w:tab w:val="left" w:pos="6358"/>
        </w:tabs>
        <w:snapToGrid w:val="0"/>
        <w:spacing w:line="380" w:lineRule="exact"/>
        <w:ind w:left="567"/>
        <w:rPr>
          <w:rFonts w:hint="eastAsia" w:ascii="宋体" w:hAnsi="宋体"/>
          <w:b/>
          <w:color w:val="000000"/>
        </w:rPr>
      </w:pPr>
      <w:r>
        <w:rPr>
          <w:rFonts w:hint="eastAsia" w:ascii="宋体" w:hAnsi="宋体"/>
          <w:b/>
          <w:color w:val="000000"/>
        </w:rPr>
        <w:t>1</w:t>
      </w:r>
      <w:r>
        <w:rPr>
          <w:rFonts w:hint="eastAsia" w:ascii="宋体" w:hAnsi="宋体"/>
          <w:b/>
          <w:color w:val="000000"/>
          <w:lang w:val="en-US" w:eastAsia="zh-CN"/>
        </w:rPr>
        <w:t>4</w:t>
      </w:r>
      <w:r>
        <w:rPr>
          <w:rFonts w:hint="eastAsia" w:ascii="宋体" w:hAnsi="宋体"/>
          <w:b/>
          <w:color w:val="000000"/>
        </w:rPr>
        <w:t>.1.</w:t>
      </w:r>
      <w:r>
        <w:rPr>
          <w:rFonts w:hint="eastAsia" w:ascii="宋体" w:hAnsi="宋体"/>
          <w:b/>
          <w:color w:val="000000"/>
          <w:lang w:val="en-US" w:eastAsia="zh-CN"/>
        </w:rPr>
        <w:t>2</w:t>
      </w:r>
      <w:r>
        <w:rPr>
          <w:rFonts w:hint="eastAsia" w:ascii="宋体" w:hAnsi="宋体"/>
          <w:b/>
          <w:color w:val="000000"/>
        </w:rPr>
        <w:t>技术商务文件：</w:t>
      </w:r>
    </w:p>
    <w:p w14:paraId="4FDED532">
      <w:pPr>
        <w:widowControl/>
        <w:numPr>
          <w:ilvl w:val="0"/>
          <w:numId w:val="7"/>
        </w:numPr>
        <w:tabs>
          <w:tab w:val="left" w:pos="640"/>
        </w:tabs>
        <w:snapToGrid w:val="0"/>
        <w:spacing w:line="400" w:lineRule="exact"/>
        <w:ind w:left="639" w:leftChars="302" w:hanging="5" w:firstLineChars="0"/>
        <w:jc w:val="both"/>
        <w:rPr>
          <w:rFonts w:eastAsia="仿宋_GB2312"/>
          <w:color w:val="000000"/>
        </w:rPr>
      </w:pPr>
      <w:r>
        <w:rPr>
          <w:rFonts w:ascii="宋体" w:hAnsi="宋体"/>
          <w:color w:val="000000"/>
        </w:rPr>
        <w:t>法定代表人身份证明；</w:t>
      </w:r>
      <w:r>
        <w:rPr>
          <w:rFonts w:hint="eastAsia" w:ascii="Arial" w:hAnsi="Arial" w:cs="Arial"/>
          <w:color w:val="000000"/>
        </w:rPr>
        <w:t xml:space="preserve">                                  </w:t>
      </w:r>
      <w:r>
        <w:rPr>
          <w:rFonts w:hint="eastAsia" w:ascii="Arial" w:hAnsi="Arial" w:cs="Arial"/>
          <w:color w:val="000000"/>
          <w:lang w:val="en-US" w:eastAsia="zh-CN"/>
        </w:rPr>
        <w:t xml:space="preserve">             </w:t>
      </w:r>
      <w:r>
        <w:rPr>
          <w:rFonts w:hint="eastAsia" w:ascii="Arial" w:hAnsi="Arial" w:cs="Arial"/>
          <w:color w:val="000000"/>
        </w:rPr>
        <w:t>附件</w:t>
      </w:r>
      <w:r>
        <w:rPr>
          <w:rFonts w:hint="eastAsia" w:ascii="Arial" w:hAnsi="Arial" w:cs="Arial"/>
          <w:color w:val="000000"/>
          <w:lang w:val="en-US" w:eastAsia="zh-CN"/>
        </w:rPr>
        <w:t>2-1</w:t>
      </w:r>
    </w:p>
    <w:p w14:paraId="5A65C877">
      <w:pPr>
        <w:numPr>
          <w:ilvl w:val="0"/>
          <w:numId w:val="7"/>
        </w:numPr>
        <w:tabs>
          <w:tab w:val="left" w:pos="640"/>
        </w:tabs>
        <w:snapToGrid w:val="0"/>
        <w:spacing w:line="360" w:lineRule="exact"/>
        <w:ind w:left="639" w:leftChars="302" w:hanging="5" w:firstLineChars="0"/>
        <w:jc w:val="both"/>
        <w:rPr>
          <w:rFonts w:hint="eastAsia" w:ascii="Arial" w:hAnsi="宋体" w:cs="Arial"/>
          <w:color w:val="000000"/>
          <w:szCs w:val="22"/>
        </w:rPr>
      </w:pPr>
      <w:r>
        <w:rPr>
          <w:rFonts w:hint="eastAsia" w:ascii="Arial" w:hAnsi="宋体" w:cs="Arial"/>
          <w:color w:val="000000"/>
          <w:szCs w:val="22"/>
        </w:rPr>
        <w:t>法定代表人授权委托书</w:t>
      </w:r>
      <w:r>
        <w:rPr>
          <w:rFonts w:hint="eastAsia" w:ascii="Arial" w:hAnsi="宋体" w:cs="Arial"/>
          <w:color w:val="000000"/>
          <w:szCs w:val="22"/>
          <w:lang w:eastAsia="zh-CN"/>
        </w:rPr>
        <w:t>；</w:t>
      </w:r>
      <w:r>
        <w:rPr>
          <w:rFonts w:hint="eastAsia" w:ascii="Arial" w:hAnsi="宋体" w:cs="Arial"/>
          <w:color w:val="000000"/>
          <w:szCs w:val="22"/>
        </w:rPr>
        <w:t xml:space="preserve">              </w:t>
      </w:r>
      <w:r>
        <w:rPr>
          <w:rFonts w:hint="eastAsia" w:ascii="Arial" w:hAnsi="Arial" w:cs="Arial"/>
          <w:color w:val="000000"/>
        </w:rPr>
        <w:t xml:space="preserve">                </w:t>
      </w:r>
      <w:r>
        <w:rPr>
          <w:rFonts w:hint="eastAsia" w:ascii="Arial" w:hAnsi="宋体" w:cs="Arial"/>
          <w:color w:val="000000"/>
          <w:szCs w:val="22"/>
        </w:rPr>
        <w:t xml:space="preserve">       </w:t>
      </w:r>
      <w:r>
        <w:rPr>
          <w:rFonts w:hint="eastAsia" w:ascii="Arial" w:hAnsi="宋体" w:cs="Arial"/>
          <w:color w:val="000000"/>
          <w:szCs w:val="22"/>
          <w:lang w:val="en-US" w:eastAsia="zh-CN"/>
        </w:rPr>
        <w:t xml:space="preserve">        </w:t>
      </w:r>
      <w:r>
        <w:rPr>
          <w:rFonts w:hint="eastAsia" w:ascii="Arial" w:hAnsi="Arial" w:cs="Arial"/>
          <w:color w:val="000000"/>
        </w:rPr>
        <w:t>附件</w:t>
      </w:r>
      <w:r>
        <w:rPr>
          <w:rFonts w:hint="eastAsia" w:ascii="Arial" w:hAnsi="Arial" w:cs="Arial"/>
          <w:color w:val="000000"/>
          <w:lang w:val="en-US" w:eastAsia="zh-CN"/>
        </w:rPr>
        <w:t>2-2</w:t>
      </w:r>
    </w:p>
    <w:p w14:paraId="1E0F0125">
      <w:pPr>
        <w:widowControl/>
        <w:numPr>
          <w:ilvl w:val="0"/>
          <w:numId w:val="7"/>
        </w:numPr>
        <w:tabs>
          <w:tab w:val="left" w:pos="640"/>
        </w:tabs>
        <w:snapToGrid w:val="0"/>
        <w:spacing w:line="400" w:lineRule="exact"/>
        <w:ind w:left="639" w:leftChars="302" w:hanging="5" w:firstLineChars="0"/>
        <w:jc w:val="both"/>
        <w:rPr>
          <w:rFonts w:hint="eastAsia" w:ascii="Arial" w:hAnsi="Arial" w:cs="Arial"/>
          <w:b/>
          <w:color w:val="000000"/>
          <w:szCs w:val="21"/>
        </w:rPr>
      </w:pPr>
      <w:r>
        <w:rPr>
          <w:rFonts w:ascii="宋体" w:hAnsi="宋体"/>
          <w:color w:val="000000"/>
        </w:rPr>
        <w:t>投标函；</w:t>
      </w:r>
      <w:r>
        <w:rPr>
          <w:rFonts w:hint="eastAsia" w:ascii="Arial" w:hAnsi="Arial" w:cs="Arial"/>
          <w:color w:val="000000"/>
        </w:rPr>
        <w:t xml:space="preserve">                                                </w:t>
      </w:r>
      <w:r>
        <w:rPr>
          <w:rFonts w:hint="eastAsia" w:ascii="Arial" w:hAnsi="Arial" w:cs="Arial"/>
          <w:color w:val="000000"/>
          <w:lang w:val="en-US" w:eastAsia="zh-CN"/>
        </w:rPr>
        <w:t xml:space="preserve">           </w:t>
      </w:r>
      <w:r>
        <w:rPr>
          <w:rFonts w:hint="eastAsia" w:ascii="Arial" w:hAnsi="Arial" w:cs="Arial"/>
          <w:color w:val="000000"/>
        </w:rPr>
        <w:t>附件</w:t>
      </w:r>
      <w:r>
        <w:rPr>
          <w:rFonts w:hint="eastAsia" w:ascii="Arial" w:hAnsi="Arial" w:cs="Arial"/>
          <w:color w:val="000000"/>
          <w:lang w:val="en-US" w:eastAsia="zh-CN"/>
        </w:rPr>
        <w:t>3</w:t>
      </w:r>
    </w:p>
    <w:p w14:paraId="3F6D583C">
      <w:pPr>
        <w:numPr>
          <w:ilvl w:val="0"/>
          <w:numId w:val="7"/>
        </w:numPr>
        <w:tabs>
          <w:tab w:val="left" w:pos="640"/>
        </w:tabs>
        <w:snapToGrid w:val="0"/>
        <w:spacing w:line="360" w:lineRule="exact"/>
        <w:ind w:left="639" w:leftChars="302" w:hanging="5" w:firstLineChars="0"/>
        <w:jc w:val="both"/>
        <w:rPr>
          <w:rFonts w:hint="eastAsia" w:ascii="Arial" w:hAnsi="宋体" w:cs="Arial"/>
          <w:color w:val="000000"/>
          <w:szCs w:val="22"/>
        </w:rPr>
      </w:pPr>
      <w:r>
        <w:rPr>
          <w:rFonts w:hint="eastAsia" w:ascii="Arial" w:hAnsi="宋体" w:cs="Arial"/>
          <w:color w:val="000000"/>
          <w:szCs w:val="22"/>
        </w:rPr>
        <w:t xml:space="preserve">投标供应商情况说明；                                       </w:t>
      </w:r>
      <w:r>
        <w:rPr>
          <w:rFonts w:hint="eastAsia" w:ascii="Arial" w:hAnsi="宋体" w:cs="Arial"/>
          <w:color w:val="000000"/>
          <w:szCs w:val="22"/>
          <w:lang w:val="en-US" w:eastAsia="zh-CN"/>
        </w:rPr>
        <w:t xml:space="preserve">        </w:t>
      </w:r>
      <w:r>
        <w:rPr>
          <w:rFonts w:hint="eastAsia" w:ascii="Arial" w:hAnsi="Arial" w:cs="Arial"/>
          <w:color w:val="000000"/>
        </w:rPr>
        <w:t>附件</w:t>
      </w:r>
      <w:r>
        <w:rPr>
          <w:rFonts w:hint="eastAsia" w:ascii="Arial" w:hAnsi="Arial" w:cs="Arial"/>
          <w:color w:val="000000"/>
          <w:lang w:val="en-US" w:eastAsia="zh-CN"/>
        </w:rPr>
        <w:t>4</w:t>
      </w:r>
    </w:p>
    <w:p w14:paraId="07365A03">
      <w:pPr>
        <w:numPr>
          <w:ilvl w:val="0"/>
          <w:numId w:val="7"/>
        </w:numPr>
        <w:tabs>
          <w:tab w:val="left" w:pos="640"/>
        </w:tabs>
        <w:snapToGrid w:val="0"/>
        <w:spacing w:line="360" w:lineRule="exact"/>
        <w:ind w:left="639" w:leftChars="302" w:hanging="5" w:firstLineChars="0"/>
        <w:jc w:val="both"/>
        <w:rPr>
          <w:rFonts w:ascii="Arial" w:hAnsi="宋体" w:cs="Arial"/>
          <w:color w:val="000000"/>
          <w:szCs w:val="22"/>
        </w:rPr>
      </w:pPr>
      <w:r>
        <w:rPr>
          <w:rFonts w:hint="eastAsia" w:ascii="Arial" w:hAnsi="宋体" w:cs="Arial"/>
          <w:color w:val="000000"/>
          <w:szCs w:val="22"/>
          <w:highlight w:val="none"/>
          <w:lang w:eastAsia="zh-CN"/>
        </w:rPr>
        <w:t>投标供应商</w:t>
      </w:r>
      <w:r>
        <w:rPr>
          <w:rFonts w:hint="eastAsia" w:ascii="Arial" w:hAnsi="宋体" w:cs="Arial"/>
          <w:color w:val="000000"/>
          <w:szCs w:val="22"/>
          <w:highlight w:val="none"/>
        </w:rPr>
        <w:t>综合</w:t>
      </w:r>
      <w:r>
        <w:rPr>
          <w:rFonts w:hint="eastAsia" w:ascii="Arial" w:hAnsi="宋体" w:cs="Arial"/>
          <w:color w:val="000000"/>
          <w:szCs w:val="22"/>
        </w:rPr>
        <w:t xml:space="preserve">实力； </w:t>
      </w:r>
      <w:r>
        <w:rPr>
          <w:rFonts w:ascii="Arial" w:hAnsi="宋体" w:cs="Arial"/>
          <w:color w:val="000000"/>
          <w:szCs w:val="22"/>
        </w:rPr>
        <w:t xml:space="preserve">                                    </w:t>
      </w:r>
      <w:r>
        <w:rPr>
          <w:rFonts w:hint="eastAsia" w:ascii="Arial" w:hAnsi="宋体" w:cs="Arial"/>
          <w:color w:val="000000"/>
          <w:szCs w:val="22"/>
        </w:rPr>
        <w:t xml:space="preserve">      </w:t>
      </w:r>
      <w:r>
        <w:rPr>
          <w:rFonts w:hint="eastAsia" w:ascii="Arial" w:hAnsi="宋体" w:cs="Arial"/>
          <w:color w:val="000000"/>
          <w:szCs w:val="22"/>
          <w:lang w:val="en-US" w:eastAsia="zh-CN"/>
        </w:rPr>
        <w:t xml:space="preserve">    </w:t>
      </w:r>
      <w:r>
        <w:rPr>
          <w:rFonts w:hint="eastAsia" w:ascii="Arial" w:hAnsi="Arial" w:cs="Arial"/>
          <w:color w:val="000000"/>
        </w:rPr>
        <w:t>附件</w:t>
      </w:r>
      <w:r>
        <w:rPr>
          <w:rFonts w:hint="eastAsia" w:ascii="Arial" w:hAnsi="Arial" w:cs="Arial"/>
          <w:color w:val="000000"/>
          <w:lang w:val="en-US" w:eastAsia="zh-CN"/>
        </w:rPr>
        <w:t>5</w:t>
      </w:r>
    </w:p>
    <w:p w14:paraId="5329748C">
      <w:pPr>
        <w:numPr>
          <w:ilvl w:val="0"/>
          <w:numId w:val="7"/>
        </w:numPr>
        <w:tabs>
          <w:tab w:val="left" w:pos="640"/>
        </w:tabs>
        <w:snapToGrid w:val="0"/>
        <w:spacing w:line="360" w:lineRule="exact"/>
        <w:ind w:left="639" w:leftChars="302" w:hanging="5" w:firstLineChars="0"/>
        <w:jc w:val="both"/>
        <w:rPr>
          <w:rFonts w:hint="eastAsia" w:ascii="Arial" w:hAnsi="宋体" w:cs="Arial"/>
          <w:color w:val="000000"/>
          <w:szCs w:val="22"/>
        </w:rPr>
      </w:pPr>
      <w:r>
        <w:rPr>
          <w:rFonts w:hint="eastAsia" w:ascii="宋体" w:hAnsi="宋体" w:cs="宋体"/>
          <w:color w:val="auto"/>
          <w:szCs w:val="21"/>
          <w:highlight w:val="none"/>
        </w:rPr>
        <w:t>供应商类似项目业绩情况一览表</w:t>
      </w:r>
      <w:r>
        <w:rPr>
          <w:rFonts w:hint="eastAsia" w:ascii="宋体" w:hAnsi="宋体"/>
          <w:color w:val="000000"/>
          <w:szCs w:val="21"/>
          <w:lang w:eastAsia="zh-CN"/>
        </w:rPr>
        <w:t>；</w:t>
      </w:r>
      <w:r>
        <w:rPr>
          <w:rFonts w:hint="eastAsia" w:ascii="宋体" w:hAnsi="宋体"/>
          <w:color w:val="000000"/>
          <w:szCs w:val="21"/>
          <w:lang w:val="en-US" w:eastAsia="zh-CN"/>
        </w:rPr>
        <w:t xml:space="preserve">                                    </w:t>
      </w:r>
      <w:r>
        <w:rPr>
          <w:rFonts w:hint="eastAsia" w:ascii="Arial" w:hAnsi="宋体" w:cs="Arial"/>
          <w:color w:val="000000"/>
          <w:szCs w:val="22"/>
          <w:lang w:val="en-US" w:eastAsia="zh-CN"/>
        </w:rPr>
        <w:t xml:space="preserve"> </w:t>
      </w:r>
      <w:r>
        <w:rPr>
          <w:rFonts w:hint="eastAsia" w:ascii="Arial" w:hAnsi="Arial" w:cs="Arial"/>
          <w:color w:val="000000"/>
        </w:rPr>
        <w:t>附件</w:t>
      </w:r>
      <w:r>
        <w:rPr>
          <w:rFonts w:hint="eastAsia" w:ascii="Arial" w:hAnsi="Arial" w:cs="Arial"/>
          <w:color w:val="000000"/>
          <w:lang w:val="en-US" w:eastAsia="zh-CN"/>
        </w:rPr>
        <w:t>6</w:t>
      </w:r>
    </w:p>
    <w:p w14:paraId="0AB70ED8">
      <w:pPr>
        <w:numPr>
          <w:ilvl w:val="0"/>
          <w:numId w:val="7"/>
        </w:numPr>
        <w:tabs>
          <w:tab w:val="left" w:pos="640"/>
        </w:tabs>
        <w:snapToGrid w:val="0"/>
        <w:spacing w:line="360" w:lineRule="exact"/>
        <w:ind w:left="639" w:leftChars="302" w:hanging="5" w:firstLineChars="0"/>
        <w:jc w:val="both"/>
        <w:rPr>
          <w:rFonts w:hint="eastAsia" w:ascii="Arial" w:hAnsi="宋体" w:cs="Arial"/>
          <w:color w:val="000000"/>
          <w:szCs w:val="22"/>
          <w:highlight w:val="none"/>
        </w:rPr>
      </w:pPr>
      <w:r>
        <w:rPr>
          <w:rFonts w:ascii="Arial" w:hAnsi="宋体" w:cs="Arial"/>
          <w:color w:val="000000"/>
          <w:szCs w:val="22"/>
        </w:rPr>
        <w:t>技术</w:t>
      </w:r>
      <w:r>
        <w:rPr>
          <w:rFonts w:hint="eastAsia" w:ascii="Arial" w:hAnsi="宋体" w:cs="Arial"/>
          <w:color w:val="000000"/>
          <w:szCs w:val="22"/>
        </w:rPr>
        <w:t>（或商务）</w:t>
      </w:r>
      <w:r>
        <w:rPr>
          <w:rFonts w:ascii="Arial" w:hAnsi="宋体" w:cs="Arial"/>
          <w:color w:val="000000"/>
          <w:szCs w:val="22"/>
        </w:rPr>
        <w:t>偏离表（如不填写将视为对招标文件要求无偏差）</w:t>
      </w:r>
      <w:r>
        <w:rPr>
          <w:rFonts w:hint="eastAsia" w:ascii="Arial" w:hAnsi="宋体" w:cs="Arial"/>
          <w:color w:val="000000"/>
          <w:szCs w:val="22"/>
        </w:rPr>
        <w:t>；</w:t>
      </w:r>
      <w:r>
        <w:rPr>
          <w:rFonts w:hint="eastAsia" w:ascii="Arial" w:hAnsi="宋体" w:cs="Arial"/>
          <w:color w:val="000000"/>
          <w:szCs w:val="22"/>
          <w:lang w:val="en-US" w:eastAsia="zh-CN"/>
        </w:rPr>
        <w:t xml:space="preserve">     </w:t>
      </w:r>
      <w:r>
        <w:rPr>
          <w:rFonts w:hint="eastAsia" w:ascii="Arial" w:hAnsi="宋体" w:cs="Arial"/>
          <w:color w:val="000000"/>
          <w:szCs w:val="22"/>
          <w:highlight w:val="none"/>
          <w:lang w:val="en-US" w:eastAsia="zh-CN"/>
        </w:rPr>
        <w:t xml:space="preserve">  </w:t>
      </w:r>
      <w:r>
        <w:rPr>
          <w:rFonts w:hint="eastAsia" w:ascii="Arial" w:hAnsi="Arial" w:cs="Arial"/>
          <w:color w:val="000000"/>
          <w:highlight w:val="none"/>
        </w:rPr>
        <w:t>附件</w:t>
      </w:r>
      <w:r>
        <w:rPr>
          <w:rFonts w:hint="eastAsia" w:ascii="Arial" w:hAnsi="Arial" w:cs="Arial"/>
          <w:color w:val="000000"/>
          <w:highlight w:val="none"/>
          <w:lang w:val="en-US" w:eastAsia="zh-CN"/>
        </w:rPr>
        <w:t>7</w:t>
      </w:r>
    </w:p>
    <w:p w14:paraId="5B8D54E3">
      <w:pPr>
        <w:numPr>
          <w:ilvl w:val="0"/>
          <w:numId w:val="7"/>
        </w:numPr>
        <w:tabs>
          <w:tab w:val="left" w:pos="640"/>
        </w:tabs>
        <w:snapToGrid w:val="0"/>
        <w:spacing w:line="360" w:lineRule="exact"/>
        <w:ind w:left="639" w:leftChars="302" w:hanging="5" w:firstLineChars="0"/>
        <w:jc w:val="both"/>
        <w:rPr>
          <w:rFonts w:hint="eastAsia"/>
          <w:color w:val="000000"/>
          <w:highlight w:val="none"/>
        </w:rPr>
      </w:pPr>
      <w:r>
        <w:rPr>
          <w:rFonts w:hint="eastAsia" w:ascii="Arial" w:hAnsi="宋体" w:cs="Arial"/>
          <w:color w:val="000000"/>
          <w:szCs w:val="22"/>
          <w:highlight w:val="none"/>
          <w:lang w:val="en-US" w:eastAsia="zh-CN"/>
        </w:rPr>
        <w:t>人</w:t>
      </w:r>
      <w:r>
        <w:rPr>
          <w:rFonts w:hint="eastAsia" w:ascii="Arial" w:hAnsi="宋体" w:cs="Arial"/>
          <w:color w:val="000000"/>
          <w:szCs w:val="22"/>
          <w:highlight w:val="none"/>
        </w:rPr>
        <w:t>员配置一览表（人员配置情况）</w:t>
      </w:r>
      <w:r>
        <w:rPr>
          <w:rFonts w:ascii="Arial" w:hAnsi="宋体" w:cs="Arial"/>
          <w:color w:val="000000"/>
          <w:szCs w:val="22"/>
          <w:highlight w:val="none"/>
        </w:rPr>
        <w:t>；</w:t>
      </w:r>
      <w:r>
        <w:rPr>
          <w:rFonts w:hint="eastAsia" w:ascii="Arial" w:hAnsi="宋体" w:cs="Arial"/>
          <w:color w:val="000000"/>
          <w:szCs w:val="22"/>
          <w:highlight w:val="none"/>
          <w:lang w:val="en-US" w:eastAsia="zh-CN"/>
        </w:rPr>
        <w:t xml:space="preserve">                                   </w:t>
      </w:r>
      <w:r>
        <w:rPr>
          <w:rFonts w:hint="eastAsia" w:ascii="Arial" w:hAnsi="Arial" w:cs="Arial"/>
          <w:color w:val="000000"/>
          <w:highlight w:val="none"/>
        </w:rPr>
        <w:t>附件</w:t>
      </w:r>
      <w:r>
        <w:rPr>
          <w:rFonts w:hint="eastAsia" w:ascii="Arial" w:hAnsi="Arial" w:cs="Arial"/>
          <w:color w:val="000000"/>
          <w:highlight w:val="none"/>
          <w:lang w:val="en-US" w:eastAsia="zh-CN"/>
        </w:rPr>
        <w:t>8</w:t>
      </w:r>
    </w:p>
    <w:p w14:paraId="1138EEC9">
      <w:pPr>
        <w:tabs>
          <w:tab w:val="left" w:pos="6358"/>
        </w:tabs>
        <w:snapToGrid w:val="0"/>
        <w:spacing w:line="380" w:lineRule="exact"/>
        <w:ind w:left="567"/>
        <w:rPr>
          <w:rFonts w:hint="eastAsia" w:ascii="宋体" w:hAnsi="宋体" w:cs="宋体"/>
          <w:sz w:val="22"/>
          <w:szCs w:val="22"/>
        </w:rPr>
      </w:pPr>
      <w:r>
        <w:rPr>
          <w:rFonts w:hint="eastAsia" w:ascii="宋体" w:hAnsi="宋体" w:cs="宋体"/>
          <w:sz w:val="22"/>
          <w:szCs w:val="22"/>
        </w:rPr>
        <w:t>结合采购文件评分细则投标供应商认为需要提供的其他技术资料</w:t>
      </w:r>
    </w:p>
    <w:p w14:paraId="64559CBA">
      <w:pPr>
        <w:tabs>
          <w:tab w:val="left" w:pos="6358"/>
        </w:tabs>
        <w:snapToGrid w:val="0"/>
        <w:spacing w:line="380" w:lineRule="exact"/>
        <w:ind w:left="567"/>
        <w:rPr>
          <w:rFonts w:ascii="宋体" w:hAnsi="宋体"/>
          <w:b/>
          <w:color w:val="000000"/>
        </w:rPr>
      </w:pPr>
      <w:r>
        <w:rPr>
          <w:rFonts w:hint="eastAsia" w:ascii="宋体" w:hAnsi="宋体"/>
          <w:b/>
          <w:color w:val="000000"/>
        </w:rPr>
        <w:t>1</w:t>
      </w:r>
      <w:r>
        <w:rPr>
          <w:rFonts w:hint="eastAsia" w:ascii="宋体" w:hAnsi="宋体"/>
          <w:b/>
          <w:color w:val="000000"/>
          <w:lang w:val="en-US" w:eastAsia="zh-CN"/>
        </w:rPr>
        <w:t>4</w:t>
      </w:r>
      <w:r>
        <w:rPr>
          <w:rFonts w:hint="eastAsia" w:ascii="宋体" w:hAnsi="宋体"/>
          <w:b/>
          <w:color w:val="000000"/>
        </w:rPr>
        <w:t>.1.</w:t>
      </w:r>
      <w:r>
        <w:rPr>
          <w:rFonts w:hint="eastAsia" w:ascii="宋体" w:hAnsi="宋体"/>
          <w:b/>
          <w:color w:val="000000"/>
          <w:lang w:val="en-US" w:eastAsia="zh-CN"/>
        </w:rPr>
        <w:t>3</w:t>
      </w:r>
      <w:r>
        <w:rPr>
          <w:rFonts w:hint="eastAsia" w:ascii="宋体" w:hAnsi="宋体"/>
          <w:b/>
          <w:color w:val="000000"/>
        </w:rPr>
        <w:t>报价文件</w:t>
      </w:r>
      <w:r>
        <w:rPr>
          <w:rFonts w:ascii="宋体" w:hAnsi="宋体"/>
          <w:b/>
          <w:color w:val="000000"/>
        </w:rPr>
        <w:t>：</w:t>
      </w:r>
    </w:p>
    <w:p w14:paraId="32C2CEA0">
      <w:pPr>
        <w:widowControl/>
        <w:numPr>
          <w:ilvl w:val="0"/>
          <w:numId w:val="8"/>
        </w:numPr>
        <w:snapToGrid w:val="0"/>
        <w:spacing w:line="400" w:lineRule="exact"/>
        <w:ind w:left="640" w:leftChars="0" w:firstLine="0" w:firstLineChars="0"/>
        <w:rPr>
          <w:rFonts w:hint="eastAsia" w:ascii="宋体" w:hAnsi="宋体" w:eastAsia="宋体" w:cs="宋体"/>
          <w:b/>
          <w:color w:val="000000"/>
          <w:szCs w:val="21"/>
        </w:rPr>
      </w:pPr>
      <w:r>
        <w:rPr>
          <w:rFonts w:hint="eastAsia" w:ascii="宋体" w:hAnsi="宋体" w:eastAsia="宋体" w:cs="宋体"/>
          <w:color w:val="000000"/>
          <w:szCs w:val="22"/>
        </w:rPr>
        <w:t>开标一览表</w:t>
      </w:r>
      <w:r>
        <w:rPr>
          <w:rFonts w:hint="eastAsia" w:ascii="宋体" w:hAnsi="宋体" w:eastAsia="宋体" w:cs="宋体"/>
          <w:color w:val="000000"/>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lang w:eastAsia="zh-CN"/>
        </w:rPr>
        <w:t>附件9</w:t>
      </w:r>
    </w:p>
    <w:p w14:paraId="3D15E554">
      <w:pPr>
        <w:keepNext w:val="0"/>
        <w:keepLines w:val="0"/>
        <w:pageBreakBefore w:val="0"/>
        <w:widowControl w:val="0"/>
        <w:numPr>
          <w:ilvl w:val="0"/>
          <w:numId w:val="0"/>
        </w:numPr>
        <w:tabs>
          <w:tab w:val="left" w:pos="592"/>
        </w:tabs>
        <w:kinsoku/>
        <w:wordWrap/>
        <w:overflowPunct/>
        <w:topLinePunct w:val="0"/>
        <w:autoSpaceDE/>
        <w:autoSpaceDN/>
        <w:bidi w:val="0"/>
        <w:adjustRightInd/>
        <w:snapToGrid w:val="0"/>
        <w:spacing w:before="157" w:beforeLines="50" w:line="360" w:lineRule="auto"/>
        <w:jc w:val="left"/>
        <w:textAlignment w:val="auto"/>
        <w:rPr>
          <w:color w:val="000000"/>
        </w:rPr>
      </w:pPr>
      <w:r>
        <w:rPr>
          <w:rFonts w:ascii="Arial" w:hAnsi="Arial" w:cs="Arial"/>
          <w:b/>
          <w:color w:val="000000"/>
        </w:rPr>
        <w:t>▲注：</w:t>
      </w:r>
      <w:r>
        <w:rPr>
          <w:rFonts w:ascii="宋体" w:hAnsi="宋体"/>
          <w:b/>
          <w:sz w:val="22"/>
          <w:szCs w:val="22"/>
        </w:rPr>
        <w:t>以上所需的各种证书、证件、证明、执照若系复印件，须在复印件上加盖供应商有效的公章</w:t>
      </w:r>
      <w:r>
        <w:rPr>
          <w:rFonts w:hint="eastAsia" w:ascii="Arial" w:hAnsi="Arial" w:cs="Arial"/>
          <w:b/>
          <w:color w:val="000000"/>
          <w:lang w:val="en-US" w:eastAsia="zh-CN"/>
        </w:rPr>
        <w:t xml:space="preserve"> </w:t>
      </w:r>
      <w:r>
        <w:rPr>
          <w:rFonts w:hint="eastAsia" w:ascii="Arial" w:hAnsi="Arial" w:eastAsia="宋体" w:cs="Arial"/>
          <w:b/>
          <w:bCs w:val="0"/>
          <w:color w:val="000000"/>
          <w:lang w:val="en-US" w:eastAsia="zh-CN"/>
        </w:rPr>
        <w:t>。</w:t>
      </w:r>
    </w:p>
    <w:p w14:paraId="67FF7DB7">
      <w:pPr>
        <w:numPr>
          <w:ilvl w:val="0"/>
          <w:numId w:val="6"/>
        </w:numPr>
        <w:tabs>
          <w:tab w:val="clear" w:pos="687"/>
        </w:tabs>
        <w:snapToGrid w:val="0"/>
        <w:spacing w:line="360" w:lineRule="auto"/>
        <w:ind w:left="841" w:hanging="841" w:hangingChars="399"/>
        <w:rPr>
          <w:rFonts w:ascii="Arial" w:hAnsi="Arial" w:cs="Arial"/>
          <w:b/>
          <w:color w:val="000000"/>
        </w:rPr>
      </w:pPr>
      <w:r>
        <w:rPr>
          <w:rFonts w:hint="eastAsia" w:ascii="Arial" w:hAnsi="宋体" w:cs="Arial"/>
          <w:b/>
          <w:color w:val="000000"/>
          <w:lang w:val="en-US" w:eastAsia="zh-CN"/>
        </w:rPr>
        <w:t xml:space="preserve">  </w:t>
      </w:r>
      <w:r>
        <w:rPr>
          <w:rFonts w:ascii="Arial" w:hAnsi="宋体" w:cs="Arial"/>
          <w:b/>
          <w:color w:val="000000"/>
        </w:rPr>
        <w:t>投标文件格式填写说明</w:t>
      </w:r>
    </w:p>
    <w:p w14:paraId="4611B81E">
      <w:pPr>
        <w:numPr>
          <w:ilvl w:val="1"/>
          <w:numId w:val="6"/>
        </w:numPr>
        <w:tabs>
          <w:tab w:val="left" w:pos="592"/>
        </w:tabs>
        <w:snapToGrid w:val="0"/>
        <w:spacing w:line="360" w:lineRule="auto"/>
        <w:ind w:left="588" w:hanging="588" w:hangingChars="280"/>
        <w:rPr>
          <w:rFonts w:hint="eastAsia" w:ascii="Arial" w:hAnsi="Arial" w:cs="Arial"/>
          <w:color w:val="000000"/>
        </w:rPr>
      </w:pPr>
      <w:r>
        <w:rPr>
          <w:rFonts w:hint="eastAsia" w:ascii="Arial" w:hAnsi="Arial" w:cs="Arial"/>
          <w:color w:val="000000"/>
        </w:rPr>
        <w:t>投标供应商应在认真阅读招标文件所有内容的基础上，按照招标文件及“乐采云电子投标客户端”要求编制完整的投标文件。投标文件应按照招标文件中规定的内容及顺序在“乐采云电子交易客户端”编制投标文件并进行逐一关联响应。其中“资格文件”和“技术、商务文件”中不得出现本项目投标报价，如因投标供应商原因提前泄露投标报价，由投标供应商自行负责。</w:t>
      </w:r>
    </w:p>
    <w:p w14:paraId="77ED2E38">
      <w:pPr>
        <w:numPr>
          <w:ilvl w:val="1"/>
          <w:numId w:val="6"/>
        </w:numPr>
        <w:tabs>
          <w:tab w:val="left" w:pos="592"/>
        </w:tabs>
        <w:snapToGrid w:val="0"/>
        <w:spacing w:line="360" w:lineRule="auto"/>
        <w:ind w:left="588" w:hanging="588" w:hangingChars="280"/>
        <w:rPr>
          <w:rFonts w:hint="eastAsia" w:ascii="Arial" w:hAnsi="Arial" w:cs="Arial"/>
          <w:color w:val="000000"/>
        </w:rPr>
      </w:pPr>
      <w:r>
        <w:rPr>
          <w:rFonts w:hint="eastAsia" w:ascii="Arial" w:hAnsi="Arial" w:cs="Arial"/>
          <w:color w:val="000000"/>
        </w:rPr>
        <w:t>本招标文件“第五部分 投标文件格式”中有提供格式的，投标供应商须参照格式进行编制（格式中要求提供相关证明材料的还需后附相关证明材料），并按格式要求在指定位置根据要求进行签章，否则视为未提供；未提供格式的，请各投标供应商自行拟定格式。</w:t>
      </w:r>
    </w:p>
    <w:p w14:paraId="5AAD4B04">
      <w:pPr>
        <w:numPr>
          <w:ilvl w:val="1"/>
          <w:numId w:val="6"/>
        </w:numPr>
        <w:tabs>
          <w:tab w:val="left" w:pos="592"/>
        </w:tabs>
        <w:snapToGrid w:val="0"/>
        <w:spacing w:line="360" w:lineRule="auto"/>
        <w:ind w:left="588" w:hanging="588" w:hangingChars="280"/>
        <w:rPr>
          <w:rFonts w:hint="eastAsia" w:ascii="Arial" w:hAnsi="Arial" w:cs="Arial"/>
          <w:color w:val="000000"/>
        </w:rPr>
      </w:pPr>
      <w:r>
        <w:rPr>
          <w:rFonts w:hint="eastAsia" w:ascii="Arial" w:hAnsi="Arial" w:cs="Arial"/>
          <w:color w:val="000000"/>
        </w:rPr>
        <w:t>投标文件内容不完整、编排混乱导致投标文件被误读、漏读或者查找不到相关内容的，由投标供应商自行负责。</w:t>
      </w:r>
    </w:p>
    <w:p w14:paraId="624FF9D3">
      <w:pPr>
        <w:numPr>
          <w:ilvl w:val="1"/>
          <w:numId w:val="6"/>
        </w:numPr>
        <w:tabs>
          <w:tab w:val="left" w:pos="592"/>
        </w:tabs>
        <w:snapToGrid w:val="0"/>
        <w:spacing w:line="360" w:lineRule="auto"/>
        <w:ind w:left="588" w:hanging="588" w:hangingChars="280"/>
        <w:rPr>
          <w:rFonts w:hint="eastAsia" w:ascii="Arial" w:hAnsi="Arial" w:cs="Arial"/>
          <w:color w:val="000000"/>
        </w:rPr>
      </w:pPr>
      <w:r>
        <w:rPr>
          <w:rFonts w:hint="eastAsia" w:ascii="Arial" w:hAnsi="Arial" w:cs="Arial"/>
          <w:color w:val="000000"/>
        </w:rPr>
        <w:t>投标供应商必须保证投标文件所提供的全部资料真实可靠，并接受</w:t>
      </w:r>
      <w:r>
        <w:rPr>
          <w:rFonts w:hint="eastAsia" w:ascii="Arial" w:hAnsi="Arial" w:cs="Arial"/>
          <w:color w:val="000000"/>
          <w:lang w:eastAsia="zh-CN"/>
        </w:rPr>
        <w:t>采购人</w:t>
      </w:r>
      <w:r>
        <w:rPr>
          <w:rFonts w:hint="eastAsia" w:ascii="Arial" w:hAnsi="Arial" w:cs="Arial"/>
          <w:color w:val="000000"/>
        </w:rPr>
        <w:t>对其中任何资料进一步审查的要求。提供虚假证明的投标供应商将被取消</w:t>
      </w:r>
      <w:r>
        <w:rPr>
          <w:rFonts w:hint="eastAsia" w:ascii="Arial" w:hAnsi="Arial" w:cs="Arial"/>
          <w:color w:val="000000"/>
          <w:lang w:val="en-US" w:eastAsia="zh-CN"/>
        </w:rPr>
        <w:t>国企</w:t>
      </w:r>
      <w:r>
        <w:rPr>
          <w:rFonts w:hint="eastAsia" w:ascii="Arial" w:hAnsi="Arial" w:cs="Arial"/>
          <w:color w:val="000000"/>
        </w:rPr>
        <w:t>采购投标供应商资格，并在</w:t>
      </w:r>
      <w:r>
        <w:rPr>
          <w:rFonts w:hint="eastAsia" w:ascii="Arial" w:hAnsi="Arial" w:cs="Arial"/>
          <w:color w:val="000000"/>
          <w:lang w:val="en-US" w:eastAsia="zh-CN"/>
        </w:rPr>
        <w:t>国企</w:t>
      </w:r>
      <w:r>
        <w:rPr>
          <w:rFonts w:hint="eastAsia" w:ascii="Arial" w:hAnsi="Arial" w:cs="Arial"/>
          <w:color w:val="000000"/>
        </w:rPr>
        <w:t>采购宣传媒体上予以公告。</w:t>
      </w:r>
    </w:p>
    <w:p w14:paraId="7682F77B">
      <w:pPr>
        <w:numPr>
          <w:ilvl w:val="1"/>
          <w:numId w:val="6"/>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投标文件须对招标文件中的内容做出实质性和完整的响应（文中带“▲”标识），否则其投标将被否决。如果投标文件填报的内容资料不详，或没有提供招标文件中所要求的全部资料及数据，将可能会导致评标委员会作出对其不利的判断和分析。</w:t>
      </w:r>
    </w:p>
    <w:p w14:paraId="64A2650D">
      <w:pPr>
        <w:numPr>
          <w:ilvl w:val="0"/>
          <w:numId w:val="6"/>
        </w:numPr>
        <w:snapToGrid w:val="0"/>
        <w:spacing w:line="360" w:lineRule="auto"/>
        <w:ind w:left="841" w:hanging="841" w:hangingChars="399"/>
        <w:rPr>
          <w:rFonts w:ascii="Arial" w:hAnsi="Arial" w:cs="Arial"/>
          <w:b/>
          <w:color w:val="000000"/>
        </w:rPr>
      </w:pPr>
      <w:r>
        <w:rPr>
          <w:rFonts w:ascii="Arial" w:hAnsi="宋体" w:cs="Arial"/>
          <w:b/>
          <w:color w:val="000000"/>
        </w:rPr>
        <w:t>投标报价</w:t>
      </w:r>
    </w:p>
    <w:p w14:paraId="19F69F2F">
      <w:pPr>
        <w:numPr>
          <w:ilvl w:val="1"/>
          <w:numId w:val="6"/>
        </w:numPr>
        <w:tabs>
          <w:tab w:val="left" w:pos="610"/>
        </w:tabs>
        <w:snapToGrid w:val="0"/>
        <w:spacing w:line="360" w:lineRule="auto"/>
        <w:ind w:left="588" w:hanging="588" w:hangingChars="280"/>
        <w:rPr>
          <w:rFonts w:hint="eastAsia" w:ascii="宋体" w:hAnsi="宋体"/>
          <w:color w:val="000000"/>
        </w:rPr>
      </w:pPr>
      <w:r>
        <w:rPr>
          <w:rFonts w:hint="eastAsia" w:ascii="宋体" w:hAnsi="宋体"/>
          <w:color w:val="000000"/>
        </w:rPr>
        <w:t>投标供应商提供的</w:t>
      </w:r>
      <w:r>
        <w:rPr>
          <w:rFonts w:hint="eastAsia" w:ascii="宋体" w:hAnsi="宋体"/>
          <w:color w:val="000000"/>
          <w:lang w:val="en-US" w:eastAsia="zh-CN"/>
        </w:rPr>
        <w:t>服务</w:t>
      </w:r>
      <w:r>
        <w:rPr>
          <w:rFonts w:hint="eastAsia" w:ascii="宋体" w:hAnsi="宋体"/>
          <w:color w:val="000000"/>
        </w:rPr>
        <w:t>价格应该用人民币投标。投标报价为投标供应商在投标文件中提出的各项支付金额的总和。投标报价应包括购买</w:t>
      </w:r>
      <w:r>
        <w:rPr>
          <w:rFonts w:hint="eastAsia" w:ascii="宋体" w:hAnsi="宋体"/>
          <w:color w:val="000000"/>
          <w:lang w:val="en-US" w:eastAsia="zh-CN"/>
        </w:rPr>
        <w:t>服务</w:t>
      </w:r>
      <w:r>
        <w:rPr>
          <w:rFonts w:hint="eastAsia" w:ascii="宋体" w:hAnsi="宋体"/>
          <w:color w:val="000000"/>
        </w:rPr>
        <w:t>所需缴纳的所有税费和一切费用，费用包括送达使用单位指定地点的一切费用。</w:t>
      </w:r>
    </w:p>
    <w:p w14:paraId="2EAF7B6A">
      <w:pPr>
        <w:numPr>
          <w:ilvl w:val="1"/>
          <w:numId w:val="6"/>
        </w:numPr>
        <w:tabs>
          <w:tab w:val="left" w:pos="592"/>
        </w:tabs>
        <w:snapToGrid w:val="0"/>
        <w:spacing w:line="360" w:lineRule="auto"/>
        <w:ind w:left="588" w:hanging="588" w:hangingChars="280"/>
        <w:rPr>
          <w:rFonts w:ascii="Arial" w:hAnsi="Arial" w:cs="Arial"/>
          <w:color w:val="000000"/>
          <w:highlight w:val="none"/>
        </w:rPr>
      </w:pPr>
      <w:r>
        <w:rPr>
          <w:rFonts w:ascii="Arial" w:hAnsi="宋体" w:cs="Arial"/>
          <w:color w:val="000000"/>
          <w:highlight w:val="none"/>
        </w:rPr>
        <w:t>投标供应商的投标在合同执行期间是固定不变的，不得以任何理由予以变更。投标不是固定的投标文件将予以</w:t>
      </w:r>
      <w:r>
        <w:rPr>
          <w:rFonts w:hint="eastAsia" w:ascii="Arial" w:hAnsi="宋体" w:cs="Arial"/>
          <w:color w:val="000000"/>
          <w:highlight w:val="none"/>
        </w:rPr>
        <w:t>否决</w:t>
      </w:r>
      <w:r>
        <w:rPr>
          <w:rFonts w:ascii="Arial" w:hAnsi="宋体" w:cs="Arial"/>
          <w:color w:val="000000"/>
          <w:highlight w:val="none"/>
        </w:rPr>
        <w:t>。</w:t>
      </w:r>
    </w:p>
    <w:p w14:paraId="74141220">
      <w:pPr>
        <w:numPr>
          <w:ilvl w:val="1"/>
          <w:numId w:val="6"/>
        </w:numPr>
        <w:tabs>
          <w:tab w:val="left" w:pos="610"/>
        </w:tabs>
        <w:snapToGrid w:val="0"/>
        <w:spacing w:line="360" w:lineRule="auto"/>
        <w:ind w:left="588" w:hanging="588" w:hangingChars="280"/>
        <w:rPr>
          <w:rFonts w:hint="eastAsia" w:ascii="宋体" w:hAnsi="宋体"/>
          <w:color w:val="000000"/>
        </w:rPr>
      </w:pPr>
      <w:r>
        <w:rPr>
          <w:rFonts w:hint="eastAsia" w:ascii="宋体" w:hAnsi="宋体"/>
          <w:color w:val="000000"/>
        </w:rPr>
        <w:t>本次采购，只允许有一个报价，并只有一次投标报价，投标供应商应在各自技术和商务占优势的基础上并充分考虑本次采购的重要性，提供对</w:t>
      </w:r>
      <w:r>
        <w:rPr>
          <w:rFonts w:hint="eastAsia" w:ascii="宋体" w:hAnsi="宋体"/>
          <w:color w:val="000000"/>
          <w:lang w:eastAsia="zh-CN"/>
        </w:rPr>
        <w:t>采购人</w:t>
      </w:r>
      <w:r>
        <w:rPr>
          <w:rFonts w:hint="eastAsia" w:ascii="宋体" w:hAnsi="宋体"/>
          <w:color w:val="000000"/>
        </w:rPr>
        <w:t>最优惠的投标报价。</w:t>
      </w:r>
    </w:p>
    <w:p w14:paraId="38E1CE5A">
      <w:pPr>
        <w:numPr>
          <w:ilvl w:val="1"/>
          <w:numId w:val="6"/>
        </w:numPr>
        <w:tabs>
          <w:tab w:val="left" w:pos="610"/>
        </w:tabs>
        <w:snapToGrid w:val="0"/>
        <w:spacing w:line="360" w:lineRule="auto"/>
        <w:ind w:left="588" w:hanging="588" w:hangingChars="280"/>
        <w:rPr>
          <w:rFonts w:hint="eastAsia" w:ascii="宋体" w:hAnsi="宋体"/>
          <w:color w:val="000000"/>
        </w:rPr>
      </w:pPr>
      <w:r>
        <w:rPr>
          <w:rFonts w:hint="eastAsia" w:ascii="宋体" w:hAnsi="宋体"/>
          <w:color w:val="000000"/>
        </w:rPr>
        <w:t>最低报价不能作为中标的保证。</w:t>
      </w:r>
    </w:p>
    <w:p w14:paraId="60E988F1">
      <w:pPr>
        <w:numPr>
          <w:ilvl w:val="1"/>
          <w:numId w:val="6"/>
        </w:numPr>
        <w:tabs>
          <w:tab w:val="left" w:pos="610"/>
        </w:tabs>
        <w:snapToGrid w:val="0"/>
        <w:spacing w:line="360" w:lineRule="auto"/>
        <w:ind w:left="588" w:hanging="588" w:hangingChars="280"/>
        <w:rPr>
          <w:rFonts w:hint="eastAsia" w:ascii="宋体" w:hAnsi="宋体"/>
          <w:color w:val="000000"/>
        </w:rPr>
      </w:pPr>
      <w:r>
        <w:rPr>
          <w:rFonts w:hint="eastAsia" w:ascii="Arial" w:hAnsi="宋体" w:cs="Arial"/>
          <w:color w:val="000000"/>
        </w:rPr>
        <w:t>对于投标报价的具体要求详见本招标文件“第三部分”相应内容</w:t>
      </w:r>
      <w:r>
        <w:rPr>
          <w:rFonts w:hint="eastAsia" w:ascii="宋体" w:hAnsi="宋体"/>
          <w:color w:val="000000"/>
          <w:szCs w:val="21"/>
        </w:rPr>
        <w:t>。</w:t>
      </w:r>
    </w:p>
    <w:p w14:paraId="50F8E5B1">
      <w:pPr>
        <w:numPr>
          <w:ilvl w:val="0"/>
          <w:numId w:val="6"/>
        </w:numPr>
        <w:snapToGrid w:val="0"/>
        <w:spacing w:line="360" w:lineRule="auto"/>
        <w:ind w:left="841" w:hanging="841" w:hangingChars="399"/>
        <w:rPr>
          <w:rFonts w:ascii="Arial" w:hAnsi="Arial" w:cs="Arial"/>
          <w:b/>
          <w:color w:val="000000"/>
        </w:rPr>
      </w:pPr>
      <w:r>
        <w:rPr>
          <w:rFonts w:ascii="Arial" w:hAnsi="宋体" w:cs="Arial"/>
          <w:b/>
          <w:color w:val="000000"/>
        </w:rPr>
        <w:t>投标有效期</w:t>
      </w:r>
    </w:p>
    <w:p w14:paraId="6E3945CD">
      <w:pPr>
        <w:numPr>
          <w:ilvl w:val="1"/>
          <w:numId w:val="6"/>
        </w:numPr>
        <w:tabs>
          <w:tab w:val="left" w:pos="592"/>
        </w:tabs>
        <w:snapToGrid w:val="0"/>
        <w:spacing w:line="360" w:lineRule="auto"/>
        <w:ind w:left="588" w:hanging="588" w:hangingChars="280"/>
        <w:rPr>
          <w:rFonts w:ascii="Arial" w:hAnsi="Arial" w:cs="Arial"/>
          <w:color w:val="auto"/>
        </w:rPr>
      </w:pPr>
      <w:r>
        <w:rPr>
          <w:rFonts w:ascii="Arial" w:hAnsi="Arial" w:cs="Arial"/>
          <w:color w:val="auto"/>
        </w:rPr>
        <w:t>▲</w:t>
      </w:r>
      <w:r>
        <w:rPr>
          <w:rFonts w:ascii="Arial" w:hAnsi="宋体" w:cs="Arial"/>
          <w:color w:val="auto"/>
          <w:u w:val="wave"/>
        </w:rPr>
        <w:t>投标文件应在</w:t>
      </w:r>
      <w:r>
        <w:rPr>
          <w:rFonts w:ascii="Arial" w:hAnsi="宋体" w:cs="Arial"/>
          <w:color w:val="auto"/>
          <w:szCs w:val="21"/>
          <w:u w:val="wave"/>
        </w:rPr>
        <w:t>投标截止日</w:t>
      </w:r>
      <w:r>
        <w:rPr>
          <w:rFonts w:hint="eastAsia" w:ascii="Arial" w:hAnsi="宋体" w:cs="Arial"/>
          <w:color w:val="auto"/>
          <w:szCs w:val="21"/>
          <w:u w:val="wave"/>
          <w:lang w:val="en-US" w:eastAsia="zh-CN"/>
        </w:rPr>
        <w:t>起</w:t>
      </w:r>
      <w:r>
        <w:rPr>
          <w:rFonts w:ascii="Arial" w:hAnsi="Arial" w:cs="Arial"/>
          <w:color w:val="auto"/>
          <w:szCs w:val="21"/>
          <w:u w:val="wave"/>
        </w:rPr>
        <w:t>90</w:t>
      </w:r>
      <w:r>
        <w:rPr>
          <w:rFonts w:hint="eastAsia" w:ascii="Arial" w:hAnsi="宋体" w:cs="Arial"/>
          <w:color w:val="auto"/>
          <w:szCs w:val="21"/>
          <w:u w:val="wave"/>
        </w:rPr>
        <w:t>日历天</w:t>
      </w:r>
      <w:r>
        <w:rPr>
          <w:rFonts w:hint="eastAsia" w:ascii="Arial" w:hAnsi="宋体" w:cs="Arial"/>
          <w:color w:val="auto"/>
          <w:szCs w:val="21"/>
          <w:u w:val="wave"/>
          <w:lang w:val="en-US" w:eastAsia="zh-CN"/>
        </w:rPr>
        <w:t>内</w:t>
      </w:r>
      <w:r>
        <w:rPr>
          <w:rFonts w:ascii="Arial" w:hAnsi="宋体" w:cs="Arial"/>
          <w:color w:val="auto"/>
          <w:szCs w:val="21"/>
          <w:u w:val="wave"/>
        </w:rPr>
        <w:t>保持有效</w:t>
      </w:r>
      <w:r>
        <w:rPr>
          <w:rFonts w:ascii="Arial" w:hAnsi="宋体" w:cs="Arial"/>
          <w:color w:val="auto"/>
        </w:rPr>
        <w:t>。投标有效期比规定期限短的将被视为</w:t>
      </w:r>
      <w:r>
        <w:rPr>
          <w:rFonts w:hint="eastAsia" w:ascii="Arial" w:hAnsi="宋体" w:cs="Arial"/>
          <w:color w:val="auto"/>
          <w:lang w:val="en-US" w:eastAsia="zh-CN"/>
        </w:rPr>
        <w:t>未</w:t>
      </w:r>
      <w:r>
        <w:rPr>
          <w:rFonts w:ascii="Arial" w:hAnsi="宋体" w:cs="Arial"/>
          <w:color w:val="auto"/>
        </w:rPr>
        <w:t>响应投标而</w:t>
      </w:r>
      <w:r>
        <w:rPr>
          <w:rFonts w:hint="eastAsia" w:ascii="Arial" w:hAnsi="宋体" w:cs="Arial"/>
          <w:color w:val="auto"/>
          <w:lang w:val="en-US" w:eastAsia="zh-CN"/>
        </w:rPr>
        <w:t>作</w:t>
      </w:r>
      <w:r>
        <w:rPr>
          <w:rFonts w:ascii="Arial" w:hAnsi="宋体" w:cs="Arial"/>
          <w:color w:val="auto"/>
        </w:rPr>
        <w:t>无效</w:t>
      </w:r>
      <w:r>
        <w:rPr>
          <w:rFonts w:hint="eastAsia" w:ascii="Arial" w:hAnsi="宋体" w:cs="Arial"/>
          <w:color w:val="auto"/>
          <w:lang w:val="en-US" w:eastAsia="zh-CN"/>
        </w:rPr>
        <w:t>投</w:t>
      </w:r>
      <w:r>
        <w:rPr>
          <w:rFonts w:ascii="Arial" w:hAnsi="宋体" w:cs="Arial"/>
          <w:color w:val="auto"/>
        </w:rPr>
        <w:t>标</w:t>
      </w:r>
      <w:r>
        <w:rPr>
          <w:rFonts w:hint="eastAsia" w:ascii="Arial" w:hAnsi="宋体" w:cs="Arial"/>
          <w:color w:val="auto"/>
          <w:lang w:val="en-US" w:eastAsia="zh-CN"/>
        </w:rPr>
        <w:t>处理</w:t>
      </w:r>
      <w:r>
        <w:rPr>
          <w:rFonts w:ascii="Arial" w:hAnsi="宋体" w:cs="Arial"/>
          <w:color w:val="auto"/>
        </w:rPr>
        <w:t>。</w:t>
      </w:r>
    </w:p>
    <w:p w14:paraId="775014B7">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特殊情况下，</w:t>
      </w:r>
      <w:r>
        <w:rPr>
          <w:rFonts w:hint="eastAsia" w:ascii="Arial" w:hAnsi="宋体" w:cs="Arial"/>
          <w:color w:val="000000"/>
          <w:lang w:eastAsia="zh-CN"/>
        </w:rPr>
        <w:t>采购人</w:t>
      </w:r>
      <w:r>
        <w:rPr>
          <w:rFonts w:ascii="Arial" w:hAnsi="宋体" w:cs="Arial"/>
          <w:color w:val="000000"/>
        </w:rPr>
        <w:t>可于投标有效期满之前要求投标供应商同意延长有效期，要求与答复均应为书面形式。</w:t>
      </w:r>
      <w:r>
        <w:rPr>
          <w:rFonts w:hint="eastAsia" w:ascii="Arial" w:hAnsi="宋体" w:cs="Arial"/>
          <w:color w:val="000000"/>
        </w:rPr>
        <w:t>对于同意该要求的投标供应商，既不要求也不允许其修改投标文件。</w:t>
      </w:r>
    </w:p>
    <w:p w14:paraId="228D985A">
      <w:pPr>
        <w:numPr>
          <w:ilvl w:val="0"/>
          <w:numId w:val="6"/>
        </w:numPr>
        <w:snapToGrid w:val="0"/>
        <w:spacing w:line="360" w:lineRule="auto"/>
        <w:ind w:left="841" w:hanging="841" w:hangingChars="399"/>
        <w:rPr>
          <w:rFonts w:ascii="Arial" w:hAnsi="Arial" w:cs="Arial"/>
          <w:b/>
          <w:color w:val="000000"/>
        </w:rPr>
      </w:pPr>
      <w:r>
        <w:rPr>
          <w:rFonts w:ascii="Arial" w:hAnsi="宋体" w:cs="Arial"/>
          <w:b/>
          <w:color w:val="000000"/>
        </w:rPr>
        <w:t>投标文件的式样和签署</w:t>
      </w:r>
    </w:p>
    <w:p w14:paraId="515E2C4D">
      <w:pPr>
        <w:numPr>
          <w:ilvl w:val="1"/>
          <w:numId w:val="6"/>
        </w:numPr>
        <w:tabs>
          <w:tab w:val="left" w:pos="592"/>
        </w:tabs>
        <w:snapToGrid w:val="0"/>
        <w:spacing w:line="360" w:lineRule="auto"/>
        <w:ind w:left="588" w:hanging="588" w:hangingChars="280"/>
        <w:rPr>
          <w:rFonts w:hint="eastAsia" w:ascii="Arial" w:hAnsi="Arial" w:cs="Arial"/>
          <w:color w:val="000000"/>
        </w:rPr>
      </w:pPr>
      <w:r>
        <w:rPr>
          <w:rFonts w:hint="eastAsia" w:ascii="Arial" w:hAnsi="Arial" w:cs="Arial"/>
          <w:color w:val="000000"/>
        </w:rPr>
        <w:t>“电子加密投标文件”通过“乐采云电子投标客户端”完成投标文件编制后生成并加密在线上传递交。</w:t>
      </w:r>
    </w:p>
    <w:p w14:paraId="6385980E">
      <w:pPr>
        <w:numPr>
          <w:ilvl w:val="1"/>
          <w:numId w:val="6"/>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rPr>
        <w:t>电子投标文件中所须加盖公章的地方可采用CA电子签章或供应商公章，所涉及法定代表人或其授权代表)的签字（或盖章）的地方均由法定代表人(或其授权代表)本人签字（或盖章）。</w:t>
      </w:r>
    </w:p>
    <w:p w14:paraId="15854E21">
      <w:pPr>
        <w:numPr>
          <w:ilvl w:val="0"/>
          <w:numId w:val="6"/>
        </w:numPr>
        <w:snapToGrid w:val="0"/>
        <w:spacing w:line="360" w:lineRule="auto"/>
        <w:ind w:left="841" w:hanging="841" w:hangingChars="399"/>
        <w:rPr>
          <w:rFonts w:ascii="Arial" w:hAnsi="Arial" w:cs="Arial"/>
          <w:b/>
          <w:bCs/>
          <w:color w:val="000000"/>
        </w:rPr>
      </w:pPr>
      <w:r>
        <w:rPr>
          <w:rFonts w:hint="eastAsia" w:ascii="Arial" w:hAnsi="宋体" w:cs="Arial"/>
          <w:b/>
          <w:bCs/>
          <w:color w:val="000000"/>
          <w:lang w:val="en-US" w:eastAsia="zh-CN"/>
        </w:rPr>
        <w:t>投标保证金</w:t>
      </w:r>
    </w:p>
    <w:p w14:paraId="2014DD71">
      <w:pPr>
        <w:numPr>
          <w:ilvl w:val="1"/>
          <w:numId w:val="6"/>
        </w:numPr>
        <w:tabs>
          <w:tab w:val="left" w:pos="592"/>
        </w:tabs>
        <w:snapToGrid w:val="0"/>
        <w:spacing w:line="360" w:lineRule="auto"/>
        <w:ind w:left="588" w:hanging="588" w:hangingChars="280"/>
        <w:rPr>
          <w:rFonts w:ascii="Arial" w:hAnsi="Arial" w:cs="Arial"/>
          <w:color w:val="000000"/>
        </w:rPr>
      </w:pPr>
      <w:r>
        <w:rPr>
          <w:rFonts w:hint="eastAsia" w:ascii="Arial" w:hAnsi="Arial" w:cs="Arial"/>
          <w:color w:val="000000"/>
          <w:lang w:val="en-US" w:eastAsia="zh-CN"/>
        </w:rPr>
        <w:t>本项目无需投标保证金</w:t>
      </w:r>
    </w:p>
    <w:p w14:paraId="7862DDBB">
      <w:pPr>
        <w:numPr>
          <w:ilvl w:val="0"/>
          <w:numId w:val="6"/>
        </w:numPr>
        <w:snapToGrid w:val="0"/>
        <w:spacing w:line="360" w:lineRule="auto"/>
        <w:ind w:left="841" w:hanging="841" w:hangingChars="399"/>
        <w:rPr>
          <w:rFonts w:ascii="Arial" w:hAnsi="Arial" w:cs="Arial"/>
          <w:b/>
          <w:bCs/>
          <w:color w:val="000000"/>
        </w:rPr>
      </w:pPr>
      <w:r>
        <w:rPr>
          <w:rFonts w:ascii="Arial" w:hAnsi="宋体" w:cs="Arial"/>
          <w:b/>
          <w:color w:val="000000"/>
          <w:szCs w:val="21"/>
        </w:rPr>
        <w:t>有下列情形之一的，属于串通投标行为：</w:t>
      </w:r>
    </w:p>
    <w:p w14:paraId="6F6EE744">
      <w:pPr>
        <w:numPr>
          <w:ilvl w:val="0"/>
          <w:numId w:val="9"/>
        </w:num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lang w:eastAsia="zh-CN"/>
        </w:rPr>
        <w:t>采购人</w:t>
      </w:r>
      <w:r>
        <w:rPr>
          <w:rFonts w:hint="eastAsia" w:ascii="Arial" w:hAnsi="宋体" w:cs="Arial"/>
          <w:bCs/>
          <w:color w:val="000000"/>
          <w:szCs w:val="21"/>
        </w:rPr>
        <w:t>（或</w:t>
      </w:r>
      <w:r>
        <w:rPr>
          <w:rFonts w:hint="eastAsia" w:ascii="Arial" w:hAnsi="宋体" w:cs="Arial"/>
          <w:bCs/>
          <w:color w:val="000000"/>
          <w:szCs w:val="21"/>
          <w:lang w:eastAsia="zh-CN"/>
        </w:rPr>
        <w:t>采购代理机构</w:t>
      </w:r>
      <w:r>
        <w:rPr>
          <w:rFonts w:hint="eastAsia" w:ascii="Arial" w:hAnsi="宋体" w:cs="Arial"/>
          <w:bCs/>
          <w:color w:val="000000"/>
          <w:szCs w:val="21"/>
        </w:rPr>
        <w:t>）在规定的提交投标文件截止时间后，协助投标供应商撤换投标文件、更改报价的；</w:t>
      </w:r>
    </w:p>
    <w:p w14:paraId="272F59CD">
      <w:p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rPr>
        <w:t>（2）</w:t>
      </w:r>
      <w:r>
        <w:rPr>
          <w:rFonts w:hint="eastAsia" w:ascii="Arial" w:hAnsi="宋体" w:cs="Arial"/>
          <w:bCs/>
          <w:color w:val="000000"/>
          <w:szCs w:val="21"/>
          <w:lang w:val="en-US" w:eastAsia="zh-CN"/>
        </w:rPr>
        <w:t xml:space="preserve"> </w:t>
      </w:r>
      <w:r>
        <w:rPr>
          <w:rFonts w:hint="eastAsia" w:ascii="Arial" w:hAnsi="宋体" w:cs="Arial"/>
          <w:bCs/>
          <w:color w:val="000000"/>
          <w:szCs w:val="21"/>
          <w:lang w:eastAsia="zh-CN"/>
        </w:rPr>
        <w:t>采购人</w:t>
      </w:r>
      <w:r>
        <w:rPr>
          <w:rFonts w:hint="eastAsia" w:ascii="Arial" w:hAnsi="宋体" w:cs="Arial"/>
          <w:bCs/>
          <w:color w:val="000000"/>
          <w:szCs w:val="21"/>
        </w:rPr>
        <w:t>（或</w:t>
      </w:r>
      <w:r>
        <w:rPr>
          <w:rFonts w:hint="eastAsia" w:ascii="Arial" w:hAnsi="宋体" w:cs="Arial"/>
          <w:bCs/>
          <w:color w:val="000000"/>
          <w:szCs w:val="21"/>
          <w:lang w:eastAsia="zh-CN"/>
        </w:rPr>
        <w:t>采购代理机构</w:t>
      </w:r>
      <w:r>
        <w:rPr>
          <w:rFonts w:hint="eastAsia" w:ascii="Arial" w:hAnsi="宋体" w:cs="Arial"/>
          <w:bCs/>
          <w:color w:val="000000"/>
          <w:szCs w:val="21"/>
        </w:rPr>
        <w:t>）向利害关系人泄露投标供应商名称、数量或联系方式等应当保密事项的；</w:t>
      </w:r>
    </w:p>
    <w:p w14:paraId="7576AC42">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（3）</w:t>
      </w:r>
      <w:r>
        <w:rPr>
          <w:rFonts w:hint="eastAsia" w:ascii="Arial" w:hAnsi="宋体" w:cs="Arial"/>
          <w:bCs/>
          <w:color w:val="000000"/>
          <w:szCs w:val="21"/>
          <w:lang w:val="en-US" w:eastAsia="zh-CN"/>
        </w:rPr>
        <w:t xml:space="preserve"> </w:t>
      </w:r>
      <w:r>
        <w:rPr>
          <w:rFonts w:hint="eastAsia" w:ascii="Arial" w:hAnsi="宋体" w:cs="Arial"/>
          <w:bCs/>
          <w:color w:val="000000"/>
          <w:szCs w:val="21"/>
        </w:rPr>
        <w:t>投标供应商之间相互约定中标者或约定给予未中标的投标供应商费用补偿的；</w:t>
      </w:r>
    </w:p>
    <w:p w14:paraId="73A608CF">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（4）</w:t>
      </w:r>
      <w:r>
        <w:rPr>
          <w:rFonts w:hint="eastAsia" w:ascii="Arial" w:hAnsi="宋体" w:cs="Arial"/>
          <w:bCs/>
          <w:color w:val="000000"/>
          <w:szCs w:val="21"/>
          <w:lang w:val="en-US" w:eastAsia="zh-CN"/>
        </w:rPr>
        <w:t xml:space="preserve"> </w:t>
      </w:r>
      <w:r>
        <w:rPr>
          <w:rFonts w:hint="eastAsia" w:ascii="Arial" w:hAnsi="宋体" w:cs="Arial"/>
          <w:bCs/>
          <w:color w:val="000000"/>
          <w:szCs w:val="21"/>
        </w:rPr>
        <w:t>投标供应商之间为谋取中标或者排斥特定投标供应商而联合采取行动的；</w:t>
      </w:r>
    </w:p>
    <w:p w14:paraId="30BE36AF">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（5）</w:t>
      </w:r>
      <w:r>
        <w:rPr>
          <w:rFonts w:hint="eastAsia" w:ascii="Arial" w:hAnsi="宋体" w:cs="Arial"/>
          <w:bCs/>
          <w:color w:val="000000"/>
          <w:szCs w:val="21"/>
          <w:lang w:val="en-US" w:eastAsia="zh-CN"/>
        </w:rPr>
        <w:t xml:space="preserve"> </w:t>
      </w:r>
      <w:r>
        <w:rPr>
          <w:rFonts w:hint="eastAsia" w:ascii="Arial" w:hAnsi="宋体" w:cs="Arial"/>
          <w:bCs/>
          <w:color w:val="000000"/>
          <w:szCs w:val="21"/>
        </w:rPr>
        <w:t>投标供应商之间相互约定抬高或者压低投标报价；</w:t>
      </w:r>
    </w:p>
    <w:p w14:paraId="2536D3AA">
      <w:p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rPr>
        <w:t>（6）</w:t>
      </w:r>
      <w:r>
        <w:rPr>
          <w:rFonts w:hint="eastAsia" w:ascii="Arial" w:hAnsi="宋体" w:cs="Arial"/>
          <w:bCs/>
          <w:color w:val="000000"/>
          <w:szCs w:val="21"/>
          <w:lang w:val="en-US" w:eastAsia="zh-CN"/>
        </w:rPr>
        <w:t xml:space="preserve"> </w:t>
      </w:r>
      <w:r>
        <w:rPr>
          <w:rFonts w:hint="eastAsia" w:ascii="Arial" w:hAnsi="宋体" w:cs="Arial"/>
          <w:bCs/>
          <w:color w:val="000000"/>
          <w:szCs w:val="21"/>
        </w:rPr>
        <w:t>不同投标供应商的投标报价相近和各分项报价、综合单价分析表内容存在异常一致或呈规律性变化，且不能合理解释的；</w:t>
      </w:r>
    </w:p>
    <w:p w14:paraId="5AF30B13">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（7）</w:t>
      </w:r>
      <w:r>
        <w:rPr>
          <w:rFonts w:hint="eastAsia" w:ascii="Arial" w:hAnsi="宋体" w:cs="Arial"/>
          <w:bCs/>
          <w:color w:val="000000"/>
          <w:szCs w:val="21"/>
          <w:lang w:val="en-US" w:eastAsia="zh-CN"/>
        </w:rPr>
        <w:t xml:space="preserve"> </w:t>
      </w:r>
      <w:r>
        <w:rPr>
          <w:rFonts w:hint="eastAsia" w:ascii="Arial" w:hAnsi="宋体" w:cs="Arial"/>
          <w:bCs/>
          <w:color w:val="000000"/>
          <w:szCs w:val="21"/>
        </w:rPr>
        <w:t>不同投标供应商的投标文件载明的关键岗位管理人员出现同一人的；</w:t>
      </w:r>
    </w:p>
    <w:p w14:paraId="4773F376">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（8）</w:t>
      </w:r>
      <w:r>
        <w:rPr>
          <w:rFonts w:hint="eastAsia" w:ascii="Arial" w:hAnsi="宋体" w:cs="Arial"/>
          <w:bCs/>
          <w:color w:val="000000"/>
          <w:szCs w:val="21"/>
          <w:lang w:val="en-US" w:eastAsia="zh-CN"/>
        </w:rPr>
        <w:t xml:space="preserve"> </w:t>
      </w:r>
      <w:r>
        <w:rPr>
          <w:rFonts w:hint="eastAsia" w:ascii="Arial" w:hAnsi="宋体" w:cs="Arial"/>
          <w:bCs/>
          <w:color w:val="000000"/>
          <w:szCs w:val="21"/>
        </w:rPr>
        <w:t>不同投标供应商的投标文件相互混装的；</w:t>
      </w:r>
    </w:p>
    <w:p w14:paraId="24AD544E">
      <w:p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rPr>
        <w:t>（9）</w:t>
      </w:r>
      <w:r>
        <w:rPr>
          <w:rFonts w:hint="eastAsia" w:ascii="Arial" w:hAnsi="宋体" w:cs="Arial"/>
          <w:bCs/>
          <w:color w:val="000000"/>
          <w:szCs w:val="21"/>
          <w:lang w:val="en-US" w:eastAsia="zh-CN"/>
        </w:rPr>
        <w:t xml:space="preserve"> </w:t>
      </w:r>
      <w:r>
        <w:rPr>
          <w:rFonts w:hint="eastAsia" w:ascii="Arial" w:hAnsi="宋体" w:cs="Arial"/>
          <w:bCs/>
          <w:color w:val="000000"/>
          <w:spacing w:val="-6"/>
          <w:sz w:val="21"/>
          <w:szCs w:val="21"/>
        </w:rPr>
        <w:t>不同投标供应商的法定代表人、授权代表、关键岗位管理人员在同一个单位缴纳社会保险的</w:t>
      </w:r>
      <w:r>
        <w:rPr>
          <w:rFonts w:hint="eastAsia" w:ascii="Arial" w:hAnsi="宋体" w:cs="Arial"/>
          <w:bCs/>
          <w:color w:val="000000"/>
          <w:szCs w:val="21"/>
        </w:rPr>
        <w:t>；</w:t>
      </w:r>
    </w:p>
    <w:p w14:paraId="346086EA">
      <w:pPr>
        <w:tabs>
          <w:tab w:val="left" w:pos="592"/>
          <w:tab w:val="left" w:pos="777"/>
        </w:tabs>
        <w:snapToGrid w:val="0"/>
        <w:spacing w:line="360" w:lineRule="auto"/>
        <w:ind w:left="1050" w:leftChars="200" w:hanging="630" w:hangingChars="300"/>
        <w:rPr>
          <w:rFonts w:hint="eastAsia" w:ascii="Arial" w:hAnsi="宋体" w:cs="Arial"/>
          <w:bCs/>
          <w:color w:val="000000"/>
          <w:szCs w:val="21"/>
        </w:rPr>
      </w:pPr>
      <w:r>
        <w:rPr>
          <w:rFonts w:hint="eastAsia" w:ascii="Arial" w:hAnsi="宋体" w:cs="Arial"/>
          <w:bCs/>
          <w:color w:val="000000"/>
          <w:szCs w:val="21"/>
        </w:rPr>
        <w:t>（</w:t>
      </w:r>
      <w:r>
        <w:rPr>
          <w:rFonts w:hint="eastAsia" w:ascii="Arial" w:hAnsi="宋体" w:cs="Arial"/>
          <w:bCs/>
          <w:color w:val="000000"/>
          <w:szCs w:val="21"/>
          <w:lang w:val="en-US" w:eastAsia="zh-CN"/>
        </w:rPr>
        <w:t>10</w:t>
      </w:r>
      <w:r>
        <w:rPr>
          <w:rFonts w:hint="eastAsia" w:ascii="Arial" w:hAnsi="宋体" w:cs="Arial"/>
          <w:bCs/>
          <w:color w:val="000000"/>
          <w:szCs w:val="21"/>
        </w:rPr>
        <w:t>）不同投标供应商委托同一人或者同一单位办理投标事宜、编制投标文件或提供投标咨询服务的（或担任不同单位的中心交易员）；</w:t>
      </w:r>
    </w:p>
    <w:p w14:paraId="134C0374">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（1</w:t>
      </w:r>
      <w:r>
        <w:rPr>
          <w:rFonts w:hint="eastAsia" w:ascii="Arial" w:hAnsi="宋体" w:cs="Arial"/>
          <w:bCs/>
          <w:color w:val="000000"/>
          <w:szCs w:val="21"/>
          <w:lang w:val="en-US" w:eastAsia="zh-CN"/>
        </w:rPr>
        <w:t>1</w:t>
      </w:r>
      <w:r>
        <w:rPr>
          <w:rFonts w:hint="eastAsia" w:ascii="Arial" w:hAnsi="宋体" w:cs="Arial"/>
          <w:bCs/>
          <w:color w:val="000000"/>
          <w:szCs w:val="21"/>
        </w:rPr>
        <w:t>）不同投标供应商与同一投标供应商联合投标的；</w:t>
      </w:r>
    </w:p>
    <w:p w14:paraId="3AF8B4B4">
      <w:pPr>
        <w:tabs>
          <w:tab w:val="left" w:pos="592"/>
          <w:tab w:val="left" w:pos="777"/>
        </w:tabs>
        <w:snapToGrid w:val="0"/>
        <w:spacing w:line="360" w:lineRule="auto"/>
        <w:ind w:firstLine="420" w:firstLineChars="200"/>
        <w:rPr>
          <w:rFonts w:hint="eastAsia" w:ascii="Arial" w:hAnsi="宋体" w:cs="Arial"/>
          <w:bCs/>
          <w:color w:val="000000"/>
          <w:szCs w:val="21"/>
        </w:rPr>
      </w:pPr>
      <w:r>
        <w:rPr>
          <w:rFonts w:hint="eastAsia" w:ascii="Arial" w:hAnsi="宋体" w:cs="Arial"/>
          <w:bCs/>
          <w:color w:val="000000"/>
          <w:szCs w:val="21"/>
        </w:rPr>
        <w:t>（1</w:t>
      </w:r>
      <w:r>
        <w:rPr>
          <w:rFonts w:hint="eastAsia" w:ascii="Arial" w:hAnsi="宋体" w:cs="Arial"/>
          <w:bCs/>
          <w:color w:val="000000"/>
          <w:szCs w:val="21"/>
          <w:lang w:val="en-US" w:eastAsia="zh-CN"/>
        </w:rPr>
        <w:t>2</w:t>
      </w:r>
      <w:r>
        <w:rPr>
          <w:rFonts w:hint="eastAsia" w:ascii="Arial" w:hAnsi="宋体" w:cs="Arial"/>
          <w:bCs/>
          <w:color w:val="000000"/>
          <w:szCs w:val="21"/>
        </w:rPr>
        <w:t>）不同投标供应商的投标文件存在异常一致或呈规律性变化的；</w:t>
      </w:r>
    </w:p>
    <w:p w14:paraId="58F7AAE7">
      <w:pPr>
        <w:tabs>
          <w:tab w:val="left" w:pos="592"/>
          <w:tab w:val="left" w:pos="777"/>
        </w:tabs>
        <w:snapToGrid w:val="0"/>
        <w:spacing w:line="240" w:lineRule="auto"/>
        <w:ind w:firstLine="420" w:firstLineChars="200"/>
        <w:rPr>
          <w:rFonts w:hint="eastAsia" w:ascii="Arial" w:hAnsi="宋体" w:cs="Arial"/>
          <w:bCs/>
          <w:color w:val="000000"/>
          <w:szCs w:val="21"/>
          <w:lang w:val="en-US" w:eastAsia="zh-CN"/>
        </w:rPr>
      </w:pPr>
      <w:r>
        <w:rPr>
          <w:rFonts w:hint="eastAsia" w:ascii="Arial" w:hAnsi="宋体" w:cs="Arial"/>
          <w:bCs/>
          <w:color w:val="000000"/>
          <w:szCs w:val="21"/>
        </w:rPr>
        <w:t>（1</w:t>
      </w:r>
      <w:r>
        <w:rPr>
          <w:rFonts w:hint="eastAsia" w:ascii="Arial" w:hAnsi="宋体" w:cs="Arial"/>
          <w:bCs/>
          <w:color w:val="000000"/>
          <w:szCs w:val="21"/>
          <w:lang w:val="en-US" w:eastAsia="zh-CN"/>
        </w:rPr>
        <w:t>3</w:t>
      </w:r>
      <w:r>
        <w:rPr>
          <w:rFonts w:hint="eastAsia" w:ascii="Arial" w:hAnsi="宋体" w:cs="Arial"/>
          <w:bCs/>
          <w:color w:val="000000"/>
          <w:szCs w:val="21"/>
        </w:rPr>
        <w:t>）不同投标供应商的投标文件由同一电脑编制，或投标报价用同一预算编制软件密码锁制</w:t>
      </w:r>
      <w:r>
        <w:rPr>
          <w:rFonts w:hint="eastAsia" w:ascii="Arial" w:hAnsi="宋体" w:cs="Arial"/>
          <w:bCs/>
          <w:color w:val="000000"/>
          <w:szCs w:val="21"/>
          <w:lang w:val="en-US" w:eastAsia="zh-CN"/>
        </w:rPr>
        <w:t xml:space="preserve">    </w:t>
      </w:r>
    </w:p>
    <w:p w14:paraId="16E2EE9D">
      <w:pPr>
        <w:tabs>
          <w:tab w:val="left" w:pos="592"/>
          <w:tab w:val="left" w:pos="777"/>
        </w:tabs>
        <w:snapToGrid w:val="0"/>
        <w:spacing w:line="240" w:lineRule="auto"/>
        <w:ind w:firstLine="1050" w:firstLineChars="500"/>
        <w:rPr>
          <w:rFonts w:hint="eastAsia" w:ascii="Arial" w:hAnsi="宋体" w:cs="Arial"/>
          <w:bCs/>
          <w:color w:val="000000"/>
          <w:szCs w:val="21"/>
        </w:rPr>
      </w:pPr>
      <w:r>
        <w:rPr>
          <w:rFonts w:hint="eastAsia" w:ascii="Arial" w:hAnsi="宋体" w:cs="Arial"/>
          <w:bCs/>
          <w:color w:val="000000"/>
          <w:szCs w:val="21"/>
        </w:rPr>
        <w:t>作，或出自同一电子文档的；</w:t>
      </w:r>
    </w:p>
    <w:p w14:paraId="09810C09">
      <w:pPr>
        <w:tabs>
          <w:tab w:val="left" w:pos="592"/>
          <w:tab w:val="left" w:pos="777"/>
        </w:tabs>
        <w:snapToGrid w:val="0"/>
        <w:spacing w:line="360" w:lineRule="auto"/>
        <w:ind w:firstLine="420" w:firstLineChars="200"/>
        <w:rPr>
          <w:rFonts w:ascii="Arial" w:hAnsi="Arial" w:cs="Arial"/>
          <w:b/>
          <w:bCs/>
          <w:color w:val="000000"/>
        </w:rPr>
      </w:pPr>
      <w:r>
        <w:rPr>
          <w:rFonts w:hint="eastAsia" w:ascii="Arial" w:hAnsi="宋体" w:cs="Arial"/>
          <w:bCs/>
          <w:color w:val="000000"/>
          <w:szCs w:val="21"/>
        </w:rPr>
        <w:t>（1</w:t>
      </w:r>
      <w:r>
        <w:rPr>
          <w:rFonts w:hint="eastAsia" w:ascii="Arial" w:hAnsi="宋体" w:cs="Arial"/>
          <w:bCs/>
          <w:color w:val="000000"/>
          <w:szCs w:val="21"/>
          <w:lang w:val="en-US" w:eastAsia="zh-CN"/>
        </w:rPr>
        <w:t>4</w:t>
      </w:r>
      <w:r>
        <w:rPr>
          <w:rFonts w:hint="eastAsia" w:ascii="Arial" w:hAnsi="宋体" w:cs="Arial"/>
          <w:bCs/>
          <w:color w:val="000000"/>
          <w:szCs w:val="21"/>
        </w:rPr>
        <w:t>）法律、法规或规章规定的其他串通投标行为。</w:t>
      </w:r>
    </w:p>
    <w:p w14:paraId="046B0E6E">
      <w:pPr>
        <w:numPr>
          <w:ilvl w:val="0"/>
          <w:numId w:val="6"/>
        </w:numPr>
        <w:snapToGrid w:val="0"/>
        <w:spacing w:line="360" w:lineRule="auto"/>
        <w:ind w:left="0" w:firstLine="0" w:firstLineChars="0"/>
        <w:rPr>
          <w:rFonts w:ascii="Arial" w:hAnsi="Arial" w:cs="Arial"/>
          <w:b/>
          <w:bCs/>
          <w:color w:val="000000"/>
        </w:rPr>
      </w:pPr>
      <w:r>
        <w:rPr>
          <w:rFonts w:hint="eastAsia" w:ascii="Arial" w:hAnsi="Arial" w:eastAsia="宋体" w:cs="Arial"/>
          <w:b/>
          <w:bCs/>
          <w:color w:val="000000"/>
        </w:rPr>
        <w:t>有下列情形之一的，属于以他人名义投标的行为，认定为“挂靠”行为</w:t>
      </w:r>
      <w:r>
        <w:rPr>
          <w:rFonts w:ascii="Arial" w:hAnsi="宋体" w:cs="Arial"/>
          <w:b/>
          <w:color w:val="000000"/>
          <w:szCs w:val="21"/>
        </w:rPr>
        <w:t>：</w:t>
      </w:r>
    </w:p>
    <w:p w14:paraId="0994B2A8">
      <w:pPr>
        <w:numPr>
          <w:ilvl w:val="0"/>
          <w:numId w:val="10"/>
        </w:numPr>
        <w:spacing w:line="360" w:lineRule="auto"/>
        <w:ind w:left="0" w:leftChars="0" w:firstLine="420" w:firstLineChars="200"/>
        <w:rPr>
          <w:rFonts w:ascii="Arial" w:hAnsi="Arial" w:cs="Arial"/>
          <w:color w:val="000000"/>
          <w:szCs w:val="21"/>
        </w:rPr>
      </w:pPr>
      <w:r>
        <w:rPr>
          <w:rFonts w:ascii="Arial" w:hAnsi="宋体" w:cs="Arial"/>
          <w:color w:val="000000"/>
          <w:szCs w:val="21"/>
        </w:rPr>
        <w:t>通过转让或者租借等方式从其他单位获取资格或者资质证书投标的；</w:t>
      </w:r>
    </w:p>
    <w:p w14:paraId="0C59ABAB">
      <w:pPr>
        <w:numPr>
          <w:ilvl w:val="0"/>
          <w:numId w:val="10"/>
        </w:numPr>
        <w:spacing w:line="360" w:lineRule="auto"/>
        <w:ind w:left="0" w:leftChars="0" w:firstLine="420" w:firstLineChars="200"/>
        <w:rPr>
          <w:rFonts w:ascii="Arial" w:hAnsi="Arial" w:cs="Arial"/>
          <w:color w:val="000000"/>
          <w:szCs w:val="21"/>
        </w:rPr>
      </w:pPr>
      <w:r>
        <w:rPr>
          <w:rFonts w:ascii="Arial" w:hAnsi="宋体" w:cs="Arial"/>
          <w:color w:val="000000"/>
          <w:szCs w:val="21"/>
        </w:rPr>
        <w:t>由其他单位或者其他单位负责人在自己编制的投标文件上加盖印章或者签字的；</w:t>
      </w:r>
    </w:p>
    <w:p w14:paraId="28D903DE">
      <w:pPr>
        <w:numPr>
          <w:ilvl w:val="0"/>
          <w:numId w:val="10"/>
        </w:numPr>
        <w:autoSpaceDE w:val="0"/>
        <w:autoSpaceDN w:val="0"/>
        <w:adjustRightInd w:val="0"/>
        <w:spacing w:line="360" w:lineRule="auto"/>
        <w:ind w:left="0" w:leftChars="0" w:firstLine="420" w:firstLineChars="200"/>
        <w:jc w:val="left"/>
        <w:rPr>
          <w:rFonts w:ascii="Arial" w:hAnsi="Arial" w:cs="Arial"/>
          <w:b/>
          <w:bCs/>
          <w:color w:val="000000"/>
        </w:rPr>
      </w:pPr>
      <w:r>
        <w:rPr>
          <w:rFonts w:ascii="Arial" w:hAnsi="宋体" w:cs="Arial"/>
          <w:color w:val="000000"/>
          <w:szCs w:val="21"/>
        </w:rPr>
        <w:t>法律法规规章规定的以他人名义投标的其他行为。</w:t>
      </w:r>
    </w:p>
    <w:p w14:paraId="5BE77C16">
      <w:pPr>
        <w:numPr>
          <w:ilvl w:val="0"/>
          <w:numId w:val="6"/>
        </w:numPr>
        <w:snapToGrid w:val="0"/>
        <w:spacing w:line="360" w:lineRule="auto"/>
        <w:ind w:left="841" w:hanging="841" w:hangingChars="399"/>
        <w:rPr>
          <w:rFonts w:ascii="Arial" w:hAnsi="Arial" w:cs="Arial"/>
          <w:b/>
          <w:bCs/>
          <w:color w:val="000000"/>
        </w:rPr>
      </w:pPr>
      <w:r>
        <w:rPr>
          <w:rFonts w:hint="eastAsia" w:ascii="Arial" w:hAnsi="Arial" w:cs="Arial"/>
          <w:b/>
          <w:bCs/>
          <w:color w:val="000000"/>
          <w:lang w:val="en-US" w:eastAsia="zh-CN"/>
        </w:rPr>
        <w:t>知</w:t>
      </w:r>
      <w:r>
        <w:rPr>
          <w:rFonts w:hint="eastAsia" w:ascii="Arial" w:hAnsi="Arial" w:cs="Arial"/>
          <w:b/>
          <w:bCs/>
          <w:color w:val="000000"/>
        </w:rPr>
        <w:t>识产权</w:t>
      </w:r>
    </w:p>
    <w:p w14:paraId="54E0F7C7">
      <w:pPr>
        <w:numPr>
          <w:ilvl w:val="1"/>
          <w:numId w:val="6"/>
        </w:numPr>
        <w:tabs>
          <w:tab w:val="left" w:pos="592"/>
        </w:tabs>
        <w:snapToGrid w:val="0"/>
        <w:spacing w:line="360" w:lineRule="auto"/>
        <w:ind w:left="588" w:hanging="588" w:hangingChars="280"/>
        <w:rPr>
          <w:rFonts w:hint="eastAsia" w:ascii="Arial" w:hAnsi="Arial" w:eastAsia="宋体" w:cs="Arial"/>
          <w:color w:val="000000"/>
        </w:rPr>
      </w:pPr>
      <w:r>
        <w:rPr>
          <w:rFonts w:hint="eastAsia" w:ascii="Arial" w:hAnsi="Arial" w:eastAsia="宋体" w:cs="Arial"/>
          <w:color w:val="000000"/>
        </w:rPr>
        <w:t>投标供应商应保证，</w:t>
      </w:r>
      <w:r>
        <w:rPr>
          <w:rFonts w:hint="eastAsia" w:ascii="Arial" w:hAnsi="Arial" w:eastAsia="宋体" w:cs="Arial"/>
          <w:color w:val="000000"/>
          <w:lang w:eastAsia="zh-CN"/>
        </w:rPr>
        <w:t>采购人</w:t>
      </w:r>
      <w:r>
        <w:rPr>
          <w:rFonts w:hint="eastAsia" w:ascii="Arial" w:hAnsi="Arial" w:eastAsia="宋体" w:cs="Arial"/>
          <w:color w:val="000000"/>
        </w:rPr>
        <w:t>在中华人民共和国使用货物和服务的任何一部分时，免受第三方提出侵犯其专利权、商标权或其它知识产权的起诉；</w:t>
      </w:r>
    </w:p>
    <w:p w14:paraId="3E6B0F56">
      <w:pPr>
        <w:numPr>
          <w:ilvl w:val="1"/>
          <w:numId w:val="6"/>
        </w:numPr>
        <w:tabs>
          <w:tab w:val="left" w:pos="592"/>
        </w:tabs>
        <w:snapToGrid w:val="0"/>
        <w:spacing w:line="360" w:lineRule="auto"/>
        <w:ind w:left="588" w:hanging="588" w:hangingChars="280"/>
        <w:rPr>
          <w:rFonts w:hint="eastAsia" w:ascii="Arial" w:hAnsi="Arial" w:eastAsia="宋体" w:cs="Arial"/>
          <w:color w:val="000000"/>
        </w:rPr>
      </w:pPr>
      <w:r>
        <w:rPr>
          <w:rFonts w:hint="eastAsia" w:ascii="Arial" w:hAnsi="Arial" w:eastAsia="宋体" w:cs="Arial"/>
          <w:color w:val="000000"/>
        </w:rPr>
        <w:t>投标供应商应对</w:t>
      </w:r>
      <w:r>
        <w:rPr>
          <w:rFonts w:hint="eastAsia" w:ascii="Arial" w:hAnsi="Arial" w:eastAsia="宋体" w:cs="Arial"/>
          <w:color w:val="000000"/>
          <w:lang w:eastAsia="zh-CN"/>
        </w:rPr>
        <w:t>采购人</w:t>
      </w:r>
      <w:r>
        <w:rPr>
          <w:rFonts w:hint="eastAsia" w:ascii="Arial" w:hAnsi="Arial" w:eastAsia="宋体" w:cs="Arial"/>
          <w:color w:val="000000"/>
        </w:rPr>
        <w:t>在使用该</w:t>
      </w:r>
      <w:r>
        <w:rPr>
          <w:rFonts w:hint="eastAsia" w:ascii="Arial" w:hAnsi="Arial" w:eastAsia="宋体" w:cs="Arial"/>
          <w:color w:val="000000"/>
          <w:lang w:val="en-US" w:eastAsia="zh-CN"/>
        </w:rPr>
        <w:t>服务</w:t>
      </w:r>
      <w:r>
        <w:rPr>
          <w:rFonts w:hint="eastAsia" w:ascii="Arial" w:hAnsi="Arial" w:eastAsia="宋体" w:cs="Arial"/>
          <w:color w:val="000000"/>
        </w:rPr>
        <w:t>时所涉及到的专利权负责，不损害</w:t>
      </w:r>
      <w:r>
        <w:rPr>
          <w:rFonts w:hint="eastAsia" w:ascii="Arial" w:hAnsi="Arial" w:eastAsia="宋体" w:cs="Arial"/>
          <w:color w:val="000000"/>
          <w:lang w:eastAsia="zh-CN"/>
        </w:rPr>
        <w:t>采购人</w:t>
      </w:r>
      <w:r>
        <w:rPr>
          <w:rFonts w:hint="eastAsia" w:ascii="Arial" w:hAnsi="Arial" w:eastAsia="宋体" w:cs="Arial"/>
          <w:color w:val="000000"/>
        </w:rPr>
        <w:t>的利益。</w:t>
      </w:r>
    </w:p>
    <w:p w14:paraId="03C52A94">
      <w:pPr>
        <w:numPr>
          <w:ilvl w:val="1"/>
          <w:numId w:val="6"/>
        </w:numPr>
        <w:tabs>
          <w:tab w:val="left" w:pos="592"/>
        </w:tabs>
        <w:snapToGrid w:val="0"/>
        <w:spacing w:line="360" w:lineRule="auto"/>
        <w:ind w:left="588" w:hanging="588" w:hangingChars="280"/>
        <w:rPr>
          <w:rFonts w:hint="eastAsia" w:ascii="Arial" w:hAnsi="Arial" w:eastAsia="宋体" w:cs="Arial"/>
          <w:color w:val="000000"/>
        </w:rPr>
      </w:pPr>
      <w:r>
        <w:rPr>
          <w:rFonts w:hint="eastAsia" w:ascii="Arial" w:hAnsi="Arial" w:eastAsia="宋体" w:cs="Arial"/>
          <w:color w:val="000000"/>
        </w:rPr>
        <w:t>投标报价应包括所有应支付的对专利权和版权、设计或其他知识产权而需要向其他方支付的版税。</w:t>
      </w:r>
    </w:p>
    <w:p w14:paraId="5D146582">
      <w:pPr>
        <w:numPr>
          <w:ilvl w:val="1"/>
          <w:numId w:val="6"/>
        </w:numPr>
        <w:tabs>
          <w:tab w:val="left" w:pos="592"/>
        </w:tabs>
        <w:snapToGrid w:val="0"/>
        <w:spacing w:line="360" w:lineRule="auto"/>
        <w:ind w:left="588" w:hanging="588" w:hangingChars="280"/>
        <w:rPr>
          <w:rFonts w:hint="eastAsia" w:ascii="Arial" w:hAnsi="Arial" w:eastAsia="宋体" w:cs="Arial"/>
          <w:color w:val="000000"/>
        </w:rPr>
      </w:pPr>
      <w:r>
        <w:rPr>
          <w:rFonts w:hint="eastAsia" w:ascii="Arial" w:hAnsi="Arial" w:eastAsia="宋体" w:cs="Arial"/>
          <w:color w:val="000000"/>
        </w:rPr>
        <w:t>投标供应商提供得</w:t>
      </w:r>
      <w:r>
        <w:rPr>
          <w:rFonts w:hint="eastAsia" w:ascii="Arial" w:hAnsi="Arial" w:eastAsia="宋体" w:cs="Arial"/>
          <w:color w:val="000000"/>
          <w:lang w:val="en-US" w:eastAsia="zh-CN"/>
        </w:rPr>
        <w:t>服务</w:t>
      </w:r>
      <w:r>
        <w:rPr>
          <w:rFonts w:hint="eastAsia" w:ascii="Arial" w:hAnsi="Arial" w:eastAsia="宋体" w:cs="Arial"/>
          <w:color w:val="000000"/>
        </w:rPr>
        <w:t>中如使用其他公司的相关专利，应在投标文件中出示相关授权，如未出示但使用了其他公司的专利，导致投标供应商中标而引起相关诉讼，由投标供应商承担。</w:t>
      </w:r>
    </w:p>
    <w:p w14:paraId="1E9B41DD">
      <w:pPr>
        <w:spacing w:line="360" w:lineRule="auto"/>
        <w:jc w:val="center"/>
        <w:outlineLvl w:val="1"/>
        <w:rPr>
          <w:rFonts w:ascii="Arial" w:hAnsi="宋体" w:cs="Arial"/>
          <w:b/>
          <w:bCs/>
          <w:color w:val="000000"/>
          <w:sz w:val="28"/>
        </w:rPr>
      </w:pPr>
      <w:bookmarkStart w:id="42" w:name="_Toc495977857"/>
      <w:bookmarkStart w:id="43" w:name="_Toc23511"/>
      <w:r>
        <w:rPr>
          <w:rFonts w:ascii="Arial" w:hAnsi="宋体" w:cs="Arial"/>
          <w:b/>
          <w:bCs/>
          <w:color w:val="000000"/>
          <w:sz w:val="28"/>
        </w:rPr>
        <w:t>（</w:t>
      </w:r>
      <w:r>
        <w:rPr>
          <w:rFonts w:hint="eastAsia" w:ascii="Arial" w:hAnsi="宋体" w:cs="Arial"/>
          <w:b/>
          <w:bCs/>
          <w:color w:val="000000"/>
          <w:sz w:val="28"/>
        </w:rPr>
        <w:t>五</w:t>
      </w:r>
      <w:r>
        <w:rPr>
          <w:rFonts w:ascii="Arial" w:hAnsi="宋体" w:cs="Arial"/>
          <w:b/>
          <w:bCs/>
          <w:color w:val="000000"/>
          <w:sz w:val="28"/>
        </w:rPr>
        <w:t>）投标文件的递交</w:t>
      </w:r>
      <w:bookmarkEnd w:id="42"/>
      <w:bookmarkEnd w:id="43"/>
    </w:p>
    <w:p w14:paraId="25B321BB">
      <w:pPr>
        <w:numPr>
          <w:ilvl w:val="0"/>
          <w:numId w:val="6"/>
        </w:numPr>
        <w:snapToGrid w:val="0"/>
        <w:spacing w:line="360" w:lineRule="auto"/>
        <w:ind w:left="841" w:hanging="841" w:hangingChars="399"/>
        <w:rPr>
          <w:rFonts w:hint="eastAsia" w:ascii="Arial" w:hAnsi="Arial" w:eastAsia="宋体" w:cs="Arial"/>
          <w:b/>
          <w:bCs/>
          <w:color w:val="000000"/>
        </w:rPr>
      </w:pPr>
      <w:r>
        <w:rPr>
          <w:rFonts w:hint="eastAsia" w:ascii="Arial" w:hAnsi="Arial" w:eastAsia="宋体" w:cs="Arial"/>
          <w:b/>
          <w:bCs/>
          <w:color w:val="000000"/>
        </w:rPr>
        <w:t>投标文件的递交</w:t>
      </w:r>
    </w:p>
    <w:p w14:paraId="742ECE50">
      <w:pPr>
        <w:numPr>
          <w:ilvl w:val="1"/>
          <w:numId w:val="6"/>
        </w:numPr>
        <w:tabs>
          <w:tab w:val="left" w:pos="592"/>
        </w:tabs>
        <w:snapToGrid w:val="0"/>
        <w:spacing w:line="360" w:lineRule="auto"/>
        <w:ind w:left="588" w:hanging="588" w:hangingChars="280"/>
        <w:rPr>
          <w:rFonts w:hint="eastAsia" w:ascii="Arial" w:hAnsi="Arial" w:eastAsia="宋体" w:cs="Arial"/>
          <w:color w:val="000000"/>
        </w:rPr>
      </w:pPr>
      <w:r>
        <w:rPr>
          <w:rFonts w:hint="eastAsia" w:ascii="Arial" w:hAnsi="Arial" w:eastAsia="宋体" w:cs="Arial"/>
          <w:color w:val="000000"/>
        </w:rPr>
        <w:t>供应商在投标文件递交截止时间之前将生成的电子加密投标文件上传至乐采云平台，供应商未按要求提交的电子加密投标文件，乐采云平台将予以拒收。</w:t>
      </w:r>
    </w:p>
    <w:p w14:paraId="6C1A7BD9">
      <w:pPr>
        <w:numPr>
          <w:ilvl w:val="1"/>
          <w:numId w:val="6"/>
        </w:numPr>
        <w:tabs>
          <w:tab w:val="left" w:pos="592"/>
        </w:tabs>
        <w:snapToGrid w:val="0"/>
        <w:spacing w:line="360" w:lineRule="auto"/>
        <w:ind w:left="588" w:hanging="588" w:hangingChars="280"/>
        <w:rPr>
          <w:rFonts w:hint="eastAsia" w:ascii="Arial" w:hAnsi="Arial" w:eastAsia="宋体" w:cs="Arial"/>
          <w:color w:val="000000"/>
        </w:rPr>
      </w:pPr>
      <w:r>
        <w:rPr>
          <w:rFonts w:hint="eastAsia" w:ascii="Arial" w:hAnsi="Arial" w:eastAsia="宋体" w:cs="Arial"/>
          <w:color w:val="000000"/>
        </w:rPr>
        <w:t>投标文件递交截止时间后，投标供应商不得撤回、修改投标文件。</w:t>
      </w:r>
    </w:p>
    <w:p w14:paraId="566D2D2B">
      <w:pPr>
        <w:numPr>
          <w:ilvl w:val="0"/>
          <w:numId w:val="6"/>
        </w:numPr>
        <w:snapToGrid w:val="0"/>
        <w:spacing w:line="360" w:lineRule="auto"/>
        <w:ind w:left="841" w:hanging="841" w:hangingChars="399"/>
        <w:rPr>
          <w:rFonts w:hint="eastAsia" w:ascii="Arial" w:hAnsi="Arial" w:eastAsia="宋体" w:cs="Arial"/>
          <w:b/>
          <w:bCs/>
          <w:color w:val="000000"/>
        </w:rPr>
      </w:pPr>
      <w:r>
        <w:rPr>
          <w:rFonts w:hint="eastAsia" w:ascii="Arial" w:hAnsi="Arial" w:eastAsia="宋体" w:cs="Arial"/>
          <w:b/>
          <w:bCs/>
          <w:color w:val="000000"/>
        </w:rPr>
        <w:t>投标文件的补充、修改与撤回</w:t>
      </w:r>
    </w:p>
    <w:p w14:paraId="11976EB1">
      <w:pPr>
        <w:numPr>
          <w:ilvl w:val="1"/>
          <w:numId w:val="6"/>
        </w:numPr>
        <w:tabs>
          <w:tab w:val="left" w:pos="592"/>
        </w:tabs>
        <w:snapToGrid w:val="0"/>
        <w:spacing w:line="360" w:lineRule="auto"/>
        <w:ind w:left="588" w:hanging="588" w:hangingChars="280"/>
        <w:rPr>
          <w:rFonts w:hint="eastAsia" w:ascii="Arial" w:hAnsi="Arial" w:eastAsia="宋体" w:cs="Arial"/>
          <w:color w:val="000000"/>
        </w:rPr>
      </w:pPr>
      <w:r>
        <w:rPr>
          <w:rFonts w:hint="eastAsia" w:ascii="Arial" w:hAnsi="Arial" w:eastAsia="宋体" w:cs="Arial"/>
          <w:color w:val="000000"/>
        </w:rPr>
        <w:t>供应商在投标截止时间前可以补充、修改或者撤回电子加密投标文件。补充或者修改电子加密投标文件的，应当先行撤回原文件，补充、修改后重新传输递交。投标截止时间前未完成传输的，视为撤回投标文件。投标截止时间后递交的投标文件，将被乐采云平台拒收。</w:t>
      </w:r>
    </w:p>
    <w:p w14:paraId="3F2FC8A8">
      <w:pPr>
        <w:numPr>
          <w:ilvl w:val="0"/>
          <w:numId w:val="6"/>
        </w:numPr>
        <w:snapToGrid w:val="0"/>
        <w:spacing w:line="360" w:lineRule="auto"/>
        <w:ind w:left="841" w:hanging="841" w:hangingChars="399"/>
        <w:rPr>
          <w:rFonts w:hint="eastAsia" w:ascii="Arial" w:hAnsi="Arial" w:eastAsia="宋体" w:cs="Arial"/>
          <w:b/>
          <w:bCs/>
          <w:color w:val="000000"/>
        </w:rPr>
      </w:pPr>
      <w:r>
        <w:rPr>
          <w:rFonts w:hint="eastAsia" w:ascii="Arial" w:hAnsi="Arial" w:eastAsia="宋体" w:cs="Arial"/>
          <w:b/>
          <w:bCs/>
          <w:color w:val="000000"/>
        </w:rPr>
        <w:t>投标截止时间</w:t>
      </w:r>
    </w:p>
    <w:p w14:paraId="5C637870">
      <w:pPr>
        <w:numPr>
          <w:ilvl w:val="1"/>
          <w:numId w:val="6"/>
        </w:numPr>
        <w:tabs>
          <w:tab w:val="left" w:pos="592"/>
        </w:tabs>
        <w:snapToGrid w:val="0"/>
        <w:spacing w:line="360" w:lineRule="auto"/>
        <w:ind w:left="588" w:hanging="588" w:hangingChars="280"/>
        <w:rPr>
          <w:rFonts w:hint="eastAsia" w:ascii="Arial" w:hAnsi="Arial" w:eastAsia="宋体" w:cs="Arial"/>
          <w:color w:val="000000"/>
        </w:rPr>
      </w:pPr>
      <w:r>
        <w:rPr>
          <w:rFonts w:hint="eastAsia" w:ascii="Arial" w:hAnsi="Arial" w:eastAsia="宋体" w:cs="Arial"/>
          <w:color w:val="000000"/>
        </w:rPr>
        <w:t>本次招标的投标截止时间及投标文件递交截止时间：见本招标文件“招标公告”。</w:t>
      </w:r>
      <w:r>
        <w:rPr>
          <w:rFonts w:hint="eastAsia" w:ascii="Arial" w:hAnsi="Arial" w:eastAsia="宋体" w:cs="Arial"/>
          <w:color w:val="000000"/>
          <w:lang w:val="en-US" w:eastAsia="zh-CN"/>
        </w:rPr>
        <w:t>采购代理机构</w:t>
      </w:r>
      <w:r>
        <w:rPr>
          <w:rFonts w:hint="eastAsia" w:ascii="Arial" w:hAnsi="Arial" w:eastAsia="宋体" w:cs="Arial"/>
          <w:color w:val="000000"/>
        </w:rPr>
        <w:t>收到投标文件的时间不得迟于规定的截止时间。</w:t>
      </w:r>
    </w:p>
    <w:p w14:paraId="62FDF079">
      <w:pPr>
        <w:numPr>
          <w:ilvl w:val="1"/>
          <w:numId w:val="6"/>
        </w:numPr>
        <w:tabs>
          <w:tab w:val="left" w:pos="592"/>
        </w:tabs>
        <w:snapToGrid w:val="0"/>
        <w:spacing w:line="360" w:lineRule="auto"/>
        <w:ind w:left="588" w:hanging="588" w:hangingChars="280"/>
        <w:rPr>
          <w:rFonts w:hint="eastAsia" w:ascii="Arial" w:hAnsi="Arial" w:eastAsia="宋体" w:cs="Arial"/>
          <w:color w:val="000000"/>
        </w:rPr>
      </w:pPr>
      <w:r>
        <w:rPr>
          <w:rFonts w:hint="eastAsia" w:ascii="Arial" w:hAnsi="Arial" w:eastAsia="宋体" w:cs="Arial"/>
          <w:color w:val="000000"/>
        </w:rPr>
        <w:t>在推迟了投标截止时间的情况下，</w:t>
      </w:r>
      <w:r>
        <w:rPr>
          <w:rFonts w:hint="eastAsia" w:ascii="Arial" w:hAnsi="Arial" w:eastAsia="宋体" w:cs="Arial"/>
          <w:color w:val="000000"/>
          <w:lang w:val="en-US" w:eastAsia="zh-CN"/>
        </w:rPr>
        <w:t>招标</w:t>
      </w:r>
      <w:r>
        <w:rPr>
          <w:rFonts w:hint="eastAsia" w:ascii="Arial" w:hAnsi="Arial" w:eastAsia="宋体" w:cs="Arial"/>
          <w:color w:val="000000"/>
        </w:rPr>
        <w:t>机构和投标供应商受投标截止时间制约的所有权利和义务均应延长至新的截止时间。</w:t>
      </w:r>
    </w:p>
    <w:p w14:paraId="72ED9326">
      <w:pPr>
        <w:spacing w:line="360" w:lineRule="auto"/>
        <w:jc w:val="center"/>
        <w:outlineLvl w:val="1"/>
        <w:rPr>
          <w:rFonts w:ascii="Arial" w:hAnsi="宋体" w:cs="Arial"/>
          <w:b/>
          <w:bCs/>
          <w:color w:val="000000"/>
          <w:sz w:val="28"/>
        </w:rPr>
      </w:pPr>
      <w:bookmarkStart w:id="44" w:name="_Toc495977858"/>
      <w:bookmarkStart w:id="45" w:name="_Toc24182"/>
      <w:r>
        <w:rPr>
          <w:rFonts w:ascii="Arial" w:hAnsi="宋体" w:cs="Arial"/>
          <w:b/>
          <w:bCs/>
          <w:color w:val="000000"/>
          <w:sz w:val="28"/>
        </w:rPr>
        <w:t>（</w:t>
      </w:r>
      <w:r>
        <w:rPr>
          <w:rFonts w:hint="eastAsia" w:ascii="Arial" w:hAnsi="宋体" w:cs="Arial"/>
          <w:b/>
          <w:bCs/>
          <w:color w:val="000000"/>
          <w:sz w:val="28"/>
        </w:rPr>
        <w:t>六</w:t>
      </w:r>
      <w:r>
        <w:rPr>
          <w:rFonts w:ascii="Arial" w:hAnsi="宋体" w:cs="Arial"/>
          <w:b/>
          <w:bCs/>
          <w:color w:val="000000"/>
          <w:sz w:val="28"/>
        </w:rPr>
        <w:t>）开标与评审</w:t>
      </w:r>
      <w:bookmarkEnd w:id="44"/>
      <w:bookmarkEnd w:id="45"/>
    </w:p>
    <w:p w14:paraId="2C7E2242">
      <w:pPr>
        <w:numPr>
          <w:ilvl w:val="0"/>
          <w:numId w:val="6"/>
        </w:numPr>
        <w:spacing w:line="360" w:lineRule="auto"/>
        <w:ind w:left="841" w:hanging="841" w:hangingChars="399"/>
        <w:rPr>
          <w:rFonts w:ascii="Arial" w:hAnsi="Arial" w:cs="Arial"/>
          <w:color w:val="000000"/>
        </w:rPr>
      </w:pPr>
      <w:r>
        <w:rPr>
          <w:rFonts w:ascii="Arial" w:hAnsi="宋体" w:cs="Arial"/>
          <w:b/>
          <w:color w:val="000000"/>
        </w:rPr>
        <w:t>开标</w:t>
      </w:r>
    </w:p>
    <w:p w14:paraId="370F626B">
      <w:pPr>
        <w:numPr>
          <w:ilvl w:val="1"/>
          <w:numId w:val="6"/>
        </w:numPr>
        <w:tabs>
          <w:tab w:val="left" w:pos="592"/>
        </w:tabs>
        <w:snapToGrid w:val="0"/>
        <w:spacing w:line="360" w:lineRule="auto"/>
        <w:ind w:left="588" w:hanging="590" w:hangingChars="280"/>
        <w:rPr>
          <w:rFonts w:ascii="Arial" w:hAnsi="Arial" w:cs="Arial"/>
          <w:b/>
          <w:bCs/>
          <w:color w:val="000000"/>
        </w:rPr>
      </w:pPr>
      <w:r>
        <w:rPr>
          <w:rFonts w:hint="eastAsia" w:ascii="Arial" w:hAnsi="宋体" w:cs="Arial"/>
          <w:b/>
          <w:bCs/>
          <w:color w:val="000000"/>
        </w:rPr>
        <w:t>开标时间和地点：见本招标文件“招标公告”。</w:t>
      </w:r>
    </w:p>
    <w:p w14:paraId="0050ABA6">
      <w:pPr>
        <w:numPr>
          <w:ilvl w:val="1"/>
          <w:numId w:val="6"/>
        </w:numPr>
        <w:tabs>
          <w:tab w:val="left" w:pos="592"/>
        </w:tabs>
        <w:snapToGrid w:val="0"/>
        <w:spacing w:line="360" w:lineRule="auto"/>
        <w:ind w:left="588" w:hanging="590" w:hangingChars="280"/>
        <w:rPr>
          <w:rFonts w:ascii="Arial" w:hAnsi="Arial" w:cs="Arial"/>
          <w:b/>
          <w:bCs/>
          <w:color w:val="000000"/>
        </w:rPr>
      </w:pPr>
      <w:r>
        <w:rPr>
          <w:rFonts w:hint="eastAsia" w:ascii="Arial" w:hAnsi="宋体" w:cs="Arial"/>
          <w:b/>
          <w:bCs/>
          <w:color w:val="000000"/>
        </w:rPr>
        <w:t>采购代理机构组织和主持开标会，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788EB1B">
      <w:pPr>
        <w:numPr>
          <w:ilvl w:val="1"/>
          <w:numId w:val="6"/>
        </w:numPr>
        <w:tabs>
          <w:tab w:val="left" w:pos="592"/>
        </w:tabs>
        <w:snapToGrid w:val="0"/>
        <w:spacing w:line="360" w:lineRule="auto"/>
        <w:ind w:left="588" w:hanging="588" w:hangingChars="280"/>
        <w:rPr>
          <w:rFonts w:ascii="Arial" w:hAnsi="Arial" w:cs="Arial"/>
          <w:color w:val="000000"/>
        </w:rPr>
      </w:pPr>
      <w:r>
        <w:rPr>
          <w:rFonts w:hint="eastAsia" w:ascii="Arial" w:hAnsi="宋体" w:cs="Arial"/>
          <w:color w:val="000000"/>
        </w:rPr>
        <w:t>开标后，采购代理机构将在“乐采云平台”向各投标供应商发出“电子加密投标文件”的解密通知，各投标供应商代表应当在接到解密通知后30分钟内自行完成“电子加密投标文件”的在线解密。</w:t>
      </w:r>
    </w:p>
    <w:p w14:paraId="173D92A8">
      <w:pPr>
        <w:numPr>
          <w:ilvl w:val="0"/>
          <w:numId w:val="6"/>
        </w:numPr>
        <w:spacing w:line="360" w:lineRule="auto"/>
        <w:ind w:left="841" w:hanging="841" w:hangingChars="399"/>
        <w:rPr>
          <w:rFonts w:ascii="Arial" w:hAnsi="Arial" w:cs="Arial"/>
          <w:b/>
          <w:color w:val="000000"/>
        </w:rPr>
      </w:pPr>
      <w:r>
        <w:rPr>
          <w:rFonts w:ascii="Arial" w:hAnsi="宋体" w:cs="Arial"/>
          <w:b/>
          <w:color w:val="000000"/>
        </w:rPr>
        <w:t>评标委员会</w:t>
      </w:r>
    </w:p>
    <w:p w14:paraId="49EAC380">
      <w:pPr>
        <w:numPr>
          <w:ilvl w:val="0"/>
          <w:numId w:val="0"/>
        </w:numPr>
        <w:spacing w:line="360" w:lineRule="auto"/>
        <w:ind w:left="0" w:leftChars="0" w:firstLine="0" w:firstLineChars="0"/>
        <w:rPr>
          <w:rFonts w:hint="eastAsia" w:ascii="Arial" w:hAnsi="宋体" w:cs="Arial"/>
          <w:color w:val="000000"/>
        </w:rPr>
      </w:pPr>
      <w:r>
        <w:rPr>
          <w:rFonts w:hint="eastAsia" w:ascii="Arial" w:hAnsi="宋体" w:cs="Arial"/>
          <w:color w:val="000000"/>
        </w:rPr>
        <w:t>2</w:t>
      </w:r>
      <w:r>
        <w:rPr>
          <w:rFonts w:hint="eastAsia" w:ascii="Arial" w:hAnsi="宋体" w:cs="Arial"/>
          <w:color w:val="000000"/>
          <w:lang w:val="en-US" w:eastAsia="zh-CN"/>
        </w:rPr>
        <w:t>7</w:t>
      </w:r>
      <w:r>
        <w:rPr>
          <w:rFonts w:hint="eastAsia" w:ascii="Arial" w:hAnsi="宋体" w:cs="Arial"/>
          <w:color w:val="000000"/>
        </w:rPr>
        <w:t>.1</w:t>
      </w:r>
      <w:r>
        <w:rPr>
          <w:rFonts w:hint="eastAsia" w:ascii="Arial" w:hAnsi="宋体" w:cs="Arial"/>
          <w:color w:val="000000"/>
          <w:lang w:val="en-US" w:eastAsia="zh-CN"/>
        </w:rPr>
        <w:t xml:space="preserve">  </w:t>
      </w:r>
      <w:r>
        <w:rPr>
          <w:rFonts w:hint="eastAsia" w:ascii="Arial" w:hAnsi="宋体" w:cs="Arial"/>
          <w:color w:val="000000"/>
        </w:rPr>
        <w:t>本次采购依法组建评标委员会。</w:t>
      </w:r>
    </w:p>
    <w:p w14:paraId="32997BB6">
      <w:pPr>
        <w:numPr>
          <w:ilvl w:val="0"/>
          <w:numId w:val="0"/>
        </w:numPr>
        <w:spacing w:line="360" w:lineRule="auto"/>
        <w:ind w:left="636" w:leftChars="0" w:hanging="636" w:hangingChars="303"/>
        <w:rPr>
          <w:rFonts w:hint="eastAsia" w:ascii="Arial" w:hAnsi="宋体" w:cs="Arial"/>
          <w:color w:val="000000"/>
        </w:rPr>
      </w:pPr>
      <w:r>
        <w:rPr>
          <w:rFonts w:hint="eastAsia" w:ascii="Arial" w:hAnsi="宋体" w:cs="Arial"/>
          <w:color w:val="000000"/>
        </w:rPr>
        <w:t>2</w:t>
      </w:r>
      <w:r>
        <w:rPr>
          <w:rFonts w:hint="eastAsia" w:ascii="Arial" w:hAnsi="宋体" w:cs="Arial"/>
          <w:color w:val="000000"/>
          <w:lang w:val="en-US" w:eastAsia="zh-CN"/>
        </w:rPr>
        <w:t>7</w:t>
      </w:r>
      <w:r>
        <w:rPr>
          <w:rFonts w:hint="eastAsia" w:ascii="Arial" w:hAnsi="宋体" w:cs="Arial"/>
          <w:color w:val="000000"/>
        </w:rPr>
        <w:t>.2</w:t>
      </w:r>
      <w:r>
        <w:rPr>
          <w:rFonts w:hint="eastAsia" w:ascii="Arial" w:hAnsi="宋体" w:cs="Arial"/>
          <w:color w:val="000000"/>
          <w:lang w:val="en-US" w:eastAsia="zh-CN"/>
        </w:rPr>
        <w:t xml:space="preserve">  </w:t>
      </w:r>
      <w:r>
        <w:rPr>
          <w:rFonts w:hint="eastAsia" w:ascii="Arial" w:hAnsi="宋体" w:cs="Arial"/>
          <w:color w:val="000000"/>
        </w:rPr>
        <w:t>评标委员会构成：由</w:t>
      </w:r>
      <w:r>
        <w:rPr>
          <w:rFonts w:hint="eastAsia" w:ascii="Arial" w:hAnsi="宋体" w:cs="Arial"/>
          <w:color w:val="000000"/>
          <w:lang w:eastAsia="zh-CN"/>
        </w:rPr>
        <w:t>采购人</w:t>
      </w:r>
      <w:r>
        <w:rPr>
          <w:rFonts w:hint="eastAsia" w:ascii="Arial" w:hAnsi="宋体" w:cs="Arial"/>
          <w:color w:val="000000"/>
        </w:rPr>
        <w:t>代表以及有关技术、经济等方面的专家组成，成员为</w:t>
      </w:r>
      <w:r>
        <w:rPr>
          <w:rFonts w:hint="eastAsia" w:ascii="Arial" w:hAnsi="宋体" w:cs="Arial"/>
          <w:color w:val="000000"/>
          <w:lang w:val="en-US" w:eastAsia="zh-CN"/>
        </w:rPr>
        <w:t>5</w:t>
      </w:r>
      <w:r>
        <w:rPr>
          <w:rFonts w:hint="eastAsia" w:ascii="Arial" w:hAnsi="宋体" w:cs="Arial"/>
          <w:color w:val="000000"/>
          <w:lang w:eastAsia="zh-CN"/>
        </w:rPr>
        <w:t>人及以上</w:t>
      </w:r>
      <w:r>
        <w:rPr>
          <w:rFonts w:hint="eastAsia" w:ascii="Arial" w:hAnsi="宋体" w:cs="Arial"/>
          <w:color w:val="000000"/>
        </w:rPr>
        <w:t>单数，其中技术、经济类专家不得少于总人数的2/3。</w:t>
      </w:r>
    </w:p>
    <w:p w14:paraId="51D03A98">
      <w:pPr>
        <w:numPr>
          <w:ilvl w:val="0"/>
          <w:numId w:val="0"/>
        </w:numPr>
        <w:spacing w:line="360" w:lineRule="auto"/>
        <w:ind w:left="0" w:leftChars="0" w:firstLine="0" w:firstLineChars="0"/>
        <w:rPr>
          <w:rFonts w:hint="eastAsia" w:ascii="Arial" w:hAnsi="宋体" w:cs="Arial"/>
          <w:color w:val="000000"/>
        </w:rPr>
      </w:pPr>
      <w:r>
        <w:rPr>
          <w:rFonts w:hint="eastAsia" w:ascii="Arial" w:hAnsi="宋体" w:cs="Arial"/>
          <w:color w:val="000000"/>
        </w:rPr>
        <w:t>2</w:t>
      </w:r>
      <w:r>
        <w:rPr>
          <w:rFonts w:hint="eastAsia" w:ascii="Arial" w:hAnsi="宋体" w:cs="Arial"/>
          <w:color w:val="000000"/>
          <w:lang w:val="en-US" w:eastAsia="zh-CN"/>
        </w:rPr>
        <w:t>7</w:t>
      </w:r>
      <w:r>
        <w:rPr>
          <w:rFonts w:hint="eastAsia" w:ascii="Arial" w:hAnsi="宋体" w:cs="Arial"/>
          <w:color w:val="000000"/>
        </w:rPr>
        <w:t>.3</w:t>
      </w:r>
      <w:r>
        <w:rPr>
          <w:rFonts w:hint="eastAsia" w:ascii="Arial" w:hAnsi="宋体" w:cs="Arial"/>
          <w:color w:val="000000"/>
          <w:lang w:val="en-US" w:eastAsia="zh-CN"/>
        </w:rPr>
        <w:t xml:space="preserve">  </w:t>
      </w:r>
      <w:r>
        <w:rPr>
          <w:rFonts w:hint="eastAsia" w:ascii="Arial" w:hAnsi="宋体" w:cs="Arial"/>
          <w:color w:val="000000"/>
        </w:rPr>
        <w:t>评标委员会确定方式：按规定统一从专家库内抽取。</w:t>
      </w:r>
    </w:p>
    <w:p w14:paraId="558FF0E3">
      <w:pPr>
        <w:numPr>
          <w:ilvl w:val="0"/>
          <w:numId w:val="0"/>
        </w:numPr>
        <w:spacing w:line="360" w:lineRule="auto"/>
        <w:ind w:left="630" w:leftChars="0" w:hanging="630" w:hangingChars="300"/>
        <w:rPr>
          <w:rFonts w:ascii="Arial" w:hAnsi="Arial" w:cs="Arial"/>
          <w:b/>
          <w:color w:val="000000"/>
        </w:rPr>
      </w:pPr>
      <w:r>
        <w:rPr>
          <w:rFonts w:hint="eastAsia" w:ascii="Arial" w:hAnsi="宋体" w:cs="Arial"/>
          <w:color w:val="000000"/>
        </w:rPr>
        <w:t>2</w:t>
      </w:r>
      <w:r>
        <w:rPr>
          <w:rFonts w:hint="eastAsia" w:ascii="Arial" w:hAnsi="宋体" w:cs="Arial"/>
          <w:color w:val="000000"/>
          <w:lang w:val="en-US" w:eastAsia="zh-CN"/>
        </w:rPr>
        <w:t>7</w:t>
      </w:r>
      <w:r>
        <w:rPr>
          <w:rFonts w:hint="eastAsia" w:ascii="Arial" w:hAnsi="宋体" w:cs="Arial"/>
          <w:color w:val="000000"/>
        </w:rPr>
        <w:t>.4</w:t>
      </w:r>
      <w:r>
        <w:rPr>
          <w:rFonts w:hint="eastAsia" w:ascii="Arial" w:hAnsi="宋体" w:cs="Arial"/>
          <w:color w:val="000000"/>
          <w:lang w:val="en-US" w:eastAsia="zh-CN"/>
        </w:rPr>
        <w:t xml:space="preserve">  </w:t>
      </w:r>
      <w:r>
        <w:rPr>
          <w:rFonts w:hint="eastAsia" w:ascii="Arial" w:hAnsi="宋体" w:cs="Arial"/>
          <w:color w:val="000000"/>
        </w:rPr>
        <w:t>评标委员会依法根据招标文件的规定，对投标文件进行详细评审，提交评标报告并推荐有排名次序的预中标</w:t>
      </w:r>
      <w:r>
        <w:rPr>
          <w:rFonts w:hint="eastAsia" w:ascii="Arial" w:hAnsi="宋体" w:cs="Arial"/>
          <w:color w:val="000000"/>
          <w:lang w:val="en-US" w:eastAsia="zh-CN"/>
        </w:rPr>
        <w:t>供应商</w:t>
      </w:r>
      <w:r>
        <w:rPr>
          <w:rFonts w:hint="eastAsia" w:ascii="Arial" w:hAnsi="宋体" w:cs="Arial"/>
          <w:color w:val="000000"/>
        </w:rPr>
        <w:t>。</w:t>
      </w:r>
    </w:p>
    <w:p w14:paraId="4F4FA3B2">
      <w:pPr>
        <w:numPr>
          <w:ilvl w:val="0"/>
          <w:numId w:val="6"/>
        </w:numPr>
        <w:spacing w:line="360" w:lineRule="auto"/>
        <w:ind w:left="841" w:hanging="841" w:hangingChars="399"/>
        <w:rPr>
          <w:rFonts w:ascii="Arial" w:hAnsi="Arial" w:cs="Arial"/>
          <w:b/>
          <w:color w:val="000000"/>
        </w:rPr>
      </w:pPr>
      <w:r>
        <w:rPr>
          <w:rFonts w:ascii="Arial" w:hAnsi="宋体" w:cs="Arial"/>
          <w:b/>
          <w:color w:val="000000"/>
        </w:rPr>
        <w:t>评标原则和评标方法</w:t>
      </w:r>
    </w:p>
    <w:p w14:paraId="0274B9DF">
      <w:pPr>
        <w:numPr>
          <w:ilvl w:val="1"/>
          <w:numId w:val="6"/>
        </w:numPr>
        <w:tabs>
          <w:tab w:val="left" w:pos="592"/>
        </w:tabs>
        <w:snapToGrid w:val="0"/>
        <w:spacing w:line="360" w:lineRule="auto"/>
        <w:ind w:left="588" w:hanging="588" w:hangingChars="280"/>
        <w:rPr>
          <w:rFonts w:ascii="Arial" w:hAnsi="Arial" w:cs="Arial"/>
          <w:color w:val="000000"/>
        </w:rPr>
      </w:pPr>
      <w:r>
        <w:rPr>
          <w:rFonts w:hint="eastAsia" w:ascii="Arial" w:hAnsi="宋体" w:cs="Arial"/>
          <w:color w:val="000000"/>
        </w:rPr>
        <w:t>评标</w:t>
      </w:r>
      <w:r>
        <w:rPr>
          <w:rFonts w:ascii="Arial" w:hAnsi="宋体" w:cs="Arial"/>
          <w:color w:val="000000"/>
        </w:rPr>
        <w:t>基本原则：评标工作应依据《</w:t>
      </w:r>
      <w:r>
        <w:rPr>
          <w:rFonts w:hint="eastAsia" w:ascii="Arial" w:hAnsi="宋体" w:cs="Arial"/>
          <w:color w:val="000000"/>
          <w:lang w:eastAsia="zh-CN"/>
        </w:rPr>
        <w:t>温州市市属国有企业采购管理办法</w:t>
      </w:r>
      <w:r>
        <w:rPr>
          <w:rFonts w:ascii="Arial" w:hAnsi="宋体" w:cs="Arial"/>
          <w:color w:val="000000"/>
        </w:rPr>
        <w:t>》、《评标委员会和评标方法暂行规定》以及国家和地方政府有关政府招标的有关规定，遵循</w:t>
      </w:r>
      <w:r>
        <w:rPr>
          <w:rFonts w:ascii="Arial" w:hAnsi="Arial" w:cs="Arial"/>
          <w:color w:val="000000"/>
        </w:rPr>
        <w:t>“</w:t>
      </w:r>
      <w:r>
        <w:rPr>
          <w:rFonts w:ascii="Arial" w:hAnsi="宋体" w:cs="Arial"/>
          <w:color w:val="000000"/>
        </w:rPr>
        <w:t>公开、公平、公正、择优、信用</w:t>
      </w:r>
      <w:r>
        <w:rPr>
          <w:rFonts w:ascii="Arial" w:hAnsi="Arial" w:cs="Arial"/>
          <w:color w:val="000000"/>
        </w:rPr>
        <w:t>”</w:t>
      </w:r>
      <w:r>
        <w:rPr>
          <w:rFonts w:ascii="Arial" w:hAnsi="宋体" w:cs="Arial"/>
          <w:color w:val="000000"/>
        </w:rPr>
        <w:t>的原则。</w:t>
      </w:r>
    </w:p>
    <w:p w14:paraId="5C149CEA">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评标方法：本次招标的评标方法详见本招标文件</w:t>
      </w:r>
      <w:r>
        <w:rPr>
          <w:rFonts w:ascii="Arial" w:hAnsi="Arial" w:cs="Arial"/>
          <w:color w:val="000000"/>
        </w:rPr>
        <w:t>“</w:t>
      </w:r>
      <w:r>
        <w:rPr>
          <w:rFonts w:ascii="Arial" w:hAnsi="宋体" w:cs="Arial"/>
          <w:color w:val="000000"/>
        </w:rPr>
        <w:t>第</w:t>
      </w:r>
      <w:r>
        <w:rPr>
          <w:rFonts w:hint="eastAsia" w:ascii="Arial" w:hAnsi="宋体" w:cs="Arial"/>
          <w:color w:val="000000"/>
        </w:rPr>
        <w:t>六</w:t>
      </w:r>
      <w:r>
        <w:rPr>
          <w:rFonts w:ascii="Arial" w:hAnsi="宋体" w:cs="Arial"/>
          <w:color w:val="000000"/>
        </w:rPr>
        <w:t>部分</w:t>
      </w:r>
      <w:r>
        <w:rPr>
          <w:rFonts w:ascii="Arial" w:hAnsi="Arial" w:cs="Arial"/>
          <w:color w:val="000000"/>
        </w:rPr>
        <w:t>”</w:t>
      </w:r>
      <w:r>
        <w:rPr>
          <w:rFonts w:ascii="Arial" w:hAnsi="宋体" w:cs="Arial"/>
          <w:color w:val="000000"/>
        </w:rPr>
        <w:t>。</w:t>
      </w:r>
    </w:p>
    <w:p w14:paraId="5C88BC28">
      <w:pPr>
        <w:numPr>
          <w:ilvl w:val="0"/>
          <w:numId w:val="6"/>
        </w:numPr>
        <w:spacing w:line="360" w:lineRule="auto"/>
        <w:ind w:left="841" w:hanging="841" w:hangingChars="399"/>
        <w:rPr>
          <w:rFonts w:ascii="Arial" w:hAnsi="Arial" w:cs="Arial"/>
          <w:color w:val="000000"/>
        </w:rPr>
      </w:pPr>
      <w:r>
        <w:rPr>
          <w:rFonts w:ascii="Arial" w:hAnsi="宋体" w:cs="Arial"/>
          <w:b/>
          <w:color w:val="000000"/>
        </w:rPr>
        <w:t>评标工作程序</w:t>
      </w:r>
    </w:p>
    <w:p w14:paraId="754D4D52">
      <w:pPr>
        <w:numPr>
          <w:ilvl w:val="1"/>
          <w:numId w:val="6"/>
        </w:numPr>
        <w:tabs>
          <w:tab w:val="left" w:pos="592"/>
        </w:tabs>
        <w:snapToGrid w:val="0"/>
        <w:spacing w:line="360" w:lineRule="auto"/>
        <w:ind w:left="588" w:hanging="588" w:hangingChars="280"/>
        <w:rPr>
          <w:rFonts w:hint="eastAsia" w:ascii="Arial" w:hAnsi="Arial" w:cs="Arial"/>
          <w:b w:val="0"/>
          <w:bCs/>
          <w:color w:val="000000"/>
        </w:rPr>
      </w:pPr>
      <w:r>
        <w:rPr>
          <w:rFonts w:hint="eastAsia" w:ascii="Arial" w:hAnsi="Arial" w:cs="Arial"/>
          <w:b w:val="0"/>
          <w:bCs/>
          <w:color w:val="000000"/>
          <w:lang w:eastAsia="zh-CN"/>
        </w:rPr>
        <w:t>采购人</w:t>
      </w:r>
      <w:r>
        <w:rPr>
          <w:rFonts w:hint="eastAsia" w:ascii="Arial" w:hAnsi="Arial" w:cs="Arial"/>
          <w:b w:val="0"/>
          <w:bCs/>
          <w:color w:val="000000"/>
        </w:rPr>
        <w:t>或</w:t>
      </w:r>
      <w:r>
        <w:rPr>
          <w:rFonts w:hint="eastAsia" w:ascii="Arial" w:hAnsi="Arial" w:cs="Arial"/>
          <w:b w:val="0"/>
          <w:bCs/>
          <w:color w:val="000000"/>
          <w:lang w:eastAsia="zh-CN"/>
        </w:rPr>
        <w:t>采购代理机构</w:t>
      </w:r>
      <w:r>
        <w:rPr>
          <w:rFonts w:hint="eastAsia" w:ascii="Arial" w:hAnsi="Arial" w:cs="Arial"/>
          <w:b w:val="0"/>
          <w:bCs/>
          <w:color w:val="000000"/>
        </w:rPr>
        <w:t>先进行资格性审查；</w:t>
      </w:r>
    </w:p>
    <w:p w14:paraId="220A0B1E">
      <w:pPr>
        <w:numPr>
          <w:ilvl w:val="1"/>
          <w:numId w:val="6"/>
        </w:numPr>
        <w:tabs>
          <w:tab w:val="left" w:pos="592"/>
        </w:tabs>
        <w:snapToGrid w:val="0"/>
        <w:spacing w:line="360" w:lineRule="auto"/>
        <w:ind w:left="588" w:hanging="588" w:hangingChars="280"/>
        <w:rPr>
          <w:rFonts w:hint="eastAsia" w:ascii="Arial" w:hAnsi="Arial" w:cs="Arial"/>
          <w:b w:val="0"/>
          <w:bCs/>
          <w:color w:val="000000"/>
        </w:rPr>
      </w:pPr>
      <w:r>
        <w:rPr>
          <w:rFonts w:hint="eastAsia" w:ascii="Arial" w:hAnsi="Arial" w:cs="Arial"/>
          <w:color w:val="000000"/>
          <w:highlight w:val="none"/>
        </w:rPr>
        <w:t>评标委员会对资格性审查合格的投标供应商进行符合性审查</w:t>
      </w:r>
      <w:r>
        <w:rPr>
          <w:rFonts w:hint="eastAsia" w:ascii="Arial" w:hAnsi="Arial" w:cs="Arial"/>
          <w:b w:val="0"/>
          <w:bCs/>
          <w:color w:val="000000"/>
        </w:rPr>
        <w:t>；</w:t>
      </w:r>
    </w:p>
    <w:p w14:paraId="284A1BBB">
      <w:pPr>
        <w:numPr>
          <w:ilvl w:val="1"/>
          <w:numId w:val="6"/>
        </w:numPr>
        <w:tabs>
          <w:tab w:val="left" w:pos="592"/>
        </w:tabs>
        <w:snapToGrid w:val="0"/>
        <w:spacing w:line="360" w:lineRule="auto"/>
        <w:ind w:left="588" w:hanging="588" w:hangingChars="280"/>
        <w:rPr>
          <w:rFonts w:hint="eastAsia" w:ascii="Arial" w:hAnsi="Arial" w:cs="Arial"/>
          <w:b w:val="0"/>
          <w:bCs/>
          <w:color w:val="000000"/>
        </w:rPr>
      </w:pPr>
      <w:r>
        <w:rPr>
          <w:rFonts w:hint="eastAsia" w:ascii="宋体" w:hAnsi="宋体" w:cs="宋体"/>
          <w:color w:val="000000"/>
          <w:szCs w:val="21"/>
          <w:highlight w:val="none"/>
        </w:rPr>
        <w:t>评标委员会对投标供应商进行技术商务评审</w:t>
      </w:r>
      <w:r>
        <w:rPr>
          <w:rFonts w:hint="eastAsia" w:ascii="Arial" w:hAnsi="Arial" w:cs="Arial"/>
          <w:b w:val="0"/>
          <w:bCs/>
          <w:color w:val="000000"/>
        </w:rPr>
        <w:t>；</w:t>
      </w:r>
    </w:p>
    <w:p w14:paraId="49437F88">
      <w:pPr>
        <w:numPr>
          <w:ilvl w:val="1"/>
          <w:numId w:val="6"/>
        </w:numPr>
        <w:tabs>
          <w:tab w:val="left" w:pos="592"/>
        </w:tabs>
        <w:snapToGrid w:val="0"/>
        <w:spacing w:line="360" w:lineRule="auto"/>
        <w:ind w:left="588" w:hanging="588" w:hangingChars="280"/>
        <w:rPr>
          <w:rFonts w:ascii="Arial" w:hAnsi="Arial" w:cs="Arial"/>
          <w:b w:val="0"/>
          <w:bCs/>
          <w:color w:val="000000"/>
        </w:rPr>
      </w:pPr>
      <w:r>
        <w:rPr>
          <w:rFonts w:hint="eastAsia" w:ascii="宋体" w:hAnsi="宋体" w:cs="宋体"/>
          <w:color w:val="000000"/>
          <w:szCs w:val="21"/>
          <w:highlight w:val="none"/>
        </w:rPr>
        <w:t>开启报价文件，</w:t>
      </w:r>
      <w:r>
        <w:rPr>
          <w:rFonts w:hint="eastAsia" w:ascii="宋体" w:hAnsi="宋体" w:cs="宋体"/>
          <w:color w:val="000000"/>
          <w:szCs w:val="21"/>
          <w:highlight w:val="none"/>
          <w:lang w:val="en-US" w:eastAsia="zh-CN"/>
        </w:rPr>
        <w:t>并进行报价评审</w:t>
      </w:r>
      <w:r>
        <w:rPr>
          <w:rFonts w:hint="eastAsia" w:ascii="Arial" w:hAnsi="Arial" w:cs="Arial"/>
          <w:b w:val="0"/>
          <w:bCs/>
          <w:color w:val="000000"/>
          <w:lang w:eastAsia="zh-CN"/>
        </w:rPr>
        <w:t>；</w:t>
      </w:r>
    </w:p>
    <w:p w14:paraId="16DA6701">
      <w:pPr>
        <w:numPr>
          <w:ilvl w:val="1"/>
          <w:numId w:val="6"/>
        </w:numPr>
        <w:tabs>
          <w:tab w:val="left" w:pos="592"/>
        </w:tabs>
        <w:snapToGrid w:val="0"/>
        <w:spacing w:line="360" w:lineRule="auto"/>
        <w:ind w:left="588" w:hanging="588" w:hangingChars="28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评标委员会根据综合评分情况，按照综合得分由高到低顺序确定</w:t>
      </w:r>
      <w:r>
        <w:rPr>
          <w:rFonts w:hint="eastAsia" w:ascii="宋体" w:hAnsi="宋体" w:eastAsia="宋体" w:cs="宋体"/>
          <w:color w:val="000000"/>
          <w:szCs w:val="21"/>
          <w:highlight w:val="none"/>
          <w:lang w:val="en-US" w:eastAsia="zh-CN"/>
        </w:rPr>
        <w:t>一个</w:t>
      </w:r>
      <w:r>
        <w:rPr>
          <w:rFonts w:hint="eastAsia" w:ascii="宋体" w:hAnsi="宋体" w:eastAsia="宋体" w:cs="宋体"/>
          <w:color w:val="000000"/>
          <w:szCs w:val="21"/>
          <w:highlight w:val="none"/>
        </w:rPr>
        <w:t>预选中标供应商（</w:t>
      </w:r>
      <w:r>
        <w:rPr>
          <w:rFonts w:hint="eastAsia" w:ascii="宋体" w:hAnsi="宋体" w:eastAsia="宋体" w:cs="宋体"/>
          <w:color w:val="000000"/>
          <w:szCs w:val="21"/>
          <w:highlight w:val="none"/>
          <w:lang w:val="en-US" w:eastAsia="zh-CN"/>
        </w:rPr>
        <w:t>综合</w:t>
      </w:r>
      <w:r>
        <w:rPr>
          <w:rFonts w:hint="eastAsia" w:ascii="宋体" w:hAnsi="宋体" w:eastAsia="宋体" w:cs="宋体"/>
          <w:color w:val="000000"/>
          <w:szCs w:val="21"/>
          <w:highlight w:val="none"/>
        </w:rPr>
        <w:t>得分</w:t>
      </w:r>
      <w:r>
        <w:rPr>
          <w:rFonts w:hint="eastAsia" w:ascii="宋体" w:hAnsi="宋体" w:eastAsia="宋体" w:cs="宋体"/>
          <w:color w:val="000000"/>
          <w:szCs w:val="21"/>
          <w:highlight w:val="none"/>
          <w:lang w:val="en-US" w:eastAsia="zh-CN"/>
        </w:rPr>
        <w:t>排名第一</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并出具评审报告。合计得分相同的，按投标报价由低到高顺序排列；合计得分且投标报价相同的，则由</w:t>
      </w:r>
      <w:r>
        <w:rPr>
          <w:rFonts w:hint="eastAsia" w:ascii="宋体" w:hAnsi="宋体" w:eastAsia="宋体" w:cs="宋体"/>
          <w:color w:val="000000"/>
          <w:szCs w:val="21"/>
          <w:highlight w:val="none"/>
          <w:lang w:eastAsia="zh-CN"/>
        </w:rPr>
        <w:t>采购人</w:t>
      </w:r>
      <w:r>
        <w:rPr>
          <w:rFonts w:hint="eastAsia" w:ascii="宋体" w:hAnsi="宋体" w:eastAsia="宋体" w:cs="宋体"/>
          <w:color w:val="000000"/>
          <w:szCs w:val="21"/>
          <w:highlight w:val="none"/>
        </w:rPr>
        <w:t>代表在所有得分均相同者中随机抽取名次</w:t>
      </w:r>
      <w:r>
        <w:rPr>
          <w:rFonts w:hint="eastAsia" w:ascii="宋体" w:hAnsi="宋体" w:eastAsia="宋体" w:cs="宋体"/>
          <w:color w:val="000000"/>
          <w:szCs w:val="21"/>
          <w:highlight w:val="none"/>
          <w:lang w:val="en-US" w:eastAsia="zh-CN"/>
        </w:rPr>
        <w:t>排名</w:t>
      </w:r>
      <w:r>
        <w:rPr>
          <w:rFonts w:hint="eastAsia" w:ascii="宋体" w:hAnsi="宋体" w:eastAsia="宋体" w:cs="宋体"/>
          <w:color w:val="000000"/>
          <w:szCs w:val="21"/>
          <w:highlight w:val="none"/>
        </w:rPr>
        <w:t>，依法予以确认为中标供应商</w:t>
      </w:r>
      <w:r>
        <w:rPr>
          <w:rFonts w:hint="eastAsia" w:ascii="宋体" w:hAnsi="宋体" w:eastAsia="宋体" w:cs="宋体"/>
          <w:color w:val="000000"/>
          <w:szCs w:val="21"/>
          <w:highlight w:val="none"/>
          <w:lang w:eastAsia="zh-CN"/>
        </w:rPr>
        <w:t>。</w:t>
      </w:r>
    </w:p>
    <w:p w14:paraId="42285C55">
      <w:pPr>
        <w:numPr>
          <w:ilvl w:val="1"/>
          <w:numId w:val="6"/>
        </w:numPr>
        <w:tabs>
          <w:tab w:val="left" w:pos="592"/>
        </w:tabs>
        <w:snapToGrid w:val="0"/>
        <w:spacing w:line="360" w:lineRule="auto"/>
        <w:ind w:left="588" w:hanging="588" w:hangingChars="280"/>
        <w:rPr>
          <w:rFonts w:ascii="Arial" w:hAnsi="Arial" w:cs="Arial"/>
          <w:b w:val="0"/>
          <w:bCs/>
          <w:color w:val="000000"/>
        </w:rPr>
      </w:pPr>
      <w:r>
        <w:rPr>
          <w:rFonts w:hint="eastAsia" w:ascii="Arial" w:hAnsi="Arial" w:cs="Arial"/>
          <w:b w:val="0"/>
          <w:bCs/>
          <w:color w:val="000000"/>
        </w:rPr>
        <w:t>如遇“乐采云平台”电子化开标或评审程序调整的，按调整后程序执行。</w:t>
      </w:r>
    </w:p>
    <w:p w14:paraId="7BBEB264">
      <w:pPr>
        <w:numPr>
          <w:ilvl w:val="0"/>
          <w:numId w:val="6"/>
        </w:numPr>
        <w:spacing w:line="360" w:lineRule="auto"/>
        <w:ind w:left="841" w:hanging="841" w:hangingChars="399"/>
        <w:rPr>
          <w:rFonts w:ascii="Arial" w:hAnsi="宋体" w:cs="Arial"/>
          <w:b/>
          <w:color w:val="000000"/>
        </w:rPr>
      </w:pPr>
      <w:r>
        <w:rPr>
          <w:rFonts w:hint="eastAsia" w:ascii="Arial" w:hAnsi="宋体" w:cs="Arial"/>
          <w:b/>
          <w:color w:val="000000"/>
        </w:rPr>
        <w:t>关于评审的说明</w:t>
      </w:r>
    </w:p>
    <w:p w14:paraId="3CB30868">
      <w:pPr>
        <w:numPr>
          <w:ilvl w:val="1"/>
          <w:numId w:val="6"/>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 xml:space="preserve">初步评审： </w:t>
      </w:r>
    </w:p>
    <w:p w14:paraId="0DBA47FC">
      <w:pPr>
        <w:numPr>
          <w:ilvl w:val="0"/>
          <w:numId w:val="11"/>
        </w:numPr>
        <w:snapToGrid w:val="0"/>
        <w:spacing w:line="360" w:lineRule="auto"/>
        <w:ind w:left="420" w:leftChars="0" w:hanging="420" w:firstLineChars="0"/>
        <w:rPr>
          <w:rFonts w:hint="eastAsia" w:ascii="Arial" w:hAnsi="宋体" w:cs="Arial"/>
          <w:color w:val="000000"/>
        </w:rPr>
      </w:pPr>
      <w:r>
        <w:rPr>
          <w:rFonts w:hint="eastAsia" w:ascii="Arial" w:hAnsi="宋体" w:cs="Arial"/>
          <w:color w:val="000000"/>
        </w:rPr>
        <w:t>资格性检查：</w:t>
      </w:r>
      <w:r>
        <w:rPr>
          <w:rFonts w:hint="eastAsia" w:ascii="Arial" w:hAnsi="宋体" w:cs="Arial"/>
          <w:color w:val="000000"/>
          <w:lang w:eastAsia="zh-CN"/>
        </w:rPr>
        <w:t>采购人</w:t>
      </w:r>
      <w:r>
        <w:rPr>
          <w:rFonts w:hint="eastAsia" w:ascii="Arial" w:hAnsi="宋体" w:cs="Arial"/>
          <w:color w:val="000000"/>
        </w:rPr>
        <w:t>或</w:t>
      </w:r>
      <w:r>
        <w:rPr>
          <w:rFonts w:hint="eastAsia" w:ascii="Arial" w:hAnsi="宋体" w:cs="Arial"/>
          <w:color w:val="000000"/>
          <w:lang w:eastAsia="zh-CN"/>
        </w:rPr>
        <w:t>采购代理机构</w:t>
      </w:r>
      <w:r>
        <w:rPr>
          <w:rFonts w:hint="eastAsia" w:ascii="Arial" w:hAnsi="宋体" w:cs="Arial"/>
          <w:color w:val="000000"/>
        </w:rPr>
        <w:t>根据法律法规和招标文件的规定，检查投标文件提供的资格证明文件是否齐全、是否满足招标文件的要求等。</w:t>
      </w:r>
    </w:p>
    <w:p w14:paraId="12CBB316">
      <w:pPr>
        <w:numPr>
          <w:ilvl w:val="0"/>
          <w:numId w:val="11"/>
        </w:numPr>
        <w:snapToGrid w:val="0"/>
        <w:spacing w:line="360" w:lineRule="auto"/>
        <w:ind w:left="420" w:leftChars="0" w:hanging="420" w:firstLineChars="0"/>
        <w:rPr>
          <w:rFonts w:hint="eastAsia" w:ascii="Arial" w:hAnsi="宋体" w:cs="Arial"/>
          <w:color w:val="000000"/>
        </w:rPr>
      </w:pPr>
      <w:r>
        <w:rPr>
          <w:rFonts w:hint="eastAsia" w:ascii="Arial" w:hAnsi="宋体" w:eastAsia="宋体" w:cs="Arial"/>
          <w:color w:val="000000"/>
        </w:rPr>
        <w:t>符合性检</w:t>
      </w:r>
      <w:r>
        <w:rPr>
          <w:rFonts w:hint="eastAsia" w:ascii="Arial" w:hAnsi="宋体" w:cs="Arial"/>
          <w:color w:val="000000"/>
        </w:rPr>
        <w:t>查：评标委员会根据招标文件的规定，从投标文件的有效性、完整性和对招标文件的响应程度进行检查，以确定是否对招标文件的实质性要求作出响应。</w:t>
      </w:r>
    </w:p>
    <w:p w14:paraId="0C11235F">
      <w:pPr>
        <w:numPr>
          <w:ilvl w:val="0"/>
          <w:numId w:val="11"/>
        </w:numPr>
        <w:snapToGrid w:val="0"/>
        <w:spacing w:line="360" w:lineRule="auto"/>
        <w:ind w:left="420" w:leftChars="0" w:hanging="420" w:firstLineChars="0"/>
        <w:rPr>
          <w:rFonts w:hint="eastAsia" w:ascii="Arial" w:hAnsi="宋体" w:cs="Arial"/>
          <w:color w:val="000000"/>
        </w:rPr>
      </w:pPr>
      <w:r>
        <w:rPr>
          <w:rFonts w:hint="eastAsia" w:ascii="Arial" w:hAnsi="宋体" w:cs="Arial"/>
          <w:color w:val="000000"/>
        </w:rPr>
        <w:t>▲在评审</w:t>
      </w:r>
      <w:r>
        <w:rPr>
          <w:rFonts w:hint="eastAsia" w:ascii="Arial" w:hAnsi="宋体" w:cs="Arial"/>
          <w:color w:val="000000"/>
          <w:lang w:val="en-US" w:eastAsia="zh-CN"/>
        </w:rPr>
        <w:t>过程中，</w:t>
      </w:r>
      <w:r>
        <w:rPr>
          <w:rFonts w:hint="eastAsia" w:ascii="Arial" w:hAnsi="宋体" w:cs="Arial"/>
          <w:color w:val="000000"/>
        </w:rPr>
        <w:t>投标文件</w:t>
      </w:r>
      <w:r>
        <w:rPr>
          <w:rFonts w:hint="eastAsia" w:ascii="Arial" w:hAnsi="宋体" w:cs="Arial"/>
          <w:color w:val="000000"/>
          <w:lang w:val="en-US" w:eastAsia="zh-CN"/>
        </w:rPr>
        <w:t>存在</w:t>
      </w:r>
      <w:r>
        <w:rPr>
          <w:rFonts w:hint="eastAsia" w:ascii="Arial" w:hAnsi="宋体" w:cs="Arial"/>
          <w:color w:val="000000"/>
        </w:rPr>
        <w:t>下列情况按照无效投标处理：</w:t>
      </w:r>
    </w:p>
    <w:p w14:paraId="625ADCC5">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1</w:t>
      </w:r>
      <w:r>
        <w:rPr>
          <w:rFonts w:hint="eastAsia" w:ascii="Arial" w:hAnsi="宋体" w:cs="Arial"/>
          <w:color w:val="000000"/>
        </w:rPr>
        <w:t>）</w:t>
      </w:r>
      <w:r>
        <w:rPr>
          <w:rFonts w:hint="eastAsia" w:ascii="Arial" w:hAnsi="宋体" w:cs="Arial"/>
          <w:color w:val="000000"/>
          <w:lang w:val="en-US" w:eastAsia="zh-CN"/>
        </w:rPr>
        <w:t xml:space="preserve"> </w:t>
      </w:r>
      <w:r>
        <w:rPr>
          <w:rFonts w:hint="eastAsia" w:ascii="Arial" w:hAnsi="宋体" w:cs="Arial"/>
          <w:color w:val="000000"/>
        </w:rPr>
        <w:t>电子加密投标文件解密失败的；</w:t>
      </w:r>
    </w:p>
    <w:p w14:paraId="3DA4CDCE">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2</w:t>
      </w:r>
      <w:r>
        <w:rPr>
          <w:rFonts w:hint="eastAsia" w:ascii="Arial" w:hAnsi="宋体" w:cs="Arial"/>
          <w:color w:val="000000"/>
        </w:rPr>
        <w:t>）</w:t>
      </w:r>
      <w:r>
        <w:rPr>
          <w:rFonts w:hint="eastAsia" w:ascii="Arial" w:hAnsi="宋体" w:cs="Arial"/>
          <w:color w:val="000000"/>
          <w:lang w:val="en-US" w:eastAsia="zh-CN"/>
        </w:rPr>
        <w:t xml:space="preserve"> </w:t>
      </w:r>
      <w:r>
        <w:rPr>
          <w:rFonts w:hint="eastAsia" w:ascii="Arial" w:hAnsi="宋体" w:cs="Arial"/>
          <w:color w:val="000000"/>
        </w:rPr>
        <w:t>投标报价不是唯一的；</w:t>
      </w:r>
    </w:p>
    <w:p w14:paraId="43689E98">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3</w:t>
      </w:r>
      <w:r>
        <w:rPr>
          <w:rFonts w:hint="eastAsia" w:ascii="Arial" w:hAnsi="宋体" w:cs="Arial"/>
          <w:color w:val="000000"/>
        </w:rPr>
        <w:t>）</w:t>
      </w:r>
      <w:r>
        <w:rPr>
          <w:rFonts w:hint="eastAsia" w:ascii="Arial" w:hAnsi="宋体" w:cs="Arial"/>
          <w:color w:val="000000"/>
          <w:lang w:val="en-US" w:eastAsia="zh-CN"/>
        </w:rPr>
        <w:t xml:space="preserve"> 投标报价超过任一综合单价限价的</w:t>
      </w:r>
      <w:r>
        <w:rPr>
          <w:rFonts w:hint="eastAsia" w:ascii="Arial" w:hAnsi="宋体" w:cs="Arial"/>
          <w:color w:val="000000"/>
        </w:rPr>
        <w:t>；</w:t>
      </w:r>
    </w:p>
    <w:p w14:paraId="2805FED9">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4</w:t>
      </w:r>
      <w:r>
        <w:rPr>
          <w:rFonts w:hint="eastAsia" w:ascii="Arial" w:hAnsi="宋体" w:cs="Arial"/>
          <w:color w:val="000000"/>
        </w:rPr>
        <w:t>）</w:t>
      </w:r>
      <w:r>
        <w:rPr>
          <w:rFonts w:hint="eastAsia" w:ascii="Arial" w:hAnsi="宋体" w:cs="Arial"/>
          <w:color w:val="000000"/>
          <w:lang w:val="en-US" w:eastAsia="zh-CN"/>
        </w:rPr>
        <w:t xml:space="preserve"> </w:t>
      </w:r>
      <w:r>
        <w:rPr>
          <w:rFonts w:hint="eastAsia" w:ascii="Arial" w:hAnsi="宋体" w:cs="Arial"/>
          <w:color w:val="000000"/>
        </w:rPr>
        <w:t>投标有效期不足的；</w:t>
      </w:r>
    </w:p>
    <w:p w14:paraId="2505BD4C">
      <w:pPr>
        <w:numPr>
          <w:ilvl w:val="0"/>
          <w:numId w:val="0"/>
        </w:numPr>
        <w:tabs>
          <w:tab w:val="left" w:pos="592"/>
        </w:tabs>
        <w:snapToGrid w:val="0"/>
        <w:spacing w:line="360" w:lineRule="auto"/>
        <w:ind w:left="630" w:leftChars="0" w:hanging="630" w:hangingChars="30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5</w:t>
      </w:r>
      <w:r>
        <w:rPr>
          <w:rFonts w:hint="eastAsia" w:ascii="Arial" w:hAnsi="宋体" w:cs="Arial"/>
          <w:color w:val="000000"/>
        </w:rPr>
        <w:t>）</w:t>
      </w:r>
      <w:r>
        <w:rPr>
          <w:rFonts w:hint="eastAsia" w:ascii="Arial" w:hAnsi="宋体" w:cs="Arial"/>
          <w:color w:val="000000"/>
          <w:lang w:val="en-US" w:eastAsia="zh-CN"/>
        </w:rPr>
        <w:t xml:space="preserve"> </w:t>
      </w:r>
      <w:r>
        <w:rPr>
          <w:rFonts w:hint="eastAsia" w:ascii="Arial" w:hAnsi="宋体" w:cs="Arial"/>
          <w:color w:val="000000"/>
        </w:rPr>
        <w:t>单价与总价不相符，又不接受评标委员会修正的投标总价或投标明显不合理而投标供应商不能合理说明的；</w:t>
      </w:r>
    </w:p>
    <w:p w14:paraId="28CC5757">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6</w:t>
      </w:r>
      <w:r>
        <w:rPr>
          <w:rFonts w:hint="eastAsia" w:ascii="Arial" w:hAnsi="宋体" w:cs="Arial"/>
          <w:color w:val="000000"/>
        </w:rPr>
        <w:t>）</w:t>
      </w:r>
      <w:r>
        <w:rPr>
          <w:rFonts w:hint="eastAsia" w:ascii="Arial" w:hAnsi="宋体" w:cs="Arial"/>
          <w:color w:val="000000"/>
          <w:lang w:val="en-US" w:eastAsia="zh-CN"/>
        </w:rPr>
        <w:t xml:space="preserve"> </w:t>
      </w:r>
      <w:r>
        <w:rPr>
          <w:rFonts w:hint="eastAsia" w:ascii="Arial" w:hAnsi="宋体" w:cs="Arial"/>
          <w:color w:val="000000"/>
        </w:rPr>
        <w:t>存在串标、抬标或弄虚作假情况的；</w:t>
      </w:r>
    </w:p>
    <w:p w14:paraId="0CF6605E">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7</w:t>
      </w:r>
      <w:r>
        <w:rPr>
          <w:rFonts w:hint="eastAsia" w:ascii="Arial" w:hAnsi="宋体" w:cs="Arial"/>
          <w:color w:val="000000"/>
        </w:rPr>
        <w:t>）不具备招标文件中规定资格要求的；</w:t>
      </w:r>
    </w:p>
    <w:p w14:paraId="6E629135">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8</w:t>
      </w:r>
      <w:r>
        <w:rPr>
          <w:rFonts w:hint="eastAsia" w:ascii="Arial" w:hAnsi="宋体" w:cs="Arial"/>
          <w:color w:val="000000"/>
        </w:rPr>
        <w:t>）投标文件含有</w:t>
      </w:r>
      <w:r>
        <w:rPr>
          <w:rFonts w:hint="eastAsia" w:ascii="Arial" w:hAnsi="宋体" w:cs="Arial"/>
          <w:color w:val="000000"/>
          <w:lang w:eastAsia="zh-CN"/>
        </w:rPr>
        <w:t>采购人</w:t>
      </w:r>
      <w:r>
        <w:rPr>
          <w:rFonts w:hint="eastAsia" w:ascii="Arial" w:hAnsi="宋体" w:cs="Arial"/>
          <w:color w:val="000000"/>
        </w:rPr>
        <w:t>不能接受的附加条件的；</w:t>
      </w:r>
    </w:p>
    <w:p w14:paraId="52059139">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9</w:t>
      </w:r>
      <w:r>
        <w:rPr>
          <w:rFonts w:hint="eastAsia" w:ascii="Arial" w:hAnsi="宋体" w:cs="Arial"/>
          <w:color w:val="000000"/>
        </w:rPr>
        <w:t>）评标委员会认为投标文件未实质性响应招标文件的要求的；</w:t>
      </w:r>
    </w:p>
    <w:p w14:paraId="36BC228B">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10</w:t>
      </w:r>
      <w:r>
        <w:rPr>
          <w:rFonts w:hint="eastAsia" w:ascii="Arial" w:hAnsi="宋体" w:cs="Arial"/>
          <w:color w:val="000000"/>
        </w:rPr>
        <w:t>）授权代表未在投标文件中提供有效法定代表人授权委托书的；</w:t>
      </w:r>
    </w:p>
    <w:p w14:paraId="28F83985">
      <w:pPr>
        <w:numPr>
          <w:ilvl w:val="0"/>
          <w:numId w:val="0"/>
        </w:numPr>
        <w:tabs>
          <w:tab w:val="left" w:pos="592"/>
        </w:tabs>
        <w:snapToGrid w:val="0"/>
        <w:spacing w:line="360" w:lineRule="auto"/>
        <w:ind w:left="630" w:leftChars="0" w:hanging="630" w:hangingChars="30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11</w:t>
      </w:r>
      <w:r>
        <w:rPr>
          <w:rFonts w:hint="eastAsia" w:ascii="Arial" w:hAnsi="宋体" w:cs="Arial"/>
          <w:color w:val="000000"/>
        </w:rPr>
        <w:t>）投标文件中需签字或盖章的地方未加盖投标供应商单位全称的公章，或使用投标专用章、合同章等类似图章代替，或未经法定代表人或其授权代表签字或盖章；</w:t>
      </w:r>
    </w:p>
    <w:p w14:paraId="58ADE356">
      <w:pPr>
        <w:numPr>
          <w:ilvl w:val="0"/>
          <w:numId w:val="0"/>
        </w:numPr>
        <w:tabs>
          <w:tab w:val="left" w:pos="592"/>
        </w:tabs>
        <w:snapToGrid w:val="0"/>
        <w:spacing w:line="360" w:lineRule="auto"/>
        <w:ind w:left="0" w:leftChars="0" w:firstLine="0" w:firstLineChars="0"/>
        <w:rPr>
          <w:rFonts w:hint="eastAsia" w:ascii="Arial" w:hAnsi="宋体" w:cs="Arial"/>
          <w:color w:val="000000"/>
        </w:rPr>
      </w:pPr>
      <w:r>
        <w:rPr>
          <w:rFonts w:hint="eastAsia" w:ascii="Arial" w:hAnsi="宋体" w:cs="Arial"/>
          <w:color w:val="000000"/>
        </w:rPr>
        <w:t>（</w:t>
      </w:r>
      <w:r>
        <w:rPr>
          <w:rFonts w:hint="eastAsia" w:ascii="Arial" w:hAnsi="宋体" w:cs="Arial"/>
          <w:color w:val="000000"/>
          <w:lang w:val="en-US" w:eastAsia="zh-CN"/>
        </w:rPr>
        <w:t>12</w:t>
      </w:r>
      <w:r>
        <w:rPr>
          <w:rFonts w:hint="eastAsia" w:ascii="Arial" w:hAnsi="宋体" w:cs="Arial"/>
          <w:color w:val="000000"/>
        </w:rPr>
        <w:t>）主要技术要求不满足招标文件的要求或有重大偏离，或者商务条款有重大偏离或保留的；</w:t>
      </w:r>
    </w:p>
    <w:p w14:paraId="49309F62">
      <w:pPr>
        <w:numPr>
          <w:ilvl w:val="0"/>
          <w:numId w:val="0"/>
        </w:numPr>
        <w:tabs>
          <w:tab w:val="left" w:pos="592"/>
        </w:tabs>
        <w:snapToGrid w:val="0"/>
        <w:spacing w:line="360" w:lineRule="auto"/>
        <w:ind w:left="630" w:leftChars="0" w:hanging="630" w:hangingChars="300"/>
        <w:rPr>
          <w:rFonts w:hint="eastAsia" w:ascii="Arial" w:hAnsi="宋体" w:eastAsia="宋体" w:cs="Arial"/>
          <w:color w:val="000000"/>
        </w:rPr>
      </w:pPr>
      <w:r>
        <w:rPr>
          <w:rFonts w:hint="eastAsia" w:ascii="Arial" w:hAnsi="宋体" w:eastAsia="宋体" w:cs="Arial"/>
          <w:color w:val="000000"/>
        </w:rPr>
        <w:t>（</w:t>
      </w:r>
      <w:r>
        <w:rPr>
          <w:rFonts w:hint="eastAsia" w:ascii="Arial" w:hAnsi="宋体" w:eastAsia="宋体" w:cs="Arial"/>
          <w:color w:val="000000"/>
          <w:lang w:val="en-US" w:eastAsia="zh-CN"/>
        </w:rPr>
        <w:t>13</w:t>
      </w:r>
      <w:r>
        <w:rPr>
          <w:rFonts w:hint="eastAsia" w:ascii="Arial" w:hAnsi="宋体" w:eastAsia="宋体" w:cs="Arial"/>
          <w:color w:val="000000"/>
        </w:rPr>
        <w:t>）不符合法律、法规和招标文件中规定的其他实质性要求的。</w:t>
      </w:r>
    </w:p>
    <w:p w14:paraId="37732FFB">
      <w:pPr>
        <w:numPr>
          <w:ilvl w:val="1"/>
          <w:numId w:val="6"/>
        </w:numPr>
        <w:tabs>
          <w:tab w:val="left" w:pos="592"/>
        </w:tabs>
        <w:snapToGrid w:val="0"/>
        <w:spacing w:line="360" w:lineRule="auto"/>
        <w:ind w:left="588" w:hanging="588" w:hangingChars="280"/>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澄清有关问题：</w:t>
      </w:r>
    </w:p>
    <w:p w14:paraId="668F04C8">
      <w:pPr>
        <w:numPr>
          <w:ilvl w:val="0"/>
          <w:numId w:val="0"/>
        </w:numPr>
        <w:tabs>
          <w:tab w:val="left" w:pos="592"/>
        </w:tabs>
        <w:snapToGrid w:val="0"/>
        <w:spacing w:line="360" w:lineRule="auto"/>
        <w:ind w:left="638" w:leftChars="304" w:firstLine="0" w:firstLineChars="0"/>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评标委员会对投标文件的资格性和符合性进行检查时，可以要求供应商对投标文件中含义不明确、同类问题表述不一致或者有明显文字和计算错误的内容进行澄清、说明或补正。需要供应商对其投标文件作出澄清、说明、补正的，代理机构将统一由“乐采云平台”发出通知，各供应商在30分钟内通过“乐采云平台”作出澄清、说明、补正，并不得超出投标文件的范围或者改变投标文件的实质性内容。</w:t>
      </w:r>
    </w:p>
    <w:p w14:paraId="1AA91C9E">
      <w:pPr>
        <w:numPr>
          <w:ilvl w:val="1"/>
          <w:numId w:val="6"/>
        </w:numPr>
        <w:tabs>
          <w:tab w:val="left" w:pos="592"/>
        </w:tabs>
        <w:snapToGrid w:val="0"/>
        <w:spacing w:line="360" w:lineRule="auto"/>
        <w:ind w:left="588" w:hanging="588" w:hangingChars="280"/>
        <w:rPr>
          <w:rFonts w:hint="eastAsia" w:ascii="Arial" w:hAnsi="宋体" w:eastAsia="宋体" w:cs="Arial"/>
          <w:color w:val="000000"/>
          <w:kern w:val="2"/>
          <w:sz w:val="21"/>
          <w:szCs w:val="24"/>
          <w:lang w:val="en-US" w:eastAsia="zh-CN" w:bidi="ar-SA"/>
        </w:rPr>
      </w:pPr>
      <w:r>
        <w:rPr>
          <w:rFonts w:hint="eastAsia" w:ascii="Arial" w:hAnsi="Arial" w:eastAsia="宋体" w:cs="Arial"/>
          <w:b w:val="0"/>
          <w:bCs/>
          <w:color w:val="000000"/>
          <w:lang w:val="en-US" w:eastAsia="zh-CN"/>
        </w:rPr>
        <w:t>如评标委员会一致认为某个投标供应商的报价明显不合理，有降低服务质量、不能诚信履行及不正当竞争的可能时，评标委员会有权通知投标供应商限期进行解释。若该投标供应商未在规定期限内做出解释，或做出的解释不合理，经评标委员会取得一致意见后，可否决该投标。</w:t>
      </w:r>
    </w:p>
    <w:p w14:paraId="1ED07065">
      <w:pPr>
        <w:numPr>
          <w:ilvl w:val="0"/>
          <w:numId w:val="6"/>
        </w:numPr>
        <w:spacing w:line="360" w:lineRule="auto"/>
        <w:ind w:left="841" w:hanging="841" w:hangingChars="399"/>
        <w:rPr>
          <w:rFonts w:ascii="Arial" w:hAnsi="Arial" w:cs="Arial"/>
          <w:b/>
          <w:bCs/>
          <w:color w:val="000000"/>
        </w:rPr>
      </w:pPr>
      <w:r>
        <w:rPr>
          <w:rFonts w:ascii="Arial" w:hAnsi="宋体" w:cs="Arial"/>
          <w:b/>
          <w:bCs/>
          <w:color w:val="000000"/>
        </w:rPr>
        <w:t>评标过程保密</w:t>
      </w:r>
    </w:p>
    <w:p w14:paraId="226256FC">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开标之后，直到授予投标供应商合同止，凡是属于审查、澄清、评价和比较投标的有关资料以及授标意向等，均不得向投标供应商或其他无关的人员透露。</w:t>
      </w:r>
    </w:p>
    <w:p w14:paraId="0527D60F">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在评标期间，投标供应商企图影响</w:t>
      </w:r>
      <w:r>
        <w:rPr>
          <w:rFonts w:hint="eastAsia" w:ascii="Arial" w:hAnsi="宋体" w:cs="Arial"/>
          <w:color w:val="000000"/>
          <w:lang w:eastAsia="zh-CN"/>
        </w:rPr>
        <w:t>采购人</w:t>
      </w:r>
      <w:r>
        <w:rPr>
          <w:rFonts w:ascii="Arial" w:hAnsi="宋体" w:cs="Arial"/>
          <w:color w:val="000000"/>
        </w:rPr>
        <w:t>或评标委员会的任何活动，都将导致投标被</w:t>
      </w:r>
      <w:r>
        <w:rPr>
          <w:rFonts w:hint="eastAsia" w:ascii="Arial" w:hAnsi="宋体" w:cs="Arial"/>
          <w:color w:val="000000"/>
        </w:rPr>
        <w:t>否决</w:t>
      </w:r>
      <w:r>
        <w:rPr>
          <w:rFonts w:ascii="Arial" w:hAnsi="宋体" w:cs="Arial"/>
          <w:color w:val="000000"/>
        </w:rPr>
        <w:t>，并由其承担相应的法律责任。</w:t>
      </w:r>
    </w:p>
    <w:p w14:paraId="2186BAB8">
      <w:pPr>
        <w:numPr>
          <w:ilvl w:val="0"/>
          <w:numId w:val="6"/>
        </w:numPr>
        <w:spacing w:line="360" w:lineRule="auto"/>
        <w:ind w:left="841" w:hanging="841" w:hangingChars="399"/>
        <w:rPr>
          <w:rFonts w:ascii="Arial" w:hAnsi="宋体" w:eastAsia="宋体" w:cs="Arial"/>
          <w:b/>
          <w:bCs/>
          <w:color w:val="000000"/>
        </w:rPr>
      </w:pPr>
      <w:r>
        <w:rPr>
          <w:rFonts w:hint="eastAsia" w:ascii="Arial" w:hAnsi="宋体" w:eastAsia="宋体" w:cs="Arial"/>
          <w:b/>
          <w:bCs/>
          <w:color w:val="000000"/>
        </w:rPr>
        <w:t>废标</w:t>
      </w:r>
    </w:p>
    <w:p w14:paraId="7B736988">
      <w:pPr>
        <w:numPr>
          <w:ilvl w:val="0"/>
          <w:numId w:val="0"/>
        </w:numPr>
        <w:tabs>
          <w:tab w:val="left" w:pos="592"/>
        </w:tabs>
        <w:snapToGrid w:val="0"/>
        <w:spacing w:line="360" w:lineRule="auto"/>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32.1  在采购中，出现下列情形之一的，应予废标：</w:t>
      </w:r>
    </w:p>
    <w:p w14:paraId="1B0E2BF8">
      <w:pPr>
        <w:numPr>
          <w:ilvl w:val="0"/>
          <w:numId w:val="0"/>
        </w:numPr>
        <w:snapToGrid w:val="0"/>
        <w:spacing w:line="360" w:lineRule="auto"/>
        <w:ind w:left="0" w:leftChars="0" w:firstLine="0" w:firstLineChars="0"/>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（1） 出现影响采购公正的违法、违规行为的；</w:t>
      </w:r>
    </w:p>
    <w:p w14:paraId="70948D68">
      <w:pPr>
        <w:numPr>
          <w:ilvl w:val="0"/>
          <w:numId w:val="0"/>
        </w:numPr>
        <w:snapToGrid w:val="0"/>
        <w:spacing w:line="360" w:lineRule="auto"/>
        <w:ind w:left="0" w:leftChars="0" w:firstLine="0" w:firstLineChars="0"/>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 xml:space="preserve">（2） 供应商的报价均超过了采购预算，采购人不能支付的； </w:t>
      </w:r>
    </w:p>
    <w:p w14:paraId="0BB2124C">
      <w:pPr>
        <w:numPr>
          <w:ilvl w:val="0"/>
          <w:numId w:val="0"/>
        </w:numPr>
        <w:snapToGrid w:val="0"/>
        <w:spacing w:line="360" w:lineRule="auto"/>
        <w:ind w:left="0" w:leftChars="0" w:firstLine="0" w:firstLineChars="0"/>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（3） 因重大变故，采购任务取消的；</w:t>
      </w:r>
    </w:p>
    <w:p w14:paraId="6020E1E6">
      <w:pPr>
        <w:numPr>
          <w:ilvl w:val="0"/>
          <w:numId w:val="0"/>
        </w:numPr>
        <w:snapToGrid w:val="0"/>
        <w:spacing w:line="360" w:lineRule="auto"/>
        <w:ind w:left="0" w:leftChars="0" w:firstLine="0" w:firstLineChars="0"/>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（4） 电子交易平台无法正常运行，无法保证电子交易的公平、公正和安全的情况；</w:t>
      </w:r>
    </w:p>
    <w:p w14:paraId="0C9ED8E4">
      <w:pPr>
        <w:pStyle w:val="66"/>
        <w:rPr>
          <w:rFonts w:hint="default" w:ascii="Arial" w:hAnsi="Arial" w:eastAsia="宋体" w:cs="Arial"/>
          <w:b w:val="0"/>
          <w:bCs/>
          <w:color w:val="000000"/>
          <w:kern w:val="2"/>
          <w:sz w:val="21"/>
          <w:szCs w:val="24"/>
          <w:lang w:val="en-US" w:eastAsia="zh-CN" w:bidi="ar-SA"/>
        </w:rPr>
      </w:pPr>
      <w:r>
        <w:rPr>
          <w:rFonts w:hint="eastAsia" w:ascii="Arial" w:hAnsi="Arial" w:eastAsia="宋体" w:cs="Arial"/>
          <w:b w:val="0"/>
          <w:bCs/>
          <w:color w:val="000000"/>
          <w:kern w:val="2"/>
          <w:sz w:val="21"/>
          <w:szCs w:val="24"/>
          <w:lang w:val="en-US" w:eastAsia="zh-CN" w:bidi="ar-SA"/>
        </w:rPr>
        <w:t>（5）法律法规规定的其他情形。</w:t>
      </w:r>
    </w:p>
    <w:p w14:paraId="44DC66FE">
      <w:pPr>
        <w:numPr>
          <w:ilvl w:val="0"/>
          <w:numId w:val="6"/>
        </w:numPr>
        <w:spacing w:line="360" w:lineRule="auto"/>
        <w:ind w:left="841" w:hanging="841" w:hangingChars="399"/>
        <w:rPr>
          <w:rFonts w:ascii="Arial" w:hAnsi="Arial" w:cs="Arial"/>
          <w:b/>
          <w:color w:val="000000"/>
        </w:rPr>
      </w:pPr>
      <w:r>
        <w:rPr>
          <w:rFonts w:hint="eastAsia" w:ascii="Arial" w:hAnsi="Arial" w:cs="Arial"/>
          <w:b/>
          <w:color w:val="000000"/>
        </w:rPr>
        <w:t>可中止电子交易活动的情形</w:t>
      </w:r>
    </w:p>
    <w:p w14:paraId="1C4A2DF3">
      <w:pPr>
        <w:numPr>
          <w:ilvl w:val="0"/>
          <w:numId w:val="0"/>
        </w:numPr>
        <w:tabs>
          <w:tab w:val="left" w:pos="592"/>
        </w:tabs>
        <w:snapToGrid w:val="0"/>
        <w:spacing w:line="360" w:lineRule="auto"/>
        <w:ind w:left="630" w:hanging="630" w:hangingChars="300"/>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33.1  采购过程中出现以下情形，导致电子交易平台无法正常运行，或者无法保证电子交易的公平、公正和安全时，采购组织机构可中止电子交易活动：</w:t>
      </w:r>
    </w:p>
    <w:p w14:paraId="72E68AB3">
      <w:pPr>
        <w:numPr>
          <w:ilvl w:val="0"/>
          <w:numId w:val="0"/>
        </w:numPr>
        <w:tabs>
          <w:tab w:val="left" w:pos="592"/>
        </w:tabs>
        <w:snapToGrid w:val="0"/>
        <w:spacing w:line="360" w:lineRule="auto"/>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（1） 电子交易平台发生故障而无法登录访问的；</w:t>
      </w:r>
    </w:p>
    <w:p w14:paraId="463689F9">
      <w:pPr>
        <w:numPr>
          <w:ilvl w:val="0"/>
          <w:numId w:val="0"/>
        </w:numPr>
        <w:tabs>
          <w:tab w:val="left" w:pos="592"/>
        </w:tabs>
        <w:snapToGrid w:val="0"/>
        <w:spacing w:line="360" w:lineRule="auto"/>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（2） 电子交易平台应用或数据库出现错误，不能进行正常操作的；</w:t>
      </w:r>
    </w:p>
    <w:p w14:paraId="7AACEA44">
      <w:pPr>
        <w:numPr>
          <w:ilvl w:val="0"/>
          <w:numId w:val="0"/>
        </w:numPr>
        <w:tabs>
          <w:tab w:val="left" w:pos="592"/>
        </w:tabs>
        <w:snapToGrid w:val="0"/>
        <w:spacing w:line="360" w:lineRule="auto"/>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（3） 电子交易平台发现严重安全漏洞，有潜在泄密危险的；</w:t>
      </w:r>
    </w:p>
    <w:p w14:paraId="7359FE9A">
      <w:pPr>
        <w:numPr>
          <w:ilvl w:val="0"/>
          <w:numId w:val="0"/>
        </w:numPr>
        <w:tabs>
          <w:tab w:val="left" w:pos="592"/>
        </w:tabs>
        <w:snapToGrid w:val="0"/>
        <w:spacing w:line="360" w:lineRule="auto"/>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（4） 病毒发作导致不能进行正常操作的；</w:t>
      </w:r>
    </w:p>
    <w:p w14:paraId="10641ADC">
      <w:pPr>
        <w:numPr>
          <w:ilvl w:val="0"/>
          <w:numId w:val="0"/>
        </w:numPr>
        <w:tabs>
          <w:tab w:val="left" w:pos="592"/>
        </w:tabs>
        <w:snapToGrid w:val="0"/>
        <w:spacing w:line="360" w:lineRule="auto"/>
        <w:rPr>
          <w:rFonts w:hint="eastAsia" w:ascii="Arial" w:hAnsi="Arial" w:eastAsia="宋体" w:cs="Arial"/>
          <w:b w:val="0"/>
          <w:bCs/>
          <w:color w:val="000000"/>
          <w:lang w:val="en-US" w:eastAsia="zh-CN"/>
        </w:rPr>
      </w:pPr>
      <w:r>
        <w:rPr>
          <w:rFonts w:hint="eastAsia" w:ascii="Arial" w:hAnsi="Arial" w:eastAsia="宋体" w:cs="Arial"/>
          <w:b w:val="0"/>
          <w:bCs/>
          <w:color w:val="000000"/>
          <w:lang w:val="en-US" w:eastAsia="zh-CN"/>
        </w:rPr>
        <w:t>（5） 其他无法保证电子交易的公平、公正和安全的情况。</w:t>
      </w:r>
    </w:p>
    <w:p w14:paraId="72EC0DE4">
      <w:pPr>
        <w:numPr>
          <w:ilvl w:val="0"/>
          <w:numId w:val="0"/>
        </w:numPr>
        <w:tabs>
          <w:tab w:val="left" w:pos="592"/>
        </w:tabs>
        <w:snapToGrid w:val="0"/>
        <w:spacing w:line="360" w:lineRule="auto"/>
        <w:ind w:left="630" w:hanging="630" w:hangingChars="300"/>
        <w:rPr>
          <w:color w:val="000000"/>
        </w:rPr>
      </w:pPr>
      <w:r>
        <w:rPr>
          <w:rFonts w:hint="eastAsia" w:ascii="Arial" w:hAnsi="Arial" w:eastAsia="宋体" w:cs="Arial"/>
          <w:b w:val="0"/>
          <w:bCs/>
          <w:color w:val="000000"/>
          <w:lang w:val="en-US" w:eastAsia="zh-CN"/>
        </w:rPr>
        <w:t>33.2   出现前款规定情形，不影响采购公平、公正性的，采购组织机构可以待上述情形消除后继续组织电子交易活动；影响或可能影响采购公平、公正性的，应当重新采购。</w:t>
      </w:r>
    </w:p>
    <w:p w14:paraId="5803C417">
      <w:pPr>
        <w:numPr>
          <w:ilvl w:val="0"/>
          <w:numId w:val="6"/>
        </w:numPr>
        <w:spacing w:line="360" w:lineRule="auto"/>
        <w:ind w:left="841" w:hanging="841" w:hangingChars="399"/>
        <w:rPr>
          <w:rFonts w:ascii="Arial" w:hAnsi="Arial" w:cs="Arial"/>
          <w:b/>
          <w:color w:val="000000"/>
        </w:rPr>
      </w:pPr>
      <w:r>
        <w:rPr>
          <w:rFonts w:ascii="Arial" w:hAnsi="宋体" w:cs="Arial"/>
          <w:b/>
          <w:color w:val="000000"/>
        </w:rPr>
        <w:t>中标供应商的确定</w:t>
      </w:r>
    </w:p>
    <w:p w14:paraId="772695DE">
      <w:pPr>
        <w:numPr>
          <w:ilvl w:val="1"/>
          <w:numId w:val="6"/>
        </w:numPr>
        <w:tabs>
          <w:tab w:val="left" w:pos="592"/>
        </w:tabs>
        <w:snapToGrid w:val="0"/>
        <w:spacing w:line="360" w:lineRule="auto"/>
        <w:ind w:left="588" w:hanging="588" w:hangingChars="280"/>
        <w:rPr>
          <w:rFonts w:ascii="Arial" w:hAnsi="Arial" w:cs="Arial"/>
          <w:color w:val="000000"/>
          <w:spacing w:val="-6"/>
          <w:sz w:val="21"/>
        </w:rPr>
      </w:pPr>
      <w:r>
        <w:rPr>
          <w:rFonts w:hint="eastAsia" w:ascii="Arial" w:hAnsi="Arial"/>
          <w:color w:val="auto"/>
          <w:highlight w:val="none"/>
          <w:lang w:eastAsia="zh-CN"/>
        </w:rPr>
        <w:t>采购人</w:t>
      </w:r>
      <w:r>
        <w:rPr>
          <w:rFonts w:hint="eastAsia" w:ascii="Arial" w:hAnsi="Arial"/>
          <w:color w:val="auto"/>
          <w:highlight w:val="none"/>
        </w:rPr>
        <w:t>按评审委员会的评审结果，在评审委员会推荐的</w:t>
      </w:r>
      <w:r>
        <w:rPr>
          <w:rFonts w:hint="eastAsia" w:ascii="Arial" w:hAnsi="Arial"/>
          <w:color w:val="auto"/>
          <w:highlight w:val="none"/>
          <w:lang w:val="en-US" w:eastAsia="zh-CN"/>
        </w:rPr>
        <w:t>预选中标供应商</w:t>
      </w:r>
      <w:r>
        <w:rPr>
          <w:rFonts w:hint="eastAsia" w:ascii="Arial" w:hAnsi="Arial"/>
          <w:color w:val="auto"/>
          <w:highlight w:val="none"/>
        </w:rPr>
        <w:t>中依法确定排名第一名为中标供应商，公示一个工作日</w:t>
      </w:r>
      <w:r>
        <w:rPr>
          <w:rFonts w:hint="eastAsia" w:ascii="Arial" w:hAnsi="Arial"/>
          <w:color w:val="000000"/>
          <w:spacing w:val="-6"/>
          <w:sz w:val="21"/>
        </w:rPr>
        <w:t>。</w:t>
      </w:r>
    </w:p>
    <w:p w14:paraId="6DE99A95">
      <w:pPr>
        <w:numPr>
          <w:ilvl w:val="0"/>
          <w:numId w:val="6"/>
        </w:numPr>
        <w:spacing w:line="360" w:lineRule="auto"/>
        <w:ind w:left="841" w:hanging="841" w:hangingChars="399"/>
        <w:rPr>
          <w:rFonts w:ascii="Arial" w:hAnsi="Arial" w:cs="Arial"/>
          <w:b/>
          <w:color w:val="000000"/>
        </w:rPr>
      </w:pPr>
      <w:r>
        <w:rPr>
          <w:rFonts w:hint="eastAsia" w:ascii="Arial" w:hAnsi="宋体" w:cs="Arial"/>
          <w:b/>
          <w:color w:val="000000"/>
        </w:rPr>
        <w:t>否决</w:t>
      </w:r>
      <w:r>
        <w:rPr>
          <w:rFonts w:ascii="Arial" w:hAnsi="宋体" w:cs="Arial"/>
          <w:b/>
          <w:color w:val="000000"/>
        </w:rPr>
        <w:t>任何或所有投标的权利</w:t>
      </w:r>
    </w:p>
    <w:p w14:paraId="7868F391">
      <w:pPr>
        <w:numPr>
          <w:ilvl w:val="1"/>
          <w:numId w:val="6"/>
        </w:numPr>
        <w:tabs>
          <w:tab w:val="left" w:pos="592"/>
        </w:tabs>
        <w:snapToGrid w:val="0"/>
        <w:spacing w:line="360" w:lineRule="auto"/>
        <w:ind w:left="577" w:hanging="576" w:hangingChars="280"/>
        <w:rPr>
          <w:rFonts w:ascii="Arial" w:hAnsi="Arial" w:cs="Arial"/>
          <w:color w:val="000000"/>
        </w:rPr>
      </w:pPr>
      <w:r>
        <w:rPr>
          <w:rFonts w:ascii="Arial" w:hAnsi="宋体" w:cs="Arial"/>
          <w:color w:val="000000"/>
          <w:spacing w:val="-2"/>
        </w:rPr>
        <w:t>评标委员会经评审，认为任何或所有投标都不符合招标文件要求的，可以否决任何或所有投标</w:t>
      </w:r>
      <w:r>
        <w:rPr>
          <w:rFonts w:ascii="Arial" w:hAnsi="宋体" w:cs="Arial"/>
          <w:color w:val="000000"/>
        </w:rPr>
        <w:t>。</w:t>
      </w:r>
    </w:p>
    <w:p w14:paraId="4910F708">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若在开、评标期间出现符合条件的投标供应商或者对招标文件作出实质响应的投标供应商（有效投标）不足三家，按</w:t>
      </w:r>
      <w:r>
        <w:rPr>
          <w:rFonts w:hint="eastAsia" w:ascii="Arial" w:hAnsi="宋体" w:cs="Arial"/>
          <w:color w:val="000000"/>
        </w:rPr>
        <w:t>国企</w:t>
      </w:r>
      <w:r>
        <w:rPr>
          <w:rFonts w:ascii="Arial" w:hAnsi="宋体" w:cs="Arial"/>
          <w:color w:val="000000"/>
        </w:rPr>
        <w:t>采购有关规定执行。</w:t>
      </w:r>
    </w:p>
    <w:p w14:paraId="4BD53731">
      <w:pPr>
        <w:numPr>
          <w:ilvl w:val="1"/>
          <w:numId w:val="6"/>
        </w:numPr>
        <w:tabs>
          <w:tab w:val="left" w:pos="592"/>
        </w:tabs>
        <w:snapToGrid w:val="0"/>
        <w:spacing w:line="360" w:lineRule="auto"/>
        <w:ind w:left="588" w:hanging="576" w:hangingChars="280"/>
        <w:rPr>
          <w:rFonts w:ascii="Arial" w:hAnsi="Arial" w:cs="Arial"/>
          <w:color w:val="000000"/>
        </w:rPr>
      </w:pPr>
      <w:r>
        <w:rPr>
          <w:rFonts w:hint="eastAsia" w:ascii="Arial" w:hAnsi="宋体" w:cs="Arial"/>
          <w:color w:val="auto"/>
          <w:spacing w:val="-2"/>
          <w:highlight w:val="none"/>
        </w:rPr>
        <w:t>排名第一名或第二名的预选中标供应商放弃中标；因不可抗力提出不能履行合同；或者招标文件规定应当提交履约保证金而在规定的期限内未能提交的；或未能在规定时间内与采购人签订合同的；或者经质疑，采购人审查后，确因排名第一名或第二名的预选中标供应商在本次招标活动中存在违法违规行为或其他原因使质疑成立的；采购人可视具体情况确定是否由排名第三的预选中标供应商为中标供应商，以此类推</w:t>
      </w:r>
      <w:r>
        <w:rPr>
          <w:rFonts w:ascii="Arial" w:hAnsi="宋体" w:cs="Arial"/>
          <w:color w:val="000000"/>
        </w:rPr>
        <w:t>。</w:t>
      </w:r>
    </w:p>
    <w:p w14:paraId="4E1F046D">
      <w:pPr>
        <w:numPr>
          <w:ilvl w:val="0"/>
          <w:numId w:val="6"/>
        </w:numPr>
        <w:spacing w:line="360" w:lineRule="auto"/>
        <w:ind w:left="841" w:hanging="841" w:hangingChars="399"/>
        <w:rPr>
          <w:rFonts w:ascii="Arial" w:hAnsi="Arial" w:cs="Arial"/>
          <w:b/>
          <w:color w:val="000000"/>
        </w:rPr>
      </w:pPr>
      <w:r>
        <w:rPr>
          <w:rFonts w:ascii="Arial" w:hAnsi="宋体" w:cs="Arial"/>
          <w:b/>
          <w:color w:val="000000"/>
        </w:rPr>
        <w:t>评标结果质疑与投诉</w:t>
      </w:r>
    </w:p>
    <w:p w14:paraId="55072387">
      <w:pPr>
        <w:numPr>
          <w:ilvl w:val="1"/>
          <w:numId w:val="6"/>
        </w:numPr>
        <w:tabs>
          <w:tab w:val="left" w:pos="592"/>
        </w:tabs>
        <w:snapToGrid w:val="0"/>
        <w:spacing w:line="360" w:lineRule="auto"/>
        <w:ind w:left="588" w:hanging="588" w:hangingChars="280"/>
        <w:rPr>
          <w:rFonts w:hint="eastAsia" w:ascii="Arial" w:hAnsi="宋体" w:cs="Arial"/>
          <w:color w:val="000000"/>
        </w:rPr>
      </w:pPr>
      <w:bookmarkStart w:id="46" w:name="_Toc495977859"/>
      <w:r>
        <w:rPr>
          <w:rFonts w:hint="eastAsia" w:ascii="Arial" w:hAnsi="宋体" w:cs="Arial"/>
          <w:color w:val="000000"/>
          <w:lang w:eastAsia="zh-CN"/>
        </w:rPr>
        <w:t>投标供应商</w:t>
      </w:r>
      <w:r>
        <w:rPr>
          <w:rFonts w:hint="eastAsia" w:ascii="Arial" w:hAnsi="宋体" w:cs="Arial"/>
          <w:color w:val="000000"/>
        </w:rPr>
        <w:t>认为采购文件使自己的权益受到损害的，可以自获取招标文件之日或者采购文件公告期限届满之日（公告期限届满后获取采购文件的，以公告期限届满之日为准）起</w:t>
      </w:r>
      <w:r>
        <w:rPr>
          <w:rFonts w:hint="eastAsia" w:ascii="Arial" w:hAnsi="宋体" w:cs="Arial"/>
          <w:color w:val="000000"/>
          <w:lang w:val="en-US" w:eastAsia="zh-CN"/>
        </w:rPr>
        <w:t>5</w:t>
      </w:r>
      <w:r>
        <w:rPr>
          <w:rFonts w:hint="eastAsia" w:ascii="Arial" w:hAnsi="宋体" w:cs="Arial"/>
          <w:color w:val="000000"/>
        </w:rPr>
        <w:t>个工作日内，以书面形式向</w:t>
      </w:r>
      <w:r>
        <w:rPr>
          <w:rFonts w:hint="eastAsia" w:ascii="Arial" w:hAnsi="宋体" w:cs="Arial"/>
          <w:color w:val="000000"/>
          <w:lang w:eastAsia="zh-CN"/>
        </w:rPr>
        <w:t>采购人</w:t>
      </w:r>
      <w:r>
        <w:rPr>
          <w:rFonts w:hint="eastAsia" w:ascii="Arial" w:hAnsi="宋体" w:cs="Arial"/>
          <w:color w:val="000000"/>
        </w:rPr>
        <w:t>和</w:t>
      </w:r>
      <w:r>
        <w:rPr>
          <w:rFonts w:hint="eastAsia" w:ascii="Arial" w:hAnsi="宋体" w:cs="Arial"/>
          <w:color w:val="000000"/>
          <w:lang w:eastAsia="zh-CN"/>
        </w:rPr>
        <w:t>采购代理机构</w:t>
      </w:r>
      <w:r>
        <w:rPr>
          <w:rFonts w:hint="eastAsia" w:ascii="Arial" w:hAnsi="宋体" w:cs="Arial"/>
          <w:color w:val="000000"/>
        </w:rPr>
        <w:t>提出质疑。质疑</w:t>
      </w:r>
      <w:r>
        <w:rPr>
          <w:rFonts w:hint="eastAsia" w:ascii="Arial" w:hAnsi="宋体" w:cs="Arial"/>
          <w:color w:val="000000"/>
          <w:lang w:eastAsia="zh-CN"/>
        </w:rPr>
        <w:t>投标供应商</w:t>
      </w:r>
      <w:r>
        <w:rPr>
          <w:rFonts w:hint="eastAsia" w:ascii="Arial" w:hAnsi="宋体" w:cs="Arial"/>
          <w:color w:val="000000"/>
        </w:rPr>
        <w:t>对</w:t>
      </w:r>
      <w:r>
        <w:rPr>
          <w:rFonts w:hint="eastAsia" w:ascii="Arial" w:hAnsi="宋体" w:cs="Arial"/>
          <w:color w:val="000000"/>
          <w:lang w:eastAsia="zh-CN"/>
        </w:rPr>
        <w:t>采购人</w:t>
      </w:r>
      <w:r>
        <w:rPr>
          <w:rFonts w:hint="eastAsia" w:ascii="Arial" w:hAnsi="宋体" w:cs="Arial"/>
          <w:color w:val="000000"/>
        </w:rPr>
        <w:t>、</w:t>
      </w:r>
      <w:r>
        <w:rPr>
          <w:rFonts w:hint="eastAsia" w:ascii="Arial" w:hAnsi="宋体" w:cs="Arial"/>
          <w:color w:val="000000"/>
          <w:lang w:eastAsia="zh-CN"/>
        </w:rPr>
        <w:t>采购代理机构</w:t>
      </w:r>
      <w:r>
        <w:rPr>
          <w:rFonts w:hint="eastAsia" w:ascii="Arial" w:hAnsi="宋体" w:cs="Arial"/>
          <w:color w:val="000000"/>
        </w:rPr>
        <w:t>的答复不满意或者</w:t>
      </w:r>
      <w:r>
        <w:rPr>
          <w:rFonts w:hint="eastAsia" w:ascii="Arial" w:hAnsi="宋体" w:cs="Arial"/>
          <w:color w:val="000000"/>
          <w:lang w:eastAsia="zh-CN"/>
        </w:rPr>
        <w:t>采购人</w:t>
      </w:r>
      <w:r>
        <w:rPr>
          <w:rFonts w:hint="eastAsia" w:ascii="Arial" w:hAnsi="宋体" w:cs="Arial"/>
          <w:color w:val="000000"/>
        </w:rPr>
        <w:t>、</w:t>
      </w:r>
      <w:r>
        <w:rPr>
          <w:rFonts w:hint="eastAsia" w:ascii="Arial" w:hAnsi="宋体" w:cs="Arial"/>
          <w:color w:val="000000"/>
          <w:lang w:eastAsia="zh-CN"/>
        </w:rPr>
        <w:t>采购代理机构</w:t>
      </w:r>
      <w:r>
        <w:rPr>
          <w:rFonts w:hint="eastAsia" w:ascii="Arial" w:hAnsi="宋体" w:cs="Arial"/>
          <w:color w:val="000000"/>
        </w:rPr>
        <w:t>未在规定的时间内作出答复的，可以在答复期满后十五个工作日内</w:t>
      </w:r>
      <w:r>
        <w:rPr>
          <w:rFonts w:hint="eastAsia" w:ascii="Arial" w:hAnsi="宋体" w:cs="Arial"/>
          <w:color w:val="000000"/>
          <w:highlight w:val="none"/>
        </w:rPr>
        <w:t>向</w:t>
      </w:r>
      <w:r>
        <w:rPr>
          <w:rFonts w:hint="eastAsia" w:ascii="Arial" w:hAnsi="宋体" w:cs="Arial"/>
          <w:color w:val="000000"/>
          <w:highlight w:val="none"/>
          <w:lang w:val="en-US" w:eastAsia="zh-CN"/>
        </w:rPr>
        <w:t>同级采购监管部门</w:t>
      </w:r>
      <w:r>
        <w:rPr>
          <w:rFonts w:hint="eastAsia" w:ascii="Arial" w:hAnsi="宋体" w:cs="Arial"/>
          <w:color w:val="000000"/>
        </w:rPr>
        <w:t>投诉。质疑函范本、投诉书范本请到浙江政府采购网下载专区下载。</w:t>
      </w:r>
    </w:p>
    <w:p w14:paraId="438FF43C">
      <w:pPr>
        <w:numPr>
          <w:ilvl w:val="1"/>
          <w:numId w:val="6"/>
        </w:numPr>
        <w:tabs>
          <w:tab w:val="left" w:pos="592"/>
        </w:tabs>
        <w:snapToGrid w:val="0"/>
        <w:spacing w:line="360" w:lineRule="auto"/>
        <w:ind w:left="588" w:hanging="588" w:hangingChars="280"/>
        <w:rPr>
          <w:rFonts w:hint="eastAsia" w:ascii="Arial" w:hAnsi="宋体" w:cs="Arial"/>
          <w:color w:val="000000"/>
        </w:rPr>
      </w:pPr>
      <w:r>
        <w:rPr>
          <w:rFonts w:hint="eastAsia" w:ascii="Arial" w:hAnsi="宋体" w:cs="Arial"/>
          <w:color w:val="000000"/>
        </w:rP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ascii="宋体" w:hAnsi="宋体" w:cs="宋体"/>
          <w:color w:val="000000"/>
          <w:lang w:eastAsia="zh-CN"/>
        </w:rPr>
        <w:t>投标供应商</w:t>
      </w:r>
      <w:r>
        <w:rPr>
          <w:rFonts w:hint="eastAsia" w:ascii="宋体" w:hAnsi="宋体" w:cs="宋体"/>
          <w:color w:val="000000"/>
        </w:rPr>
        <w:t>在法定质疑期内应一次性提出针对同一采购程序环节的质疑。</w:t>
      </w:r>
    </w:p>
    <w:p w14:paraId="203DC7A7">
      <w:pPr>
        <w:numPr>
          <w:ilvl w:val="0"/>
          <w:numId w:val="12"/>
        </w:numPr>
        <w:tabs>
          <w:tab w:val="left" w:pos="900"/>
        </w:tabs>
        <w:spacing w:line="360" w:lineRule="auto"/>
        <w:ind w:left="840" w:leftChars="400"/>
        <w:rPr>
          <w:rFonts w:hint="eastAsia" w:ascii="Arial" w:hAnsi="宋体" w:eastAsia="宋体" w:cs="Arial"/>
          <w:color w:val="000000"/>
          <w:lang w:eastAsia="zh-CN"/>
        </w:rPr>
      </w:pPr>
      <w:r>
        <w:rPr>
          <w:rFonts w:hint="eastAsia" w:ascii="Arial" w:hAnsi="宋体" w:cs="Arial"/>
          <w:color w:val="000000"/>
        </w:rPr>
        <w:t>质疑受理机构：</w:t>
      </w:r>
      <w:r>
        <w:rPr>
          <w:rFonts w:hint="eastAsia" w:ascii="Arial" w:hAnsi="宋体" w:cs="Arial"/>
          <w:color w:val="000000"/>
          <w:lang w:eastAsia="zh-CN"/>
        </w:rPr>
        <w:t>浙江信达咨询监理有限公司</w:t>
      </w:r>
    </w:p>
    <w:p w14:paraId="28E6553D">
      <w:pPr>
        <w:tabs>
          <w:tab w:val="left" w:pos="900"/>
        </w:tabs>
        <w:spacing w:line="360" w:lineRule="auto"/>
        <w:ind w:left="840" w:leftChars="400" w:firstLine="420" w:firstLineChars="200"/>
        <w:rPr>
          <w:rFonts w:hint="eastAsia" w:ascii="Arial" w:hAnsi="宋体" w:eastAsia="宋体" w:cs="Arial"/>
          <w:color w:val="000000"/>
          <w:lang w:eastAsia="zh-CN"/>
        </w:rPr>
      </w:pPr>
      <w:r>
        <w:rPr>
          <w:rFonts w:hint="eastAsia" w:ascii="Arial" w:hAnsi="宋体" w:cs="Arial"/>
          <w:color w:val="000000"/>
          <w:lang w:val="en-US" w:eastAsia="zh-CN"/>
        </w:rPr>
        <w:t>联系</w:t>
      </w:r>
      <w:r>
        <w:rPr>
          <w:rFonts w:hint="eastAsia" w:ascii="Arial" w:hAnsi="宋体" w:cs="Arial"/>
          <w:color w:val="000000"/>
        </w:rPr>
        <w:t>地址：</w:t>
      </w:r>
      <w:r>
        <w:rPr>
          <w:rFonts w:hint="eastAsia" w:ascii="Arial" w:hAnsi="宋体" w:cs="Arial"/>
          <w:color w:val="000000"/>
          <w:lang w:eastAsia="zh-CN"/>
        </w:rPr>
        <w:t>温州市文成县金龙公寓上首202室</w:t>
      </w:r>
    </w:p>
    <w:p w14:paraId="49B1129A">
      <w:pPr>
        <w:tabs>
          <w:tab w:val="left" w:pos="900"/>
        </w:tabs>
        <w:spacing w:line="360" w:lineRule="auto"/>
        <w:ind w:firstLine="1260" w:firstLineChars="600"/>
        <w:rPr>
          <w:rFonts w:hint="default" w:ascii="Arial" w:hAnsi="宋体" w:eastAsia="宋体" w:cs="Arial"/>
          <w:color w:val="000000"/>
          <w:lang w:val="en-US" w:eastAsia="zh-CN"/>
        </w:rPr>
      </w:pPr>
      <w:r>
        <w:rPr>
          <w:rFonts w:hint="eastAsia" w:ascii="Arial" w:hAnsi="宋体" w:cs="Arial"/>
          <w:color w:val="000000"/>
        </w:rPr>
        <w:t>联系电话：</w:t>
      </w:r>
      <w:r>
        <w:rPr>
          <w:rFonts w:hint="eastAsia" w:ascii="Arial" w:hAnsi="宋体" w:cs="Arial"/>
          <w:color w:val="000000"/>
          <w:lang w:val="en-US" w:eastAsia="zh-CN"/>
        </w:rPr>
        <w:t xml:space="preserve">13868685553 </w:t>
      </w:r>
    </w:p>
    <w:p w14:paraId="657E1C9B">
      <w:pPr>
        <w:numPr>
          <w:ilvl w:val="0"/>
          <w:numId w:val="12"/>
        </w:numPr>
        <w:tabs>
          <w:tab w:val="left" w:pos="900"/>
        </w:tabs>
        <w:spacing w:line="360" w:lineRule="auto"/>
        <w:ind w:left="840" w:leftChars="400"/>
        <w:rPr>
          <w:rFonts w:hint="eastAsia" w:ascii="Arial" w:hAnsi="宋体" w:eastAsia="宋体" w:cs="Arial"/>
          <w:color w:val="000000"/>
          <w:highlight w:val="none"/>
        </w:rPr>
      </w:pPr>
      <w:r>
        <w:rPr>
          <w:rFonts w:hint="eastAsia" w:ascii="Arial" w:hAnsi="宋体" w:eastAsia="宋体" w:cs="Arial"/>
          <w:color w:val="000000"/>
          <w:highlight w:val="none"/>
        </w:rPr>
        <w:t>采购监督管理部门</w:t>
      </w:r>
    </w:p>
    <w:p w14:paraId="6F7AA901">
      <w:pPr>
        <w:tabs>
          <w:tab w:val="left" w:pos="900"/>
        </w:tabs>
        <w:spacing w:line="360" w:lineRule="auto"/>
        <w:rPr>
          <w:rFonts w:hint="eastAsia" w:ascii="Arial" w:hAnsi="宋体" w:cs="Arial"/>
          <w:color w:val="000000"/>
          <w:highlight w:val="none"/>
        </w:rPr>
      </w:pPr>
      <w:r>
        <w:rPr>
          <w:rFonts w:hint="eastAsia" w:ascii="Arial" w:hAnsi="宋体" w:cs="Arial"/>
          <w:color w:val="000000"/>
          <w:highlight w:val="none"/>
          <w:lang w:val="en-US" w:eastAsia="zh-CN"/>
        </w:rPr>
        <w:tab/>
      </w:r>
      <w:r>
        <w:rPr>
          <w:rFonts w:hint="eastAsia" w:ascii="Arial" w:hAnsi="宋体" w:cs="Arial"/>
          <w:color w:val="000000"/>
          <w:highlight w:val="none"/>
          <w:lang w:val="en-US" w:eastAsia="zh-CN"/>
        </w:rPr>
        <w:tab/>
      </w:r>
      <w:r>
        <w:rPr>
          <w:rFonts w:hint="eastAsia" w:ascii="Arial" w:hAnsi="宋体" w:cs="Arial"/>
          <w:color w:val="000000"/>
          <w:highlight w:val="none"/>
          <w:lang w:val="en-US" w:eastAsia="zh-CN"/>
        </w:rPr>
        <w:t>投诉受理机构</w:t>
      </w:r>
      <w:r>
        <w:rPr>
          <w:rFonts w:hint="eastAsia" w:ascii="Arial" w:hAnsi="宋体" w:cs="Arial"/>
          <w:color w:val="000000"/>
          <w:highlight w:val="none"/>
        </w:rPr>
        <w:t>：</w:t>
      </w:r>
      <w:r>
        <w:rPr>
          <w:rFonts w:hint="eastAsia" w:ascii="Arial" w:hAnsi="宋体" w:cs="Arial"/>
          <w:color w:val="000000"/>
          <w:highlight w:val="none"/>
          <w:lang w:eastAsia="zh-CN"/>
        </w:rPr>
        <w:t>文成大峃城市新区管委会</w:t>
      </w:r>
      <w:r>
        <w:rPr>
          <w:rFonts w:hint="eastAsia" w:ascii="Arial" w:hAnsi="宋体" w:cs="Arial"/>
          <w:color w:val="000000"/>
          <w:highlight w:val="none"/>
        </w:rPr>
        <w:t>　　　　　　  　　　　　　　　　　　</w:t>
      </w:r>
    </w:p>
    <w:p w14:paraId="1D13B0D7">
      <w:pPr>
        <w:tabs>
          <w:tab w:val="left" w:pos="900"/>
        </w:tabs>
        <w:spacing w:line="360" w:lineRule="auto"/>
        <w:rPr>
          <w:rFonts w:hint="eastAsia" w:ascii="Arial" w:hAnsi="宋体" w:cs="Arial"/>
          <w:color w:val="000000"/>
          <w:highlight w:val="none"/>
        </w:rPr>
      </w:pPr>
      <w:r>
        <w:rPr>
          <w:rFonts w:hint="eastAsia" w:ascii="Arial" w:hAnsi="宋体" w:cs="Arial"/>
          <w:color w:val="000000"/>
          <w:highlight w:val="none"/>
          <w:lang w:val="en-US" w:eastAsia="zh-CN"/>
        </w:rPr>
        <w:tab/>
      </w:r>
      <w:r>
        <w:rPr>
          <w:rFonts w:hint="eastAsia" w:ascii="Arial" w:hAnsi="宋体" w:cs="Arial"/>
          <w:color w:val="000000"/>
          <w:highlight w:val="none"/>
          <w:lang w:val="en-US" w:eastAsia="zh-CN"/>
        </w:rPr>
        <w:tab/>
      </w:r>
      <w:r>
        <w:rPr>
          <w:rFonts w:hint="eastAsia" w:ascii="Arial" w:hAnsi="宋体" w:cs="Arial"/>
          <w:color w:val="000000"/>
          <w:highlight w:val="none"/>
        </w:rPr>
        <w:t>投诉电话：</w:t>
      </w:r>
      <w:r>
        <w:rPr>
          <w:rFonts w:hint="eastAsia" w:ascii="Arial" w:hAnsi="宋体" w:cs="Arial"/>
          <w:color w:val="000000"/>
          <w:highlight w:val="none"/>
          <w:lang w:val="en-US" w:eastAsia="zh-CN"/>
        </w:rPr>
        <w:t>0577-59010112</w:t>
      </w:r>
    </w:p>
    <w:p w14:paraId="0B284259">
      <w:pPr>
        <w:spacing w:line="360" w:lineRule="auto"/>
        <w:jc w:val="center"/>
        <w:outlineLvl w:val="1"/>
        <w:rPr>
          <w:rFonts w:ascii="Arial" w:hAnsi="宋体" w:cs="Arial"/>
          <w:b/>
          <w:bCs/>
          <w:color w:val="000000"/>
          <w:sz w:val="28"/>
        </w:rPr>
      </w:pPr>
      <w:bookmarkStart w:id="47" w:name="_Toc29542"/>
    </w:p>
    <w:p w14:paraId="6152F8C7">
      <w:pPr>
        <w:spacing w:line="360" w:lineRule="auto"/>
        <w:jc w:val="center"/>
        <w:outlineLvl w:val="1"/>
        <w:rPr>
          <w:rFonts w:ascii="Arial" w:hAnsi="宋体" w:cs="Arial"/>
          <w:b/>
          <w:bCs/>
          <w:color w:val="000000"/>
          <w:sz w:val="28"/>
        </w:rPr>
      </w:pPr>
      <w:r>
        <w:rPr>
          <w:rFonts w:ascii="Arial" w:hAnsi="宋体" w:cs="Arial"/>
          <w:b/>
          <w:bCs/>
          <w:color w:val="000000"/>
          <w:sz w:val="28"/>
        </w:rPr>
        <w:t>（</w:t>
      </w:r>
      <w:r>
        <w:rPr>
          <w:rFonts w:hint="eastAsia" w:ascii="Arial" w:hAnsi="宋体" w:cs="Arial"/>
          <w:b/>
          <w:bCs/>
          <w:color w:val="000000"/>
          <w:sz w:val="28"/>
        </w:rPr>
        <w:t>七</w:t>
      </w:r>
      <w:r>
        <w:rPr>
          <w:rFonts w:ascii="Arial" w:hAnsi="宋体" w:cs="Arial"/>
          <w:b/>
          <w:bCs/>
          <w:color w:val="000000"/>
          <w:sz w:val="28"/>
        </w:rPr>
        <w:t>）授予合同</w:t>
      </w:r>
      <w:bookmarkEnd w:id="46"/>
      <w:bookmarkEnd w:id="47"/>
    </w:p>
    <w:p w14:paraId="1025D12B">
      <w:pPr>
        <w:numPr>
          <w:ilvl w:val="0"/>
          <w:numId w:val="6"/>
        </w:numPr>
        <w:snapToGrid w:val="0"/>
        <w:spacing w:line="360" w:lineRule="auto"/>
        <w:ind w:left="841" w:hanging="961" w:hangingChars="399"/>
        <w:rPr>
          <w:rFonts w:ascii="Arial" w:hAnsi="Arial" w:cs="Arial"/>
          <w:b/>
          <w:color w:val="000000"/>
          <w:sz w:val="24"/>
          <w:szCs w:val="24"/>
        </w:rPr>
      </w:pPr>
      <w:r>
        <w:rPr>
          <w:rFonts w:ascii="Arial" w:hAnsi="宋体" w:cs="Arial"/>
          <w:b/>
          <w:color w:val="000000"/>
          <w:sz w:val="24"/>
          <w:szCs w:val="24"/>
        </w:rPr>
        <w:t>中标通知</w:t>
      </w:r>
    </w:p>
    <w:p w14:paraId="7A8F3D76">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在投标有效期期满之前，</w:t>
      </w:r>
      <w:r>
        <w:rPr>
          <w:rFonts w:hint="eastAsia" w:ascii="Arial" w:hAnsi="宋体" w:cs="Arial"/>
          <w:color w:val="000000"/>
          <w:lang w:eastAsia="zh-CN"/>
        </w:rPr>
        <w:t>采购人</w:t>
      </w:r>
      <w:r>
        <w:rPr>
          <w:rFonts w:ascii="Arial" w:hAnsi="宋体" w:cs="Arial"/>
          <w:color w:val="000000"/>
        </w:rPr>
        <w:t>将用书面形式向获接受的投标供应商发出书面的《中标通知书》。</w:t>
      </w:r>
    </w:p>
    <w:p w14:paraId="24DE8600">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《中标通知书》将是合同的一个组成部分。</w:t>
      </w:r>
    </w:p>
    <w:p w14:paraId="4AFA9B6A">
      <w:pPr>
        <w:numPr>
          <w:ilvl w:val="0"/>
          <w:numId w:val="6"/>
        </w:numPr>
        <w:snapToGrid w:val="0"/>
        <w:spacing w:line="360" w:lineRule="auto"/>
        <w:ind w:left="841" w:hanging="961" w:hangingChars="399"/>
        <w:rPr>
          <w:rFonts w:ascii="Arial" w:hAnsi="Arial" w:cs="Arial"/>
          <w:b/>
          <w:color w:val="000000"/>
          <w:sz w:val="24"/>
          <w:szCs w:val="24"/>
        </w:rPr>
      </w:pPr>
      <w:r>
        <w:rPr>
          <w:rFonts w:ascii="Arial" w:hAnsi="宋体" w:cs="Arial"/>
          <w:b/>
          <w:color w:val="000000"/>
          <w:sz w:val="24"/>
          <w:szCs w:val="24"/>
        </w:rPr>
        <w:t>签订合同</w:t>
      </w:r>
    </w:p>
    <w:p w14:paraId="5AED89D7">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在收到《中标通知书》后</w:t>
      </w:r>
      <w:r>
        <w:rPr>
          <w:rFonts w:hint="eastAsia" w:ascii="Arial" w:hAnsi="宋体" w:cs="Arial"/>
          <w:color w:val="000000"/>
        </w:rPr>
        <w:t>30天内</w:t>
      </w:r>
      <w:r>
        <w:rPr>
          <w:rFonts w:ascii="Arial" w:hAnsi="宋体" w:cs="Arial"/>
          <w:color w:val="000000"/>
        </w:rPr>
        <w:t>中标供应商应按照</w:t>
      </w:r>
      <w:r>
        <w:rPr>
          <w:rFonts w:ascii="Arial" w:hAnsi="Arial" w:cs="Arial"/>
          <w:color w:val="000000"/>
        </w:rPr>
        <w:t>“</w:t>
      </w:r>
      <w:r>
        <w:rPr>
          <w:rFonts w:ascii="Arial" w:hAnsi="宋体" w:cs="Arial"/>
          <w:color w:val="000000"/>
        </w:rPr>
        <w:t>通知书</w:t>
      </w:r>
      <w:r>
        <w:rPr>
          <w:rFonts w:ascii="Arial" w:hAnsi="Arial" w:cs="Arial"/>
          <w:color w:val="000000"/>
        </w:rPr>
        <w:t>”</w:t>
      </w:r>
      <w:r>
        <w:rPr>
          <w:rFonts w:ascii="Arial" w:hAnsi="宋体" w:cs="Arial"/>
          <w:color w:val="000000"/>
        </w:rPr>
        <w:t>的规定，派遣其代表前往与</w:t>
      </w:r>
      <w:r>
        <w:rPr>
          <w:rFonts w:hint="eastAsia" w:ascii="宋体" w:hAnsi="宋体" w:cs="宋体"/>
          <w:color w:val="000000"/>
          <w:szCs w:val="21"/>
          <w:lang w:eastAsia="zh-CN"/>
        </w:rPr>
        <w:t>文成县城市发展集团有限公司</w:t>
      </w:r>
      <w:r>
        <w:rPr>
          <w:rFonts w:ascii="Arial" w:hAnsi="宋体" w:cs="Arial"/>
          <w:color w:val="000000"/>
        </w:rPr>
        <w:t>签署书面合同。投标供应商不得再要求订立背离合同实质性内容的其它合同或要求</w:t>
      </w:r>
      <w:r>
        <w:rPr>
          <w:rFonts w:hint="eastAsia" w:ascii="Arial" w:hAnsi="宋体" w:cs="Arial"/>
          <w:color w:val="000000"/>
          <w:lang w:val="en-US" w:eastAsia="zh-CN"/>
        </w:rPr>
        <w:t>采购人</w:t>
      </w:r>
      <w:r>
        <w:rPr>
          <w:rFonts w:ascii="Arial" w:hAnsi="宋体" w:cs="Arial"/>
          <w:color w:val="000000"/>
        </w:rPr>
        <w:t>签署其它任何声明或合同，否则将被取消其中标资格。</w:t>
      </w:r>
    </w:p>
    <w:p w14:paraId="66FB3B0B">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招标文件、中标供应商的投标文件及投标修改文件、评标过程中有关澄清文件、经双方签字的询标纪要和中标通知书，均应作为签订合同的依据。</w:t>
      </w:r>
    </w:p>
    <w:p w14:paraId="18AAFFAC">
      <w:pPr>
        <w:numPr>
          <w:ilvl w:val="1"/>
          <w:numId w:val="6"/>
        </w:numPr>
        <w:tabs>
          <w:tab w:val="left" w:pos="592"/>
        </w:tabs>
        <w:snapToGrid w:val="0"/>
        <w:spacing w:line="360" w:lineRule="auto"/>
        <w:ind w:left="588" w:hanging="588" w:hangingChars="280"/>
        <w:rPr>
          <w:rFonts w:ascii="Arial" w:hAnsi="Arial" w:cs="Arial"/>
          <w:color w:val="000000"/>
        </w:rPr>
      </w:pPr>
      <w:r>
        <w:rPr>
          <w:rFonts w:ascii="Arial" w:hAnsi="宋体" w:cs="Arial"/>
          <w:color w:val="000000"/>
        </w:rPr>
        <w:t>拒签合同的责任：中标</w:t>
      </w:r>
      <w:r>
        <w:rPr>
          <w:rFonts w:hint="eastAsia" w:ascii="Arial" w:hAnsi="宋体" w:cs="Arial"/>
          <w:color w:val="000000"/>
          <w:lang w:val="en-US" w:eastAsia="zh-CN"/>
        </w:rPr>
        <w:t>供应商</w:t>
      </w:r>
      <w:r>
        <w:rPr>
          <w:rFonts w:ascii="Arial" w:hAnsi="宋体" w:cs="Arial"/>
          <w:color w:val="000000"/>
        </w:rPr>
        <w:t>接到中标通知书后，在规定时间内借故否认已经承诺的条件而拒签合同或拒交履约保证金者，以投标违约处理，并赔偿</w:t>
      </w:r>
      <w:r>
        <w:rPr>
          <w:rFonts w:hint="eastAsia" w:ascii="Arial" w:hAnsi="宋体" w:cs="Arial"/>
          <w:color w:val="000000"/>
          <w:lang w:eastAsia="zh-CN"/>
        </w:rPr>
        <w:t>采购人</w:t>
      </w:r>
      <w:r>
        <w:rPr>
          <w:rFonts w:ascii="Arial" w:hAnsi="宋体" w:cs="Arial"/>
          <w:color w:val="000000"/>
        </w:rPr>
        <w:t>由此造成的直接经济损失</w:t>
      </w:r>
      <w:r>
        <w:rPr>
          <w:rFonts w:hint="eastAsia" w:ascii="Arial" w:hAnsi="宋体" w:cs="Arial"/>
          <w:color w:val="000000"/>
        </w:rPr>
        <w:t>（</w:t>
      </w:r>
      <w:r>
        <w:rPr>
          <w:rFonts w:ascii="Arial" w:hAnsi="宋体" w:cs="Arial"/>
          <w:color w:val="000000"/>
        </w:rPr>
        <w:t>按中标金额的</w:t>
      </w:r>
      <w:r>
        <w:rPr>
          <w:rFonts w:ascii="Arial" w:hAnsi="Arial" w:cs="Arial"/>
          <w:color w:val="000000"/>
        </w:rPr>
        <w:t>1%</w:t>
      </w:r>
      <w:r>
        <w:rPr>
          <w:rFonts w:hint="eastAsia" w:ascii="Arial" w:hAnsi="Arial" w:cs="Arial"/>
          <w:color w:val="000000"/>
        </w:rPr>
        <w:t>计算赔偿金）</w:t>
      </w:r>
      <w:r>
        <w:rPr>
          <w:rFonts w:ascii="Arial" w:hAnsi="宋体" w:cs="Arial"/>
          <w:color w:val="000000"/>
        </w:rPr>
        <w:t>。</w:t>
      </w:r>
    </w:p>
    <w:p w14:paraId="54738F83">
      <w:pPr>
        <w:widowControl/>
        <w:numPr>
          <w:ilvl w:val="0"/>
          <w:numId w:val="6"/>
        </w:numPr>
        <w:tabs>
          <w:tab w:val="left" w:pos="425"/>
          <w:tab w:val="clear" w:pos="687"/>
        </w:tabs>
        <w:spacing w:line="360" w:lineRule="auto"/>
        <w:ind w:left="425" w:hanging="425"/>
        <w:rPr>
          <w:rFonts w:ascii="Arial" w:hAnsi="Arial" w:cs="Arial"/>
          <w:b/>
          <w:color w:val="000000"/>
          <w:sz w:val="24"/>
        </w:rPr>
      </w:pPr>
      <w:r>
        <w:rPr>
          <w:rFonts w:hint="eastAsia" w:ascii="Arial" w:hAnsi="宋体" w:cs="Arial"/>
          <w:b/>
          <w:color w:val="000000"/>
          <w:sz w:val="24"/>
          <w:lang w:val="en-US" w:eastAsia="zh-CN"/>
        </w:rPr>
        <w:t xml:space="preserve"> </w:t>
      </w:r>
      <w:r>
        <w:rPr>
          <w:rFonts w:ascii="Arial" w:hAnsi="宋体" w:cs="Arial"/>
          <w:b/>
          <w:color w:val="000000"/>
          <w:sz w:val="24"/>
        </w:rPr>
        <w:t>招标结果通知</w:t>
      </w:r>
    </w:p>
    <w:p w14:paraId="443483C8">
      <w:pPr>
        <w:numPr>
          <w:ilvl w:val="1"/>
          <w:numId w:val="6"/>
        </w:numPr>
        <w:tabs>
          <w:tab w:val="left" w:pos="592"/>
        </w:tabs>
        <w:snapToGrid w:val="0"/>
        <w:spacing w:line="360" w:lineRule="auto"/>
        <w:ind w:left="588" w:hanging="588" w:hangingChars="280"/>
        <w:rPr>
          <w:rFonts w:ascii="Arial" w:hAnsi="宋体" w:eastAsia="宋体" w:cs="Arial"/>
          <w:color w:val="000000"/>
        </w:rPr>
      </w:pPr>
      <w:r>
        <w:rPr>
          <w:rFonts w:hint="eastAsia" w:ascii="Arial" w:hAnsi="宋体" w:eastAsia="宋体" w:cs="Arial"/>
          <w:color w:val="000000"/>
          <w:lang w:eastAsia="zh-CN"/>
        </w:rPr>
        <w:t>采购人</w:t>
      </w:r>
      <w:r>
        <w:rPr>
          <w:rFonts w:hint="eastAsia" w:ascii="Arial" w:hAnsi="宋体" w:eastAsia="宋体" w:cs="Arial"/>
          <w:color w:val="000000"/>
        </w:rPr>
        <w:t>在发出《中标通知书》的同时在</w:t>
      </w:r>
      <w:r>
        <w:rPr>
          <w:rFonts w:ascii="Arial" w:hAnsi="宋体" w:cs="Arial"/>
          <w:color w:val="000000"/>
          <w:highlight w:val="none"/>
        </w:rPr>
        <w:t>在</w:t>
      </w:r>
      <w:r>
        <w:rPr>
          <w:rFonts w:ascii="Arial" w:hAnsi="Arial" w:cs="Arial"/>
          <w:color w:val="000000"/>
          <w:highlight w:val="none"/>
        </w:rPr>
        <w:t>“</w:t>
      </w:r>
      <w:r>
        <w:rPr>
          <w:rFonts w:hint="eastAsia" w:ascii="Arial" w:hAnsi="Arial" w:cs="Arial"/>
          <w:color w:val="000000"/>
          <w:highlight w:val="none"/>
        </w:rPr>
        <w:t>乐采云平台</w:t>
      </w:r>
      <w:r>
        <w:rPr>
          <w:rFonts w:ascii="Arial" w:hAnsi="Arial" w:cs="Arial"/>
          <w:color w:val="000000"/>
          <w:highlight w:val="none"/>
        </w:rPr>
        <w:t>”</w:t>
      </w:r>
      <w:r>
        <w:rPr>
          <w:rFonts w:ascii="Arial" w:hAnsi="宋体" w:cs="Arial"/>
          <w:color w:val="000000"/>
          <w:highlight w:val="none"/>
        </w:rPr>
        <w:t>（网址：</w:t>
      </w:r>
      <w:r>
        <w:rPr>
          <w:rFonts w:hint="eastAsia" w:ascii="Arial" w:hAnsi="宋体" w:cs="Arial"/>
          <w:color w:val="000000"/>
          <w:highlight w:val="none"/>
        </w:rPr>
        <w:t>www.lecaiyun.com</w:t>
      </w:r>
      <w:r>
        <w:rPr>
          <w:rFonts w:ascii="Arial" w:hAnsi="宋体" w:cs="Arial"/>
          <w:color w:val="000000"/>
          <w:highlight w:val="none"/>
        </w:rPr>
        <w:t>）发布中标结果</w:t>
      </w:r>
      <w:r>
        <w:rPr>
          <w:rFonts w:hint="eastAsia" w:ascii="Arial" w:hAnsi="宋体" w:eastAsia="宋体" w:cs="Arial"/>
          <w:color w:val="000000"/>
        </w:rPr>
        <w:t>公告。</w:t>
      </w:r>
    </w:p>
    <w:p w14:paraId="7171A4E6">
      <w:pPr>
        <w:widowControl/>
        <w:numPr>
          <w:ilvl w:val="0"/>
          <w:numId w:val="6"/>
        </w:numPr>
        <w:tabs>
          <w:tab w:val="left" w:pos="425"/>
          <w:tab w:val="clear" w:pos="687"/>
        </w:tabs>
        <w:spacing w:line="360" w:lineRule="auto"/>
        <w:ind w:left="425" w:hanging="425"/>
        <w:rPr>
          <w:rFonts w:ascii="Arial" w:hAnsi="Arial" w:cs="Arial"/>
          <w:b/>
          <w:color w:val="000000"/>
          <w:sz w:val="24"/>
        </w:rPr>
      </w:pPr>
      <w:r>
        <w:rPr>
          <w:rFonts w:hint="eastAsia" w:ascii="Arial" w:hAnsi="宋体" w:cs="Arial"/>
          <w:b/>
          <w:color w:val="000000"/>
          <w:sz w:val="24"/>
          <w:lang w:val="en-US" w:eastAsia="zh-CN"/>
        </w:rPr>
        <w:t xml:space="preserve"> </w:t>
      </w:r>
      <w:r>
        <w:rPr>
          <w:rFonts w:hint="eastAsia" w:ascii="Arial" w:hAnsi="宋体" w:cs="Arial"/>
          <w:b/>
          <w:color w:val="000000"/>
          <w:sz w:val="24"/>
        </w:rPr>
        <w:t>履约担保金</w:t>
      </w:r>
    </w:p>
    <w:p w14:paraId="1D0D838C">
      <w:pPr>
        <w:numPr>
          <w:ilvl w:val="1"/>
          <w:numId w:val="6"/>
        </w:numPr>
        <w:tabs>
          <w:tab w:val="left" w:pos="592"/>
        </w:tabs>
        <w:snapToGrid w:val="0"/>
        <w:spacing w:line="360" w:lineRule="auto"/>
        <w:ind w:left="588" w:hanging="588" w:hangingChars="280"/>
        <w:rPr>
          <w:rFonts w:ascii="Arial" w:hAnsi="宋体" w:eastAsia="宋体" w:cs="Arial"/>
          <w:color w:val="000000"/>
        </w:rPr>
      </w:pPr>
      <w:r>
        <w:rPr>
          <w:rFonts w:hint="eastAsia" w:ascii="Arial" w:hAnsi="宋体" w:eastAsia="宋体" w:cs="Arial"/>
          <w:color w:val="000000"/>
        </w:rPr>
        <w:t>中标通知书发出之日起7个工作日内</w:t>
      </w:r>
      <w:r>
        <w:rPr>
          <w:rFonts w:ascii="Arial" w:hAnsi="宋体" w:eastAsia="宋体" w:cs="Arial"/>
          <w:color w:val="000000"/>
        </w:rPr>
        <w:t>，中标</w:t>
      </w:r>
      <w:r>
        <w:rPr>
          <w:rFonts w:hint="eastAsia" w:ascii="Arial" w:hAnsi="宋体" w:eastAsia="宋体" w:cs="Arial"/>
          <w:color w:val="000000"/>
        </w:rPr>
        <w:t>供应商</w:t>
      </w:r>
      <w:r>
        <w:rPr>
          <w:rFonts w:ascii="Arial" w:hAnsi="宋体" w:eastAsia="宋体" w:cs="Arial"/>
          <w:color w:val="000000"/>
        </w:rPr>
        <w:t>应按本须知前附表第</w:t>
      </w:r>
      <w:r>
        <w:rPr>
          <w:rFonts w:hint="eastAsia" w:ascii="Arial" w:hAnsi="宋体" w:eastAsia="宋体" w:cs="Arial"/>
          <w:color w:val="000000"/>
          <w:lang w:val="en-US" w:eastAsia="zh-CN"/>
        </w:rPr>
        <w:t>20</w:t>
      </w:r>
      <w:r>
        <w:rPr>
          <w:rFonts w:ascii="Arial" w:hAnsi="宋体" w:eastAsia="宋体" w:cs="Arial"/>
          <w:color w:val="000000"/>
        </w:rPr>
        <w:t>项规定的金额和形式向</w:t>
      </w:r>
      <w:r>
        <w:rPr>
          <w:rFonts w:hint="eastAsia" w:ascii="Arial" w:hAnsi="宋体" w:eastAsia="宋体" w:cs="Arial"/>
          <w:color w:val="000000"/>
          <w:lang w:eastAsia="zh-CN"/>
        </w:rPr>
        <w:t>采购人</w:t>
      </w:r>
      <w:r>
        <w:rPr>
          <w:rFonts w:ascii="Arial" w:hAnsi="宋体" w:eastAsia="宋体" w:cs="Arial"/>
          <w:color w:val="000000"/>
        </w:rPr>
        <w:t>提交履约保证金</w:t>
      </w:r>
      <w:r>
        <w:rPr>
          <w:rFonts w:hint="eastAsia" w:ascii="Arial" w:hAnsi="宋体" w:eastAsia="宋体" w:cs="Arial"/>
          <w:color w:val="000000"/>
        </w:rPr>
        <w:t>，</w:t>
      </w:r>
      <w:r>
        <w:rPr>
          <w:rFonts w:ascii="Arial" w:hAnsi="宋体" w:eastAsia="宋体" w:cs="Arial"/>
          <w:color w:val="000000"/>
        </w:rPr>
        <w:t>中标</w:t>
      </w:r>
      <w:r>
        <w:rPr>
          <w:rFonts w:hint="eastAsia" w:ascii="Arial" w:hAnsi="宋体" w:eastAsia="宋体" w:cs="Arial"/>
          <w:color w:val="000000"/>
        </w:rPr>
        <w:t>供应商未按规定提交履约保证金则</w:t>
      </w:r>
      <w:r>
        <w:rPr>
          <w:rFonts w:hint="eastAsia" w:ascii="Arial" w:hAnsi="宋体" w:eastAsia="宋体" w:cs="Arial"/>
          <w:color w:val="000000"/>
          <w:lang w:eastAsia="zh-CN"/>
        </w:rPr>
        <w:t>采购人</w:t>
      </w:r>
      <w:r>
        <w:rPr>
          <w:rFonts w:hint="eastAsia" w:ascii="Arial" w:hAnsi="宋体" w:eastAsia="宋体" w:cs="Arial"/>
          <w:color w:val="000000"/>
        </w:rPr>
        <w:t>有权拒签合同</w:t>
      </w:r>
      <w:r>
        <w:rPr>
          <w:rFonts w:ascii="Arial" w:hAnsi="宋体" w:eastAsia="宋体" w:cs="Arial"/>
          <w:color w:val="000000"/>
        </w:rPr>
        <w:t>。</w:t>
      </w:r>
    </w:p>
    <w:p w14:paraId="728C1B6A">
      <w:pPr>
        <w:numPr>
          <w:ilvl w:val="1"/>
          <w:numId w:val="6"/>
        </w:numPr>
        <w:tabs>
          <w:tab w:val="left" w:pos="592"/>
        </w:tabs>
        <w:snapToGrid w:val="0"/>
        <w:spacing w:line="360" w:lineRule="auto"/>
        <w:ind w:left="588" w:hanging="588" w:hangingChars="280"/>
        <w:rPr>
          <w:rFonts w:ascii="Arial" w:hAnsi="宋体" w:eastAsia="宋体" w:cs="Arial"/>
          <w:color w:val="000000"/>
        </w:rPr>
      </w:pPr>
      <w:r>
        <w:rPr>
          <w:rFonts w:hint="eastAsia" w:ascii="Arial" w:hAnsi="宋体" w:eastAsia="宋体" w:cs="Arial"/>
          <w:color w:val="000000"/>
        </w:rPr>
        <w:t>履约保证金在</w:t>
      </w:r>
      <w:r>
        <w:rPr>
          <w:rFonts w:hint="eastAsia" w:ascii="Arial" w:hAnsi="宋体" w:eastAsia="宋体" w:cs="Arial"/>
          <w:color w:val="000000"/>
          <w:lang w:val="en-US" w:eastAsia="zh-CN"/>
        </w:rPr>
        <w:t>服务</w:t>
      </w:r>
      <w:r>
        <w:rPr>
          <w:rFonts w:hint="eastAsia" w:ascii="Arial" w:hAnsi="宋体" w:eastAsia="宋体" w:cs="Arial"/>
          <w:color w:val="000000"/>
        </w:rPr>
        <w:t>期满后或提前终止</w:t>
      </w:r>
      <w:r>
        <w:rPr>
          <w:rFonts w:hint="eastAsia" w:ascii="Arial" w:hAnsi="宋体" w:eastAsia="宋体" w:cs="Arial"/>
          <w:color w:val="000000"/>
          <w:lang w:val="en-US" w:eastAsia="zh-CN"/>
        </w:rPr>
        <w:t>服务</w:t>
      </w:r>
      <w:r>
        <w:rPr>
          <w:rFonts w:hint="eastAsia" w:ascii="Arial" w:hAnsi="宋体" w:eastAsia="宋体" w:cs="Arial"/>
          <w:color w:val="000000"/>
        </w:rPr>
        <w:t>后一个月内全额无息退还。</w:t>
      </w:r>
    </w:p>
    <w:p w14:paraId="0587837C">
      <w:pPr>
        <w:widowControl/>
        <w:numPr>
          <w:ilvl w:val="0"/>
          <w:numId w:val="6"/>
        </w:numPr>
        <w:tabs>
          <w:tab w:val="left" w:pos="425"/>
          <w:tab w:val="clear" w:pos="687"/>
        </w:tabs>
        <w:spacing w:line="360" w:lineRule="auto"/>
        <w:ind w:left="425" w:hanging="425"/>
        <w:rPr>
          <w:rFonts w:hint="eastAsia" w:ascii="Arial" w:hAnsi="宋体" w:eastAsia="宋体" w:cs="Arial"/>
          <w:b/>
          <w:color w:val="000000"/>
          <w:sz w:val="24"/>
        </w:rPr>
      </w:pPr>
      <w:r>
        <w:rPr>
          <w:rFonts w:hint="eastAsia" w:ascii="Arial" w:hAnsi="宋体" w:eastAsia="宋体" w:cs="Arial"/>
          <w:b/>
          <w:color w:val="000000"/>
          <w:sz w:val="24"/>
          <w:lang w:val="en-US" w:eastAsia="zh-CN"/>
        </w:rPr>
        <w:t xml:space="preserve"> </w:t>
      </w:r>
      <w:r>
        <w:rPr>
          <w:rFonts w:hint="eastAsia" w:ascii="Arial" w:hAnsi="宋体" w:eastAsia="宋体" w:cs="Arial"/>
          <w:b/>
          <w:color w:val="000000"/>
          <w:sz w:val="24"/>
        </w:rPr>
        <w:t>招标结束</w:t>
      </w:r>
    </w:p>
    <w:p w14:paraId="6396C464">
      <w:pPr>
        <w:numPr>
          <w:ilvl w:val="1"/>
          <w:numId w:val="6"/>
        </w:numPr>
        <w:tabs>
          <w:tab w:val="left" w:pos="592"/>
        </w:tabs>
        <w:snapToGrid w:val="0"/>
        <w:spacing w:line="360" w:lineRule="auto"/>
        <w:ind w:left="588" w:hanging="588" w:hangingChars="280"/>
        <w:rPr>
          <w:rFonts w:hint="eastAsia" w:ascii="Arial" w:hAnsi="宋体" w:eastAsia="宋体" w:cs="Arial"/>
          <w:color w:val="000000"/>
        </w:rPr>
      </w:pPr>
      <w:r>
        <w:rPr>
          <w:rFonts w:hint="eastAsia" w:ascii="Arial" w:hAnsi="宋体" w:eastAsia="宋体" w:cs="Arial"/>
          <w:color w:val="000000"/>
        </w:rPr>
        <w:t>中标供应商与</w:t>
      </w:r>
      <w:r>
        <w:rPr>
          <w:rFonts w:hint="eastAsia" w:ascii="Arial" w:hAnsi="宋体" w:eastAsia="宋体" w:cs="Arial"/>
          <w:color w:val="000000"/>
          <w:lang w:eastAsia="zh-CN"/>
        </w:rPr>
        <w:t>采购人</w:t>
      </w:r>
      <w:r>
        <w:rPr>
          <w:rFonts w:hint="eastAsia" w:ascii="Arial" w:hAnsi="宋体" w:eastAsia="宋体" w:cs="Arial"/>
          <w:color w:val="000000"/>
        </w:rPr>
        <w:t>签订合同协议书后即为招标结束。</w:t>
      </w:r>
    </w:p>
    <w:p w14:paraId="213F6CF4">
      <w:pPr>
        <w:widowControl/>
        <w:numPr>
          <w:ilvl w:val="0"/>
          <w:numId w:val="6"/>
        </w:numPr>
        <w:tabs>
          <w:tab w:val="left" w:pos="425"/>
          <w:tab w:val="clear" w:pos="687"/>
        </w:tabs>
        <w:spacing w:line="360" w:lineRule="auto"/>
        <w:ind w:left="425" w:hanging="425"/>
        <w:rPr>
          <w:rFonts w:hint="eastAsia" w:ascii="Arial" w:hAnsi="宋体" w:cs="Arial"/>
          <w:b/>
          <w:color w:val="000000"/>
          <w:sz w:val="24"/>
        </w:rPr>
      </w:pPr>
      <w:r>
        <w:rPr>
          <w:rFonts w:hint="eastAsia" w:ascii="Arial" w:hAnsi="宋体" w:cs="Arial"/>
          <w:b/>
          <w:color w:val="000000"/>
          <w:sz w:val="24"/>
          <w:lang w:val="en-US" w:eastAsia="zh-CN"/>
        </w:rPr>
        <w:t xml:space="preserve"> </w:t>
      </w:r>
      <w:r>
        <w:rPr>
          <w:rFonts w:hint="eastAsia" w:ascii="Arial" w:hAnsi="宋体" w:cs="Arial"/>
          <w:b/>
          <w:color w:val="000000"/>
          <w:sz w:val="24"/>
        </w:rPr>
        <w:t>代理服务费</w:t>
      </w:r>
    </w:p>
    <w:p w14:paraId="10B4A08A">
      <w:pPr>
        <w:numPr>
          <w:ilvl w:val="1"/>
          <w:numId w:val="6"/>
        </w:numPr>
        <w:tabs>
          <w:tab w:val="left" w:pos="567"/>
          <w:tab w:val="clear" w:pos="1003"/>
        </w:tabs>
        <w:snapToGrid w:val="0"/>
        <w:spacing w:line="360" w:lineRule="exact"/>
        <w:ind w:left="567"/>
        <w:rPr>
          <w:rFonts w:ascii="Arial" w:hAnsi="宋体" w:eastAsia="宋体" w:cs="Arial"/>
          <w:b w:val="0"/>
          <w:bCs w:val="0"/>
          <w:color w:val="000000"/>
          <w:sz w:val="21"/>
          <w:szCs w:val="21"/>
          <w:highlight w:val="none"/>
        </w:rPr>
      </w:pPr>
      <w:r>
        <w:rPr>
          <w:rFonts w:hint="eastAsia" w:ascii="宋体" w:hAnsi="宋体" w:eastAsia="宋体" w:cs="宋体"/>
          <w:b w:val="0"/>
          <w:bCs w:val="0"/>
          <w:color w:val="000000"/>
          <w:sz w:val="21"/>
          <w:szCs w:val="21"/>
          <w:highlight w:val="none"/>
        </w:rPr>
        <w:t>本次采购代理服务费由中标供应商支付。招标代理服务费按《招标代理服务收费管理暂行办法》计价格【2002】1980号文件收费标准收取，</w:t>
      </w:r>
      <w:r>
        <w:rPr>
          <w:rFonts w:hint="eastAsia" w:ascii="宋体" w:hAnsi="宋体" w:eastAsia="宋体" w:cs="宋体"/>
          <w:b w:val="0"/>
          <w:bCs w:val="0"/>
          <w:color w:val="000000"/>
          <w:sz w:val="21"/>
          <w:szCs w:val="21"/>
          <w:highlight w:val="none"/>
          <w:lang w:val="en-US" w:eastAsia="zh-CN"/>
        </w:rPr>
        <w:t>本项目招标代理费为4</w:t>
      </w:r>
      <w:r>
        <w:rPr>
          <w:rFonts w:hint="eastAsia" w:ascii="宋体" w:hAnsi="宋体" w:cs="宋体"/>
          <w:b w:val="0"/>
          <w:bCs w:val="0"/>
          <w:color w:val="000000"/>
          <w:sz w:val="21"/>
          <w:szCs w:val="21"/>
          <w:highlight w:val="none"/>
          <w:lang w:val="en-US" w:eastAsia="zh-CN"/>
        </w:rPr>
        <w:t>239</w:t>
      </w:r>
      <w:r>
        <w:rPr>
          <w:rFonts w:hint="eastAsia" w:ascii="宋体" w:hAnsi="宋体" w:eastAsia="宋体" w:cs="宋体"/>
          <w:b w:val="0"/>
          <w:bCs w:val="0"/>
          <w:color w:val="000000"/>
          <w:sz w:val="21"/>
          <w:szCs w:val="21"/>
          <w:highlight w:val="none"/>
          <w:lang w:val="en-US" w:eastAsia="zh-CN"/>
        </w:rPr>
        <w:t>0元（大写：</w:t>
      </w:r>
      <w:r>
        <w:rPr>
          <w:rFonts w:hint="eastAsia" w:ascii="宋体" w:hAnsi="宋体" w:cs="宋体"/>
          <w:b w:val="0"/>
          <w:bCs w:val="0"/>
          <w:color w:val="000000"/>
          <w:sz w:val="21"/>
          <w:szCs w:val="21"/>
          <w:highlight w:val="none"/>
          <w:lang w:val="en-US" w:eastAsia="zh-CN"/>
        </w:rPr>
        <w:t>肆万贰仟叁佰玖拾</w:t>
      </w:r>
      <w:r>
        <w:rPr>
          <w:rFonts w:hint="eastAsia" w:ascii="宋体" w:hAnsi="宋体" w:eastAsia="宋体" w:cs="宋体"/>
          <w:b w:val="0"/>
          <w:bCs w:val="0"/>
          <w:color w:val="000000"/>
          <w:sz w:val="21"/>
          <w:szCs w:val="21"/>
          <w:highlight w:val="none"/>
          <w:lang w:val="en-US" w:eastAsia="zh-CN"/>
        </w:rPr>
        <w:t>元</w:t>
      </w:r>
      <w:r>
        <w:rPr>
          <w:rFonts w:hint="eastAsia" w:ascii="宋体" w:hAnsi="宋体" w:cs="宋体"/>
          <w:b w:val="0"/>
          <w:bCs w:val="0"/>
          <w:color w:val="000000"/>
          <w:sz w:val="21"/>
          <w:szCs w:val="21"/>
          <w:highlight w:val="none"/>
          <w:lang w:val="en-US" w:eastAsia="zh-CN"/>
        </w:rPr>
        <w:t>整</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由中标供应商在领取</w:t>
      </w:r>
      <w:r>
        <w:rPr>
          <w:rFonts w:hint="eastAsia" w:ascii="宋体" w:hAnsi="宋体" w:eastAsia="宋体" w:cs="宋体"/>
          <w:b w:val="0"/>
          <w:bCs w:val="0"/>
          <w:color w:val="000000"/>
          <w:sz w:val="21"/>
          <w:szCs w:val="21"/>
          <w:highlight w:val="none"/>
          <w:lang w:eastAsia="zh-CN"/>
        </w:rPr>
        <w:t>（成交）</w:t>
      </w:r>
      <w:r>
        <w:rPr>
          <w:rFonts w:hint="eastAsia" w:ascii="宋体" w:hAnsi="宋体" w:eastAsia="宋体" w:cs="宋体"/>
          <w:b w:val="0"/>
          <w:bCs w:val="0"/>
          <w:color w:val="000000"/>
          <w:sz w:val="21"/>
          <w:szCs w:val="21"/>
          <w:highlight w:val="none"/>
        </w:rPr>
        <w:t>中标通知书时支付。</w:t>
      </w:r>
    </w:p>
    <w:p w14:paraId="0EEB61CB">
      <w:pPr>
        <w:pStyle w:val="6"/>
        <w:spacing w:after="50" w:line="360" w:lineRule="auto"/>
        <w:ind w:firstLine="0"/>
        <w:jc w:val="center"/>
        <w:outlineLvl w:val="0"/>
        <w:rPr>
          <w:rFonts w:hint="eastAsia" w:ascii="Arial" w:hAnsi="宋体" w:cs="Arial"/>
          <w:b/>
          <w:bCs/>
          <w:color w:val="000000"/>
          <w:szCs w:val="28"/>
        </w:rPr>
      </w:pPr>
      <w:r>
        <w:rPr>
          <w:rFonts w:ascii="Arial" w:hAnsi="宋体" w:cs="Arial"/>
          <w:b/>
          <w:bCs/>
          <w:color w:val="000000"/>
          <w:szCs w:val="28"/>
        </w:rPr>
        <w:br w:type="page"/>
      </w:r>
      <w:bookmarkStart w:id="48" w:name="_Toc18779"/>
      <w:bookmarkStart w:id="49" w:name="_Toc29083"/>
      <w:r>
        <w:rPr>
          <w:rFonts w:ascii="Arial" w:hAnsi="宋体" w:cs="Arial"/>
          <w:b/>
          <w:bCs/>
          <w:color w:val="000000"/>
          <w:szCs w:val="28"/>
        </w:rPr>
        <w:t>第三部分</w:t>
      </w:r>
      <w:r>
        <w:rPr>
          <w:rFonts w:hint="eastAsia" w:ascii="Arial" w:hAnsi="宋体" w:cs="Arial"/>
          <w:b/>
          <w:bCs/>
          <w:color w:val="000000"/>
          <w:szCs w:val="28"/>
        </w:rPr>
        <w:t xml:space="preserve"> </w:t>
      </w:r>
      <w:r>
        <w:rPr>
          <w:rFonts w:ascii="Arial" w:hAnsi="宋体" w:cs="Arial"/>
          <w:b/>
          <w:bCs/>
          <w:color w:val="000000"/>
          <w:szCs w:val="28"/>
        </w:rPr>
        <w:t xml:space="preserve"> </w:t>
      </w:r>
      <w:r>
        <w:rPr>
          <w:rFonts w:hint="eastAsia" w:ascii="Arial" w:hAnsi="宋体" w:cs="Arial"/>
          <w:b/>
          <w:bCs/>
          <w:color w:val="000000"/>
          <w:szCs w:val="28"/>
        </w:rPr>
        <w:t>招标内容及要求</w:t>
      </w:r>
      <w:bookmarkEnd w:id="48"/>
      <w:bookmarkEnd w:id="49"/>
      <w:bookmarkStart w:id="50" w:name="_Toc361996155"/>
    </w:p>
    <w:bookmarkEnd w:id="50"/>
    <w:p w14:paraId="2909E92A">
      <w:pPr>
        <w:spacing w:line="400" w:lineRule="exact"/>
        <w:jc w:val="center"/>
        <w:outlineLvl w:val="1"/>
        <w:rPr>
          <w:rFonts w:hint="eastAsia" w:ascii="宋体" w:hAnsi="宋体"/>
          <w:b/>
          <w:color w:val="auto"/>
          <w:kern w:val="44"/>
          <w:sz w:val="28"/>
          <w:szCs w:val="36"/>
          <w:highlight w:val="none"/>
        </w:rPr>
      </w:pPr>
      <w:bookmarkStart w:id="51" w:name="_Toc17820"/>
      <w:bookmarkStart w:id="52" w:name="_Toc9505"/>
      <w:bookmarkStart w:id="53" w:name="_Toc80783090"/>
      <w:bookmarkStart w:id="54" w:name="_Toc14247"/>
      <w:bookmarkStart w:id="55" w:name="_Toc13741"/>
      <w:bookmarkStart w:id="56" w:name="_Toc71797455"/>
      <w:r>
        <w:rPr>
          <w:rFonts w:hint="eastAsia" w:ascii="宋体" w:hAnsi="宋体"/>
          <w:b/>
          <w:color w:val="auto"/>
          <w:kern w:val="44"/>
          <w:sz w:val="28"/>
          <w:szCs w:val="36"/>
          <w:highlight w:val="none"/>
        </w:rPr>
        <w:t>一、概述</w:t>
      </w:r>
      <w:bookmarkEnd w:id="51"/>
      <w:bookmarkEnd w:id="52"/>
      <w:bookmarkEnd w:id="53"/>
      <w:bookmarkEnd w:id="54"/>
      <w:bookmarkEnd w:id="55"/>
    </w:p>
    <w:bookmarkEnd w:id="56"/>
    <w:p w14:paraId="64807224">
      <w:pPr>
        <w:widowControl/>
        <w:autoSpaceDE w:val="0"/>
        <w:autoSpaceDN w:val="0"/>
        <w:adjustRightInd w:val="0"/>
        <w:spacing w:line="430" w:lineRule="atLeast"/>
        <w:ind w:firstLine="480" w:firstLineChars="200"/>
        <w:textAlignment w:val="bottom"/>
        <w:rPr>
          <w:rFonts w:hint="eastAsia" w:ascii="宋体" w:hAnsi="宋体" w:eastAsia="宋体" w:cs="宋体"/>
          <w:b w:val="0"/>
          <w:color w:val="auto"/>
          <w:sz w:val="24"/>
          <w:szCs w:val="24"/>
        </w:rPr>
      </w:pPr>
      <w:bookmarkStart w:id="57" w:name="_Toc3245"/>
      <w:bookmarkStart w:id="58" w:name="_Toc27878"/>
      <w:bookmarkStart w:id="59" w:name="_Toc9846"/>
      <w:bookmarkStart w:id="60" w:name="_Toc20501"/>
      <w:bookmarkStart w:id="61" w:name="_Toc80783091"/>
      <w:r>
        <w:rPr>
          <w:rFonts w:hint="eastAsia" w:ascii="宋体" w:hAnsi="宋体" w:eastAsia="宋体" w:cs="宋体"/>
          <w:b w:val="0"/>
          <w:color w:val="auto"/>
          <w:sz w:val="24"/>
          <w:szCs w:val="24"/>
        </w:rPr>
        <w:t>1.1、本技术规范要求提出的是最低限度的基本技术要求，并未对所有技术细节作出规定，供应商应提供符合本技术要求和国家标准、行业标准的优质产品。</w:t>
      </w:r>
    </w:p>
    <w:p w14:paraId="33F2D226">
      <w:pPr>
        <w:widowControl/>
        <w:autoSpaceDE w:val="0"/>
        <w:autoSpaceDN w:val="0"/>
        <w:adjustRightInd w:val="0"/>
        <w:spacing w:line="430" w:lineRule="atLeas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370DF1BC">
      <w:pPr>
        <w:widowControl/>
        <w:autoSpaceDE w:val="0"/>
        <w:autoSpaceDN w:val="0"/>
        <w:adjustRightInd w:val="0"/>
        <w:spacing w:line="430" w:lineRule="atLeas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1.3</w:t>
      </w:r>
      <w:r>
        <w:rPr>
          <w:rFonts w:hint="eastAsia" w:ascii="宋体" w:hAnsi="宋体" w:eastAsia="宋体" w:cs="宋体"/>
          <w:b w:val="0"/>
          <w:color w:val="auto"/>
          <w:sz w:val="24"/>
          <w:szCs w:val="24"/>
        </w:rPr>
        <w:t>、技术要求及标准的执行</w:t>
      </w:r>
    </w:p>
    <w:p w14:paraId="165ECC6B">
      <w:pPr>
        <w:widowControl/>
        <w:autoSpaceDE w:val="0"/>
        <w:autoSpaceDN w:val="0"/>
        <w:adjustRightInd w:val="0"/>
        <w:spacing w:line="430" w:lineRule="atLeas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供应商提供的产品投标明确所执行的质量标准，若同一标准已颁发新标准，则按最新标准执行。若同一产品同时有几个标准（国际标准、国家标准、行业标准、企业标准等），则按最高层次的标准执行。</w:t>
      </w:r>
    </w:p>
    <w:p w14:paraId="7249BF3F">
      <w:pPr>
        <w:numPr>
          <w:ilvl w:val="0"/>
          <w:numId w:val="0"/>
        </w:numPr>
        <w:spacing w:line="430" w:lineRule="atLeast"/>
        <w:ind w:firstLine="480" w:firstLineChars="200"/>
        <w:rPr>
          <w:rFonts w:hint="eastAsia" w:ascii="宋体" w:hAnsi="宋体" w:cs="宋体"/>
          <w:b/>
          <w:bCs/>
          <w:color w:val="auto"/>
          <w:sz w:val="28"/>
          <w:highlight w:val="none"/>
        </w:rPr>
      </w:pPr>
      <w:r>
        <w:rPr>
          <w:rFonts w:hint="eastAsia" w:ascii="宋体" w:hAnsi="宋体" w:eastAsia="宋体" w:cs="宋体"/>
          <w:b w:val="0"/>
          <w:color w:val="auto"/>
          <w:sz w:val="24"/>
          <w:szCs w:val="24"/>
          <w:highlight w:val="none"/>
          <w:lang w:val="en-US" w:eastAsia="zh-CN"/>
        </w:rPr>
        <w:t>1.4、</w:t>
      </w:r>
      <w:r>
        <w:rPr>
          <w:rFonts w:hint="eastAsia" w:ascii="宋体" w:hAnsi="宋体" w:eastAsia="宋体" w:cs="宋体"/>
          <w:b w:val="0"/>
          <w:color w:val="auto"/>
          <w:sz w:val="24"/>
          <w:szCs w:val="24"/>
          <w:highlight w:val="none"/>
        </w:rPr>
        <w:t>本项目为交钥匙工程。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hAnsi="宋体" w:eastAsia="宋体" w:cs="宋体"/>
          <w:b w:val="0"/>
          <w:bCs w:val="0"/>
          <w:color w:val="auto"/>
          <w:sz w:val="24"/>
          <w:szCs w:val="24"/>
          <w:highlight w:val="none"/>
        </w:rPr>
        <w:t>如中标，中标供应商及制造商对中标产品使用的安全性能与可靠性负全部责任。中标供应商须随产品提供使用说明书与维保卡。</w:t>
      </w:r>
      <w:r>
        <w:rPr>
          <w:rFonts w:hint="eastAsia" w:ascii="宋体" w:hAnsi="宋体" w:eastAsia="宋体" w:cs="宋体"/>
          <w:b w:val="0"/>
          <w:color w:val="auto"/>
          <w:sz w:val="24"/>
          <w:szCs w:val="24"/>
          <w:highlight w:val="none"/>
        </w:rPr>
        <w:t>供应商提供相关数据与说明，</w:t>
      </w:r>
      <w:r>
        <w:rPr>
          <w:rFonts w:hint="eastAsia" w:ascii="宋体" w:hAnsi="宋体" w:eastAsia="宋体" w:cs="宋体"/>
          <w:b w:val="0"/>
          <w:bCs w:val="0"/>
          <w:color w:val="auto"/>
          <w:sz w:val="24"/>
          <w:szCs w:val="24"/>
          <w:highlight w:val="none"/>
        </w:rPr>
        <w:t>投标文件须对下列要求作出实质性回应。</w:t>
      </w:r>
    </w:p>
    <w:p w14:paraId="09ABFA01">
      <w:pPr>
        <w:spacing w:before="156" w:beforeLines="50" w:after="156" w:afterLines="50" w:line="360" w:lineRule="exact"/>
        <w:jc w:val="center"/>
        <w:outlineLvl w:val="1"/>
        <w:rPr>
          <w:rFonts w:hint="eastAsia" w:ascii="宋体" w:hAnsi="宋体" w:cs="宋体"/>
          <w:b/>
          <w:bCs/>
          <w:color w:val="auto"/>
          <w:sz w:val="28"/>
          <w:highlight w:val="none"/>
        </w:rPr>
      </w:pPr>
    </w:p>
    <w:p w14:paraId="0B4168E4">
      <w:pPr>
        <w:spacing w:before="156" w:beforeLines="50" w:after="156" w:afterLines="50" w:line="360" w:lineRule="exact"/>
        <w:jc w:val="center"/>
        <w:outlineLvl w:val="1"/>
        <w:rPr>
          <w:rFonts w:hint="eastAsia" w:ascii="宋体" w:hAnsi="宋体"/>
          <w:b w:val="0"/>
          <w:color w:val="auto"/>
          <w:szCs w:val="22"/>
          <w:lang w:val="zh-CN"/>
        </w:rPr>
      </w:pPr>
      <w:r>
        <w:rPr>
          <w:rFonts w:hint="eastAsia" w:ascii="宋体" w:hAnsi="宋体" w:cs="宋体"/>
          <w:b/>
          <w:bCs/>
          <w:color w:val="auto"/>
          <w:sz w:val="28"/>
          <w:highlight w:val="none"/>
        </w:rPr>
        <w:t>二、采购内容及要求</w:t>
      </w:r>
      <w:bookmarkEnd w:id="57"/>
      <w:bookmarkEnd w:id="58"/>
      <w:bookmarkEnd w:id="59"/>
      <w:bookmarkEnd w:id="60"/>
      <w:bookmarkEnd w:id="61"/>
      <w:bookmarkStart w:id="62" w:name="_Toc157410883"/>
      <w:bookmarkStart w:id="63" w:name="_Toc24575"/>
      <w:bookmarkStart w:id="64" w:name="_Toc19427"/>
      <w:bookmarkStart w:id="65" w:name="_Toc32019"/>
    </w:p>
    <w:bookmarkEnd w:id="62"/>
    <w:p w14:paraId="63082740">
      <w:pPr>
        <w:keepNext w:val="0"/>
        <w:keepLines w:val="0"/>
        <w:pageBreakBefore w:val="0"/>
        <w:kinsoku/>
        <w:wordWrap/>
        <w:overflowPunct/>
        <w:topLinePunct w:val="0"/>
        <w:bidi w:val="0"/>
        <w:spacing w:line="400" w:lineRule="exact"/>
        <w:ind w:firstLine="482" w:firstLineChars="200"/>
        <w:rPr>
          <w:rFonts w:hint="eastAsia" w:ascii="宋体" w:hAnsi="宋体" w:eastAsia="宋体" w:cs="宋体"/>
          <w:sz w:val="24"/>
          <w:szCs w:val="32"/>
        </w:rPr>
      </w:pPr>
      <w:r>
        <w:rPr>
          <w:rFonts w:hint="eastAsia" w:ascii="宋体" w:hAnsi="宋体" w:eastAsia="宋体" w:cs="宋体"/>
          <w:b/>
          <w:bCs/>
          <w:sz w:val="24"/>
          <w:szCs w:val="32"/>
        </w:rPr>
        <w:t>（一）</w:t>
      </w:r>
      <w:r>
        <w:rPr>
          <w:rFonts w:hint="eastAsia" w:ascii="宋体" w:hAnsi="宋体" w:eastAsia="宋体" w:cs="宋体"/>
          <w:b/>
          <w:bCs/>
          <w:sz w:val="24"/>
          <w:szCs w:val="32"/>
          <w:lang w:val="en-US" w:eastAsia="zh-CN"/>
        </w:rPr>
        <w:t>采购</w:t>
      </w:r>
      <w:r>
        <w:rPr>
          <w:rFonts w:hint="eastAsia" w:ascii="宋体" w:hAnsi="宋体" w:eastAsia="宋体" w:cs="宋体"/>
          <w:b/>
          <w:bCs/>
          <w:sz w:val="24"/>
          <w:szCs w:val="32"/>
        </w:rPr>
        <w:t>内容</w:t>
      </w:r>
    </w:p>
    <w:p w14:paraId="2DD6C562">
      <w:pPr>
        <w:keepNext w:val="0"/>
        <w:keepLines w:val="0"/>
        <w:pageBreakBefore w:val="0"/>
        <w:kinsoku/>
        <w:wordWrap/>
        <w:overflowPunct/>
        <w:topLinePunct w:val="0"/>
        <w:bidi w:val="0"/>
        <w:spacing w:line="400" w:lineRule="exact"/>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详见附件：</w:t>
      </w:r>
      <w:r>
        <w:rPr>
          <w:rFonts w:hint="eastAsia" w:ascii="宋体" w:eastAsia="宋体" w:cs="宋体"/>
          <w:b/>
          <w:bCs/>
          <w:sz w:val="24"/>
          <w:szCs w:val="32"/>
          <w:lang w:val="en-US" w:eastAsia="zh-CN"/>
        </w:rPr>
        <w:t>文成龙船垟幼儿园教室及功能室清单</w:t>
      </w:r>
    </w:p>
    <w:p w14:paraId="660BD5B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备注：</w:t>
      </w:r>
    </w:p>
    <w:p w14:paraId="056791BE">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val="0"/>
          <w:bCs w:val="0"/>
          <w:sz w:val="24"/>
          <w:szCs w:val="32"/>
          <w:lang w:val="zh-CN"/>
        </w:rPr>
      </w:pPr>
      <w:bookmarkStart w:id="66" w:name="_Toc170828484"/>
      <w:r>
        <w:rPr>
          <w:rFonts w:hint="eastAsia" w:ascii="宋体" w:hAnsi="宋体" w:eastAsia="宋体" w:cs="宋体"/>
          <w:b w:val="0"/>
          <w:bCs w:val="0"/>
          <w:sz w:val="24"/>
          <w:szCs w:val="32"/>
        </w:rPr>
        <w:t>1</w:t>
      </w:r>
      <w:r>
        <w:rPr>
          <w:rFonts w:hint="eastAsia" w:ascii="宋体" w:hAnsi="宋体" w:eastAsia="宋体" w:cs="宋体"/>
          <w:b w:val="0"/>
          <w:bCs w:val="0"/>
          <w:sz w:val="24"/>
          <w:szCs w:val="32"/>
          <w:lang w:val="zh-CN"/>
        </w:rPr>
        <w:t>、</w:t>
      </w:r>
      <w:r>
        <w:rPr>
          <w:rFonts w:hint="eastAsia" w:ascii="宋体" w:eastAsia="宋体" w:cs="宋体"/>
          <w:b w:val="0"/>
          <w:bCs w:val="0"/>
          <w:sz w:val="24"/>
          <w:szCs w:val="32"/>
          <w:lang w:val="zh-CN"/>
        </w:rPr>
        <w:t>供应商</w:t>
      </w:r>
      <w:r>
        <w:rPr>
          <w:rFonts w:hint="eastAsia" w:ascii="宋体" w:hAnsi="宋体" w:eastAsia="宋体" w:cs="宋体"/>
          <w:b w:val="0"/>
          <w:bCs w:val="0"/>
          <w:sz w:val="24"/>
          <w:szCs w:val="32"/>
          <w:lang w:val="zh-CN"/>
        </w:rPr>
        <w:t>可根据以上所列设备的技术配置及技术性能要求作为参考选用产品，但所选产品的技术配置及技术性能应相当于或高于</w:t>
      </w:r>
      <w:r>
        <w:rPr>
          <w:rFonts w:hint="eastAsia" w:ascii="宋体" w:hAnsi="宋体" w:eastAsia="宋体" w:cs="宋体"/>
          <w:b w:val="0"/>
          <w:bCs w:val="0"/>
          <w:sz w:val="24"/>
          <w:szCs w:val="32"/>
        </w:rPr>
        <w:t>招标</w:t>
      </w:r>
      <w:r>
        <w:rPr>
          <w:rFonts w:hint="eastAsia" w:ascii="宋体" w:hAnsi="宋体" w:eastAsia="宋体" w:cs="宋体"/>
          <w:b w:val="0"/>
          <w:bCs w:val="0"/>
          <w:sz w:val="24"/>
          <w:szCs w:val="32"/>
          <w:lang w:val="zh-CN"/>
        </w:rPr>
        <w:t>文件要求，并满足采购需求，否则将可能作出对</w:t>
      </w:r>
      <w:r>
        <w:rPr>
          <w:rFonts w:hint="eastAsia" w:ascii="宋体" w:eastAsia="宋体" w:cs="宋体"/>
          <w:b w:val="0"/>
          <w:bCs w:val="0"/>
          <w:sz w:val="24"/>
          <w:szCs w:val="32"/>
          <w:lang w:val="zh-CN"/>
        </w:rPr>
        <w:t>供应商</w:t>
      </w:r>
      <w:r>
        <w:rPr>
          <w:rFonts w:hint="eastAsia" w:ascii="宋体" w:hAnsi="宋体" w:eastAsia="宋体" w:cs="宋体"/>
          <w:b w:val="0"/>
          <w:bCs w:val="0"/>
          <w:sz w:val="24"/>
          <w:szCs w:val="32"/>
          <w:lang w:val="zh-CN"/>
        </w:rPr>
        <w:t>不利的评定。</w:t>
      </w:r>
    </w:p>
    <w:p w14:paraId="6C32F003">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val="0"/>
          <w:bCs w:val="0"/>
          <w:sz w:val="24"/>
          <w:szCs w:val="32"/>
          <w:lang w:val="zh-CN"/>
        </w:rPr>
      </w:pPr>
      <w:r>
        <w:rPr>
          <w:rFonts w:hint="eastAsia" w:ascii="宋体" w:hAnsi="宋体" w:eastAsia="宋体" w:cs="宋体"/>
          <w:b w:val="0"/>
          <w:bCs w:val="0"/>
          <w:sz w:val="24"/>
          <w:szCs w:val="32"/>
        </w:rPr>
        <w:t>2、</w:t>
      </w:r>
      <w:r>
        <w:rPr>
          <w:rFonts w:hint="eastAsia" w:ascii="宋体" w:hAnsi="宋体" w:eastAsia="宋体" w:cs="宋体"/>
          <w:b w:val="0"/>
          <w:bCs w:val="0"/>
          <w:sz w:val="24"/>
          <w:szCs w:val="32"/>
          <w:lang w:val="zh-CN"/>
        </w:rPr>
        <w:t>报价应已包含所有可能发生的费用</w:t>
      </w:r>
      <w:r>
        <w:rPr>
          <w:rFonts w:hint="eastAsia" w:ascii="宋体" w:eastAsia="宋体" w:cs="宋体"/>
          <w:b w:val="0"/>
          <w:bCs w:val="0"/>
          <w:sz w:val="24"/>
          <w:szCs w:val="32"/>
          <w:lang w:val="zh-CN"/>
        </w:rPr>
        <w:t>（</w:t>
      </w:r>
      <w:r>
        <w:rPr>
          <w:rFonts w:hint="eastAsia" w:ascii="宋体" w:eastAsia="宋体" w:cs="宋体"/>
          <w:b w:val="0"/>
          <w:bCs w:val="0"/>
          <w:sz w:val="24"/>
          <w:szCs w:val="32"/>
          <w:lang w:val="en-US" w:eastAsia="zh-CN"/>
        </w:rPr>
        <w:t>包括但不限于原有成品保护、施工场地环境保洁等）</w:t>
      </w:r>
      <w:r>
        <w:rPr>
          <w:rFonts w:hint="eastAsia" w:ascii="宋体" w:hAnsi="宋体" w:eastAsia="宋体" w:cs="宋体"/>
          <w:b w:val="0"/>
          <w:bCs w:val="0"/>
          <w:sz w:val="24"/>
          <w:szCs w:val="32"/>
          <w:lang w:val="zh-CN"/>
        </w:rPr>
        <w:t>，后续项目实施过程中产生的费用由</w:t>
      </w:r>
      <w:r>
        <w:rPr>
          <w:rFonts w:hint="eastAsia" w:ascii="宋体" w:hAnsi="宋体" w:eastAsia="宋体" w:cs="宋体"/>
          <w:b w:val="0"/>
          <w:bCs w:val="0"/>
          <w:sz w:val="24"/>
          <w:szCs w:val="32"/>
        </w:rPr>
        <w:t>中标人</w:t>
      </w:r>
      <w:r>
        <w:rPr>
          <w:rFonts w:hint="eastAsia" w:ascii="宋体" w:hAnsi="宋体" w:eastAsia="宋体" w:cs="宋体"/>
          <w:b w:val="0"/>
          <w:bCs w:val="0"/>
          <w:sz w:val="24"/>
          <w:szCs w:val="32"/>
          <w:lang w:val="zh-CN"/>
        </w:rPr>
        <w:t>自行承担</w:t>
      </w:r>
      <w:r>
        <w:rPr>
          <w:rFonts w:hint="eastAsia" w:ascii="宋体" w:eastAsia="宋体" w:cs="宋体"/>
          <w:b w:val="0"/>
          <w:bCs w:val="0"/>
          <w:sz w:val="24"/>
          <w:szCs w:val="32"/>
          <w:lang w:val="zh-CN"/>
        </w:rPr>
        <w:t>，</w:t>
      </w:r>
      <w:r>
        <w:rPr>
          <w:rFonts w:hint="eastAsia" w:ascii="宋体" w:eastAsia="宋体" w:cs="宋体"/>
          <w:b w:val="0"/>
          <w:bCs w:val="0"/>
          <w:sz w:val="24"/>
          <w:szCs w:val="32"/>
          <w:lang w:val="zh-CN" w:eastAsia="zh-CN"/>
        </w:rPr>
        <w:t>须达到</w:t>
      </w:r>
      <w:r>
        <w:rPr>
          <w:rFonts w:hint="eastAsia" w:ascii="宋体" w:eastAsia="宋体" w:cs="宋体"/>
          <w:b w:val="0"/>
          <w:bCs w:val="0"/>
          <w:sz w:val="24"/>
          <w:szCs w:val="32"/>
          <w:lang w:val="en-US" w:eastAsia="zh-CN"/>
        </w:rPr>
        <w:t>采购人</w:t>
      </w:r>
      <w:r>
        <w:rPr>
          <w:rFonts w:hint="eastAsia" w:ascii="宋体" w:eastAsia="宋体" w:cs="宋体"/>
          <w:b w:val="0"/>
          <w:bCs w:val="0"/>
          <w:sz w:val="24"/>
          <w:szCs w:val="32"/>
          <w:lang w:val="zh-CN" w:eastAsia="zh-CN"/>
        </w:rPr>
        <w:t>要求及标准</w:t>
      </w:r>
      <w:r>
        <w:rPr>
          <w:rFonts w:hint="eastAsia" w:ascii="宋体" w:hAnsi="宋体" w:eastAsia="宋体" w:cs="宋体"/>
          <w:b w:val="0"/>
          <w:bCs w:val="0"/>
          <w:sz w:val="24"/>
          <w:szCs w:val="32"/>
          <w:lang w:val="zh-CN"/>
        </w:rPr>
        <w:t>。</w:t>
      </w:r>
    </w:p>
    <w:p w14:paraId="3B010A49">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val="0"/>
          <w:bCs w:val="0"/>
          <w:sz w:val="24"/>
          <w:szCs w:val="32"/>
          <w:lang w:val="zh-CN"/>
        </w:rPr>
      </w:pPr>
      <w:r>
        <w:rPr>
          <w:rFonts w:hint="eastAsia" w:ascii="宋体" w:hAnsi="宋体" w:eastAsia="宋体" w:cs="宋体"/>
          <w:b w:val="0"/>
          <w:bCs w:val="0"/>
          <w:sz w:val="24"/>
          <w:szCs w:val="32"/>
        </w:rPr>
        <w:t>3</w:t>
      </w:r>
      <w:r>
        <w:rPr>
          <w:rFonts w:hint="eastAsia" w:ascii="宋体" w:hAnsi="宋体" w:eastAsia="宋体" w:cs="宋体"/>
          <w:b w:val="0"/>
          <w:bCs w:val="0"/>
          <w:sz w:val="24"/>
          <w:szCs w:val="32"/>
          <w:lang w:val="zh-CN"/>
        </w:rPr>
        <w:t>、项目实施过程中，采购人有权对</w:t>
      </w:r>
      <w:r>
        <w:rPr>
          <w:rFonts w:hint="eastAsia" w:ascii="宋体" w:hAnsi="宋体" w:eastAsia="宋体" w:cs="宋体"/>
          <w:b w:val="0"/>
          <w:bCs w:val="0"/>
          <w:sz w:val="24"/>
          <w:szCs w:val="32"/>
        </w:rPr>
        <w:t>中标</w:t>
      </w:r>
      <w:r>
        <w:rPr>
          <w:rFonts w:hint="eastAsia" w:ascii="宋体" w:hAnsi="宋体" w:eastAsia="宋体" w:cs="宋体"/>
          <w:b w:val="0"/>
          <w:bCs w:val="0"/>
          <w:sz w:val="24"/>
          <w:szCs w:val="32"/>
          <w:lang w:val="zh-CN"/>
        </w:rPr>
        <w:t>产品进行性能测试（所发生的费用由成交</w:t>
      </w:r>
      <w:r>
        <w:rPr>
          <w:rFonts w:hint="eastAsia" w:ascii="宋体" w:hAnsi="宋体" w:eastAsia="宋体" w:cs="宋体"/>
          <w:b w:val="0"/>
          <w:bCs w:val="0"/>
          <w:sz w:val="24"/>
          <w:szCs w:val="32"/>
          <w:lang w:val="en-US" w:eastAsia="zh-CN"/>
        </w:rPr>
        <w:t>供应商</w:t>
      </w:r>
      <w:r>
        <w:rPr>
          <w:rFonts w:hint="eastAsia" w:ascii="宋体" w:hAnsi="宋体" w:eastAsia="宋体" w:cs="宋体"/>
          <w:b w:val="0"/>
          <w:bCs w:val="0"/>
          <w:sz w:val="24"/>
          <w:szCs w:val="32"/>
          <w:lang w:val="zh-CN"/>
        </w:rPr>
        <w:t>承担），以确保产品实际质量及性能满足需求，否则采购人有权拒绝收货，后果由成交</w:t>
      </w:r>
      <w:r>
        <w:rPr>
          <w:rFonts w:hint="eastAsia" w:ascii="宋体" w:hAnsi="宋体" w:eastAsia="宋体" w:cs="宋体"/>
          <w:b w:val="0"/>
          <w:bCs w:val="0"/>
          <w:sz w:val="24"/>
          <w:szCs w:val="32"/>
          <w:lang w:val="en-US" w:eastAsia="zh-CN"/>
        </w:rPr>
        <w:t>供应商</w:t>
      </w:r>
      <w:r>
        <w:rPr>
          <w:rFonts w:hint="eastAsia" w:ascii="宋体" w:hAnsi="宋体" w:eastAsia="宋体" w:cs="宋体"/>
          <w:b w:val="0"/>
          <w:bCs w:val="0"/>
          <w:sz w:val="24"/>
          <w:szCs w:val="32"/>
          <w:lang w:val="zh-CN"/>
        </w:rPr>
        <w:t>承担。</w:t>
      </w:r>
    </w:p>
    <w:p w14:paraId="0D5B6939">
      <w:pPr>
        <w:pStyle w:val="303"/>
        <w:keepNext w:val="0"/>
        <w:keepLines w:val="0"/>
        <w:pageBreakBefore w:val="0"/>
        <w:widowControl w:val="0"/>
        <w:kinsoku/>
        <w:wordWrap/>
        <w:overflowPunct/>
        <w:topLinePunct w:val="0"/>
        <w:bidi w:val="0"/>
        <w:snapToGrid/>
        <w:spacing w:after="0" w:line="440" w:lineRule="exact"/>
        <w:ind w:left="0" w:leftChars="0" w:firstLine="480" w:firstLineChars="200"/>
        <w:textAlignment w:val="auto"/>
        <w:rPr>
          <w:rFonts w:hint="eastAsia" w:ascii="宋体" w:hAnsi="宋体" w:eastAsia="宋体" w:cs="宋体"/>
          <w:b w:val="0"/>
          <w:bCs w:val="0"/>
          <w:color w:val="000000"/>
          <w:kern w:val="0"/>
          <w:sz w:val="24"/>
          <w:szCs w:val="32"/>
          <w:lang w:val="en-US" w:eastAsia="zh-CN" w:bidi="ar-SA"/>
        </w:rPr>
      </w:pPr>
      <w:r>
        <w:rPr>
          <w:rFonts w:hint="eastAsia" w:ascii="宋体" w:hAnsi="宋体" w:eastAsia="宋体" w:cs="宋体"/>
          <w:b w:val="0"/>
          <w:bCs w:val="0"/>
          <w:color w:val="000000"/>
          <w:kern w:val="0"/>
          <w:sz w:val="24"/>
          <w:szCs w:val="32"/>
          <w:lang w:val="en-US" w:eastAsia="zh-CN" w:bidi="ar-SA"/>
        </w:rPr>
        <w:t>4、清单内的技术参数、规格、尺寸不具有限制性，颜色、规格、尺寸由业主最终选择确认。业主确认后方可制作及供货，供应商须无条件按照业主的要求调整，不得以此索赔</w:t>
      </w:r>
      <w:r>
        <w:rPr>
          <w:rFonts w:hint="eastAsia" w:ascii="宋体" w:hAnsi="宋体" w:eastAsia="宋体" w:cs="宋体"/>
          <w:b w:val="0"/>
          <w:bCs w:val="0"/>
          <w:sz w:val="24"/>
          <w:szCs w:val="32"/>
          <w:lang w:val="zh-CN"/>
        </w:rPr>
        <w:t>。</w:t>
      </w:r>
    </w:p>
    <w:p w14:paraId="30E81D4B">
      <w:pPr>
        <w:keepNext w:val="0"/>
        <w:keepLines w:val="0"/>
        <w:pageBreakBefore w:val="0"/>
        <w:widowControl w:val="0"/>
        <w:numPr>
          <w:ilvl w:val="0"/>
          <w:numId w:val="13"/>
        </w:numPr>
        <w:kinsoku/>
        <w:wordWrap/>
        <w:overflowPunct/>
        <w:topLinePunct w:val="0"/>
        <w:autoSpaceDE/>
        <w:autoSpaceDN/>
        <w:bidi w:val="0"/>
        <w:adjustRightInd/>
        <w:snapToGrid/>
        <w:spacing w:before="164" w:beforeLines="50" w:line="36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商务要求</w:t>
      </w:r>
      <w:bookmarkEnd w:id="66"/>
    </w:p>
    <w:p w14:paraId="3030FCE1">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1、投标人需要提供合理的项目整体实施方案，能按照项目分解节点并可跟踪实施，其中定制类产品需业主方方案确认。</w:t>
      </w:r>
    </w:p>
    <w:p w14:paraId="309BA5ED">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2、投标人需要提供生产实施方案，包括原材料采购、加工制作等各个环节的实施方案，在规定的时间内有计划的完成项目需求产品的生产和装配。</w:t>
      </w:r>
    </w:p>
    <w:p w14:paraId="05DE7475">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3、投标人需要提供品控管理方案，对产品品质有管理管控过程，有独立品管部门和专门品管人员，确保产品生产过程中的质量控制完善。</w:t>
      </w:r>
    </w:p>
    <w:p w14:paraId="0ABED58D">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4、投标人需要提供安装服务实施方案，根据货物交付时间节点，落实送货安装时间和人员安排，确保按期交付使用。</w:t>
      </w:r>
    </w:p>
    <w:p w14:paraId="12F4A092">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5、售后服务要求：</w:t>
      </w:r>
    </w:p>
    <w:p w14:paraId="284EC339">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（1）投标人提供的售后服务应符合GB/T 37652-2019《家具售后服务要求》。</w:t>
      </w:r>
    </w:p>
    <w:p w14:paraId="665EDB78">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（2）质量保证期：所有家具的质量保证期不少于5年，在此保证期内，如在正常使用过程中出现的质量问题，投标人须负责免费维修或调换。维修点需提供足够的备件以适应采购人维修需求。</w:t>
      </w:r>
    </w:p>
    <w:p w14:paraId="6364F332">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（3）服务期限：15年，质量保证期后服务期限内按服务效率要求需在接到维修电话后赶到现场，提供维修服务直到修复为止，投标人可以适当的收取</w:t>
      </w:r>
      <w:r>
        <w:rPr>
          <w:rFonts w:hint="eastAsia" w:ascii="宋体" w:hAnsi="宋体" w:cs="宋体"/>
          <w:b w:val="0"/>
          <w:bCs w:val="0"/>
          <w:sz w:val="24"/>
          <w:szCs w:val="24"/>
          <w:highlight w:val="none"/>
          <w:lang w:eastAsia="zh-CN"/>
        </w:rPr>
        <w:t>费用</w:t>
      </w:r>
      <w:r>
        <w:rPr>
          <w:rFonts w:hint="eastAsia" w:ascii="宋体" w:hAnsi="宋体" w:eastAsia="宋体" w:cs="宋体"/>
          <w:b w:val="0"/>
          <w:bCs w:val="0"/>
          <w:sz w:val="24"/>
          <w:szCs w:val="24"/>
          <w:highlight w:val="none"/>
        </w:rPr>
        <w:t>。</w:t>
      </w:r>
    </w:p>
    <w:p w14:paraId="5B917263">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服务效率：故障报修的响应时间为：工作期间（星期一至星期五8:00-18:00）为3小时；非工作期间为48小时；故障报修的到达指定地点时间。为：工作期间（星期一至星期五8:00-18:00）为24小时；非工作期间为72小时。</w:t>
      </w:r>
    </w:p>
    <w:p w14:paraId="00F980B8">
      <w:pPr>
        <w:keepNext w:val="0"/>
        <w:keepLines w:val="0"/>
        <w:pageBreakBefore w:val="0"/>
        <w:widowControl w:val="0"/>
        <w:kinsoku/>
        <w:wordWrap/>
        <w:overflowPunct/>
        <w:topLinePunct w:val="0"/>
        <w:autoSpaceDE/>
        <w:autoSpaceDN/>
        <w:bidi w:val="0"/>
        <w:adjustRightInd/>
        <w:snapToGrid/>
        <w:spacing w:before="164" w:beforeLines="50" w:line="360" w:lineRule="auto"/>
        <w:jc w:val="left"/>
        <w:textAlignment w:val="auto"/>
        <w:outlineLvl w:val="1"/>
        <w:rPr>
          <w:rFonts w:hint="eastAsia" w:ascii="宋体" w:hAnsi="宋体" w:eastAsia="宋体" w:cs="宋体"/>
          <w:b w:val="0"/>
          <w:bCs w:val="0"/>
          <w:sz w:val="30"/>
          <w:szCs w:val="30"/>
          <w:highlight w:val="none"/>
        </w:rPr>
      </w:pPr>
      <w:bookmarkStart w:id="67" w:name="_Toc486423875"/>
      <w:bookmarkStart w:id="68" w:name="_Toc170828485"/>
      <w:bookmarkStart w:id="69" w:name="_Toc493957137"/>
      <w:bookmarkStart w:id="70" w:name="_Toc493956025"/>
      <w:r>
        <w:rPr>
          <w:rFonts w:hint="eastAsia" w:ascii="宋体" w:hAnsi="宋体" w:eastAsia="宋体" w:cs="宋体"/>
          <w:b w:val="0"/>
          <w:bCs w:val="0"/>
          <w:sz w:val="30"/>
          <w:szCs w:val="30"/>
          <w:highlight w:val="none"/>
          <w:lang w:val="en-US" w:eastAsia="zh-CN"/>
        </w:rPr>
        <w:t>四、</w:t>
      </w:r>
      <w:r>
        <w:rPr>
          <w:rFonts w:hint="eastAsia" w:ascii="宋体" w:hAnsi="宋体" w:eastAsia="宋体" w:cs="宋体"/>
          <w:b w:val="0"/>
          <w:bCs w:val="0"/>
          <w:sz w:val="30"/>
          <w:szCs w:val="30"/>
          <w:highlight w:val="none"/>
        </w:rPr>
        <w:t>工期及供货地点要求</w:t>
      </w:r>
      <w:bookmarkEnd w:id="67"/>
      <w:bookmarkEnd w:id="68"/>
      <w:bookmarkEnd w:id="69"/>
      <w:bookmarkEnd w:id="70"/>
    </w:p>
    <w:p w14:paraId="5716E406">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1、工期要求：合同签订后</w:t>
      </w:r>
      <w:r>
        <w:rPr>
          <w:rFonts w:hint="eastAsia" w:ascii="宋体" w:cs="宋体"/>
          <w:b w:val="0"/>
          <w:bCs w:val="0"/>
          <w:sz w:val="24"/>
          <w:szCs w:val="24"/>
          <w:highlight w:val="none"/>
          <w:lang w:val="en-US" w:eastAsia="zh-CN"/>
        </w:rPr>
        <w:t>40</w:t>
      </w:r>
      <w:r>
        <w:rPr>
          <w:rFonts w:hint="eastAsia" w:ascii="宋体" w:hAnsi="宋体" w:eastAsia="宋体" w:cs="宋体"/>
          <w:b w:val="0"/>
          <w:bCs w:val="0"/>
          <w:sz w:val="24"/>
          <w:szCs w:val="24"/>
          <w:highlight w:val="none"/>
        </w:rPr>
        <w:t>天</w:t>
      </w:r>
      <w:r>
        <w:rPr>
          <w:rFonts w:hint="eastAsia" w:ascii="宋体" w:hAnsi="宋体" w:eastAsia="宋体" w:cs="宋体"/>
          <w:b w:val="0"/>
          <w:bCs w:val="0"/>
          <w:sz w:val="24"/>
          <w:szCs w:val="24"/>
          <w:highlight w:val="none"/>
          <w:lang w:val="en-US" w:eastAsia="zh-CN"/>
        </w:rPr>
        <w:t>内</w:t>
      </w:r>
      <w:r>
        <w:rPr>
          <w:rFonts w:hint="eastAsia" w:ascii="宋体" w:hAnsi="宋体" w:eastAsia="宋体" w:cs="宋体"/>
          <w:b w:val="0"/>
          <w:bCs w:val="0"/>
          <w:sz w:val="24"/>
          <w:szCs w:val="24"/>
          <w:highlight w:val="none"/>
        </w:rPr>
        <w:t>完成供货并安装。</w:t>
      </w:r>
    </w:p>
    <w:p w14:paraId="2D5FBED4">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2、供货（安装）地点要求：采购人指定地点</w:t>
      </w:r>
      <w:bookmarkStart w:id="71" w:name="_Toc493956026"/>
      <w:bookmarkStart w:id="72" w:name="_Toc493957138"/>
      <w:bookmarkStart w:id="73" w:name="_Toc486423876"/>
      <w:r>
        <w:rPr>
          <w:rFonts w:hint="eastAsia" w:ascii="宋体" w:hAnsi="宋体" w:eastAsia="宋体" w:cs="宋体"/>
          <w:b w:val="0"/>
          <w:bCs w:val="0"/>
          <w:sz w:val="24"/>
          <w:szCs w:val="24"/>
          <w:highlight w:val="none"/>
        </w:rPr>
        <w:t>。</w:t>
      </w:r>
    </w:p>
    <w:p w14:paraId="785C4E56">
      <w:pPr>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五、</w:t>
      </w:r>
      <w:r>
        <w:rPr>
          <w:rFonts w:hint="eastAsia" w:ascii="宋体" w:hAnsi="宋体" w:eastAsia="宋体" w:cs="宋体"/>
          <w:b w:val="0"/>
          <w:bCs w:val="0"/>
          <w:sz w:val="30"/>
          <w:szCs w:val="30"/>
          <w:highlight w:val="none"/>
        </w:rPr>
        <w:t>安装、调试、验收要求</w:t>
      </w:r>
      <w:bookmarkEnd w:id="71"/>
      <w:bookmarkEnd w:id="72"/>
      <w:bookmarkEnd w:id="73"/>
    </w:p>
    <w:p w14:paraId="603872B0">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1、本项目安装、调试完成后，</w:t>
      </w:r>
      <w:r>
        <w:rPr>
          <w:rFonts w:hint="eastAsia" w:asci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天内组织验收。需要定制确认的需得到采购人确认。</w:t>
      </w:r>
    </w:p>
    <w:p w14:paraId="79EF195A">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2、所供产品的规格、数量符合招标文件投标人投标承诺及采购合同约定的要求。</w:t>
      </w:r>
    </w:p>
    <w:p w14:paraId="7222887D">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3、所供产品的材质、颜色符合招标文件投标人投标承诺及采购合同约定的要求。</w:t>
      </w:r>
    </w:p>
    <w:p w14:paraId="4AE18FDF">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4、所供产品的外观完好，无严重碰撞、表皮脱落、五金件生锈等明显瑕疵。</w:t>
      </w:r>
    </w:p>
    <w:p w14:paraId="27D5CCF2">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5、所供产品结构牢固，无安全隐患。</w:t>
      </w:r>
    </w:p>
    <w:p w14:paraId="3069E236">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6、所有产品均已运输至指定地点，并安装调试完毕。</w:t>
      </w:r>
    </w:p>
    <w:p w14:paraId="21FCFFCD">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7、招标文件投标人投标承诺及采购合同约定的附件、工具、技术资料等齐全；提供产品使用说明书、合格证。</w:t>
      </w:r>
    </w:p>
    <w:p w14:paraId="52BE039D">
      <w:pPr>
        <w:keepNext w:val="0"/>
        <w:keepLines w:val="0"/>
        <w:pageBreakBefore w:val="0"/>
        <w:widowControl w:val="0"/>
        <w:kinsoku/>
        <w:wordWrap/>
        <w:overflowPunct/>
        <w:topLinePunct w:val="0"/>
        <w:autoSpaceDE/>
        <w:autoSpaceDN/>
        <w:bidi w:val="0"/>
        <w:adjustRightInd/>
        <w:snapToGrid/>
        <w:spacing w:before="164" w:beforeLines="50" w:line="360" w:lineRule="auto"/>
        <w:jc w:val="left"/>
        <w:textAlignment w:val="auto"/>
        <w:outlineLvl w:val="1"/>
        <w:rPr>
          <w:rFonts w:hint="eastAsia" w:ascii="宋体" w:hAnsi="宋体" w:eastAsia="宋体" w:cs="宋体"/>
          <w:b w:val="0"/>
          <w:bCs w:val="0"/>
          <w:sz w:val="30"/>
          <w:szCs w:val="30"/>
          <w:highlight w:val="none"/>
        </w:rPr>
      </w:pPr>
      <w:bookmarkStart w:id="74" w:name="_Toc170828486"/>
      <w:bookmarkStart w:id="75" w:name="_Toc493957139"/>
      <w:bookmarkStart w:id="76" w:name="_Toc493956027"/>
      <w:bookmarkStart w:id="77" w:name="_Toc486423877"/>
      <w:r>
        <w:rPr>
          <w:rFonts w:hint="eastAsia" w:ascii="宋体" w:hAnsi="宋体" w:eastAsia="宋体" w:cs="宋体"/>
          <w:b w:val="0"/>
          <w:bCs w:val="0"/>
          <w:sz w:val="30"/>
          <w:szCs w:val="30"/>
          <w:highlight w:val="none"/>
          <w:lang w:val="en-US" w:eastAsia="zh-CN"/>
        </w:rPr>
        <w:t>六、</w:t>
      </w:r>
      <w:r>
        <w:rPr>
          <w:rFonts w:hint="eastAsia" w:ascii="宋体" w:hAnsi="宋体" w:eastAsia="宋体" w:cs="宋体"/>
          <w:b w:val="0"/>
          <w:bCs w:val="0"/>
          <w:sz w:val="30"/>
          <w:szCs w:val="30"/>
          <w:highlight w:val="none"/>
        </w:rPr>
        <w:t>付款方式</w:t>
      </w:r>
      <w:bookmarkEnd w:id="74"/>
    </w:p>
    <w:p w14:paraId="06E5C47F">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合同签订后具备实施条件后采购人收到正式发票7个工作日内支付货款的</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0%作为预付款，</w:t>
      </w:r>
      <w:r>
        <w:rPr>
          <w:rFonts w:hint="eastAsia" w:ascii="宋体" w:hAnsi="宋体" w:eastAsia="宋体" w:cs="宋体"/>
          <w:b w:val="0"/>
          <w:bCs w:val="0"/>
          <w:sz w:val="24"/>
          <w:szCs w:val="24"/>
          <w:highlight w:val="none"/>
          <w:lang w:val="en-US" w:eastAsia="zh-CN"/>
        </w:rPr>
        <w:t>所有</w:t>
      </w:r>
      <w:r>
        <w:rPr>
          <w:rFonts w:hint="eastAsia" w:ascii="宋体" w:hAnsi="宋体" w:eastAsia="宋体" w:cs="宋体"/>
          <w:b w:val="0"/>
          <w:bCs w:val="0"/>
          <w:sz w:val="24"/>
          <w:szCs w:val="24"/>
          <w:highlight w:val="none"/>
        </w:rPr>
        <w:t>货物到</w:t>
      </w:r>
      <w:r>
        <w:rPr>
          <w:rFonts w:hint="eastAsia" w:ascii="宋体" w:hAnsi="宋体" w:eastAsia="宋体" w:cs="宋体"/>
          <w:b w:val="0"/>
          <w:bCs w:val="0"/>
          <w:sz w:val="24"/>
          <w:szCs w:val="24"/>
          <w:highlight w:val="none"/>
          <w:lang w:val="en-US" w:eastAsia="zh-CN"/>
        </w:rPr>
        <w:t>达发包人指定地点后采购人</w:t>
      </w:r>
      <w:r>
        <w:rPr>
          <w:rFonts w:hint="eastAsia" w:ascii="宋体" w:hAnsi="宋体" w:eastAsia="宋体" w:cs="宋体"/>
          <w:b w:val="0"/>
          <w:bCs w:val="0"/>
          <w:sz w:val="24"/>
          <w:szCs w:val="24"/>
          <w:highlight w:val="none"/>
        </w:rPr>
        <w:t>收到正式发票7个工作日内支付货款的</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0%</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所有货物安装完毕并验收合格后采购人</w:t>
      </w:r>
      <w:r>
        <w:rPr>
          <w:rFonts w:hint="eastAsia" w:ascii="宋体" w:hAnsi="宋体" w:eastAsia="宋体" w:cs="宋体"/>
          <w:b w:val="0"/>
          <w:bCs w:val="0"/>
          <w:sz w:val="24"/>
          <w:szCs w:val="24"/>
          <w:highlight w:val="none"/>
        </w:rPr>
        <w:t>收到正式发票7个工作日内</w:t>
      </w:r>
      <w:r>
        <w:rPr>
          <w:rFonts w:hint="eastAsia" w:ascii="宋体" w:hAnsi="宋体" w:eastAsia="宋体" w:cs="宋体"/>
          <w:b w:val="0"/>
          <w:bCs w:val="0"/>
          <w:sz w:val="24"/>
          <w:szCs w:val="24"/>
          <w:highlight w:val="none"/>
          <w:lang w:val="en-US" w:eastAsia="zh-CN"/>
        </w:rPr>
        <w:t>付</w:t>
      </w:r>
      <w:r>
        <w:rPr>
          <w:rFonts w:hint="eastAsia" w:ascii="宋体" w:eastAsia="宋体" w:cs="宋体"/>
          <w:b w:val="0"/>
          <w:bCs w:val="0"/>
          <w:sz w:val="24"/>
          <w:szCs w:val="24"/>
          <w:highlight w:val="none"/>
          <w:lang w:val="en-US" w:eastAsia="zh-CN"/>
        </w:rPr>
        <w:t>至实际货款的98%，剩余2%作为质保金，质保期到期</w:t>
      </w:r>
      <w:r>
        <w:rPr>
          <w:rFonts w:hint="eastAsia" w:ascii="宋体" w:hAnsi="宋体" w:eastAsia="宋体" w:cs="宋体"/>
          <w:b w:val="0"/>
          <w:bCs w:val="0"/>
          <w:color w:val="auto"/>
          <w:sz w:val="24"/>
          <w:szCs w:val="24"/>
          <w:highlight w:val="none"/>
          <w:lang w:val="en-US" w:eastAsia="zh-CN"/>
        </w:rPr>
        <w:t>后无质量问题无息退还</w:t>
      </w:r>
      <w:r>
        <w:rPr>
          <w:rFonts w:hint="eastAsia" w:ascii="宋体" w:hAnsi="宋体" w:eastAsia="宋体" w:cs="宋体"/>
          <w:b w:val="0"/>
          <w:bCs w:val="0"/>
          <w:sz w:val="24"/>
          <w:szCs w:val="24"/>
          <w:highlight w:val="none"/>
        </w:rPr>
        <w:t>。</w:t>
      </w:r>
    </w:p>
    <w:p w14:paraId="356381D9">
      <w:pPr>
        <w:numPr>
          <w:ilvl w:val="0"/>
          <w:numId w:val="14"/>
        </w:numPr>
        <w:spacing w:before="240" w:after="240"/>
        <w:jc w:val="left"/>
        <w:outlineLvl w:val="1"/>
        <w:rPr>
          <w:rFonts w:hint="eastAsia" w:ascii="宋体" w:eastAsia="宋体" w:cs="宋体"/>
          <w:b w:val="0"/>
          <w:bCs w:val="0"/>
          <w:sz w:val="30"/>
          <w:szCs w:val="30"/>
          <w:highlight w:val="none"/>
          <w:lang w:val="en-US" w:eastAsia="zh-CN"/>
        </w:rPr>
      </w:pPr>
      <w:bookmarkStart w:id="78" w:name="_Toc170828487"/>
      <w:r>
        <w:rPr>
          <w:rFonts w:hint="eastAsia" w:ascii="宋体" w:cs="宋体"/>
          <w:b w:val="0"/>
          <w:bCs w:val="0"/>
          <w:sz w:val="30"/>
          <w:szCs w:val="30"/>
          <w:highlight w:val="none"/>
          <w:lang w:val="en-US" w:eastAsia="zh-CN"/>
        </w:rPr>
        <w:t>★</w:t>
      </w:r>
      <w:r>
        <w:rPr>
          <w:rFonts w:hint="eastAsia" w:ascii="宋体" w:eastAsia="宋体" w:cs="宋体"/>
          <w:b w:val="0"/>
          <w:bCs w:val="0"/>
          <w:sz w:val="30"/>
          <w:szCs w:val="30"/>
          <w:highlight w:val="none"/>
          <w:lang w:val="en-US" w:eastAsia="zh-CN"/>
        </w:rPr>
        <w:t>技术参数要求</w:t>
      </w:r>
    </w:p>
    <w:p w14:paraId="55AC2F3A">
      <w:pPr>
        <w:spacing w:line="360" w:lineRule="auto"/>
        <w:rPr>
          <w:rStyle w:val="304"/>
          <w:rFonts w:hint="eastAsia" w:ascii="宋体" w:hAnsi="宋体" w:eastAsia="宋体" w:cs="宋体"/>
          <w:b w:val="0"/>
          <w:bCs w:val="0"/>
          <w:color w:val="auto"/>
          <w:sz w:val="22"/>
          <w:szCs w:val="22"/>
        </w:rPr>
      </w:pPr>
      <w:r>
        <w:rPr>
          <w:rFonts w:ascii="宋体" w:eastAsia="宋体" w:cs="Arial"/>
          <w:color w:val="auto"/>
          <w:sz w:val="22"/>
          <w:szCs w:val="22"/>
        </w:rPr>
        <w:t>（一）主要原材料技术参数要求</w:t>
      </w:r>
    </w:p>
    <w:p w14:paraId="19F30D8E">
      <w:pPr>
        <w:pageBreakBefore w:val="0"/>
        <w:widowControl/>
        <w:numPr>
          <w:ilvl w:val="0"/>
          <w:numId w:val="0"/>
        </w:numPr>
        <w:kinsoku/>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1.板材</w:t>
      </w:r>
      <w:r>
        <w:rPr>
          <w:rFonts w:hint="eastAsia" w:ascii="宋体" w:hAnsi="宋体" w:eastAsia="宋体" w:cs="宋体"/>
          <w:b w:val="0"/>
          <w:bCs w:val="0"/>
          <w:color w:val="auto"/>
          <w:sz w:val="24"/>
          <w:szCs w:val="24"/>
          <w:highlight w:val="none"/>
          <w:lang w:val="en-US" w:eastAsia="zh-CN"/>
        </w:rPr>
        <w:t>采用符合（E1、E0、ENF级）中的ENF级最高标准，符合GB 18580-2017、GB/T 39600-2021 、HJ 571-2010、QB/T 4371-2012中的甲醛释放量、总挥发性有机化合物(TVOC)释放率（72h）、抗菌性能检测项目通过的优质板材。</w:t>
      </w:r>
      <w:r>
        <w:rPr>
          <w:rFonts w:hint="eastAsia" w:ascii="宋体" w:hAnsi="宋体" w:eastAsia="宋体" w:cs="宋体"/>
          <w:color w:val="auto"/>
          <w:sz w:val="24"/>
          <w:szCs w:val="24"/>
          <w:highlight w:val="none"/>
        </w:rPr>
        <w:t>。</w:t>
      </w:r>
    </w:p>
    <w:p w14:paraId="71A92C33">
      <w:pPr>
        <w:pStyle w:val="8"/>
        <w:pageBreakBefore w:val="0"/>
        <w:widowControl w:val="0"/>
        <w:tabs>
          <w:tab w:val="left" w:pos="1008"/>
          <w:tab w:val="left" w:pos="1260"/>
          <w:tab w:val="clear" w:pos="1060"/>
        </w:tabs>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2、底漆采用符合符合GB18581-2020国家标准的中乙二醇醚及醚酯总和含量／（mg／kg）（限乙二醇甲醚、乙二醇甲醚醋酸酯、乙二醇乙醚、乙二醇乙醚醋酸酯、乙二醇二甲醚、乙二醇二乙醚、二乙二醇二甲醚、三乙二醇二甲醚）苯系物总和含量、VOC含量、甲醛含量、烷基酚聚氧乙烯醚总和含量的标准要求</w:t>
      </w:r>
    </w:p>
    <w:p w14:paraId="6DB77242">
      <w:pPr>
        <w:pStyle w:val="8"/>
        <w:pageBreakBefore w:val="0"/>
        <w:widowControl w:val="0"/>
        <w:tabs>
          <w:tab w:val="left" w:pos="1008"/>
          <w:tab w:val="left" w:pos="1260"/>
          <w:tab w:val="clear" w:pos="1060"/>
        </w:tabs>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3、油漆采用符合GB18581-2020、GB/T 23990-2009、GB/T23986-2009，VOC含量≤250，苯系物总和含量≤250的安全无毒油漆。</w:t>
      </w:r>
    </w:p>
    <w:p w14:paraId="1571D803">
      <w:pPr>
        <w:pStyle w:val="8"/>
        <w:pageBreakBefore w:val="0"/>
        <w:widowControl w:val="0"/>
        <w:tabs>
          <w:tab w:val="left" w:pos="1008"/>
          <w:tab w:val="left" w:pos="1260"/>
          <w:tab w:val="clear" w:pos="1060"/>
        </w:tabs>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4、涂料采用符合GB 6675.4-2014国家安全标准，检测项目至少包含八大重金属迁移检测符合的安全产品。</w:t>
      </w:r>
    </w:p>
    <w:p w14:paraId="4AB21F96">
      <w:pPr>
        <w:pStyle w:val="8"/>
        <w:pageBreakBefore w:val="0"/>
        <w:widowControl w:val="0"/>
        <w:tabs>
          <w:tab w:val="left" w:pos="1008"/>
          <w:tab w:val="left" w:pos="1260"/>
          <w:tab w:val="clear" w:pos="1060"/>
        </w:tabs>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5、白乳胶采用符合</w:t>
      </w:r>
      <w:r>
        <w:rPr>
          <w:rFonts w:hint="eastAsia" w:ascii="宋体" w:hAnsi="宋体" w:eastAsia="宋体" w:cs="宋体"/>
          <w:color w:val="auto"/>
          <w:sz w:val="24"/>
          <w:szCs w:val="24"/>
          <w:highlight w:val="none"/>
          <w:lang w:val="en-US" w:eastAsia="zh-CN"/>
        </w:rPr>
        <w:t>GB 18583-2008</w:t>
      </w:r>
      <w:r>
        <w:rPr>
          <w:rFonts w:hint="eastAsia" w:ascii="宋体" w:hAnsi="宋体" w:eastAsia="宋体" w:cs="宋体"/>
          <w:b w:val="0"/>
          <w:bCs w:val="0"/>
          <w:color w:val="auto"/>
          <w:spacing w:val="0"/>
          <w:sz w:val="24"/>
          <w:szCs w:val="24"/>
          <w:highlight w:val="none"/>
          <w:lang w:val="en-US" w:eastAsia="zh-CN" w:bidi="ar-SA"/>
        </w:rPr>
        <w:t>国家安全检测标准，游离甲醛、苯、甲苯、二甲苯、总挥发性有机物均达到符合要求。</w:t>
      </w:r>
    </w:p>
    <w:p w14:paraId="4F0F7698">
      <w:pPr>
        <w:pStyle w:val="8"/>
        <w:pageBreakBefore w:val="0"/>
        <w:widowControl w:val="0"/>
        <w:tabs>
          <w:tab w:val="left" w:pos="1008"/>
          <w:tab w:val="left" w:pos="1260"/>
          <w:tab w:val="clear" w:pos="1060"/>
        </w:tabs>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6、五金件采用符合GB 28007-2011、QB/T 3826-1999、HJ 2547-2016 、GB 6675.4-2014国家安全检验标准中的金属件理化性能，电镀层抗盐度、可迁移元素的标准要求。</w:t>
      </w:r>
    </w:p>
    <w:p w14:paraId="56A53C90">
      <w:pPr>
        <w:pStyle w:val="8"/>
        <w:pageBreakBefore w:val="0"/>
        <w:widowControl w:val="0"/>
        <w:tabs>
          <w:tab w:val="left" w:pos="1008"/>
          <w:tab w:val="left" w:pos="1260"/>
          <w:tab w:val="clear" w:pos="1060"/>
        </w:tabs>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7、表面木蜡油处理无毒无气味，可迁移元素符合HJ 2547-2016 、GB6675-2014国家标准规范的要求。</w:t>
      </w:r>
    </w:p>
    <w:p w14:paraId="69C528F6">
      <w:pPr>
        <w:pageBreakBefore w:val="0"/>
        <w:kinsoku/>
        <w:overflowPunct/>
        <w:topLinePunct w:val="0"/>
        <w:bidi w:val="0"/>
        <w:snapToGrid/>
        <w:spacing w:line="360" w:lineRule="auto"/>
        <w:ind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8、塑料件、滑道符合GB/T27689-2011标准的合格检测报告。</w:t>
      </w:r>
    </w:p>
    <w:p w14:paraId="26C7CB7F">
      <w:pPr>
        <w:pStyle w:val="66"/>
        <w:keepNext w:val="0"/>
        <w:keepLines w:val="0"/>
        <w:pageBreakBefore w:val="0"/>
        <w:kinsoku/>
        <w:overflowPunct/>
        <w:topLinePunct w:val="0"/>
        <w:bidi w:val="0"/>
        <w:snapToGrid/>
        <w:spacing w:line="360" w:lineRule="auto"/>
        <w:ind w:firstLine="48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9、防腐芬兰木采用符合GB/T1927.5-2021、GB/T1927.12-2022、GB/T1927.11-2022、GB/T 22102-2008国家安全检测标准，检测项目至少包括密度、横纹抗压强度、顺纹抗压强度、防腐边裁透入率等测试项目的检测报告。</w:t>
      </w:r>
    </w:p>
    <w:p w14:paraId="3A3B27A3">
      <w:pPr>
        <w:pStyle w:val="67"/>
        <w:keepNext w:val="0"/>
        <w:keepLines w:val="0"/>
        <w:pageBreakBefore w:val="0"/>
        <w:kinsoku/>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10、五金（螺栓、螺母）采用符合GB/T 3098.1-2010、GB/T3098.6-2023国家安全标准检测项目至少包含拉力、保证载荷、脱碳、扭矩等测试项目的检测报告</w:t>
      </w:r>
      <w:r>
        <w:rPr>
          <w:rFonts w:hint="eastAsia" w:ascii="宋体" w:hAnsi="宋体" w:cs="宋体"/>
          <w:b w:val="0"/>
          <w:bCs w:val="0"/>
          <w:color w:val="auto"/>
          <w:spacing w:val="0"/>
          <w:sz w:val="24"/>
          <w:szCs w:val="24"/>
          <w:highlight w:val="none"/>
          <w:lang w:val="en-US" w:eastAsia="zh-CN" w:bidi="ar-SA"/>
        </w:rPr>
        <w:t>。</w:t>
      </w:r>
    </w:p>
    <w:p w14:paraId="5E42AFA0">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11、PC板符合GB/T 2410-2008、GB/T 10297-2015国家安全检测标准的检测项目至少包含透光率、导热系数常温等内容的检测报告</w:t>
      </w:r>
      <w:r>
        <w:rPr>
          <w:rFonts w:hint="eastAsia" w:ascii="宋体" w:hAnsi="宋体" w:cs="宋体"/>
          <w:b w:val="0"/>
          <w:bCs w:val="0"/>
          <w:color w:val="auto"/>
          <w:spacing w:val="0"/>
          <w:sz w:val="24"/>
          <w:szCs w:val="24"/>
          <w:highlight w:val="none"/>
          <w:lang w:val="en-US" w:eastAsia="zh-CN" w:bidi="ar-SA"/>
        </w:rPr>
        <w:t>。</w:t>
      </w:r>
    </w:p>
    <w:p w14:paraId="3CFC17FD">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12、网通（焊接件）符合GB/T 2651-2023国家安全标准检测项目至少包含冲击性能、抗拉强度、超声波探伤等测试项目的检测报告。</w:t>
      </w:r>
    </w:p>
    <w:p w14:paraId="4C5B5951">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13、六股钢丝海缆绳符合GB/T 8358-2023国家标准检测项目至少包含破断拉伸力的检测报告。</w:t>
      </w:r>
    </w:p>
    <w:p w14:paraId="033328F8">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lang w:val="en-US" w:eastAsia="zh-CN" w:bidi="ar-SA"/>
        </w:rPr>
        <w:t>14、皮革</w:t>
      </w:r>
      <w:r>
        <w:rPr>
          <w:rFonts w:hint="eastAsia" w:ascii="宋体" w:hAnsi="宋体" w:eastAsia="宋体" w:cs="宋体"/>
          <w:color w:val="auto"/>
          <w:sz w:val="24"/>
          <w:szCs w:val="24"/>
          <w:highlight w:val="none"/>
          <w:lang w:val="en-US" w:eastAsia="zh-CN"/>
        </w:rPr>
        <w:t>采用通过GB/T 19941.2-2019、GB/T 16799-2018 、QB/T 2724-2018 国家安全标准，通过PH值、甲醛、可分解有害芳香胺染料测试项目的安全无毒皮革</w:t>
      </w:r>
      <w:r>
        <w:rPr>
          <w:rFonts w:hint="eastAsia" w:ascii="宋体" w:hAnsi="宋体" w:cs="宋体"/>
          <w:color w:val="auto"/>
          <w:sz w:val="24"/>
          <w:szCs w:val="24"/>
          <w:highlight w:val="none"/>
          <w:lang w:val="en-US" w:eastAsia="zh-CN"/>
        </w:rPr>
        <w:t>。</w:t>
      </w:r>
    </w:p>
    <w:p w14:paraId="0827D52D">
      <w:pPr>
        <w:pStyle w:val="8"/>
        <w:pageBreakBefore w:val="0"/>
        <w:widowControl w:val="0"/>
        <w:tabs>
          <w:tab w:val="left" w:pos="1008"/>
          <w:tab w:val="left" w:pos="1260"/>
          <w:tab w:val="clear" w:pos="1060"/>
        </w:tabs>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b w:val="0"/>
          <w:bCs w:val="0"/>
          <w:color w:val="000000"/>
          <w:spacing w:val="0"/>
          <w:sz w:val="24"/>
          <w:szCs w:val="24"/>
          <w:highlight w:val="none"/>
          <w:lang w:val="en-US" w:eastAsia="zh-CN" w:bidi="ar-SA"/>
        </w:rPr>
      </w:pPr>
      <w:r>
        <w:rPr>
          <w:rFonts w:hint="eastAsia" w:ascii="宋体" w:hAnsi="宋体" w:eastAsia="宋体" w:cs="宋体"/>
          <w:b w:val="0"/>
          <w:bCs w:val="0"/>
          <w:color w:val="000000"/>
          <w:spacing w:val="0"/>
          <w:sz w:val="24"/>
          <w:szCs w:val="24"/>
          <w:highlight w:val="none"/>
          <w:lang w:val="en-US" w:eastAsia="zh-CN" w:bidi="ar-SA"/>
        </w:rPr>
        <w:t>以上原材料须提供符合相关国家标准要求的主要原材料的检测报告。检测报告全满足、无不符合项的为有效报告。</w:t>
      </w:r>
    </w:p>
    <w:p w14:paraId="1DC9872F">
      <w:pPr>
        <w:rPr>
          <w:rFonts w:hint="default"/>
          <w:lang w:val="en-US" w:eastAsia="zh-CN"/>
        </w:rPr>
      </w:pPr>
      <w:r>
        <w:rPr>
          <w:rFonts w:hint="eastAsia" w:ascii="宋体" w:hAnsi="宋体" w:cs="宋体"/>
          <w:b w:val="0"/>
          <w:bCs w:val="0"/>
          <w:color w:val="000000"/>
          <w:spacing w:val="0"/>
          <w:sz w:val="24"/>
          <w:szCs w:val="24"/>
          <w:highlight w:val="none"/>
          <w:lang w:val="en-US" w:eastAsia="zh-CN" w:bidi="ar-SA"/>
        </w:rPr>
        <w:t xml:space="preserve">    以上原材料如有与最新标准不符的，以最新标准为准。</w:t>
      </w:r>
    </w:p>
    <w:p w14:paraId="383427F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八、</w:t>
      </w:r>
      <w:r>
        <w:rPr>
          <w:rFonts w:hint="eastAsia" w:ascii="宋体" w:hAnsi="宋体" w:eastAsia="宋体" w:cs="宋体"/>
          <w:b w:val="0"/>
          <w:bCs w:val="0"/>
          <w:sz w:val="30"/>
          <w:szCs w:val="30"/>
          <w:highlight w:val="none"/>
        </w:rPr>
        <w:t>样品要求</w:t>
      </w:r>
      <w:bookmarkEnd w:id="75"/>
      <w:bookmarkEnd w:id="76"/>
      <w:bookmarkEnd w:id="77"/>
      <w:bookmarkEnd w:id="78"/>
    </w:p>
    <w:p w14:paraId="2EF8FD88">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本项目 </w:t>
      </w:r>
      <w:r>
        <w:rPr>
          <w:rFonts w:hint="eastAsia" w:ascii="宋体" w:hAnsi="宋体" w:eastAsia="宋体" w:cs="宋体"/>
          <w:b w:val="0"/>
          <w:bCs w:val="0"/>
          <w:sz w:val="24"/>
          <w:szCs w:val="24"/>
          <w:highlight w:val="none"/>
        </w:rPr>
        <w:sym w:font="Wingdings 2" w:char="0052"/>
      </w:r>
      <w:r>
        <w:rPr>
          <w:rFonts w:hint="eastAsia" w:ascii="宋体" w:hAnsi="宋体" w:eastAsia="宋体" w:cs="宋体"/>
          <w:b w:val="0"/>
          <w:bCs w:val="0"/>
          <w:sz w:val="24"/>
          <w:szCs w:val="24"/>
          <w:highlight w:val="none"/>
        </w:rPr>
        <w:t>是</w:t>
      </w:r>
      <w:r>
        <w:rPr>
          <w:rFonts w:hint="eastAsia" w:asci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要求提供样品</w:t>
      </w:r>
    </w:p>
    <w:p w14:paraId="648774FB">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样品是否完全符合招标需求，评审时无专业检测设备检测，以评委综合评审打分为准。投标人样品是否完全符合招标需求不作为投标人被质疑或投诉或取消中标资格因素（采购人按法律法规等规定要求取消中标资格除外）。</w:t>
      </w:r>
    </w:p>
    <w:p w14:paraId="5BF4E33E">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2.投标人在报价时应充分考虑提供样品而产生装卸、运输、人力、保险等一切费用，采购人均不予以补偿任何费用。同时，样品在送达或退还时搬运、组装等过程中产生损坏的，由投标人在自行承担相应的风险。</w:t>
      </w:r>
    </w:p>
    <w:p w14:paraId="2EB9B08C">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highlight w:val="none"/>
        </w:rPr>
        <w:t>3.投标样品（见下表）：</w:t>
      </w:r>
    </w:p>
    <w:tbl>
      <w:tblPr>
        <w:tblStyle w:val="49"/>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006"/>
        <w:gridCol w:w="1015"/>
        <w:gridCol w:w="1016"/>
        <w:gridCol w:w="1082"/>
        <w:gridCol w:w="3392"/>
      </w:tblGrid>
      <w:tr w14:paraId="7EAC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724" w:type="dxa"/>
            <w:noWrap w:val="0"/>
            <w:tcMar>
              <w:top w:w="15" w:type="dxa"/>
              <w:left w:w="15" w:type="dxa"/>
              <w:right w:w="15" w:type="dxa"/>
            </w:tcMar>
            <w:vAlign w:val="center"/>
          </w:tcPr>
          <w:p w14:paraId="5ABE1685">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006" w:type="dxa"/>
            <w:noWrap w:val="0"/>
            <w:tcMar>
              <w:top w:w="15" w:type="dxa"/>
              <w:left w:w="15" w:type="dxa"/>
              <w:right w:w="15" w:type="dxa"/>
            </w:tcMar>
            <w:vAlign w:val="center"/>
          </w:tcPr>
          <w:p w14:paraId="061A60CD">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1015" w:type="dxa"/>
            <w:noWrap w:val="0"/>
            <w:tcMar>
              <w:top w:w="15" w:type="dxa"/>
              <w:left w:w="15" w:type="dxa"/>
              <w:right w:w="15" w:type="dxa"/>
            </w:tcMar>
            <w:vAlign w:val="center"/>
          </w:tcPr>
          <w:p w14:paraId="32C2CD57">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数量</w:t>
            </w:r>
          </w:p>
        </w:tc>
        <w:tc>
          <w:tcPr>
            <w:tcW w:w="1016" w:type="dxa"/>
            <w:noWrap w:val="0"/>
            <w:tcMar>
              <w:top w:w="15" w:type="dxa"/>
              <w:left w:w="15" w:type="dxa"/>
              <w:right w:w="15" w:type="dxa"/>
            </w:tcMar>
            <w:vAlign w:val="center"/>
          </w:tcPr>
          <w:p w14:paraId="2D44FB75">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w:t>
            </w:r>
          </w:p>
        </w:tc>
        <w:tc>
          <w:tcPr>
            <w:tcW w:w="1082" w:type="dxa"/>
            <w:noWrap w:val="0"/>
            <w:tcMar>
              <w:top w:w="15" w:type="dxa"/>
              <w:left w:w="15" w:type="dxa"/>
              <w:right w:w="15" w:type="dxa"/>
            </w:tcMar>
            <w:vAlign w:val="center"/>
          </w:tcPr>
          <w:p w14:paraId="0DE29ECA">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对应清单序号</w:t>
            </w:r>
          </w:p>
        </w:tc>
        <w:tc>
          <w:tcPr>
            <w:tcW w:w="3392" w:type="dxa"/>
            <w:noWrap w:val="0"/>
            <w:vAlign w:val="center"/>
          </w:tcPr>
          <w:p w14:paraId="0B6568AA">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备注</w:t>
            </w:r>
          </w:p>
        </w:tc>
      </w:tr>
      <w:tr w14:paraId="236D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4" w:type="dxa"/>
            <w:noWrap w:val="0"/>
            <w:tcMar>
              <w:top w:w="15" w:type="dxa"/>
              <w:left w:w="15" w:type="dxa"/>
              <w:right w:w="15" w:type="dxa"/>
            </w:tcMar>
            <w:vAlign w:val="center"/>
          </w:tcPr>
          <w:p w14:paraId="62A35CF0">
            <w:pPr>
              <w:keepNext w:val="0"/>
              <w:keepLines w:val="0"/>
              <w:pageBreakBefore w:val="0"/>
              <w:tabs>
                <w:tab w:val="left" w:pos="0"/>
              </w:tabs>
              <w:kinsoku/>
              <w:wordWrap/>
              <w:overflowPunct/>
              <w:topLinePunct w:val="0"/>
              <w:bidi w:val="0"/>
              <w:jc w:val="center"/>
              <w:rPr>
                <w:rFonts w:hint="eastAsia" w:ascii="宋体" w:hAnsi="宋体" w:eastAsia="宋体" w:cs="宋体"/>
                <w:b w:val="0"/>
                <w:bCs w:val="0"/>
                <w:sz w:val="24"/>
                <w:szCs w:val="24"/>
                <w:highlight w:val="none"/>
              </w:rPr>
            </w:pPr>
            <w:r>
              <w:rPr>
                <w:rFonts w:hint="eastAsia" w:ascii="宋体" w:eastAsia="宋体"/>
                <w:b w:val="0"/>
                <w:bCs w:val="0"/>
                <w:sz w:val="24"/>
                <w:szCs w:val="24"/>
              </w:rPr>
              <w:t>1</w:t>
            </w:r>
          </w:p>
        </w:tc>
        <w:tc>
          <w:tcPr>
            <w:tcW w:w="2006" w:type="dxa"/>
            <w:noWrap w:val="0"/>
            <w:tcMar>
              <w:top w:w="15" w:type="dxa"/>
              <w:left w:w="15" w:type="dxa"/>
              <w:right w:w="15" w:type="dxa"/>
            </w:tcMar>
            <w:vAlign w:val="center"/>
          </w:tcPr>
          <w:p w14:paraId="7A6C0F3E">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活动实木60小方桌</w:t>
            </w:r>
          </w:p>
        </w:tc>
        <w:tc>
          <w:tcPr>
            <w:tcW w:w="1015" w:type="dxa"/>
            <w:noWrap w:val="0"/>
            <w:tcMar>
              <w:top w:w="15" w:type="dxa"/>
              <w:left w:w="15" w:type="dxa"/>
              <w:right w:w="15" w:type="dxa"/>
            </w:tcMar>
            <w:vAlign w:val="center"/>
          </w:tcPr>
          <w:p w14:paraId="7C08EDC6">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rPr>
            </w:pPr>
            <w:r>
              <w:rPr>
                <w:rFonts w:hint="eastAsia" w:ascii="宋体" w:eastAsia="宋体"/>
                <w:b w:val="0"/>
                <w:bCs w:val="0"/>
                <w:sz w:val="24"/>
                <w:szCs w:val="24"/>
                <w:highlight w:val="none"/>
              </w:rPr>
              <w:t>1</w:t>
            </w:r>
          </w:p>
        </w:tc>
        <w:tc>
          <w:tcPr>
            <w:tcW w:w="1016" w:type="dxa"/>
            <w:noWrap w:val="0"/>
            <w:tcMar>
              <w:top w:w="15" w:type="dxa"/>
              <w:left w:w="15" w:type="dxa"/>
              <w:right w:w="15" w:type="dxa"/>
            </w:tcMar>
            <w:vAlign w:val="center"/>
          </w:tcPr>
          <w:p w14:paraId="665D4FE9">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lang w:eastAsia="zh-CN"/>
              </w:rPr>
            </w:pPr>
            <w:r>
              <w:rPr>
                <w:rFonts w:hint="eastAsia" w:ascii="宋体" w:eastAsia="宋体"/>
                <w:b w:val="0"/>
                <w:bCs w:val="0"/>
                <w:sz w:val="24"/>
                <w:szCs w:val="24"/>
                <w:highlight w:val="none"/>
                <w:lang w:val="en-US" w:eastAsia="zh-CN"/>
              </w:rPr>
              <w:t>张</w:t>
            </w:r>
          </w:p>
        </w:tc>
        <w:tc>
          <w:tcPr>
            <w:tcW w:w="1082" w:type="dxa"/>
            <w:noWrap w:val="0"/>
            <w:tcMar>
              <w:top w:w="15" w:type="dxa"/>
              <w:left w:w="15" w:type="dxa"/>
              <w:right w:w="15" w:type="dxa"/>
            </w:tcMar>
            <w:vAlign w:val="center"/>
          </w:tcPr>
          <w:p w14:paraId="089ED55A">
            <w:pPr>
              <w:keepNext w:val="0"/>
              <w:keepLines w:val="0"/>
              <w:pageBreakBefore w:val="0"/>
              <w:kinsoku/>
              <w:wordWrap/>
              <w:overflowPunct/>
              <w:topLinePunct w:val="0"/>
              <w:bidi w:val="0"/>
              <w:jc w:val="center"/>
              <w:rPr>
                <w:rFonts w:hint="default" w:ascii="宋体" w:hAns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小班</w:t>
            </w:r>
            <w:r>
              <w:rPr>
                <w:rFonts w:hint="eastAsia" w:ascii="宋体" w:cs="宋体"/>
                <w:b w:val="0"/>
                <w:bCs w:val="0"/>
                <w:sz w:val="24"/>
                <w:szCs w:val="24"/>
                <w:highlight w:val="none"/>
                <w:lang w:val="en-US" w:eastAsia="zh-CN"/>
              </w:rPr>
              <w:t>3</w:t>
            </w:r>
          </w:p>
        </w:tc>
        <w:tc>
          <w:tcPr>
            <w:tcW w:w="3392" w:type="dxa"/>
            <w:noWrap w:val="0"/>
            <w:vAlign w:val="center"/>
          </w:tcPr>
          <w:p w14:paraId="1EAE8E1F">
            <w:pPr>
              <w:keepNext w:val="0"/>
              <w:keepLines w:val="0"/>
              <w:pageBreakBefore w:val="0"/>
              <w:widowControl/>
              <w:kinsoku/>
              <w:wordWrap/>
              <w:overflowPunct/>
              <w:topLinePunct w:val="0"/>
              <w:bidi w:val="0"/>
              <w:jc w:val="center"/>
              <w:textAlignment w:val="center"/>
              <w:rPr>
                <w:rFonts w:hint="eastAsia" w:ascii="宋体" w:hAnsi="宋体" w:eastAsia="宋体" w:cs="宋体"/>
                <w:b w:val="0"/>
                <w:bCs w:val="0"/>
                <w:sz w:val="24"/>
                <w:szCs w:val="24"/>
                <w:highlight w:val="none"/>
              </w:rPr>
            </w:pPr>
            <w:r>
              <w:rPr>
                <w:rFonts w:hint="eastAsia" w:ascii="宋体" w:eastAsia="宋体"/>
                <w:b w:val="0"/>
                <w:bCs w:val="0"/>
                <w:sz w:val="24"/>
                <w:szCs w:val="24"/>
              </w:rPr>
              <w:t>提供样品时附带样品说明书且样品需与投标方案相对应。</w:t>
            </w:r>
          </w:p>
        </w:tc>
      </w:tr>
      <w:tr w14:paraId="3FAB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724" w:type="dxa"/>
            <w:noWrap w:val="0"/>
            <w:tcMar>
              <w:top w:w="15" w:type="dxa"/>
              <w:left w:w="15" w:type="dxa"/>
              <w:right w:w="15" w:type="dxa"/>
            </w:tcMar>
            <w:vAlign w:val="center"/>
          </w:tcPr>
          <w:p w14:paraId="4DFBC187">
            <w:pPr>
              <w:keepNext w:val="0"/>
              <w:keepLines w:val="0"/>
              <w:pageBreakBefore w:val="0"/>
              <w:tabs>
                <w:tab w:val="left" w:pos="0"/>
              </w:tabs>
              <w:kinsoku/>
              <w:wordWrap/>
              <w:overflowPunct/>
              <w:topLinePunct w:val="0"/>
              <w:bidi w:val="0"/>
              <w:jc w:val="center"/>
              <w:rPr>
                <w:rFonts w:hint="eastAsia" w:ascii="宋体" w:hAnsi="宋体" w:eastAsia="宋体" w:cs="宋体"/>
                <w:b w:val="0"/>
                <w:bCs w:val="0"/>
                <w:sz w:val="24"/>
                <w:szCs w:val="24"/>
                <w:highlight w:val="none"/>
              </w:rPr>
            </w:pPr>
            <w:r>
              <w:rPr>
                <w:rFonts w:hint="eastAsia" w:ascii="宋体" w:eastAsia="宋体"/>
                <w:b w:val="0"/>
                <w:bCs w:val="0"/>
                <w:sz w:val="24"/>
                <w:szCs w:val="24"/>
              </w:rPr>
              <w:t>2</w:t>
            </w:r>
          </w:p>
        </w:tc>
        <w:tc>
          <w:tcPr>
            <w:tcW w:w="2006" w:type="dxa"/>
            <w:noWrap w:val="0"/>
            <w:tcMar>
              <w:top w:w="15" w:type="dxa"/>
              <w:left w:w="15" w:type="dxa"/>
              <w:right w:w="15" w:type="dxa"/>
            </w:tcMar>
            <w:vAlign w:val="center"/>
          </w:tcPr>
          <w:p w14:paraId="19A55278">
            <w:pPr>
              <w:keepNext w:val="0"/>
              <w:keepLines w:val="0"/>
              <w:pageBreakBefore w:val="0"/>
              <w:kinsoku/>
              <w:wordWrap/>
              <w:overflowPunct/>
              <w:topLinePunct w:val="0"/>
              <w:bidi w:val="0"/>
              <w:jc w:val="center"/>
              <w:rPr>
                <w:rFonts w:hint="default" w:ascii="宋体" w:hAnsi="宋体" w:eastAsia="宋体" w:cs="宋体"/>
                <w:b w:val="0"/>
                <w:bCs w:val="0"/>
                <w:sz w:val="24"/>
                <w:szCs w:val="24"/>
                <w:highlight w:val="none"/>
                <w:lang w:val="en-US"/>
              </w:rPr>
            </w:pPr>
            <w:r>
              <w:rPr>
                <w:rFonts w:hint="default" w:ascii="宋体" w:hAnsi="宋体" w:eastAsia="宋体" w:cs="宋体"/>
                <w:b w:val="0"/>
                <w:bCs w:val="0"/>
                <w:sz w:val="24"/>
                <w:szCs w:val="24"/>
                <w:highlight w:val="none"/>
                <w:lang w:val="en-US"/>
              </w:rPr>
              <w:t>实木幼教椅</w:t>
            </w:r>
          </w:p>
        </w:tc>
        <w:tc>
          <w:tcPr>
            <w:tcW w:w="1015" w:type="dxa"/>
            <w:noWrap w:val="0"/>
            <w:tcMar>
              <w:top w:w="15" w:type="dxa"/>
              <w:left w:w="15" w:type="dxa"/>
              <w:right w:w="15" w:type="dxa"/>
            </w:tcMar>
            <w:vAlign w:val="center"/>
          </w:tcPr>
          <w:p w14:paraId="30A45D21">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rPr>
            </w:pPr>
            <w:r>
              <w:rPr>
                <w:rFonts w:hint="eastAsia" w:ascii="宋体" w:eastAsia="宋体"/>
                <w:b w:val="0"/>
                <w:bCs w:val="0"/>
                <w:sz w:val="24"/>
                <w:szCs w:val="24"/>
                <w:highlight w:val="none"/>
              </w:rPr>
              <w:t>1</w:t>
            </w:r>
          </w:p>
        </w:tc>
        <w:tc>
          <w:tcPr>
            <w:tcW w:w="1016" w:type="dxa"/>
            <w:noWrap w:val="0"/>
            <w:tcMar>
              <w:top w:w="15" w:type="dxa"/>
              <w:left w:w="15" w:type="dxa"/>
              <w:right w:w="15" w:type="dxa"/>
            </w:tcMar>
            <w:vAlign w:val="center"/>
          </w:tcPr>
          <w:p w14:paraId="32C8A5C3">
            <w:pPr>
              <w:keepNext w:val="0"/>
              <w:keepLines w:val="0"/>
              <w:pageBreakBefore w:val="0"/>
              <w:kinsoku/>
              <w:wordWrap/>
              <w:overflowPunct/>
              <w:topLinePunct w:val="0"/>
              <w:bidi w:val="0"/>
              <w:jc w:val="center"/>
              <w:rPr>
                <w:rFonts w:hint="eastAsia" w:ascii="宋体" w:hAnsi="宋体" w:eastAsia="宋体" w:cs="宋体"/>
                <w:b w:val="0"/>
                <w:bCs w:val="0"/>
                <w:sz w:val="24"/>
                <w:szCs w:val="24"/>
                <w:highlight w:val="none"/>
                <w:lang w:eastAsia="zh-CN"/>
              </w:rPr>
            </w:pPr>
            <w:r>
              <w:rPr>
                <w:rFonts w:hint="eastAsia" w:ascii="宋体" w:eastAsia="宋体"/>
                <w:b w:val="0"/>
                <w:bCs w:val="0"/>
                <w:sz w:val="24"/>
                <w:szCs w:val="24"/>
                <w:highlight w:val="none"/>
              </w:rPr>
              <w:t>张</w:t>
            </w:r>
          </w:p>
        </w:tc>
        <w:tc>
          <w:tcPr>
            <w:tcW w:w="1082" w:type="dxa"/>
            <w:noWrap w:val="0"/>
            <w:tcMar>
              <w:top w:w="15" w:type="dxa"/>
              <w:left w:w="15" w:type="dxa"/>
              <w:right w:w="15" w:type="dxa"/>
            </w:tcMar>
            <w:vAlign w:val="center"/>
          </w:tcPr>
          <w:p w14:paraId="39666B49">
            <w:pPr>
              <w:keepNext w:val="0"/>
              <w:keepLines w:val="0"/>
              <w:pageBreakBefore w:val="0"/>
              <w:kinsoku/>
              <w:wordWrap/>
              <w:overflowPunct/>
              <w:topLinePunct w:val="0"/>
              <w:bidi w:val="0"/>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小班4</w:t>
            </w:r>
          </w:p>
        </w:tc>
        <w:tc>
          <w:tcPr>
            <w:tcW w:w="3392" w:type="dxa"/>
            <w:noWrap w:val="0"/>
            <w:vAlign w:val="center"/>
          </w:tcPr>
          <w:p w14:paraId="74051585">
            <w:pPr>
              <w:keepNext w:val="0"/>
              <w:keepLines w:val="0"/>
              <w:pageBreakBefore w:val="0"/>
              <w:widowControl/>
              <w:kinsoku/>
              <w:wordWrap/>
              <w:overflowPunct/>
              <w:topLinePunct w:val="0"/>
              <w:bidi w:val="0"/>
              <w:jc w:val="center"/>
              <w:textAlignment w:val="center"/>
              <w:rPr>
                <w:rFonts w:hint="eastAsia" w:ascii="宋体" w:hAnsi="宋体" w:eastAsia="宋体" w:cs="宋体"/>
                <w:b w:val="0"/>
                <w:bCs w:val="0"/>
                <w:sz w:val="24"/>
                <w:szCs w:val="24"/>
                <w:highlight w:val="none"/>
              </w:rPr>
            </w:pPr>
            <w:r>
              <w:rPr>
                <w:rFonts w:hint="eastAsia" w:ascii="宋体" w:eastAsia="宋体"/>
                <w:b w:val="0"/>
                <w:bCs w:val="0"/>
                <w:sz w:val="24"/>
                <w:szCs w:val="24"/>
              </w:rPr>
              <w:t>提供样品时附带样品说明书且样品需与投标方案相对应。</w:t>
            </w:r>
          </w:p>
        </w:tc>
      </w:tr>
    </w:tbl>
    <w:p w14:paraId="49506F16">
      <w:pPr>
        <w:keepNext w:val="0"/>
        <w:keepLines w:val="0"/>
        <w:pageBreakBefore w:val="0"/>
        <w:widowControl/>
        <w:kinsoku/>
        <w:wordWrap/>
        <w:overflowPunct/>
        <w:topLinePunct w:val="0"/>
        <w:bidi w:val="0"/>
        <w:snapToGrid w:val="0"/>
        <w:spacing w:line="400" w:lineRule="exact"/>
        <w:ind w:firstLine="480" w:firstLineChars="200"/>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3.1.样品递交方式：投标人自行提交</w:t>
      </w:r>
      <w:r>
        <w:rPr>
          <w:rFonts w:hint="eastAsia" w:ascii="宋体" w:hAnsi="宋体" w:cs="宋体"/>
          <w:b w:val="0"/>
          <w:bCs w:val="0"/>
          <w:kern w:val="0"/>
          <w:sz w:val="24"/>
          <w:szCs w:val="24"/>
          <w:highlight w:val="none"/>
          <w:lang w:val="en-US" w:eastAsia="zh-CN"/>
        </w:rPr>
        <w:t>或邮寄形式</w:t>
      </w:r>
      <w:r>
        <w:rPr>
          <w:rFonts w:hint="eastAsia" w:ascii="宋体" w:hAnsi="宋体" w:eastAsia="宋体" w:cs="宋体"/>
          <w:b/>
          <w:bCs/>
          <w:kern w:val="0"/>
          <w:sz w:val="24"/>
          <w:szCs w:val="24"/>
          <w:highlight w:val="none"/>
        </w:rPr>
        <w:t>（须标注项目名称、项目编号及投标人名称</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未标注按缺项处理</w:t>
      </w:r>
      <w:r>
        <w:rPr>
          <w:rFonts w:hint="eastAsia" w:ascii="宋体" w:hAnsi="宋体" w:eastAsia="宋体" w:cs="宋体"/>
          <w:b/>
          <w:bCs/>
          <w:kern w:val="0"/>
          <w:sz w:val="24"/>
          <w:szCs w:val="24"/>
          <w:highlight w:val="none"/>
        </w:rPr>
        <w:t>）</w:t>
      </w:r>
      <w:r>
        <w:rPr>
          <w:rFonts w:hint="eastAsia" w:ascii="宋体" w:hAnsi="宋体" w:eastAsia="宋体" w:cs="宋体"/>
          <w:b w:val="0"/>
          <w:bCs w:val="0"/>
          <w:kern w:val="0"/>
          <w:sz w:val="24"/>
          <w:szCs w:val="24"/>
          <w:highlight w:val="none"/>
        </w:rPr>
        <w:t>。</w:t>
      </w:r>
    </w:p>
    <w:p w14:paraId="7C0086E2">
      <w:pPr>
        <w:keepNext w:val="0"/>
        <w:keepLines w:val="0"/>
        <w:pageBreakBefore w:val="0"/>
        <w:widowControl/>
        <w:kinsoku/>
        <w:wordWrap/>
        <w:overflowPunct/>
        <w:topLinePunct w:val="0"/>
        <w:bidi w:val="0"/>
        <w:snapToGrid w:val="0"/>
        <w:spacing w:line="400" w:lineRule="exact"/>
        <w:ind w:firstLine="480" w:firstLineChars="200"/>
        <w:rPr>
          <w:rFonts w:hint="eastAsia" w:ascii="宋体" w:hAnsi="宋体" w:eastAsia="宋体" w:cs="宋体"/>
          <w:b w:val="0"/>
          <w:bCs w:val="0"/>
          <w:kern w:val="0"/>
          <w:sz w:val="24"/>
          <w:szCs w:val="24"/>
          <w:highlight w:val="none"/>
          <w:u w:val="single"/>
        </w:rPr>
      </w:pPr>
      <w:r>
        <w:rPr>
          <w:rFonts w:hint="eastAsia" w:ascii="宋体" w:hAnsi="宋体" w:eastAsia="宋体" w:cs="宋体"/>
          <w:b w:val="0"/>
          <w:bCs w:val="0"/>
          <w:kern w:val="0"/>
          <w:sz w:val="24"/>
          <w:szCs w:val="24"/>
          <w:highlight w:val="none"/>
        </w:rPr>
        <w:t>3.2.递交截止时间：同第一章招标公告中响应文件提交截止时间。</w:t>
      </w:r>
    </w:p>
    <w:p w14:paraId="69A52E4F">
      <w:pPr>
        <w:keepNext w:val="0"/>
        <w:keepLines w:val="0"/>
        <w:pageBreakBefore w:val="0"/>
        <w:widowControl/>
        <w:kinsoku/>
        <w:wordWrap/>
        <w:overflowPunct/>
        <w:topLinePunct w:val="0"/>
        <w:bidi w:val="0"/>
        <w:snapToGrid w:val="0"/>
        <w:spacing w:line="400" w:lineRule="exact"/>
        <w:ind w:firstLine="960" w:firstLineChars="400"/>
        <w:rPr>
          <w:rFonts w:hint="eastAsia" w:ascii="宋体" w:eastAsia="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邮寄/递交</w:t>
      </w:r>
      <w:r>
        <w:rPr>
          <w:rFonts w:hint="eastAsia" w:ascii="宋体" w:hAnsi="宋体" w:eastAsia="宋体" w:cs="宋体"/>
          <w:b w:val="0"/>
          <w:bCs w:val="0"/>
          <w:kern w:val="0"/>
          <w:sz w:val="24"/>
          <w:szCs w:val="24"/>
          <w:highlight w:val="none"/>
        </w:rPr>
        <w:t>地点：</w:t>
      </w:r>
      <w:r>
        <w:rPr>
          <w:rFonts w:hint="eastAsia" w:ascii="宋体" w:eastAsia="宋体" w:cs="宋体"/>
          <w:b w:val="0"/>
          <w:bCs w:val="0"/>
          <w:kern w:val="0"/>
          <w:sz w:val="24"/>
          <w:szCs w:val="24"/>
          <w:highlight w:val="none"/>
          <w:lang w:val="en-US" w:eastAsia="zh-CN"/>
        </w:rPr>
        <w:t>温州市文成县金龙公寓上首202室。</w:t>
      </w:r>
    </w:p>
    <w:p w14:paraId="1D571EAD">
      <w:pPr>
        <w:keepNext w:val="0"/>
        <w:keepLines w:val="0"/>
        <w:pageBreakBefore w:val="0"/>
        <w:widowControl/>
        <w:kinsoku/>
        <w:wordWrap/>
        <w:overflowPunct/>
        <w:topLinePunct w:val="0"/>
        <w:bidi w:val="0"/>
        <w:snapToGrid w:val="0"/>
        <w:spacing w:line="400" w:lineRule="exact"/>
        <w:ind w:firstLine="960" w:firstLineChars="400"/>
        <w:rPr>
          <w:rFonts w:hint="default" w:ascii="宋体" w:eastAsia="宋体" w:cs="宋体"/>
          <w:b w:val="0"/>
          <w:bCs w:val="0"/>
          <w:kern w:val="0"/>
          <w:sz w:val="24"/>
          <w:szCs w:val="24"/>
          <w:highlight w:val="none"/>
          <w:lang w:val="en-US" w:eastAsia="zh-CN"/>
        </w:rPr>
      </w:pPr>
      <w:r>
        <w:rPr>
          <w:rFonts w:hint="eastAsia" w:ascii="宋体" w:cs="宋体"/>
          <w:b w:val="0"/>
          <w:bCs w:val="0"/>
          <w:kern w:val="0"/>
          <w:sz w:val="24"/>
          <w:szCs w:val="24"/>
          <w:highlight w:val="none"/>
          <w:lang w:val="en-US" w:eastAsia="zh-CN"/>
        </w:rPr>
        <w:t>样品收件人：胡先生。联系方式：13676404529。</w:t>
      </w:r>
    </w:p>
    <w:p w14:paraId="4A4FD94E">
      <w:pPr>
        <w:keepNext w:val="0"/>
        <w:keepLines w:val="0"/>
        <w:pageBreakBefore w:val="0"/>
        <w:widowControl/>
        <w:kinsoku/>
        <w:wordWrap/>
        <w:overflowPunct/>
        <w:topLinePunct w:val="0"/>
        <w:bidi w:val="0"/>
        <w:snapToGrid w:val="0"/>
        <w:spacing w:line="400" w:lineRule="exact"/>
        <w:ind w:firstLine="480" w:firstLineChars="200"/>
        <w:rPr>
          <w:rFonts w:hint="eastAsia"/>
          <w:lang w:val="en-US" w:eastAsia="zh-CN"/>
        </w:rPr>
      </w:pPr>
      <w:r>
        <w:rPr>
          <w:rFonts w:hint="eastAsia" w:ascii="宋体" w:hAnsi="宋体" w:eastAsia="宋体" w:cs="宋体"/>
          <w:b w:val="0"/>
          <w:bCs w:val="0"/>
          <w:kern w:val="0"/>
          <w:sz w:val="24"/>
          <w:szCs w:val="24"/>
          <w:highlight w:val="none"/>
        </w:rPr>
        <w:t>3.3.未中标人样品的退还处理方式：开评标结束后，由投标人自行处理，1个工作日后不处理，由代理机构处理。</w:t>
      </w:r>
    </w:p>
    <w:p w14:paraId="11126A5C">
      <w:pPr>
        <w:keepNext w:val="0"/>
        <w:keepLines w:val="0"/>
        <w:pageBreakBefore w:val="0"/>
        <w:widowControl/>
        <w:kinsoku/>
        <w:wordWrap/>
        <w:overflowPunct/>
        <w:topLinePunct w:val="0"/>
        <w:bidi w:val="0"/>
        <w:snapToGrid w:val="0"/>
        <w:spacing w:line="400" w:lineRule="exact"/>
        <w:ind w:firstLine="480" w:firstLineChars="200"/>
        <w:rPr>
          <w:rFonts w:hint="default" w:ascii="宋体" w:hAnsi="宋体" w:eastAsia="宋体" w:cs="宋体"/>
          <w:b w:val="0"/>
          <w:bCs w:val="0"/>
          <w:kern w:val="0"/>
          <w:sz w:val="24"/>
          <w:szCs w:val="24"/>
          <w:highlight w:val="none"/>
          <w:lang w:val="en-US" w:eastAsia="zh-CN"/>
        </w:rPr>
      </w:pPr>
      <w:r>
        <w:rPr>
          <w:rFonts w:hint="eastAsia" w:ascii="宋体" w:eastAsia="宋体" w:cs="宋体"/>
          <w:b w:val="0"/>
          <w:bCs w:val="0"/>
          <w:kern w:val="0"/>
          <w:sz w:val="24"/>
          <w:szCs w:val="24"/>
          <w:highlight w:val="none"/>
          <w:lang w:val="en-US" w:eastAsia="zh-CN"/>
        </w:rPr>
        <w:t>3.4.样品评审方式采用明标形式评审。</w:t>
      </w:r>
    </w:p>
    <w:p w14:paraId="1F92BFE9">
      <w:pPr>
        <w:keepNext w:val="0"/>
        <w:keepLines w:val="0"/>
        <w:pageBreakBefore w:val="0"/>
        <w:widowControl/>
        <w:kinsoku/>
        <w:wordWrap/>
        <w:overflowPunct/>
        <w:topLinePunct w:val="0"/>
        <w:bidi w:val="0"/>
        <w:snapToGrid w:val="0"/>
        <w:spacing w:line="400" w:lineRule="exact"/>
        <w:ind w:firstLine="480" w:firstLineChars="200"/>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w:t>
      </w:r>
      <w:r>
        <w:rPr>
          <w:rFonts w:hint="eastAsia" w:asci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中标</w:t>
      </w:r>
      <w:r>
        <w:rPr>
          <w:rFonts w:hint="eastAsia" w:ascii="宋体" w:hAnsi="宋体" w:eastAsia="宋体" w:cs="宋体"/>
          <w:b w:val="0"/>
          <w:bCs w:val="0"/>
          <w:kern w:val="0"/>
          <w:sz w:val="24"/>
          <w:szCs w:val="24"/>
          <w:highlight w:val="none"/>
          <w:lang w:val="en-US" w:eastAsia="zh-CN"/>
        </w:rPr>
        <w:t>候选</w:t>
      </w:r>
      <w:r>
        <w:rPr>
          <w:rFonts w:hint="eastAsia" w:ascii="宋体" w:hAnsi="宋体" w:eastAsia="宋体" w:cs="宋体"/>
          <w:b w:val="0"/>
          <w:bCs w:val="0"/>
          <w:kern w:val="0"/>
          <w:sz w:val="24"/>
          <w:szCs w:val="24"/>
          <w:highlight w:val="none"/>
        </w:rPr>
        <w:t>人的样品应当由招标人进行保管、封存，作为履约验收的参考。</w:t>
      </w:r>
    </w:p>
    <w:p w14:paraId="0D8CAA8D">
      <w:pPr>
        <w:keepNext w:val="0"/>
        <w:keepLines w:val="0"/>
        <w:pageBreakBefore w:val="0"/>
        <w:widowControl/>
        <w:kinsoku/>
        <w:wordWrap/>
        <w:overflowPunct/>
        <w:topLinePunct w:val="0"/>
        <w:bidi w:val="0"/>
        <w:snapToGrid w:val="0"/>
        <w:spacing w:line="400" w:lineRule="exact"/>
        <w:ind w:firstLine="480" w:firstLineChars="200"/>
        <w:rPr>
          <w:rFonts w:hint="default" w:ascii="宋体" w:hAnsi="宋体" w:eastAsia="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3.6.如采用邮寄形式，对运输过程中的不可预见情形（破损及损坏等），概不负责；由供应商自行承担相应的风险。</w:t>
      </w:r>
    </w:p>
    <w:p w14:paraId="0D1657B0">
      <w:pPr>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宋体"/>
          <w:b w:val="0"/>
          <w:bCs w:val="0"/>
          <w:sz w:val="30"/>
          <w:szCs w:val="30"/>
          <w:highlight w:val="none"/>
        </w:rPr>
      </w:pPr>
      <w:bookmarkStart w:id="79" w:name="_Toc170828488"/>
      <w:bookmarkStart w:id="80" w:name="_Toc486423880"/>
      <w:bookmarkStart w:id="81" w:name="_Toc493956030"/>
      <w:bookmarkStart w:id="82" w:name="_Toc493957142"/>
      <w:r>
        <w:rPr>
          <w:rFonts w:hint="eastAsia" w:ascii="宋体" w:hAnsi="宋体" w:eastAsia="宋体" w:cs="宋体"/>
          <w:b w:val="0"/>
          <w:bCs w:val="0"/>
          <w:sz w:val="30"/>
          <w:szCs w:val="30"/>
          <w:highlight w:val="none"/>
          <w:lang w:val="en-US" w:eastAsia="zh-CN"/>
        </w:rPr>
        <w:t>八</w:t>
      </w:r>
      <w:r>
        <w:rPr>
          <w:rFonts w:hint="eastAsia" w:ascii="宋体" w:hAnsi="宋体" w:eastAsia="宋体" w:cs="宋体"/>
          <w:b w:val="0"/>
          <w:bCs w:val="0"/>
          <w:sz w:val="30"/>
          <w:szCs w:val="30"/>
          <w:highlight w:val="none"/>
          <w:lang w:eastAsia="zh-CN"/>
        </w:rPr>
        <w:t>、</w:t>
      </w:r>
      <w:r>
        <w:rPr>
          <w:rFonts w:hint="eastAsia" w:ascii="宋体" w:hAnsi="宋体" w:eastAsia="宋体" w:cs="宋体"/>
          <w:b w:val="0"/>
          <w:bCs w:val="0"/>
          <w:sz w:val="30"/>
          <w:szCs w:val="30"/>
          <w:highlight w:val="none"/>
        </w:rPr>
        <w:t>其他</w:t>
      </w:r>
      <w:bookmarkEnd w:id="79"/>
      <w:bookmarkEnd w:id="80"/>
      <w:bookmarkEnd w:id="81"/>
      <w:bookmarkEnd w:id="82"/>
    </w:p>
    <w:p w14:paraId="77833DCE">
      <w:pPr>
        <w:keepNext w:val="0"/>
        <w:keepLines w:val="0"/>
        <w:pageBreakBefore w:val="0"/>
        <w:widowControl/>
        <w:kinsoku/>
        <w:wordWrap/>
        <w:overflowPunct/>
        <w:topLinePunct w:val="0"/>
        <w:bidi w:val="0"/>
        <w:snapToGrid w:val="0"/>
        <w:spacing w:line="400" w:lineRule="exact"/>
        <w:ind w:firstLine="480" w:firstLineChars="200"/>
        <w:rPr>
          <w:rFonts w:hint="eastAsia" w:ascii="宋体" w:hAnsi="宋体" w:eastAsia="宋体" w:cs="宋体"/>
          <w:b w:val="0"/>
          <w:bCs w:val="0"/>
          <w:color w:val="0000FF"/>
          <w:spacing w:val="0"/>
          <w:kern w:val="0"/>
          <w:sz w:val="22"/>
          <w:szCs w:val="22"/>
          <w:highlight w:val="none"/>
          <w:lang w:val="en-US" w:eastAsia="zh-CN" w:bidi="ar-SA"/>
        </w:rPr>
      </w:pPr>
      <w:r>
        <w:rPr>
          <w:rFonts w:hint="eastAsia" w:ascii="宋体" w:hAnsi="宋体" w:eastAsia="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rPr>
        <w:t>本项目所涉及的安装数量，招标时确认数量不一定准确时，按其中标单价和实际工程量结算。税收、人工费、安装费等一切与之相关的所有费用都需包含在报价中。</w:t>
      </w:r>
    </w:p>
    <w:p w14:paraId="64A5DDC0">
      <w:pPr>
        <w:spacing w:line="440" w:lineRule="exact"/>
        <w:ind w:firstLine="482" w:firstLineChars="200"/>
        <w:jc w:val="both"/>
        <w:rPr>
          <w:rFonts w:hint="eastAsia" w:ascii="宋体" w:hAnsi="宋体" w:eastAsia="宋体" w:cs="楷体"/>
          <w:b/>
          <w:bCs/>
          <w:kern w:val="2"/>
          <w:sz w:val="24"/>
          <w:szCs w:val="24"/>
          <w:u w:val="single"/>
          <w:lang w:val="en-US" w:eastAsia="zh-CN" w:bidi="ar-SA"/>
        </w:rPr>
      </w:pPr>
      <w:r>
        <w:rPr>
          <w:rFonts w:hint="eastAsia" w:ascii="宋体" w:hAnsi="宋体" w:eastAsia="宋体" w:cs="楷体"/>
          <w:b/>
          <w:bCs/>
          <w:kern w:val="2"/>
          <w:sz w:val="24"/>
          <w:szCs w:val="24"/>
          <w:u w:val="single"/>
          <w:lang w:val="en-US" w:eastAsia="zh-CN" w:bidi="ar-SA"/>
        </w:rPr>
        <w:t>▲根据《政府采购货物和服务招标投标管理办法》（财政部令第87号）第六十条之规定：评标委员会发现投标供应商的报价明显低于其他投标报价，使得其投标报价可能低于其个别成本的（温馨提醒供应商提前备好证明材料），应当要求该供应商作出书面说明并提供相应的证明材料（证明材料包括：投标清单所需材料种类、数量及单价等信息；成本分析报告中包含原材料采购成本、人力成本、运输费用、设备维护费用、税费等方面的详细数据；提供过去类似项目的经验证明；提供控制成本的措施；提供信誉评级证明，例如财务报告、税务证明等。这些证明可以表明供应商在经济实力、资信状况等方面有一定的保障自己的低价成本水平及与技术、服务、资信标相匹配的综合能力）。投标供应商不能合理说明或者不能提供相应证明材料证明成本组成合理性的，评标委员会结合技术、服务、资信标的报价水平综合评判，应当认定该供应商以低于成本报价竞标，并否决其投标。</w:t>
      </w:r>
    </w:p>
    <w:p w14:paraId="0DE4277B">
      <w:pPr>
        <w:pStyle w:val="6"/>
        <w:numPr>
          <w:ilvl w:val="0"/>
          <w:numId w:val="15"/>
        </w:numPr>
        <w:spacing w:after="50" w:line="360" w:lineRule="auto"/>
        <w:ind w:firstLine="0"/>
        <w:jc w:val="center"/>
        <w:outlineLvl w:val="0"/>
        <w:rPr>
          <w:rFonts w:hint="eastAsia" w:ascii="Arial" w:hAnsi="宋体" w:cs="Arial"/>
          <w:b/>
          <w:bCs/>
          <w:color w:val="auto"/>
          <w:szCs w:val="28"/>
          <w:highlight w:val="none"/>
        </w:rPr>
      </w:pPr>
      <w:r>
        <w:rPr>
          <w:rFonts w:hint="eastAsia"/>
          <w:b/>
          <w:bCs/>
          <w:sz w:val="28"/>
          <w:szCs w:val="28"/>
          <w:lang w:val="en-US" w:eastAsia="zh-CN"/>
        </w:rPr>
        <w:br w:type="page"/>
      </w:r>
      <w:r>
        <w:rPr>
          <w:rFonts w:hint="eastAsia" w:ascii="Arial" w:hAnsi="宋体" w:cs="Arial"/>
          <w:b/>
          <w:bCs/>
          <w:color w:val="auto"/>
          <w:szCs w:val="28"/>
          <w:highlight w:val="none"/>
        </w:rPr>
        <w:t xml:space="preserve"> 合同条款</w:t>
      </w:r>
      <w:bookmarkEnd w:id="63"/>
      <w:bookmarkEnd w:id="64"/>
      <w:bookmarkEnd w:id="65"/>
    </w:p>
    <w:p w14:paraId="6D858F87">
      <w:pPr>
        <w:pStyle w:val="27"/>
        <w:snapToGrid w:val="0"/>
        <w:spacing w:line="360" w:lineRule="auto"/>
        <w:jc w:val="center"/>
      </w:pPr>
      <w:r>
        <w:rPr>
          <w:rFonts w:hint="eastAsia" w:hAnsi="宋体" w:cs="宋体"/>
          <w:b/>
          <w:sz w:val="28"/>
          <w:szCs w:val="28"/>
        </w:rPr>
        <w:t>（本合同为合同样稿，最终稿由双方协商后确定）</w:t>
      </w:r>
    </w:p>
    <w:p w14:paraId="6EB40E8D">
      <w:pPr>
        <w:jc w:val="center"/>
        <w:rPr>
          <w:rFonts w:hint="eastAsia" w:ascii="仿宋_GB2312" w:eastAsia="仿宋_GB2312"/>
          <w:color w:val="auto"/>
          <w:sz w:val="24"/>
          <w:szCs w:val="24"/>
          <w:highlight w:val="none"/>
        </w:rPr>
      </w:pPr>
      <w:bookmarkStart w:id="83" w:name="_Toc9010"/>
      <w:bookmarkStart w:id="84" w:name="_Toc17369"/>
      <w:r>
        <w:rPr>
          <w:rFonts w:hint="eastAsia" w:ascii="仿宋_GB2312" w:eastAsia="仿宋_GB2312"/>
          <w:color w:val="auto"/>
          <w:sz w:val="24"/>
          <w:szCs w:val="24"/>
          <w:highlight w:val="none"/>
        </w:rPr>
        <w:t>（根据具体项目要求可替换）</w:t>
      </w:r>
    </w:p>
    <w:p w14:paraId="269EEB10">
      <w:pPr>
        <w:widowControl/>
        <w:spacing w:line="360" w:lineRule="atLeast"/>
        <w:ind w:firstLine="5760" w:firstLineChars="2400"/>
        <w:jc w:val="left"/>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合同编号：_________</w:t>
      </w:r>
    </w:p>
    <w:p w14:paraId="428B78C6">
      <w:pPr>
        <w:pStyle w:val="45"/>
        <w:spacing w:before="0" w:beforeAutospacing="0" w:after="0" w:afterAutospacing="0" w:line="360" w:lineRule="auto"/>
        <w:rPr>
          <w:rFonts w:hint="eastAsia" w:ascii="仿宋_GB2312" w:eastAsia="仿宋_GB2312"/>
          <w:color w:val="auto"/>
          <w:highlight w:val="none"/>
        </w:rPr>
      </w:pPr>
      <w:r>
        <w:rPr>
          <w:rFonts w:hint="eastAsia" w:ascii="仿宋_GB2312" w:eastAsia="仿宋_GB2312"/>
          <w:color w:val="auto"/>
          <w:highlight w:val="none"/>
        </w:rPr>
        <w:t>采购人：（以下称买方）</w:t>
      </w:r>
      <w:r>
        <w:rPr>
          <w:rFonts w:hint="eastAsia" w:ascii="仿宋_GB2312" w:eastAsia="仿宋_GB2312"/>
          <w:color w:val="auto"/>
          <w:highlight w:val="none"/>
          <w:u w:val="single"/>
        </w:rPr>
        <w:t xml:space="preserve">               </w:t>
      </w:r>
    </w:p>
    <w:p w14:paraId="0E845CEB">
      <w:pPr>
        <w:pStyle w:val="45"/>
        <w:spacing w:before="0" w:beforeAutospacing="0" w:after="0" w:afterAutospacing="0" w:line="360" w:lineRule="auto"/>
        <w:rPr>
          <w:rFonts w:hint="eastAsia" w:ascii="仿宋_GB2312" w:eastAsia="仿宋_GB2312"/>
          <w:color w:val="auto"/>
          <w:highlight w:val="none"/>
        </w:rPr>
      </w:pPr>
      <w:r>
        <w:rPr>
          <w:rFonts w:hint="eastAsia" w:ascii="仿宋_GB2312" w:eastAsia="仿宋_GB2312"/>
          <w:color w:val="auto"/>
          <w:highlight w:val="none"/>
        </w:rPr>
        <w:t>中标人：（以下称卖方）</w:t>
      </w:r>
      <w:r>
        <w:rPr>
          <w:rFonts w:hint="eastAsia" w:ascii="仿宋_GB2312" w:eastAsia="仿宋_GB2312"/>
          <w:color w:val="auto"/>
          <w:highlight w:val="none"/>
          <w:u w:val="single"/>
        </w:rPr>
        <w:t xml:space="preserve">               </w:t>
      </w:r>
    </w:p>
    <w:p w14:paraId="4822C279">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hAnsi="楷体" w:eastAsia="仿宋_GB2312"/>
          <w:color w:val="auto"/>
          <w:szCs w:val="24"/>
          <w:highlight w:val="none"/>
        </w:rPr>
        <w:t>根据</w:t>
      </w:r>
      <w:r>
        <w:rPr>
          <w:rFonts w:hint="eastAsia" w:ascii="仿宋_GB2312" w:hAnsi="楷体" w:eastAsia="仿宋_GB2312"/>
          <w:color w:val="auto"/>
          <w:szCs w:val="24"/>
          <w:highlight w:val="none"/>
          <w:u w:val="single"/>
        </w:rPr>
        <w:t xml:space="preserve"> </w:t>
      </w:r>
      <w:r>
        <w:rPr>
          <w:rFonts w:ascii="仿宋_GB2312" w:hAnsi="楷体" w:eastAsia="仿宋_GB2312"/>
          <w:color w:val="auto"/>
          <w:highlight w:val="none"/>
          <w:u w:val="single"/>
        </w:rPr>
        <w:t xml:space="preserve"> </w:t>
      </w:r>
      <w:r>
        <w:rPr>
          <w:rFonts w:hint="eastAsia" w:ascii="仿宋_GB2312" w:hAnsi="楷体" w:eastAsia="仿宋_GB2312"/>
          <w:color w:val="auto"/>
          <w:szCs w:val="24"/>
          <w:highlight w:val="none"/>
          <w:u w:val="single"/>
        </w:rPr>
        <w:t>（项目名称）</w:t>
      </w:r>
      <w:r>
        <w:rPr>
          <w:rFonts w:hint="eastAsia" w:ascii="仿宋_GB2312" w:hAnsi="楷体" w:eastAsia="仿宋_GB2312"/>
          <w:color w:val="auto"/>
          <w:highlight w:val="none"/>
          <w:u w:val="single"/>
        </w:rPr>
        <w:t xml:space="preserve"> </w:t>
      </w:r>
      <w:r>
        <w:rPr>
          <w:rFonts w:hint="eastAsia" w:ascii="仿宋_GB2312" w:hAnsi="楷体" w:eastAsia="仿宋_GB2312"/>
          <w:color w:val="auto"/>
          <w:szCs w:val="24"/>
          <w:highlight w:val="none"/>
        </w:rPr>
        <w:t>招标文件（项目编号：</w:t>
      </w:r>
      <w:r>
        <w:rPr>
          <w:rFonts w:ascii="仿宋_GB2312" w:hAnsi="楷体" w:eastAsia="仿宋_GB2312"/>
          <w:color w:val="auto"/>
          <w:szCs w:val="24"/>
          <w:highlight w:val="none"/>
          <w:u w:val="single"/>
        </w:rPr>
        <w:t xml:space="preserve">    </w:t>
      </w:r>
      <w:r>
        <w:rPr>
          <w:rFonts w:hint="eastAsia" w:ascii="仿宋_GB2312" w:hAnsi="楷体" w:eastAsia="仿宋_GB2312"/>
          <w:color w:val="auto"/>
          <w:szCs w:val="24"/>
          <w:highlight w:val="none"/>
        </w:rPr>
        <w:t>），在</w:t>
      </w:r>
      <w:r>
        <w:rPr>
          <w:rFonts w:hint="eastAsia" w:ascii="仿宋_GB2312" w:hAnsi="楷体" w:eastAsia="仿宋_GB2312"/>
          <w:color w:val="auto"/>
          <w:szCs w:val="24"/>
          <w:highlight w:val="none"/>
          <w:u w:val="single"/>
          <w:lang w:val="zh-CN"/>
        </w:rPr>
        <w:t xml:space="preserve">       </w:t>
      </w:r>
      <w:r>
        <w:rPr>
          <w:rFonts w:hint="eastAsia" w:ascii="仿宋_GB2312" w:hAnsi="楷体" w:eastAsia="仿宋_GB2312"/>
          <w:color w:val="auto"/>
          <w:szCs w:val="24"/>
          <w:highlight w:val="none"/>
          <w:lang w:val="zh-CN"/>
        </w:rPr>
        <w:t>年</w:t>
      </w:r>
      <w:r>
        <w:rPr>
          <w:rFonts w:hint="eastAsia" w:ascii="仿宋_GB2312" w:hAnsi="楷体" w:eastAsia="仿宋_GB2312"/>
          <w:color w:val="auto"/>
          <w:szCs w:val="24"/>
          <w:highlight w:val="none"/>
          <w:u w:val="single"/>
          <w:lang w:val="zh-CN"/>
        </w:rPr>
        <w:t xml:space="preserve">    </w:t>
      </w:r>
      <w:r>
        <w:rPr>
          <w:rFonts w:hint="eastAsia" w:ascii="仿宋_GB2312" w:hAnsi="楷体" w:eastAsia="仿宋_GB2312"/>
          <w:color w:val="auto"/>
          <w:szCs w:val="24"/>
          <w:highlight w:val="none"/>
          <w:lang w:val="zh-CN"/>
        </w:rPr>
        <w:t>月</w:t>
      </w:r>
      <w:r>
        <w:rPr>
          <w:rFonts w:hint="eastAsia" w:ascii="仿宋_GB2312" w:hAnsi="楷体" w:eastAsia="仿宋_GB2312"/>
          <w:color w:val="auto"/>
          <w:szCs w:val="24"/>
          <w:highlight w:val="none"/>
          <w:u w:val="single"/>
          <w:lang w:val="zh-CN"/>
        </w:rPr>
        <w:t xml:space="preserve">    </w:t>
      </w:r>
      <w:r>
        <w:rPr>
          <w:rFonts w:hint="eastAsia" w:ascii="仿宋_GB2312" w:hAnsi="楷体" w:eastAsia="仿宋_GB2312"/>
          <w:color w:val="auto"/>
          <w:szCs w:val="24"/>
          <w:highlight w:val="none"/>
          <w:lang w:val="zh-CN"/>
        </w:rPr>
        <w:t>日</w:t>
      </w:r>
      <w:r>
        <w:rPr>
          <w:rFonts w:hint="eastAsia" w:ascii="仿宋_GB2312" w:hAnsi="楷体" w:eastAsia="仿宋_GB2312"/>
          <w:color w:val="auto"/>
          <w:szCs w:val="24"/>
          <w:highlight w:val="none"/>
        </w:rPr>
        <w:t>，</w:t>
      </w:r>
      <w:r>
        <w:rPr>
          <w:rFonts w:hint="eastAsia" w:ascii="仿宋_GB2312" w:hAnsi="楷体" w:eastAsia="仿宋_GB2312"/>
          <w:color w:val="auto"/>
          <w:highlight w:val="none"/>
          <w:u w:val="single"/>
        </w:rPr>
        <w:t xml:space="preserve">  （</w:t>
      </w:r>
      <w:r>
        <w:rPr>
          <w:rFonts w:hint="eastAsia" w:ascii="仿宋_GB2312" w:hAnsi="楷体" w:eastAsia="仿宋_GB2312"/>
          <w:color w:val="auto"/>
          <w:szCs w:val="24"/>
          <w:highlight w:val="none"/>
          <w:u w:val="single"/>
        </w:rPr>
        <w:t>采购人名称）</w:t>
      </w:r>
      <w:r>
        <w:rPr>
          <w:rFonts w:hint="eastAsia" w:ascii="仿宋_GB2312" w:hAnsi="楷体" w:eastAsia="仿宋_GB2312"/>
          <w:color w:val="auto"/>
          <w:szCs w:val="24"/>
          <w:highlight w:val="none"/>
        </w:rPr>
        <w:t>对该项目进行了公开招标采购，经评标委员会评定，确定</w:t>
      </w:r>
      <w:r>
        <w:rPr>
          <w:rFonts w:hint="eastAsia" w:ascii="仿宋_GB2312" w:hAnsi="楷体" w:eastAsia="仿宋_GB2312"/>
          <w:color w:val="auto"/>
          <w:szCs w:val="24"/>
          <w:highlight w:val="none"/>
          <w:u w:val="single"/>
        </w:rPr>
        <w:t xml:space="preserve">  （中标人名称）  </w:t>
      </w:r>
      <w:r>
        <w:rPr>
          <w:rFonts w:hint="eastAsia" w:ascii="仿宋_GB2312" w:hAnsi="楷体" w:eastAsia="仿宋_GB2312"/>
          <w:color w:val="auto"/>
          <w:szCs w:val="24"/>
          <w:highlight w:val="none"/>
        </w:rPr>
        <w:t>为该项目中标人。甲乙双方依据《中华人民共和国政府采购法》、《中华人民共和国合同法》等相关法律法规和招标文件的要求，在平等自愿的基础上，同意按照下面的条款和条件，签署本合同。</w:t>
      </w:r>
    </w:p>
    <w:p w14:paraId="0230226D">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第一条　合同标的</w:t>
      </w:r>
    </w:p>
    <w:p w14:paraId="6A1E444F">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1.1卖方根据买方需求提供下列货物：</w:t>
      </w:r>
      <w:r>
        <w:rPr>
          <w:rFonts w:hint="eastAsia" w:ascii="仿宋_GB2312" w:eastAsia="仿宋_GB2312"/>
          <w:color w:val="auto"/>
          <w:highlight w:val="none"/>
          <w:u w:val="single"/>
        </w:rPr>
        <w:t xml:space="preserve">           </w:t>
      </w:r>
    </w:p>
    <w:p w14:paraId="1EC04DDF">
      <w:pPr>
        <w:pStyle w:val="45"/>
        <w:spacing w:before="0" w:beforeAutospacing="0" w:after="0" w:afterAutospacing="0"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1.2货物名称、规格及数量详见“货物一览表”；</w:t>
      </w:r>
    </w:p>
    <w:p w14:paraId="35AE1028">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1.3</w:t>
      </w:r>
      <w:r>
        <w:rPr>
          <w:rFonts w:hint="eastAsia" w:ascii="仿宋_GB2312" w:hAnsi="楷体" w:eastAsia="仿宋_GB2312"/>
          <w:color w:val="auto"/>
          <w:sz w:val="24"/>
          <w:highlight w:val="none"/>
        </w:rPr>
        <w:t>货物</w:t>
      </w:r>
      <w:r>
        <w:rPr>
          <w:rFonts w:ascii="仿宋_GB2312" w:hAnsi="楷体" w:eastAsia="仿宋_GB2312"/>
          <w:color w:val="auto"/>
          <w:sz w:val="24"/>
          <w:highlight w:val="none"/>
        </w:rPr>
        <w:t>一览表</w:t>
      </w:r>
      <w:r>
        <w:rPr>
          <w:rFonts w:hint="eastAsia" w:ascii="仿宋_GB2312" w:hAnsi="楷体" w:eastAsia="仿宋_GB2312"/>
          <w:color w:val="auto"/>
          <w:sz w:val="24"/>
          <w:highlight w:val="none"/>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0"/>
        <w:gridCol w:w="1559"/>
        <w:gridCol w:w="1067"/>
        <w:gridCol w:w="1315"/>
        <w:gridCol w:w="1700"/>
      </w:tblGrid>
      <w:tr w14:paraId="1368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5D3A0CEF">
            <w:pPr>
              <w:pStyle w:val="45"/>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序号</w:t>
            </w:r>
          </w:p>
        </w:tc>
        <w:tc>
          <w:tcPr>
            <w:tcW w:w="1730" w:type="dxa"/>
            <w:noWrap w:val="0"/>
            <w:vAlign w:val="center"/>
          </w:tcPr>
          <w:p w14:paraId="5442EE43">
            <w:pPr>
              <w:pStyle w:val="45"/>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货物名称</w:t>
            </w:r>
          </w:p>
        </w:tc>
        <w:tc>
          <w:tcPr>
            <w:tcW w:w="1559" w:type="dxa"/>
            <w:noWrap w:val="0"/>
            <w:vAlign w:val="center"/>
          </w:tcPr>
          <w:p w14:paraId="3EADE21B">
            <w:pPr>
              <w:pStyle w:val="45"/>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规格</w:t>
            </w:r>
            <w:r>
              <w:rPr>
                <w:rFonts w:ascii="仿宋_GB2312" w:eastAsia="仿宋_GB2312"/>
                <w:color w:val="auto"/>
                <w:highlight w:val="none"/>
              </w:rPr>
              <w:t>型号</w:t>
            </w:r>
          </w:p>
        </w:tc>
        <w:tc>
          <w:tcPr>
            <w:tcW w:w="1067" w:type="dxa"/>
            <w:noWrap w:val="0"/>
            <w:vAlign w:val="center"/>
          </w:tcPr>
          <w:p w14:paraId="08CA50CC">
            <w:pPr>
              <w:pStyle w:val="45"/>
              <w:spacing w:before="0" w:after="0"/>
              <w:jc w:val="center"/>
              <w:rPr>
                <w:rFonts w:hint="eastAsia" w:ascii="仿宋_GB2312" w:eastAsia="仿宋_GB2312"/>
                <w:color w:val="auto"/>
                <w:highlight w:val="none"/>
              </w:rPr>
            </w:pPr>
            <w:r>
              <w:rPr>
                <w:rFonts w:hint="eastAsia" w:ascii="仿宋_GB2312" w:eastAsia="仿宋_GB2312"/>
                <w:color w:val="auto"/>
                <w:highlight w:val="none"/>
              </w:rPr>
              <w:t>数量</w:t>
            </w:r>
          </w:p>
        </w:tc>
        <w:tc>
          <w:tcPr>
            <w:tcW w:w="1315" w:type="dxa"/>
            <w:noWrap w:val="0"/>
            <w:vAlign w:val="center"/>
          </w:tcPr>
          <w:p w14:paraId="1C4521D2">
            <w:pPr>
              <w:pStyle w:val="45"/>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单价</w:t>
            </w:r>
          </w:p>
        </w:tc>
        <w:tc>
          <w:tcPr>
            <w:tcW w:w="1700" w:type="dxa"/>
            <w:noWrap w:val="0"/>
            <w:vAlign w:val="center"/>
          </w:tcPr>
          <w:p w14:paraId="128DC10E">
            <w:pPr>
              <w:pStyle w:val="45"/>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合价</w:t>
            </w:r>
          </w:p>
        </w:tc>
      </w:tr>
      <w:tr w14:paraId="3933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0AEF42E4">
            <w:pPr>
              <w:pStyle w:val="45"/>
              <w:spacing w:before="0" w:beforeAutospacing="0" w:after="0" w:afterAutospacing="0"/>
              <w:jc w:val="center"/>
              <w:rPr>
                <w:rFonts w:hint="eastAsia" w:ascii="仿宋_GB2312" w:eastAsia="仿宋_GB2312"/>
                <w:color w:val="auto"/>
                <w:highlight w:val="none"/>
              </w:rPr>
            </w:pPr>
          </w:p>
        </w:tc>
        <w:tc>
          <w:tcPr>
            <w:tcW w:w="1730" w:type="dxa"/>
            <w:noWrap w:val="0"/>
            <w:vAlign w:val="center"/>
          </w:tcPr>
          <w:p w14:paraId="586CA51B">
            <w:pPr>
              <w:pStyle w:val="45"/>
              <w:spacing w:before="0" w:beforeAutospacing="0" w:after="0" w:afterAutospacing="0"/>
              <w:jc w:val="center"/>
              <w:rPr>
                <w:rFonts w:hint="eastAsia" w:ascii="仿宋_GB2312" w:eastAsia="仿宋_GB2312"/>
                <w:color w:val="auto"/>
                <w:highlight w:val="none"/>
              </w:rPr>
            </w:pPr>
          </w:p>
        </w:tc>
        <w:tc>
          <w:tcPr>
            <w:tcW w:w="1559" w:type="dxa"/>
            <w:noWrap w:val="0"/>
            <w:vAlign w:val="center"/>
          </w:tcPr>
          <w:p w14:paraId="56B2514E">
            <w:pPr>
              <w:pStyle w:val="45"/>
              <w:spacing w:before="0" w:beforeAutospacing="0" w:after="0" w:afterAutospacing="0"/>
              <w:jc w:val="center"/>
              <w:rPr>
                <w:rFonts w:hint="eastAsia" w:ascii="仿宋_GB2312" w:eastAsia="仿宋_GB2312"/>
                <w:color w:val="auto"/>
                <w:highlight w:val="none"/>
              </w:rPr>
            </w:pPr>
          </w:p>
        </w:tc>
        <w:tc>
          <w:tcPr>
            <w:tcW w:w="1067" w:type="dxa"/>
            <w:noWrap w:val="0"/>
            <w:vAlign w:val="center"/>
          </w:tcPr>
          <w:p w14:paraId="6CBC01E3">
            <w:pPr>
              <w:pStyle w:val="45"/>
              <w:spacing w:before="0" w:beforeAutospacing="0" w:after="0" w:afterAutospacing="0"/>
              <w:jc w:val="center"/>
              <w:rPr>
                <w:rFonts w:hint="eastAsia" w:ascii="仿宋_GB2312" w:eastAsia="仿宋_GB2312"/>
                <w:color w:val="auto"/>
                <w:highlight w:val="none"/>
              </w:rPr>
            </w:pPr>
          </w:p>
        </w:tc>
        <w:tc>
          <w:tcPr>
            <w:tcW w:w="1315" w:type="dxa"/>
            <w:noWrap w:val="0"/>
            <w:vAlign w:val="center"/>
          </w:tcPr>
          <w:p w14:paraId="1949F809">
            <w:pPr>
              <w:pStyle w:val="45"/>
              <w:spacing w:before="0" w:beforeAutospacing="0" w:after="0" w:afterAutospacing="0"/>
              <w:jc w:val="center"/>
              <w:rPr>
                <w:rFonts w:hint="eastAsia" w:ascii="仿宋_GB2312" w:eastAsia="仿宋_GB2312"/>
                <w:color w:val="auto"/>
                <w:highlight w:val="none"/>
              </w:rPr>
            </w:pPr>
          </w:p>
        </w:tc>
        <w:tc>
          <w:tcPr>
            <w:tcW w:w="1700" w:type="dxa"/>
            <w:noWrap w:val="0"/>
            <w:vAlign w:val="center"/>
          </w:tcPr>
          <w:p w14:paraId="5FECE3C2">
            <w:pPr>
              <w:pStyle w:val="45"/>
              <w:spacing w:before="0" w:beforeAutospacing="0" w:after="0" w:afterAutospacing="0"/>
              <w:jc w:val="center"/>
              <w:rPr>
                <w:rFonts w:hint="eastAsia" w:ascii="仿宋_GB2312" w:eastAsia="仿宋_GB2312"/>
                <w:color w:val="auto"/>
                <w:highlight w:val="none"/>
              </w:rPr>
            </w:pPr>
          </w:p>
        </w:tc>
      </w:tr>
      <w:tr w14:paraId="6629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430886EE">
            <w:pPr>
              <w:pStyle w:val="45"/>
              <w:spacing w:before="0" w:beforeAutospacing="0" w:after="0" w:afterAutospacing="0"/>
              <w:jc w:val="center"/>
              <w:rPr>
                <w:rFonts w:hint="eastAsia" w:ascii="仿宋_GB2312" w:eastAsia="仿宋_GB2312"/>
                <w:color w:val="auto"/>
                <w:highlight w:val="none"/>
              </w:rPr>
            </w:pPr>
          </w:p>
        </w:tc>
        <w:tc>
          <w:tcPr>
            <w:tcW w:w="1730" w:type="dxa"/>
            <w:noWrap w:val="0"/>
            <w:vAlign w:val="center"/>
          </w:tcPr>
          <w:p w14:paraId="553FB5E3">
            <w:pPr>
              <w:pStyle w:val="45"/>
              <w:spacing w:before="0" w:beforeAutospacing="0" w:after="0" w:afterAutospacing="0"/>
              <w:jc w:val="center"/>
              <w:rPr>
                <w:rFonts w:hint="eastAsia" w:ascii="仿宋_GB2312" w:eastAsia="仿宋_GB2312"/>
                <w:color w:val="auto"/>
                <w:highlight w:val="none"/>
              </w:rPr>
            </w:pPr>
          </w:p>
        </w:tc>
        <w:tc>
          <w:tcPr>
            <w:tcW w:w="1559" w:type="dxa"/>
            <w:noWrap w:val="0"/>
            <w:vAlign w:val="center"/>
          </w:tcPr>
          <w:p w14:paraId="76D318D2">
            <w:pPr>
              <w:pStyle w:val="45"/>
              <w:spacing w:before="0" w:beforeAutospacing="0" w:after="0" w:afterAutospacing="0"/>
              <w:jc w:val="center"/>
              <w:rPr>
                <w:rFonts w:hint="eastAsia" w:ascii="仿宋_GB2312" w:eastAsia="仿宋_GB2312"/>
                <w:color w:val="auto"/>
                <w:highlight w:val="none"/>
              </w:rPr>
            </w:pPr>
          </w:p>
        </w:tc>
        <w:tc>
          <w:tcPr>
            <w:tcW w:w="1067" w:type="dxa"/>
            <w:noWrap w:val="0"/>
            <w:vAlign w:val="center"/>
          </w:tcPr>
          <w:p w14:paraId="726561D9">
            <w:pPr>
              <w:pStyle w:val="45"/>
              <w:spacing w:before="0" w:beforeAutospacing="0" w:after="0" w:afterAutospacing="0"/>
              <w:jc w:val="center"/>
              <w:rPr>
                <w:rFonts w:hint="eastAsia" w:ascii="仿宋_GB2312" w:eastAsia="仿宋_GB2312"/>
                <w:color w:val="auto"/>
                <w:highlight w:val="none"/>
              </w:rPr>
            </w:pPr>
          </w:p>
        </w:tc>
        <w:tc>
          <w:tcPr>
            <w:tcW w:w="1315" w:type="dxa"/>
            <w:noWrap w:val="0"/>
            <w:vAlign w:val="center"/>
          </w:tcPr>
          <w:p w14:paraId="1B3521E2">
            <w:pPr>
              <w:pStyle w:val="45"/>
              <w:spacing w:before="0" w:beforeAutospacing="0" w:after="0" w:afterAutospacing="0"/>
              <w:jc w:val="center"/>
              <w:rPr>
                <w:rFonts w:hint="eastAsia" w:ascii="仿宋_GB2312" w:eastAsia="仿宋_GB2312"/>
                <w:color w:val="auto"/>
                <w:highlight w:val="none"/>
              </w:rPr>
            </w:pPr>
          </w:p>
        </w:tc>
        <w:tc>
          <w:tcPr>
            <w:tcW w:w="1700" w:type="dxa"/>
            <w:noWrap w:val="0"/>
            <w:vAlign w:val="center"/>
          </w:tcPr>
          <w:p w14:paraId="5971CD59">
            <w:pPr>
              <w:pStyle w:val="45"/>
              <w:spacing w:before="0" w:beforeAutospacing="0" w:after="0" w:afterAutospacing="0"/>
              <w:jc w:val="center"/>
              <w:rPr>
                <w:rFonts w:hint="eastAsia" w:ascii="仿宋_GB2312" w:eastAsia="仿宋_GB2312"/>
                <w:color w:val="auto"/>
                <w:highlight w:val="none"/>
              </w:rPr>
            </w:pPr>
          </w:p>
        </w:tc>
      </w:tr>
      <w:tr w14:paraId="7AC8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45718B5B">
            <w:pPr>
              <w:pStyle w:val="45"/>
              <w:spacing w:before="0" w:beforeAutospacing="0" w:after="0" w:afterAutospacing="0"/>
              <w:jc w:val="center"/>
              <w:rPr>
                <w:rFonts w:hint="eastAsia" w:ascii="仿宋_GB2312" w:eastAsia="仿宋_GB2312"/>
                <w:color w:val="auto"/>
                <w:highlight w:val="none"/>
              </w:rPr>
            </w:pPr>
          </w:p>
        </w:tc>
        <w:tc>
          <w:tcPr>
            <w:tcW w:w="1730" w:type="dxa"/>
            <w:noWrap w:val="0"/>
            <w:vAlign w:val="center"/>
          </w:tcPr>
          <w:p w14:paraId="7728DA0F">
            <w:pPr>
              <w:pStyle w:val="45"/>
              <w:spacing w:before="0" w:beforeAutospacing="0" w:after="0" w:afterAutospacing="0"/>
              <w:jc w:val="center"/>
              <w:rPr>
                <w:rFonts w:hint="eastAsia" w:ascii="仿宋_GB2312" w:eastAsia="仿宋_GB2312"/>
                <w:color w:val="auto"/>
                <w:highlight w:val="none"/>
              </w:rPr>
            </w:pPr>
          </w:p>
        </w:tc>
        <w:tc>
          <w:tcPr>
            <w:tcW w:w="1559" w:type="dxa"/>
            <w:noWrap w:val="0"/>
            <w:vAlign w:val="center"/>
          </w:tcPr>
          <w:p w14:paraId="5D8F1023">
            <w:pPr>
              <w:pStyle w:val="45"/>
              <w:spacing w:before="0" w:beforeAutospacing="0" w:after="0" w:afterAutospacing="0"/>
              <w:jc w:val="center"/>
              <w:rPr>
                <w:rFonts w:hint="eastAsia" w:ascii="仿宋_GB2312" w:eastAsia="仿宋_GB2312"/>
                <w:color w:val="auto"/>
                <w:highlight w:val="none"/>
              </w:rPr>
            </w:pPr>
          </w:p>
        </w:tc>
        <w:tc>
          <w:tcPr>
            <w:tcW w:w="1067" w:type="dxa"/>
            <w:noWrap w:val="0"/>
            <w:vAlign w:val="center"/>
          </w:tcPr>
          <w:p w14:paraId="0A698759">
            <w:pPr>
              <w:pStyle w:val="45"/>
              <w:spacing w:before="0" w:beforeAutospacing="0" w:after="0" w:afterAutospacing="0"/>
              <w:jc w:val="center"/>
              <w:rPr>
                <w:rFonts w:hint="eastAsia" w:ascii="仿宋_GB2312" w:eastAsia="仿宋_GB2312"/>
                <w:color w:val="auto"/>
                <w:highlight w:val="none"/>
              </w:rPr>
            </w:pPr>
          </w:p>
        </w:tc>
        <w:tc>
          <w:tcPr>
            <w:tcW w:w="1315" w:type="dxa"/>
            <w:noWrap w:val="0"/>
            <w:vAlign w:val="center"/>
          </w:tcPr>
          <w:p w14:paraId="6ED6A0B8">
            <w:pPr>
              <w:pStyle w:val="45"/>
              <w:spacing w:before="0" w:beforeAutospacing="0" w:after="0" w:afterAutospacing="0"/>
              <w:jc w:val="center"/>
              <w:rPr>
                <w:rFonts w:hint="eastAsia" w:ascii="仿宋_GB2312" w:eastAsia="仿宋_GB2312"/>
                <w:color w:val="auto"/>
                <w:highlight w:val="none"/>
              </w:rPr>
            </w:pPr>
          </w:p>
        </w:tc>
        <w:tc>
          <w:tcPr>
            <w:tcW w:w="1700" w:type="dxa"/>
            <w:noWrap w:val="0"/>
            <w:vAlign w:val="center"/>
          </w:tcPr>
          <w:p w14:paraId="1C34CE75">
            <w:pPr>
              <w:pStyle w:val="45"/>
              <w:spacing w:before="0" w:beforeAutospacing="0" w:after="0" w:afterAutospacing="0"/>
              <w:jc w:val="center"/>
              <w:rPr>
                <w:rFonts w:hint="eastAsia" w:ascii="仿宋_GB2312" w:eastAsia="仿宋_GB2312"/>
                <w:color w:val="auto"/>
                <w:highlight w:val="none"/>
              </w:rPr>
            </w:pPr>
          </w:p>
        </w:tc>
      </w:tr>
    </w:tbl>
    <w:p w14:paraId="239937E8">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第二条　合同总价款</w:t>
      </w:r>
    </w:p>
    <w:p w14:paraId="286D3117">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2.1</w:t>
      </w:r>
      <w:r>
        <w:rPr>
          <w:rFonts w:ascii="仿宋_GB2312" w:eastAsia="仿宋_GB2312"/>
          <w:color w:val="auto"/>
          <w:highlight w:val="none"/>
        </w:rPr>
        <w:t xml:space="preserve"> </w:t>
      </w:r>
      <w:r>
        <w:rPr>
          <w:rFonts w:hint="eastAsia" w:ascii="仿宋_GB2312" w:eastAsia="仿宋_GB2312"/>
          <w:color w:val="auto"/>
          <w:highlight w:val="none"/>
        </w:rPr>
        <w:t>本合同项下货物总价款为人民币</w:t>
      </w:r>
      <w:r>
        <w:rPr>
          <w:rFonts w:hint="eastAsia" w:ascii="仿宋_GB2312" w:eastAsia="仿宋_GB2312"/>
          <w:color w:val="auto"/>
          <w:highlight w:val="none"/>
          <w:u w:val="single"/>
        </w:rPr>
        <w:t xml:space="preserve">    （大写） （￥：）            </w:t>
      </w:r>
      <w:r>
        <w:rPr>
          <w:rFonts w:hint="eastAsia" w:ascii="仿宋_GB2312" w:eastAsia="仿宋_GB2312"/>
          <w:color w:val="auto"/>
          <w:highlight w:val="none"/>
        </w:rPr>
        <w:t xml:space="preserve">； </w:t>
      </w:r>
    </w:p>
    <w:p w14:paraId="2924195A">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2.2</w:t>
      </w:r>
      <w:r>
        <w:rPr>
          <w:rFonts w:ascii="仿宋_GB2312" w:eastAsia="仿宋_GB2312"/>
          <w:color w:val="auto"/>
          <w:highlight w:val="none"/>
        </w:rPr>
        <w:t xml:space="preserve"> </w:t>
      </w:r>
      <w:r>
        <w:rPr>
          <w:rFonts w:hint="eastAsia" w:ascii="仿宋_GB2312" w:eastAsia="仿宋_GB2312"/>
          <w:color w:val="auto"/>
          <w:highlight w:val="none"/>
        </w:rPr>
        <w:t xml:space="preserve">本合同总价款是货物设计、制造、包装、仓储、运输、安装及验收合格之前及保修期内备品备件发生的所有含税费用； </w:t>
      </w:r>
    </w:p>
    <w:p w14:paraId="01445C6B">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2.3</w:t>
      </w:r>
      <w:r>
        <w:rPr>
          <w:rFonts w:ascii="仿宋_GB2312" w:eastAsia="仿宋_GB2312"/>
          <w:color w:val="auto"/>
          <w:highlight w:val="none"/>
        </w:rPr>
        <w:t xml:space="preserve"> </w:t>
      </w:r>
      <w:r>
        <w:rPr>
          <w:rFonts w:hint="eastAsia" w:ascii="仿宋_GB2312" w:eastAsia="仿宋_GB2312"/>
          <w:color w:val="auto"/>
          <w:highlight w:val="none"/>
        </w:rPr>
        <w:t>本合同总价款还包含卖方应当提供的伴随服务/售后服务费用；</w:t>
      </w:r>
    </w:p>
    <w:p w14:paraId="638AA44A">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2.4</w:t>
      </w:r>
      <w:r>
        <w:rPr>
          <w:rFonts w:ascii="仿宋_GB2312" w:eastAsia="仿宋_GB2312"/>
          <w:color w:val="auto"/>
          <w:highlight w:val="none"/>
        </w:rPr>
        <w:t xml:space="preserve"> </w:t>
      </w:r>
      <w:r>
        <w:rPr>
          <w:rFonts w:hint="eastAsia" w:ascii="仿宋_GB2312" w:eastAsia="仿宋_GB2312"/>
          <w:color w:val="auto"/>
          <w:highlight w:val="none"/>
        </w:rPr>
        <w:t>本合同执行期间</w:t>
      </w:r>
      <w:r>
        <w:rPr>
          <w:rFonts w:hint="eastAsia" w:ascii="仿宋_GB2312" w:eastAsia="仿宋_GB2312"/>
          <w:color w:val="auto"/>
          <w:highlight w:val="none"/>
          <w:lang w:eastAsia="zh-CN"/>
        </w:rPr>
        <w:t>货物如有调整按实际结算</w:t>
      </w:r>
      <w:r>
        <w:rPr>
          <w:rFonts w:hint="eastAsia" w:ascii="仿宋_GB2312" w:eastAsia="仿宋_GB2312"/>
          <w:color w:val="auto"/>
          <w:highlight w:val="none"/>
        </w:rPr>
        <w:t>。</w:t>
      </w:r>
    </w:p>
    <w:p w14:paraId="32A918CA">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第三条　组成本合同的有关文件</w:t>
      </w:r>
    </w:p>
    <w:p w14:paraId="07DEB57A">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3.1</w:t>
      </w:r>
      <w:r>
        <w:rPr>
          <w:rFonts w:ascii="仿宋_GB2312" w:eastAsia="仿宋_GB2312"/>
          <w:color w:val="auto"/>
          <w:highlight w:val="none"/>
        </w:rPr>
        <w:t xml:space="preserve"> </w:t>
      </w:r>
      <w:r>
        <w:rPr>
          <w:rFonts w:hint="eastAsia" w:ascii="仿宋_GB2312" w:eastAsia="仿宋_GB2312"/>
          <w:color w:val="auto"/>
          <w:highlight w:val="none"/>
        </w:rPr>
        <w:t>下列文件构成本合同的组成部分，应该认为是一个整体，彼此相互解释，相互补充。组成合同的多个文件的优先支配地位的次序如下：</w:t>
      </w:r>
    </w:p>
    <w:p w14:paraId="758B5666">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3.1.1</w:t>
      </w:r>
      <w:r>
        <w:rPr>
          <w:rFonts w:ascii="仿宋_GB2312" w:eastAsia="仿宋_GB2312"/>
          <w:color w:val="auto"/>
          <w:highlight w:val="none"/>
        </w:rPr>
        <w:t xml:space="preserve"> </w:t>
      </w:r>
      <w:r>
        <w:rPr>
          <w:rFonts w:hint="eastAsia" w:ascii="仿宋_GB2312" w:eastAsia="仿宋_GB2312"/>
          <w:color w:val="auto"/>
          <w:highlight w:val="none"/>
        </w:rPr>
        <w:t>本合同书　</w:t>
      </w:r>
    </w:p>
    <w:p w14:paraId="55C64C1A">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3.1.2</w:t>
      </w:r>
      <w:r>
        <w:rPr>
          <w:rFonts w:ascii="仿宋_GB2312" w:eastAsia="仿宋_GB2312"/>
          <w:color w:val="auto"/>
          <w:highlight w:val="none"/>
        </w:rPr>
        <w:t xml:space="preserve"> </w:t>
      </w:r>
      <w:r>
        <w:rPr>
          <w:rFonts w:hint="eastAsia" w:ascii="仿宋_GB2312" w:eastAsia="仿宋_GB2312"/>
          <w:color w:val="auto"/>
          <w:highlight w:val="none"/>
        </w:rPr>
        <w:t>中标通知书</w:t>
      </w:r>
      <w:r>
        <w:rPr>
          <w:rFonts w:hint="eastAsia" w:ascii="仿宋_GB2312" w:eastAsia="仿宋_GB2312"/>
          <w:color w:val="auto"/>
          <w:highlight w:val="none"/>
        </w:rPr>
        <w:tab/>
      </w:r>
    </w:p>
    <w:p w14:paraId="39AEA067">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3.1.3</w:t>
      </w:r>
      <w:r>
        <w:rPr>
          <w:rFonts w:ascii="仿宋_GB2312" w:eastAsia="仿宋_GB2312"/>
          <w:color w:val="auto"/>
          <w:highlight w:val="none"/>
        </w:rPr>
        <w:t xml:space="preserve"> </w:t>
      </w:r>
      <w:r>
        <w:rPr>
          <w:rFonts w:hint="eastAsia" w:ascii="仿宋_GB2312" w:eastAsia="仿宋_GB2312"/>
          <w:color w:val="auto"/>
          <w:highlight w:val="none"/>
        </w:rPr>
        <w:t>中标</w:t>
      </w:r>
      <w:r>
        <w:rPr>
          <w:rFonts w:hint="eastAsia" w:ascii="仿宋_GB2312" w:eastAsia="仿宋_GB2312"/>
          <w:color w:val="auto"/>
          <w:highlight w:val="none"/>
          <w:lang w:eastAsia="zh-CN"/>
        </w:rPr>
        <w:t>供应商</w:t>
      </w:r>
      <w:r>
        <w:rPr>
          <w:rFonts w:hint="eastAsia" w:ascii="仿宋_GB2312" w:eastAsia="仿宋_GB2312"/>
          <w:color w:val="auto"/>
          <w:highlight w:val="none"/>
        </w:rPr>
        <w:t>澄清修改文件</w:t>
      </w:r>
    </w:p>
    <w:p w14:paraId="794FA90F">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3.1.4</w:t>
      </w:r>
      <w:r>
        <w:rPr>
          <w:rFonts w:ascii="仿宋_GB2312" w:eastAsia="仿宋_GB2312"/>
          <w:color w:val="auto"/>
          <w:highlight w:val="none"/>
        </w:rPr>
        <w:t xml:space="preserve"> </w:t>
      </w:r>
      <w:r>
        <w:rPr>
          <w:rFonts w:hint="eastAsia" w:ascii="仿宋_GB2312" w:eastAsia="仿宋_GB2312"/>
          <w:color w:val="auto"/>
          <w:highlight w:val="none"/>
        </w:rPr>
        <w:t>中标</w:t>
      </w:r>
      <w:r>
        <w:rPr>
          <w:rFonts w:hint="eastAsia" w:ascii="仿宋_GB2312" w:eastAsia="仿宋_GB2312"/>
          <w:color w:val="auto"/>
          <w:highlight w:val="none"/>
          <w:lang w:eastAsia="zh-CN"/>
        </w:rPr>
        <w:t>供应商</w:t>
      </w:r>
      <w:r>
        <w:rPr>
          <w:rFonts w:hint="eastAsia" w:ascii="仿宋_GB2312" w:eastAsia="仿宋_GB2312"/>
          <w:color w:val="auto"/>
          <w:highlight w:val="none"/>
        </w:rPr>
        <w:t>投标文件</w:t>
      </w:r>
    </w:p>
    <w:p w14:paraId="75583654">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3.1.5</w:t>
      </w:r>
      <w:r>
        <w:rPr>
          <w:rFonts w:ascii="仿宋_GB2312" w:eastAsia="仿宋_GB2312"/>
          <w:color w:val="auto"/>
          <w:highlight w:val="none"/>
        </w:rPr>
        <w:t xml:space="preserve"> </w:t>
      </w:r>
      <w:r>
        <w:rPr>
          <w:rFonts w:hint="eastAsia" w:ascii="仿宋_GB2312" w:eastAsia="仿宋_GB2312"/>
          <w:color w:val="auto"/>
          <w:highlight w:val="none"/>
        </w:rPr>
        <w:t>招标文件澄清修改文件</w:t>
      </w:r>
    </w:p>
    <w:p w14:paraId="6FEBCF66">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3.1.6</w:t>
      </w:r>
      <w:r>
        <w:rPr>
          <w:rFonts w:ascii="仿宋_GB2312" w:eastAsia="仿宋_GB2312"/>
          <w:color w:val="auto"/>
          <w:highlight w:val="none"/>
        </w:rPr>
        <w:t xml:space="preserve"> </w:t>
      </w:r>
      <w:r>
        <w:rPr>
          <w:rFonts w:hint="eastAsia" w:ascii="仿宋_GB2312" w:eastAsia="仿宋_GB2312"/>
          <w:color w:val="auto"/>
          <w:highlight w:val="none"/>
        </w:rPr>
        <w:t>招标文件</w:t>
      </w:r>
    </w:p>
    <w:p w14:paraId="08A3E9DB">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第四条　权利保证</w:t>
      </w:r>
    </w:p>
    <w:p w14:paraId="2B8E0C19">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卖方保证提供的货物不存在对任何第三方侵权行为（包括商标、专利、版权、知识产权等）。若发生侵权行为，由卖方负全责，应承担由此发生的一切经济和法律责任，并赔偿买方</w:t>
      </w:r>
      <w:r>
        <w:rPr>
          <w:rFonts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30</w:t>
      </w:r>
      <w:r>
        <w:rPr>
          <w:rFonts w:ascii="仿宋_GB2312" w:eastAsia="仿宋_GB2312"/>
          <w:color w:val="auto"/>
          <w:highlight w:val="none"/>
          <w:u w:val="single"/>
        </w:rPr>
        <w:t xml:space="preserve"> %</w:t>
      </w:r>
      <w:r>
        <w:rPr>
          <w:rFonts w:hint="eastAsia" w:ascii="仿宋_GB2312" w:eastAsia="仿宋_GB2312"/>
          <w:color w:val="auto"/>
          <w:highlight w:val="none"/>
        </w:rPr>
        <w:t>的合同货款的。</w:t>
      </w:r>
    </w:p>
    <w:p w14:paraId="2011630F">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第五条　质量保证</w:t>
      </w:r>
    </w:p>
    <w:p w14:paraId="736B6242">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5.1</w:t>
      </w:r>
      <w:r>
        <w:rPr>
          <w:rFonts w:ascii="仿宋_GB2312" w:eastAsia="仿宋_GB2312"/>
          <w:color w:val="auto"/>
          <w:highlight w:val="none"/>
        </w:rPr>
        <w:t xml:space="preserve"> </w:t>
      </w:r>
      <w:r>
        <w:rPr>
          <w:rFonts w:hint="eastAsia" w:ascii="仿宋_GB2312" w:eastAsia="仿宋_GB2312"/>
          <w:color w:val="auto"/>
          <w:highlight w:val="none"/>
        </w:rPr>
        <w:t>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7542239E">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5.2</w:t>
      </w:r>
      <w:r>
        <w:rPr>
          <w:rFonts w:ascii="仿宋_GB2312" w:eastAsia="仿宋_GB2312"/>
          <w:color w:val="auto"/>
          <w:highlight w:val="none"/>
        </w:rPr>
        <w:t xml:space="preserve"> </w:t>
      </w:r>
      <w:r>
        <w:rPr>
          <w:rFonts w:hint="eastAsia" w:ascii="仿宋_GB2312" w:eastAsia="仿宋_GB2312"/>
          <w:color w:val="auto"/>
          <w:highlight w:val="none"/>
        </w:rPr>
        <w:t>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14:paraId="6FA75184">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5.3</w:t>
      </w:r>
      <w:r>
        <w:rPr>
          <w:rFonts w:ascii="仿宋_GB2312" w:eastAsia="仿宋_GB2312"/>
          <w:color w:val="auto"/>
          <w:highlight w:val="none"/>
        </w:rPr>
        <w:t xml:space="preserve"> </w:t>
      </w:r>
      <w:r>
        <w:rPr>
          <w:rFonts w:hint="eastAsia" w:ascii="仿宋_GB2312" w:eastAsia="仿宋_GB2312"/>
          <w:color w:val="auto"/>
          <w:highlight w:val="none"/>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三</w:t>
      </w:r>
      <w:r>
        <w:rPr>
          <w:rFonts w:hint="eastAsia" w:ascii="仿宋_GB2312" w:eastAsia="仿宋_GB2312"/>
          <w:color w:val="auto"/>
          <w:highlight w:val="none"/>
          <w:u w:val="single"/>
        </w:rPr>
        <w:t xml:space="preserve">  </w:t>
      </w:r>
      <w:r>
        <w:rPr>
          <w:rFonts w:hint="eastAsia" w:ascii="仿宋_GB2312" w:eastAsia="仿宋_GB2312"/>
          <w:color w:val="auto"/>
          <w:highlight w:val="none"/>
        </w:rPr>
        <w:t>天内应维修或更换有缺陷的货物或部件；</w:t>
      </w:r>
    </w:p>
    <w:p w14:paraId="42725317">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5.4</w:t>
      </w:r>
      <w:r>
        <w:rPr>
          <w:rFonts w:ascii="仿宋_GB2312" w:eastAsia="仿宋_GB2312"/>
          <w:color w:val="auto"/>
          <w:highlight w:val="none"/>
        </w:rPr>
        <w:t xml:space="preserve"> </w:t>
      </w:r>
      <w:r>
        <w:rPr>
          <w:rFonts w:hint="eastAsia" w:ascii="仿宋_GB2312" w:eastAsia="仿宋_GB2312"/>
          <w:color w:val="auto"/>
          <w:highlight w:val="none"/>
        </w:rPr>
        <w:t>如果卖方在收到通知后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三</w:t>
      </w:r>
      <w:r>
        <w:rPr>
          <w:rFonts w:hint="eastAsia" w:ascii="仿宋_GB2312" w:eastAsia="仿宋_GB2312"/>
          <w:color w:val="auto"/>
          <w:highlight w:val="none"/>
          <w:u w:val="single"/>
        </w:rPr>
        <w:t xml:space="preserve"> </w:t>
      </w:r>
      <w:r>
        <w:rPr>
          <w:rFonts w:hint="eastAsia" w:ascii="仿宋_GB2312" w:eastAsia="仿宋_GB2312"/>
          <w:color w:val="auto"/>
          <w:highlight w:val="none"/>
        </w:rPr>
        <w:t>天内没有弥补缺陷，买方可采取必要的补救措施，但由此引发的风险和费用将由卖方承担；</w:t>
      </w:r>
    </w:p>
    <w:p w14:paraId="0C52CAF3">
      <w:pPr>
        <w:pStyle w:val="45"/>
        <w:spacing w:before="0" w:beforeAutospacing="0" w:after="0" w:afterAutospacing="0" w:line="360" w:lineRule="auto"/>
        <w:ind w:firstLine="480" w:firstLineChars="200"/>
        <w:rPr>
          <w:rFonts w:hint="eastAsia" w:ascii="仿宋_GB2312" w:eastAsia="仿宋_GB2312"/>
          <w:color w:val="auto"/>
          <w:highlight w:val="none"/>
          <w:u w:val="single"/>
        </w:rPr>
      </w:pPr>
      <w:r>
        <w:rPr>
          <w:rFonts w:hint="eastAsia" w:ascii="仿宋_GB2312" w:eastAsia="仿宋_GB2312"/>
          <w:color w:val="auto"/>
          <w:highlight w:val="none"/>
        </w:rPr>
        <w:t>5.5</w:t>
      </w:r>
      <w:r>
        <w:rPr>
          <w:rFonts w:ascii="仿宋_GB2312" w:eastAsia="仿宋_GB2312"/>
          <w:color w:val="auto"/>
          <w:highlight w:val="none"/>
        </w:rPr>
        <w:t xml:space="preserve"> </w:t>
      </w:r>
      <w:r>
        <w:rPr>
          <w:rFonts w:hint="eastAsia" w:ascii="仿宋_GB2312" w:eastAsia="仿宋_GB2312"/>
          <w:color w:val="auto"/>
          <w:highlight w:val="none"/>
        </w:rPr>
        <w:t>其他</w:t>
      </w:r>
      <w:r>
        <w:rPr>
          <w:rFonts w:hint="eastAsia" w:ascii="仿宋_GB2312" w:eastAsia="仿宋_GB2312"/>
          <w:color w:val="auto"/>
          <w:highlight w:val="none"/>
          <w:u w:val="single"/>
        </w:rPr>
        <w:t xml:space="preserve">                                                               </w:t>
      </w:r>
    </w:p>
    <w:p w14:paraId="2E0E60CC">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第六条  技术资料</w:t>
      </w:r>
    </w:p>
    <w:p w14:paraId="2125E0B6">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6.1</w:t>
      </w:r>
      <w:r>
        <w:rPr>
          <w:rFonts w:ascii="仿宋_GB2312" w:eastAsia="仿宋_GB2312"/>
          <w:color w:val="auto"/>
          <w:highlight w:val="none"/>
        </w:rPr>
        <w:t xml:space="preserve"> </w:t>
      </w:r>
      <w:r>
        <w:rPr>
          <w:rFonts w:hint="eastAsia" w:ascii="仿宋_GB2312" w:eastAsia="仿宋_GB2312"/>
          <w:color w:val="auto"/>
          <w:highlight w:val="none"/>
        </w:rPr>
        <w:t>卖方应将每台设备和仪器的中文技术资料完整一套，如目录索引、图纸、操作手册、使用指南、维修指南和／或服务手册和示意图等随同每批货物一起发运；</w:t>
      </w:r>
    </w:p>
    <w:p w14:paraId="62E1C6E0">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6.2</w:t>
      </w:r>
      <w:r>
        <w:rPr>
          <w:rFonts w:ascii="仿宋_GB2312" w:eastAsia="仿宋_GB2312"/>
          <w:color w:val="auto"/>
          <w:highlight w:val="none"/>
        </w:rPr>
        <w:t xml:space="preserve"> </w:t>
      </w:r>
      <w:r>
        <w:rPr>
          <w:rFonts w:hint="eastAsia" w:ascii="仿宋_GB2312" w:eastAsia="仿宋_GB2312"/>
          <w:color w:val="auto"/>
          <w:highlight w:val="none"/>
        </w:rPr>
        <w:t>如果买方确认卖方提供的技术资料不完整或在运输过程中丢失，卖方将在收到买方通知后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二</w:t>
      </w:r>
      <w:r>
        <w:rPr>
          <w:rFonts w:hint="eastAsia" w:ascii="仿宋_GB2312" w:eastAsia="仿宋_GB2312"/>
          <w:color w:val="auto"/>
          <w:highlight w:val="none"/>
          <w:u w:val="single"/>
        </w:rPr>
        <w:t xml:space="preserve"> </w:t>
      </w:r>
      <w:r>
        <w:rPr>
          <w:rFonts w:hint="eastAsia" w:ascii="仿宋_GB2312" w:eastAsia="仿宋_GB2312"/>
          <w:color w:val="auto"/>
          <w:highlight w:val="none"/>
        </w:rPr>
        <w:t>天内将这些资料寄给买方；</w:t>
      </w:r>
    </w:p>
    <w:p w14:paraId="0CBA9112">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6.3</w:t>
      </w:r>
      <w:r>
        <w:rPr>
          <w:rFonts w:ascii="仿宋_GB2312" w:eastAsia="仿宋_GB2312"/>
          <w:color w:val="auto"/>
          <w:highlight w:val="none"/>
        </w:rPr>
        <w:t xml:space="preserve"> </w:t>
      </w:r>
      <w:r>
        <w:rPr>
          <w:rFonts w:hint="eastAsia" w:ascii="仿宋_GB2312" w:eastAsia="仿宋_GB2312"/>
          <w:color w:val="auto"/>
          <w:highlight w:val="none"/>
        </w:rPr>
        <w:t>其他</w:t>
      </w:r>
      <w:r>
        <w:rPr>
          <w:rFonts w:hint="eastAsia" w:ascii="仿宋_GB2312" w:eastAsia="仿宋_GB2312"/>
          <w:color w:val="auto"/>
          <w:highlight w:val="none"/>
          <w:u w:val="single"/>
        </w:rPr>
        <w:t xml:space="preserve">                                                               </w:t>
      </w:r>
    </w:p>
    <w:p w14:paraId="6C998336">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第七条　包装要求</w:t>
      </w:r>
    </w:p>
    <w:p w14:paraId="301A7B4F">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7.1</w:t>
      </w:r>
      <w:r>
        <w:rPr>
          <w:rFonts w:ascii="仿宋_GB2312" w:eastAsia="仿宋_GB2312"/>
          <w:color w:val="auto"/>
          <w:highlight w:val="none"/>
        </w:rPr>
        <w:t xml:space="preserve"> </w:t>
      </w:r>
      <w:r>
        <w:rPr>
          <w:rFonts w:hint="eastAsia" w:ascii="仿宋_GB2312" w:eastAsia="仿宋_GB2312"/>
          <w:color w:val="auto"/>
          <w:highlight w:val="none"/>
        </w:rPr>
        <w:t>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14:paraId="520958BA">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7.2</w:t>
      </w:r>
      <w:r>
        <w:rPr>
          <w:rFonts w:ascii="仿宋_GB2312" w:eastAsia="仿宋_GB2312"/>
          <w:color w:val="auto"/>
          <w:highlight w:val="none"/>
        </w:rPr>
        <w:t xml:space="preserve"> </w:t>
      </w:r>
      <w:r>
        <w:rPr>
          <w:rFonts w:hint="eastAsia" w:ascii="仿宋_GB2312" w:eastAsia="仿宋_GB2312"/>
          <w:color w:val="auto"/>
          <w:highlight w:val="none"/>
        </w:rPr>
        <w:t>每一包装单元内应附详细的装箱单和质量合格凭证。</w:t>
      </w:r>
    </w:p>
    <w:p w14:paraId="122D3877">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第八条　交货时间、方式、地点</w:t>
      </w:r>
    </w:p>
    <w:p w14:paraId="3BA532C4">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8.1</w:t>
      </w:r>
      <w:r>
        <w:rPr>
          <w:rFonts w:ascii="仿宋_GB2312" w:eastAsia="仿宋_GB2312"/>
          <w:color w:val="auto"/>
          <w:highlight w:val="none"/>
        </w:rPr>
        <w:t xml:space="preserve"> </w:t>
      </w:r>
      <w:r>
        <w:rPr>
          <w:rFonts w:hint="eastAsia" w:ascii="仿宋_GB2312" w:eastAsia="仿宋_GB2312"/>
          <w:color w:val="auto"/>
          <w:highlight w:val="none"/>
        </w:rPr>
        <w:t>卖方应按照本合同或招标文件规定的时间和方式向买方交付货物，交货地点为</w:t>
      </w: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p w14:paraId="02DC99E8">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8.2</w:t>
      </w:r>
      <w:r>
        <w:rPr>
          <w:rFonts w:ascii="仿宋_GB2312" w:eastAsia="仿宋_GB2312"/>
          <w:color w:val="auto"/>
          <w:highlight w:val="none"/>
        </w:rPr>
        <w:t xml:space="preserve"> </w:t>
      </w:r>
      <w:r>
        <w:rPr>
          <w:rFonts w:hint="eastAsia" w:ascii="仿宋_GB2312" w:eastAsia="仿宋_GB2312"/>
          <w:color w:val="auto"/>
          <w:highlight w:val="none"/>
        </w:rPr>
        <w:t>卖方交付的货物应当完全符合本合同或者招标文件所规定的货物、数量和规格要求。卖方不得少交或多交货物。卖方提供的货物不符合招标文件和合同规定的，买方有权拒收货物，由此引起的风险，由卖方承担；</w:t>
      </w:r>
    </w:p>
    <w:p w14:paraId="2413EA42">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8.3 其他</w:t>
      </w:r>
      <w:r>
        <w:rPr>
          <w:rFonts w:hint="eastAsia" w:ascii="仿宋_GB2312" w:eastAsia="仿宋_GB2312"/>
          <w:color w:val="auto"/>
          <w:highlight w:val="none"/>
          <w:u w:val="single"/>
        </w:rPr>
        <w:t xml:space="preserve">                                                               </w:t>
      </w:r>
    </w:p>
    <w:p w14:paraId="217ABE6E">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第九条  检验和验收</w:t>
      </w:r>
    </w:p>
    <w:p w14:paraId="05148E99">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9.1</w:t>
      </w:r>
      <w:r>
        <w:rPr>
          <w:rFonts w:ascii="仿宋_GB2312" w:eastAsia="仿宋_GB2312"/>
          <w:color w:val="auto"/>
          <w:highlight w:val="none"/>
        </w:rPr>
        <w:t xml:space="preserve"> </w:t>
      </w:r>
      <w:r>
        <w:rPr>
          <w:rFonts w:hint="eastAsia" w:ascii="仿宋_GB2312" w:eastAsia="仿宋_GB2312"/>
          <w:color w:val="auto"/>
          <w:highlight w:val="none"/>
        </w:rPr>
        <w:t>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14:paraId="6BE3A524">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9.2</w:t>
      </w:r>
      <w:r>
        <w:rPr>
          <w:rFonts w:ascii="仿宋_GB2312" w:eastAsia="仿宋_GB2312"/>
          <w:color w:val="auto"/>
          <w:highlight w:val="none"/>
        </w:rPr>
        <w:t xml:space="preserve"> </w:t>
      </w:r>
      <w:r>
        <w:rPr>
          <w:rFonts w:hint="eastAsia" w:ascii="仿宋_GB2312" w:eastAsia="仿宋_GB2312"/>
          <w:color w:val="auto"/>
          <w:highlight w:val="none"/>
        </w:rPr>
        <w:t>货物的到货验收包括：型号、规格、数量、外观质量、及货物包装是否完好；买方须按照采购合同规定或招标文件的技术、服务等要求组织对供应商履约的验收，并出具验收书，验收书应当包括每一项技术、服务等要求的履约情况。验收方成员应当在验收书上签字，并承担相应的法律责任；</w:t>
      </w:r>
    </w:p>
    <w:p w14:paraId="7CA7403F">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大型或者复杂的项目，买方应当邀请国家认可的质量检测机构参加验收；</w:t>
      </w:r>
    </w:p>
    <w:p w14:paraId="0EFFE2D0">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9.3</w:t>
      </w:r>
      <w:r>
        <w:rPr>
          <w:rFonts w:ascii="仿宋_GB2312" w:eastAsia="仿宋_GB2312"/>
          <w:color w:val="auto"/>
          <w:highlight w:val="none"/>
        </w:rPr>
        <w:t xml:space="preserve"> </w:t>
      </w:r>
      <w:r>
        <w:rPr>
          <w:rFonts w:hint="eastAsia" w:ascii="仿宋_GB2312" w:eastAsia="仿宋_GB2312"/>
          <w:color w:val="auto"/>
          <w:highlight w:val="none"/>
        </w:rPr>
        <w:t>买方应当在到货后的</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3</w:t>
      </w:r>
      <w:r>
        <w:rPr>
          <w:rFonts w:hint="eastAsia" w:ascii="仿宋_GB2312" w:eastAsia="仿宋_GB2312"/>
          <w:color w:val="auto"/>
          <w:highlight w:val="none"/>
          <w:u w:val="single"/>
        </w:rPr>
        <w:t xml:space="preserve"> </w:t>
      </w:r>
      <w:r>
        <w:rPr>
          <w:rFonts w:hint="eastAsia" w:ascii="仿宋_GB2312" w:eastAsia="仿宋_GB2312"/>
          <w:color w:val="auto"/>
          <w:highlight w:val="none"/>
        </w:rPr>
        <w:t>个工作日内对货物进行验收；需要卖方对货物或系统进行安装调试的，买方应在货物安装调试完毕后的</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7</w:t>
      </w:r>
      <w:r>
        <w:rPr>
          <w:rFonts w:hint="eastAsia" w:ascii="仿宋_GB2312" w:eastAsia="仿宋_GB2312"/>
          <w:color w:val="auto"/>
          <w:highlight w:val="none"/>
          <w:u w:val="single"/>
        </w:rPr>
        <w:t xml:space="preserve"> </w:t>
      </w:r>
      <w:r>
        <w:rPr>
          <w:rFonts w:hint="eastAsia" w:ascii="仿宋_GB2312" w:eastAsia="仿宋_GB2312"/>
          <w:color w:val="auto"/>
          <w:highlight w:val="none"/>
        </w:rPr>
        <w:t>个工作日内进行质量验收。验收合格的，由买方签署验收单并加盖单位公章。招标文件对检验期限另有规定的，从其规定；</w:t>
      </w:r>
    </w:p>
    <w:p w14:paraId="016C6CDE">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9.4</w:t>
      </w:r>
      <w:r>
        <w:rPr>
          <w:rFonts w:ascii="仿宋_GB2312" w:eastAsia="仿宋_GB2312"/>
          <w:color w:val="auto"/>
          <w:highlight w:val="none"/>
        </w:rPr>
        <w:t xml:space="preserve"> </w:t>
      </w:r>
      <w:r>
        <w:rPr>
          <w:rFonts w:hint="eastAsia" w:ascii="仿宋_GB2312" w:eastAsia="仿宋_GB2312"/>
          <w:color w:val="auto"/>
          <w:highlight w:val="none"/>
        </w:rPr>
        <w:t>货物和系统调试验收的标准：按行业通行标准、厂方出厂标准和卖方投标文件的承诺（详见合同附件载明的标准，并不低于国家相关标准）；</w:t>
      </w:r>
    </w:p>
    <w:p w14:paraId="30C5D9B2">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9.5</w:t>
      </w:r>
      <w:r>
        <w:rPr>
          <w:rFonts w:ascii="仿宋_GB2312" w:eastAsia="仿宋_GB2312"/>
          <w:color w:val="auto"/>
          <w:highlight w:val="none"/>
        </w:rPr>
        <w:t xml:space="preserve"> </w:t>
      </w:r>
      <w:r>
        <w:rPr>
          <w:rFonts w:hint="eastAsia" w:ascii="仿宋_GB2312" w:eastAsia="仿宋_GB2312"/>
          <w:color w:val="auto"/>
          <w:highlight w:val="none"/>
        </w:rPr>
        <w:t>买方有在货物制造过程中派员监造的权利， 卖方有义务为买方监造人员行使该权利提供方便；</w:t>
      </w:r>
    </w:p>
    <w:p w14:paraId="4AB027A4">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9.6</w:t>
      </w:r>
      <w:r>
        <w:rPr>
          <w:rFonts w:ascii="仿宋_GB2312" w:eastAsia="仿宋_GB2312"/>
          <w:color w:val="auto"/>
          <w:highlight w:val="none"/>
        </w:rPr>
        <w:t xml:space="preserve"> </w:t>
      </w:r>
      <w:r>
        <w:rPr>
          <w:rFonts w:hint="eastAsia" w:ascii="仿宋_GB2312" w:eastAsia="仿宋_GB2312"/>
          <w:color w:val="auto"/>
          <w:highlight w:val="none"/>
        </w:rPr>
        <w:t>制造厂对所供货物进行机械运转试验和性能试验时，卖方必须提前通知买方；</w:t>
      </w:r>
    </w:p>
    <w:p w14:paraId="647B14B2">
      <w:pPr>
        <w:pStyle w:val="45"/>
        <w:spacing w:before="0" w:beforeAutospacing="0" w:after="0" w:afterAutospacing="0" w:line="360" w:lineRule="auto"/>
        <w:ind w:firstLine="480" w:firstLineChars="200"/>
        <w:rPr>
          <w:rFonts w:hint="eastAsia" w:ascii="仿宋_GB2312" w:eastAsia="仿宋_GB2312"/>
          <w:color w:val="auto"/>
          <w:highlight w:val="none"/>
          <w:u w:val="single"/>
        </w:rPr>
      </w:pPr>
      <w:r>
        <w:rPr>
          <w:rFonts w:hint="eastAsia" w:ascii="仿宋_GB2312" w:eastAsia="仿宋_GB2312"/>
          <w:color w:val="auto"/>
          <w:highlight w:val="none"/>
        </w:rPr>
        <w:t>9.7</w:t>
      </w:r>
      <w:r>
        <w:rPr>
          <w:rFonts w:ascii="仿宋_GB2312" w:eastAsia="仿宋_GB2312"/>
          <w:color w:val="auto"/>
          <w:highlight w:val="none"/>
        </w:rPr>
        <w:t xml:space="preserve"> </w:t>
      </w:r>
      <w:r>
        <w:rPr>
          <w:rFonts w:hint="eastAsia" w:ascii="仿宋_GB2312" w:eastAsia="仿宋_GB2312"/>
          <w:color w:val="auto"/>
          <w:highlight w:val="none"/>
        </w:rPr>
        <w:t>本项目第三方参与验收：</w:t>
      </w:r>
      <w:r>
        <w:rPr>
          <w:rFonts w:hint="eastAsia" w:ascii="仿宋_GB2312" w:eastAsia="仿宋_GB2312"/>
          <w:color w:val="auto"/>
          <w:highlight w:val="none"/>
          <w:u w:val="single"/>
        </w:rPr>
        <w:t xml:space="preserve">                                     </w:t>
      </w:r>
    </w:p>
    <w:p w14:paraId="2D5629DB">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9.8 其他</w:t>
      </w:r>
      <w:r>
        <w:rPr>
          <w:rFonts w:hint="eastAsia" w:ascii="仿宋_GB2312" w:eastAsia="仿宋_GB2312"/>
          <w:color w:val="auto"/>
          <w:highlight w:val="none"/>
          <w:u w:val="single"/>
        </w:rPr>
        <w:t xml:space="preserve">                                                               </w:t>
      </w:r>
    </w:p>
    <w:p w14:paraId="1991C561">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第十条　伴随服务／售后服务</w:t>
      </w:r>
    </w:p>
    <w:p w14:paraId="510FD390">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10.1</w:t>
      </w:r>
      <w:r>
        <w:rPr>
          <w:rFonts w:ascii="仿宋_GB2312" w:eastAsia="仿宋_GB2312"/>
          <w:color w:val="auto"/>
          <w:highlight w:val="none"/>
        </w:rPr>
        <w:t xml:space="preserve"> </w:t>
      </w:r>
      <w:r>
        <w:rPr>
          <w:rFonts w:hint="eastAsia" w:ascii="仿宋_GB2312" w:eastAsia="仿宋_GB2312"/>
          <w:color w:val="auto"/>
          <w:highlight w:val="none"/>
        </w:rPr>
        <w:t>卖方应按照国家有关法律法规规章和“三包”规定以及合同所附的“服务承诺”提供服务；</w:t>
      </w:r>
    </w:p>
    <w:p w14:paraId="5AA4FAC8">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10.2</w:t>
      </w:r>
      <w:r>
        <w:rPr>
          <w:rFonts w:ascii="仿宋_GB2312" w:eastAsia="仿宋_GB2312"/>
          <w:color w:val="auto"/>
          <w:highlight w:val="none"/>
        </w:rPr>
        <w:t xml:space="preserve"> </w:t>
      </w:r>
      <w:r>
        <w:rPr>
          <w:rFonts w:hint="eastAsia" w:ascii="仿宋_GB2312" w:eastAsia="仿宋_GB2312"/>
          <w:color w:val="auto"/>
          <w:highlight w:val="none"/>
        </w:rPr>
        <w:t>除前款规定外，卖方还应提供下列服务：</w:t>
      </w:r>
    </w:p>
    <w:p w14:paraId="1F597E27">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10.2.1</w:t>
      </w:r>
      <w:r>
        <w:rPr>
          <w:rFonts w:ascii="仿宋_GB2312" w:eastAsia="仿宋_GB2312"/>
          <w:color w:val="auto"/>
          <w:highlight w:val="none"/>
        </w:rPr>
        <w:t xml:space="preserve"> </w:t>
      </w:r>
      <w:r>
        <w:rPr>
          <w:rFonts w:hint="eastAsia" w:ascii="仿宋_GB2312" w:eastAsia="仿宋_GB2312"/>
          <w:color w:val="auto"/>
          <w:highlight w:val="none"/>
        </w:rPr>
        <w:t>货物的现场安装、调试和/或启动监督；</w:t>
      </w:r>
    </w:p>
    <w:p w14:paraId="1CAF1B5C">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10.2.2</w:t>
      </w:r>
      <w:r>
        <w:rPr>
          <w:rFonts w:ascii="仿宋_GB2312" w:eastAsia="仿宋_GB2312"/>
          <w:color w:val="auto"/>
          <w:highlight w:val="none"/>
        </w:rPr>
        <w:t xml:space="preserve"> </w:t>
      </w:r>
      <w:r>
        <w:rPr>
          <w:rFonts w:hint="eastAsia" w:ascii="仿宋_GB2312" w:eastAsia="仿宋_GB2312"/>
          <w:color w:val="auto"/>
          <w:highlight w:val="none"/>
        </w:rPr>
        <w:t>就货物的安装、启动、运行及维护等对买方人员进行培训；</w:t>
      </w:r>
    </w:p>
    <w:p w14:paraId="2A24F8A5">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10.2.3</w:t>
      </w:r>
      <w:r>
        <w:rPr>
          <w:rFonts w:ascii="仿宋_GB2312" w:eastAsia="仿宋_GB2312"/>
          <w:color w:val="auto"/>
          <w:highlight w:val="none"/>
        </w:rPr>
        <w:t xml:space="preserve"> </w:t>
      </w:r>
      <w:r>
        <w:rPr>
          <w:rFonts w:hint="eastAsia" w:ascii="仿宋_GB2312" w:eastAsia="仿宋_GB2312"/>
          <w:color w:val="auto"/>
          <w:highlight w:val="none"/>
        </w:rPr>
        <w:t>若招标文件中不包含有关伴随服务或售后服务的承诺，双方作如下约定：</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 xml:space="preserve">   </w:t>
      </w: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p w14:paraId="08CCDD99">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10.3</w:t>
      </w:r>
      <w:r>
        <w:rPr>
          <w:rFonts w:ascii="仿宋_GB2312" w:eastAsia="仿宋_GB2312"/>
          <w:color w:val="auto"/>
          <w:highlight w:val="none"/>
        </w:rPr>
        <w:t xml:space="preserve"> </w:t>
      </w:r>
      <w:r>
        <w:rPr>
          <w:rFonts w:hint="eastAsia" w:ascii="仿宋_GB2312" w:eastAsia="仿宋_GB2312"/>
          <w:color w:val="auto"/>
          <w:highlight w:val="none"/>
        </w:rPr>
        <w:t>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14:paraId="21822300">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10.4</w:t>
      </w:r>
      <w:r>
        <w:rPr>
          <w:rFonts w:ascii="仿宋_GB2312" w:eastAsia="仿宋_GB2312"/>
          <w:color w:val="auto"/>
          <w:highlight w:val="none"/>
        </w:rPr>
        <w:t xml:space="preserve"> </w:t>
      </w:r>
      <w:r>
        <w:rPr>
          <w:rFonts w:hint="eastAsia" w:ascii="仿宋_GB2312" w:eastAsia="仿宋_GB2312"/>
          <w:color w:val="auto"/>
          <w:highlight w:val="none"/>
        </w:rPr>
        <w:t>保修期自买方在货物质量验收单上签字之日起计算，保修费用计入总价；</w:t>
      </w:r>
    </w:p>
    <w:p w14:paraId="4CDA34A0">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10.5</w:t>
      </w:r>
      <w:r>
        <w:rPr>
          <w:rFonts w:ascii="仿宋_GB2312" w:eastAsia="仿宋_GB2312"/>
          <w:color w:val="auto"/>
          <w:highlight w:val="none"/>
        </w:rPr>
        <w:t xml:space="preserve"> </w:t>
      </w:r>
      <w:r>
        <w:rPr>
          <w:rFonts w:hint="eastAsia" w:ascii="仿宋_GB2312" w:eastAsia="仿宋_GB2312"/>
          <w:color w:val="auto"/>
          <w:highlight w:val="none"/>
        </w:rPr>
        <w:t>保修期内，卖方负责对其提供的货物整机进行维修和系统维护，不再收取任何费用，但不可抗力（如火灾、雷击等）造成的故障除外；</w:t>
      </w:r>
    </w:p>
    <w:p w14:paraId="468FF34D">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lang w:val="en-US" w:eastAsia="zh-CN"/>
        </w:rPr>
        <w:t xml:space="preserve">10.6 </w:t>
      </w:r>
      <w:r>
        <w:rPr>
          <w:rFonts w:hint="eastAsia" w:ascii="仿宋_GB2312" w:eastAsia="仿宋_GB2312"/>
          <w:color w:val="auto"/>
          <w:highlight w:val="none"/>
        </w:rPr>
        <w:t>货物故障报修的到达指定地点时间为：</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24</w:t>
      </w:r>
      <w:r>
        <w:rPr>
          <w:rFonts w:hint="eastAsia" w:ascii="仿宋_GB2312" w:eastAsia="仿宋_GB2312"/>
          <w:color w:val="auto"/>
          <w:highlight w:val="none"/>
          <w:u w:val="single"/>
        </w:rPr>
        <w:t xml:space="preserve"> </w:t>
      </w:r>
      <w:r>
        <w:rPr>
          <w:rFonts w:hint="eastAsia" w:ascii="仿宋_GB2312" w:eastAsia="仿宋_GB2312"/>
          <w:color w:val="auto"/>
          <w:highlight w:val="none"/>
        </w:rPr>
        <w:t>小时</w:t>
      </w:r>
      <w:r>
        <w:rPr>
          <w:rFonts w:hint="eastAsia" w:ascii="仿宋_GB2312" w:eastAsia="仿宋_GB2312"/>
          <w:color w:val="auto"/>
          <w:highlight w:val="none"/>
          <w:lang w:val="en-US" w:eastAsia="zh-CN"/>
        </w:rPr>
        <w:t>内</w:t>
      </w:r>
      <w:r>
        <w:rPr>
          <w:rFonts w:hint="eastAsia" w:ascii="仿宋_GB2312" w:eastAsia="仿宋_GB2312"/>
          <w:color w:val="auto"/>
          <w:highlight w:val="none"/>
        </w:rPr>
        <w:t>；</w:t>
      </w:r>
    </w:p>
    <w:p w14:paraId="1F150FA0">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10.8</w:t>
      </w:r>
      <w:r>
        <w:rPr>
          <w:rFonts w:ascii="仿宋_GB2312" w:eastAsia="仿宋_GB2312"/>
          <w:color w:val="auto"/>
          <w:highlight w:val="none"/>
        </w:rPr>
        <w:t xml:space="preserve"> </w:t>
      </w:r>
      <w:r>
        <w:rPr>
          <w:rFonts w:hint="eastAsia" w:ascii="仿宋_GB2312" w:eastAsia="仿宋_GB2312"/>
          <w:color w:val="auto"/>
          <w:highlight w:val="none"/>
        </w:rPr>
        <w:t>下列货物（分别列出：</w:t>
      </w:r>
      <w:r>
        <w:rPr>
          <w:rFonts w:hint="eastAsia" w:ascii="仿宋_GB2312" w:eastAsia="仿宋_GB2312"/>
          <w:color w:val="auto"/>
          <w:highlight w:val="none"/>
          <w:u w:val="single"/>
        </w:rPr>
        <w:t xml:space="preserve">               </w:t>
      </w:r>
      <w:r>
        <w:rPr>
          <w:rFonts w:hint="eastAsia" w:ascii="仿宋_GB2312" w:eastAsia="仿宋_GB2312"/>
          <w:color w:val="auto"/>
          <w:highlight w:val="none"/>
        </w:rPr>
        <w:t>）若故障在检修8工作小时后仍无法排除，卖方应在48小时内提供不低于故障货物规格型号档次的备用货物供买方使用，直至故障货物修复；</w:t>
      </w:r>
    </w:p>
    <w:p w14:paraId="1B45E34E">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10.9</w:t>
      </w:r>
      <w:r>
        <w:rPr>
          <w:rFonts w:ascii="仿宋_GB2312" w:eastAsia="仿宋_GB2312"/>
          <w:color w:val="auto"/>
          <w:highlight w:val="none"/>
        </w:rPr>
        <w:t xml:space="preserve"> </w:t>
      </w:r>
      <w:r>
        <w:rPr>
          <w:rFonts w:hint="eastAsia" w:ascii="仿宋_GB2312" w:eastAsia="仿宋_GB2312"/>
          <w:color w:val="auto"/>
          <w:highlight w:val="none"/>
        </w:rPr>
        <w:t>所有货物保修服务方式均为卖方上门保修，即由卖方派员到货物使用现场维修，由此产生的一切费用均由卖方承担；</w:t>
      </w:r>
    </w:p>
    <w:p w14:paraId="6C1CCC5E">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10.10</w:t>
      </w:r>
      <w:r>
        <w:rPr>
          <w:rFonts w:ascii="仿宋_GB2312" w:eastAsia="仿宋_GB2312"/>
          <w:color w:val="auto"/>
          <w:highlight w:val="none"/>
        </w:rPr>
        <w:t xml:space="preserve"> </w:t>
      </w:r>
      <w:r>
        <w:rPr>
          <w:rFonts w:hint="eastAsia" w:ascii="仿宋_GB2312" w:eastAsia="仿宋_GB2312"/>
          <w:color w:val="auto"/>
          <w:highlight w:val="none"/>
        </w:rPr>
        <w:t>保修期后的货物维护由双方协商再定；</w:t>
      </w:r>
    </w:p>
    <w:p w14:paraId="229A8A27">
      <w:pPr>
        <w:pStyle w:val="45"/>
        <w:spacing w:before="0" w:beforeAutospacing="0" w:after="0" w:afterAutospacing="0" w:line="360" w:lineRule="auto"/>
        <w:ind w:firstLine="480" w:firstLineChars="200"/>
        <w:rPr>
          <w:rFonts w:hint="eastAsia" w:ascii="仿宋_GB2312" w:eastAsia="仿宋_GB2312"/>
          <w:color w:val="auto"/>
          <w:highlight w:val="none"/>
          <w:u w:val="single"/>
        </w:rPr>
      </w:pPr>
      <w:r>
        <w:rPr>
          <w:rFonts w:hint="eastAsia" w:ascii="仿宋_GB2312" w:eastAsia="仿宋_GB2312"/>
          <w:color w:val="auto"/>
          <w:highlight w:val="none"/>
        </w:rPr>
        <w:t>10.11</w:t>
      </w:r>
      <w:r>
        <w:rPr>
          <w:rFonts w:ascii="仿宋_GB2312" w:eastAsia="仿宋_GB2312"/>
          <w:color w:val="auto"/>
          <w:highlight w:val="none"/>
        </w:rPr>
        <w:t xml:space="preserve"> </w:t>
      </w:r>
      <w:r>
        <w:rPr>
          <w:rFonts w:hint="eastAsia" w:ascii="仿宋_GB2312" w:eastAsia="仿宋_GB2312"/>
          <w:color w:val="auto"/>
          <w:highlight w:val="none"/>
        </w:rPr>
        <w:t>本项目售后服务的特殊条款：</w:t>
      </w: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p w14:paraId="7CB38341">
      <w:pPr>
        <w:pStyle w:val="45"/>
        <w:spacing w:before="0" w:beforeAutospacing="0" w:after="0" w:afterAutospacing="0" w:line="360" w:lineRule="auto"/>
        <w:ind w:firstLine="480" w:firstLineChars="200"/>
        <w:rPr>
          <w:rFonts w:hint="eastAsia" w:ascii="仿宋_GB2312" w:eastAsia="仿宋_GB2312"/>
          <w:color w:val="auto"/>
          <w:highlight w:val="none"/>
          <w:u w:val="single"/>
        </w:rPr>
      </w:pPr>
      <w:r>
        <w:rPr>
          <w:rFonts w:hint="eastAsia" w:ascii="仿宋_GB2312" w:eastAsia="仿宋_GB2312"/>
          <w:color w:val="auto"/>
          <w:highlight w:val="none"/>
        </w:rPr>
        <w:t>10.12</w:t>
      </w:r>
      <w:r>
        <w:rPr>
          <w:rFonts w:ascii="仿宋_GB2312" w:eastAsia="仿宋_GB2312"/>
          <w:color w:val="auto"/>
          <w:highlight w:val="none"/>
        </w:rPr>
        <w:t xml:space="preserve"> </w:t>
      </w:r>
      <w:r>
        <w:rPr>
          <w:rFonts w:hint="eastAsia" w:ascii="仿宋_GB2312" w:eastAsia="仿宋_GB2312"/>
          <w:color w:val="auto"/>
          <w:highlight w:val="none"/>
        </w:rPr>
        <w:t>本项目培训服务的特殊条款：</w:t>
      </w: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p w14:paraId="14C1E187">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ascii="仿宋_GB2312" w:eastAsia="仿宋_GB2312"/>
          <w:color w:val="auto"/>
          <w:highlight w:val="none"/>
        </w:rPr>
        <w:t xml:space="preserve">10.13 </w:t>
      </w:r>
      <w:r>
        <w:rPr>
          <w:rFonts w:hint="eastAsia" w:ascii="仿宋_GB2312" w:eastAsia="仿宋_GB2312"/>
          <w:color w:val="auto"/>
          <w:highlight w:val="none"/>
        </w:rPr>
        <w:t>其他</w:t>
      </w:r>
      <w:r>
        <w:rPr>
          <w:rFonts w:hint="eastAsia" w:ascii="仿宋_GB2312" w:eastAsia="仿宋_GB2312"/>
          <w:color w:val="auto"/>
          <w:highlight w:val="none"/>
          <w:u w:val="single"/>
        </w:rPr>
        <w:t xml:space="preserve">                                                               </w:t>
      </w:r>
    </w:p>
    <w:p w14:paraId="64603C94">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第十一条　履约保证金</w:t>
      </w:r>
    </w:p>
    <w:p w14:paraId="328F8C27">
      <w:pPr>
        <w:pStyle w:val="45"/>
        <w:spacing w:before="0" w:beforeAutospacing="0" w:after="0" w:afterAutospacing="0"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11.</w:t>
      </w:r>
      <w:r>
        <w:rPr>
          <w:rFonts w:ascii="仿宋_GB2312" w:eastAsia="仿宋_GB2312"/>
          <w:color w:val="auto"/>
          <w:highlight w:val="none"/>
        </w:rPr>
        <w:t xml:space="preserve">1 </w:t>
      </w:r>
      <w:r>
        <w:rPr>
          <w:rFonts w:hint="eastAsia" w:ascii="仿宋_GB2312" w:eastAsia="仿宋_GB2312"/>
          <w:color w:val="auto"/>
          <w:highlight w:val="none"/>
        </w:rPr>
        <w:t>卖方应</w:t>
      </w:r>
      <w:r>
        <w:rPr>
          <w:rFonts w:ascii="仿宋_GB2312" w:eastAsia="仿宋_GB2312"/>
          <w:color w:val="auto"/>
          <w:highlight w:val="none"/>
        </w:rPr>
        <w:t>在签订合同前</w:t>
      </w:r>
      <w:r>
        <w:rPr>
          <w:rFonts w:hint="eastAsia" w:ascii="仿宋_GB2312" w:eastAsia="仿宋_GB2312"/>
          <w:color w:val="auto"/>
          <w:highlight w:val="none"/>
        </w:rPr>
        <w:t>，按招标</w:t>
      </w:r>
      <w:r>
        <w:rPr>
          <w:rFonts w:ascii="仿宋_GB2312" w:eastAsia="仿宋_GB2312"/>
          <w:color w:val="auto"/>
          <w:highlight w:val="none"/>
        </w:rPr>
        <w:t>文件</w:t>
      </w:r>
      <w:r>
        <w:rPr>
          <w:rFonts w:hint="eastAsia" w:ascii="仿宋_GB2312" w:eastAsia="仿宋_GB2312"/>
          <w:color w:val="auto"/>
          <w:highlight w:val="none"/>
        </w:rPr>
        <w:t>要求向买</w:t>
      </w:r>
      <w:r>
        <w:rPr>
          <w:rFonts w:ascii="仿宋_GB2312" w:eastAsia="仿宋_GB2312"/>
          <w:color w:val="auto"/>
          <w:highlight w:val="none"/>
        </w:rPr>
        <w:t>方</w:t>
      </w:r>
      <w:r>
        <w:rPr>
          <w:rFonts w:hint="eastAsia" w:ascii="仿宋_GB2312" w:eastAsia="仿宋_GB2312"/>
          <w:color w:val="auto"/>
          <w:highlight w:val="none"/>
        </w:rPr>
        <w:t>提交</w:t>
      </w:r>
      <w:r>
        <w:rPr>
          <w:rFonts w:hint="eastAsia" w:ascii="仿宋_GB2312" w:eastAsia="仿宋_GB2312"/>
          <w:color w:val="auto"/>
          <w:highlight w:val="none"/>
          <w:u w:val="single"/>
        </w:rPr>
        <w:t>（大写    ￥：   ）</w:t>
      </w:r>
      <w:r>
        <w:rPr>
          <w:rFonts w:hint="eastAsia" w:ascii="仿宋_GB2312" w:eastAsia="仿宋_GB2312"/>
          <w:color w:val="auto"/>
          <w:highlight w:val="none"/>
        </w:rPr>
        <w:t>履约保证金；</w:t>
      </w:r>
    </w:p>
    <w:p w14:paraId="6B6462F1">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11.2 履约</w:t>
      </w:r>
      <w:r>
        <w:rPr>
          <w:rFonts w:ascii="仿宋_GB2312" w:eastAsia="仿宋_GB2312"/>
          <w:color w:val="auto"/>
          <w:highlight w:val="none"/>
        </w:rPr>
        <w:t>保证金</w:t>
      </w:r>
      <w:r>
        <w:rPr>
          <w:rFonts w:hint="eastAsia" w:ascii="仿宋_GB2312" w:eastAsia="仿宋_GB2312"/>
          <w:color w:val="auto"/>
          <w:highlight w:val="none"/>
        </w:rPr>
        <w:t>有效期为买</w:t>
      </w:r>
      <w:r>
        <w:rPr>
          <w:rFonts w:ascii="仿宋_GB2312" w:eastAsia="仿宋_GB2312"/>
          <w:color w:val="auto"/>
          <w:highlight w:val="none"/>
        </w:rPr>
        <w:t>卖</w:t>
      </w:r>
      <w:r>
        <w:rPr>
          <w:rFonts w:hint="eastAsia" w:ascii="仿宋_GB2312" w:eastAsia="仿宋_GB2312"/>
          <w:color w:val="auto"/>
          <w:highlight w:val="none"/>
        </w:rPr>
        <w:t>双方</w:t>
      </w:r>
      <w:r>
        <w:rPr>
          <w:rFonts w:ascii="仿宋_GB2312" w:eastAsia="仿宋_GB2312"/>
          <w:color w:val="auto"/>
          <w:highlight w:val="none"/>
        </w:rPr>
        <w:t>签署验收单</w:t>
      </w:r>
      <w:r>
        <w:rPr>
          <w:rFonts w:hint="eastAsia" w:ascii="仿宋_GB2312" w:eastAsia="仿宋_GB2312"/>
          <w:color w:val="auto"/>
          <w:highlight w:val="none"/>
        </w:rPr>
        <w:t>后的</w:t>
      </w:r>
      <w:r>
        <w:rPr>
          <w:rFonts w:hint="eastAsia" w:ascii="仿宋_GB2312" w:eastAsia="仿宋_GB2312"/>
          <w:color w:val="auto"/>
          <w:highlight w:val="none"/>
          <w:u w:val="single"/>
        </w:rPr>
        <w:t xml:space="preserve">     </w:t>
      </w:r>
      <w:r>
        <w:rPr>
          <w:rFonts w:hint="eastAsia" w:ascii="仿宋_GB2312" w:eastAsia="仿宋_GB2312"/>
          <w:color w:val="auto"/>
          <w:highlight w:val="none"/>
        </w:rPr>
        <w:t>天；</w:t>
      </w:r>
    </w:p>
    <w:p w14:paraId="5A74BF26">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11.</w:t>
      </w:r>
      <w:r>
        <w:rPr>
          <w:rFonts w:ascii="仿宋_GB2312" w:eastAsia="仿宋_GB2312"/>
          <w:color w:val="auto"/>
          <w:highlight w:val="none"/>
        </w:rPr>
        <w:t xml:space="preserve">3 </w:t>
      </w:r>
      <w:r>
        <w:rPr>
          <w:rFonts w:hint="eastAsia" w:ascii="仿宋_GB2312" w:eastAsia="仿宋_GB2312"/>
          <w:color w:val="auto"/>
          <w:highlight w:val="none"/>
        </w:rPr>
        <w:t>履约保证金用于补偿买方因卖方不能履行其合同义务而蒙受的损失；</w:t>
      </w:r>
    </w:p>
    <w:p w14:paraId="3219B9FB">
      <w:pPr>
        <w:pStyle w:val="45"/>
        <w:spacing w:before="0" w:beforeAutospacing="0" w:after="0" w:afterAutospacing="0"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11.</w:t>
      </w:r>
      <w:r>
        <w:rPr>
          <w:rFonts w:ascii="仿宋_GB2312" w:eastAsia="仿宋_GB2312"/>
          <w:color w:val="auto"/>
          <w:highlight w:val="none"/>
        </w:rPr>
        <w:t xml:space="preserve">4 </w:t>
      </w:r>
      <w:r>
        <w:rPr>
          <w:rFonts w:hint="eastAsia" w:ascii="仿宋_GB2312" w:eastAsia="仿宋_GB2312"/>
          <w:color w:val="auto"/>
          <w:highlight w:val="none"/>
        </w:rPr>
        <w:t>如果卖方未能按合同规定履行其义务，买方有权从履约保证金中取得补偿；</w:t>
      </w:r>
    </w:p>
    <w:p w14:paraId="2A02DD62">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11.5 履约</w:t>
      </w:r>
      <w:r>
        <w:rPr>
          <w:rFonts w:ascii="仿宋_GB2312" w:eastAsia="仿宋_GB2312"/>
          <w:color w:val="auto"/>
          <w:highlight w:val="none"/>
        </w:rPr>
        <w:t>保证金</w:t>
      </w:r>
      <w:r>
        <w:rPr>
          <w:rFonts w:hint="eastAsia" w:ascii="仿宋_GB2312" w:eastAsia="仿宋_GB2312"/>
          <w:color w:val="auto"/>
          <w:highlight w:val="none"/>
        </w:rPr>
        <w:t>扣除</w:t>
      </w:r>
      <w:r>
        <w:rPr>
          <w:rFonts w:ascii="仿宋_GB2312" w:eastAsia="仿宋_GB2312"/>
          <w:color w:val="auto"/>
          <w:highlight w:val="none"/>
        </w:rPr>
        <w:t>买方</w:t>
      </w:r>
      <w:r>
        <w:rPr>
          <w:rFonts w:hint="eastAsia" w:ascii="仿宋_GB2312" w:eastAsia="仿宋_GB2312"/>
          <w:color w:val="auto"/>
          <w:highlight w:val="none"/>
        </w:rPr>
        <w:t>应得</w:t>
      </w:r>
      <w:r>
        <w:rPr>
          <w:rFonts w:ascii="仿宋_GB2312" w:eastAsia="仿宋_GB2312"/>
          <w:color w:val="auto"/>
          <w:highlight w:val="none"/>
        </w:rPr>
        <w:t>补偿后</w:t>
      </w:r>
      <w:r>
        <w:rPr>
          <w:rFonts w:hint="eastAsia" w:ascii="仿宋_GB2312" w:eastAsia="仿宋_GB2312"/>
          <w:color w:val="auto"/>
          <w:highlight w:val="none"/>
        </w:rPr>
        <w:t>的</w:t>
      </w:r>
      <w:r>
        <w:rPr>
          <w:rFonts w:ascii="仿宋_GB2312" w:eastAsia="仿宋_GB2312"/>
          <w:color w:val="auto"/>
          <w:highlight w:val="none"/>
        </w:rPr>
        <w:t>余额</w:t>
      </w:r>
      <w:r>
        <w:rPr>
          <w:rFonts w:hint="eastAsia" w:ascii="仿宋_GB2312" w:eastAsia="仿宋_GB2312"/>
          <w:color w:val="auto"/>
          <w:highlight w:val="none"/>
        </w:rPr>
        <w:t>在</w:t>
      </w:r>
      <w:r>
        <w:rPr>
          <w:rFonts w:ascii="仿宋_GB2312" w:eastAsia="仿宋_GB2312"/>
          <w:color w:val="auto"/>
          <w:highlight w:val="none"/>
        </w:rPr>
        <w:t>有效期后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7</w:t>
      </w:r>
      <w:r>
        <w:rPr>
          <w:rFonts w:hint="eastAsia" w:ascii="仿宋_GB2312" w:eastAsia="仿宋_GB2312"/>
          <w:color w:val="auto"/>
          <w:highlight w:val="none"/>
          <w:u w:val="single"/>
        </w:rPr>
        <w:t xml:space="preserve"> </w:t>
      </w:r>
      <w:r>
        <w:rPr>
          <w:rFonts w:hint="eastAsia" w:ascii="仿宋_GB2312" w:eastAsia="仿宋_GB2312"/>
          <w:color w:val="auto"/>
          <w:highlight w:val="none"/>
        </w:rPr>
        <w:t>天</w:t>
      </w:r>
      <w:r>
        <w:rPr>
          <w:rFonts w:ascii="仿宋_GB2312" w:eastAsia="仿宋_GB2312"/>
          <w:color w:val="auto"/>
          <w:highlight w:val="none"/>
        </w:rPr>
        <w:t>内</w:t>
      </w:r>
      <w:r>
        <w:rPr>
          <w:rFonts w:hint="eastAsia" w:ascii="仿宋_GB2312" w:eastAsia="仿宋_GB2312"/>
          <w:color w:val="auto"/>
          <w:highlight w:val="none"/>
        </w:rPr>
        <w:t>无息</w:t>
      </w:r>
      <w:r>
        <w:rPr>
          <w:rFonts w:ascii="仿宋_GB2312" w:eastAsia="仿宋_GB2312"/>
          <w:color w:val="auto"/>
          <w:highlight w:val="none"/>
        </w:rPr>
        <w:t>退还</w:t>
      </w:r>
      <w:r>
        <w:rPr>
          <w:rFonts w:hint="eastAsia" w:ascii="仿宋_GB2312" w:eastAsia="仿宋_GB2312"/>
          <w:color w:val="auto"/>
          <w:highlight w:val="none"/>
        </w:rPr>
        <w:t>给</w:t>
      </w:r>
      <w:r>
        <w:rPr>
          <w:rFonts w:ascii="仿宋_GB2312" w:eastAsia="仿宋_GB2312"/>
          <w:color w:val="auto"/>
          <w:highlight w:val="none"/>
        </w:rPr>
        <w:t>卖方。</w:t>
      </w:r>
    </w:p>
    <w:p w14:paraId="35936D7A">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第十二条　货款支付</w:t>
      </w:r>
    </w:p>
    <w:p w14:paraId="784B64B2">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2</w:t>
      </w:r>
      <w:r>
        <w:rPr>
          <w:rFonts w:hint="eastAsia" w:ascii="仿宋_GB2312" w:eastAsia="仿宋_GB2312"/>
          <w:color w:val="auto"/>
          <w:highlight w:val="none"/>
        </w:rPr>
        <w:t>.1本合同项下所有款项均以人民币支付；</w:t>
      </w:r>
    </w:p>
    <w:p w14:paraId="0EB4EF19">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2</w:t>
      </w:r>
      <w:r>
        <w:rPr>
          <w:rFonts w:hint="eastAsia" w:ascii="仿宋_GB2312" w:eastAsia="仿宋_GB2312"/>
          <w:color w:val="auto"/>
          <w:highlight w:val="none"/>
        </w:rPr>
        <w:t>.2货款支付方法：</w:t>
      </w:r>
      <w:r>
        <w:rPr>
          <w:rFonts w:hint="eastAsia" w:ascii="仿宋_GB2312" w:eastAsia="仿宋_GB2312"/>
          <w:color w:val="auto"/>
          <w:highlight w:val="none"/>
          <w:u w:val="single"/>
        </w:rPr>
        <w:t xml:space="preserve">                                                     </w:t>
      </w:r>
    </w:p>
    <w:p w14:paraId="528E989A">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第十三条　违约责任</w:t>
      </w:r>
    </w:p>
    <w:p w14:paraId="71E53DE0">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3</w:t>
      </w:r>
      <w:r>
        <w:rPr>
          <w:rFonts w:hint="eastAsia" w:ascii="仿宋_GB2312" w:eastAsia="仿宋_GB2312"/>
          <w:color w:val="auto"/>
          <w:highlight w:val="none"/>
        </w:rPr>
        <w:t>.1</w:t>
      </w:r>
      <w:r>
        <w:rPr>
          <w:rFonts w:ascii="仿宋_GB2312" w:eastAsia="仿宋_GB2312"/>
          <w:color w:val="auto"/>
          <w:highlight w:val="none"/>
        </w:rPr>
        <w:t xml:space="preserve"> </w:t>
      </w:r>
      <w:r>
        <w:rPr>
          <w:rFonts w:hint="eastAsia" w:ascii="仿宋_GB2312" w:eastAsia="仿宋_GB2312"/>
          <w:color w:val="auto"/>
          <w:highlight w:val="none"/>
        </w:rPr>
        <w:t>买方无正当理由拒收货物、拒付货物款的，由买方向卖方偿付合同总价的3%违约金。</w:t>
      </w:r>
    </w:p>
    <w:p w14:paraId="366C2E81">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3</w:t>
      </w:r>
      <w:r>
        <w:rPr>
          <w:rFonts w:hint="eastAsia" w:ascii="仿宋_GB2312" w:eastAsia="仿宋_GB2312"/>
          <w:color w:val="auto"/>
          <w:highlight w:val="none"/>
        </w:rPr>
        <w:t>.3</w:t>
      </w:r>
      <w:r>
        <w:rPr>
          <w:rFonts w:ascii="仿宋_GB2312" w:eastAsia="仿宋_GB2312"/>
          <w:color w:val="auto"/>
          <w:highlight w:val="none"/>
        </w:rPr>
        <w:t xml:space="preserve"> </w:t>
      </w:r>
      <w:r>
        <w:rPr>
          <w:rFonts w:hint="eastAsia" w:ascii="仿宋_GB2312" w:eastAsia="仿宋_GB2312"/>
          <w:color w:val="auto"/>
          <w:highlight w:val="none"/>
        </w:rPr>
        <w:t>如卖方不能交付货物，买方有权扣留全部履约保证金；同时卖方应向买方支付合同总价</w:t>
      </w:r>
      <w:r>
        <w:rPr>
          <w:rFonts w:hint="eastAsia" w:ascii="仿宋_GB2312" w:eastAsia="仿宋_GB2312"/>
          <w:color w:val="auto"/>
          <w:highlight w:val="none"/>
          <w:u w:val="single"/>
        </w:rPr>
        <w:t>3％</w:t>
      </w:r>
      <w:r>
        <w:rPr>
          <w:rFonts w:hint="eastAsia" w:ascii="仿宋_GB2312" w:eastAsia="仿宋_GB2312"/>
          <w:color w:val="auto"/>
          <w:highlight w:val="none"/>
        </w:rPr>
        <w:t>的违约金。</w:t>
      </w:r>
    </w:p>
    <w:p w14:paraId="00F78419">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3</w:t>
      </w:r>
      <w:r>
        <w:rPr>
          <w:rFonts w:hint="eastAsia" w:ascii="仿宋_GB2312" w:eastAsia="仿宋_GB2312"/>
          <w:color w:val="auto"/>
          <w:highlight w:val="none"/>
        </w:rPr>
        <w:t>.4</w:t>
      </w:r>
      <w:r>
        <w:rPr>
          <w:rFonts w:ascii="仿宋_GB2312" w:eastAsia="仿宋_GB2312"/>
          <w:color w:val="auto"/>
          <w:highlight w:val="none"/>
        </w:rPr>
        <w:t xml:space="preserve"> </w:t>
      </w:r>
      <w:r>
        <w:rPr>
          <w:rFonts w:hint="eastAsia" w:ascii="仿宋_GB2312" w:eastAsia="仿宋_GB2312"/>
          <w:color w:val="auto"/>
          <w:highlight w:val="none"/>
        </w:rPr>
        <w:t>卖方逾期交付货物的，每逾期</w:t>
      </w:r>
      <w:r>
        <w:rPr>
          <w:rFonts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1</w:t>
      </w:r>
      <w:r>
        <w:rPr>
          <w:rFonts w:ascii="仿宋_GB2312" w:eastAsia="仿宋_GB2312"/>
          <w:color w:val="auto"/>
          <w:highlight w:val="none"/>
          <w:u w:val="single"/>
        </w:rPr>
        <w:t xml:space="preserve"> </w:t>
      </w:r>
      <w:r>
        <w:rPr>
          <w:rFonts w:hint="eastAsia" w:ascii="仿宋_GB2312" w:eastAsia="仿宋_GB2312"/>
          <w:color w:val="auto"/>
          <w:highlight w:val="none"/>
        </w:rPr>
        <w:t>天，卖方向买方偿付逾期交货部分货款总额的</w:t>
      </w:r>
      <w:r>
        <w:rPr>
          <w:rFonts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3</w:t>
      </w:r>
      <w:r>
        <w:rPr>
          <w:rFonts w:hint="eastAsia" w:ascii="仿宋_GB2312" w:eastAsia="仿宋_GB2312"/>
          <w:color w:val="auto"/>
          <w:highlight w:val="none"/>
          <w:u w:val="single"/>
        </w:rPr>
        <w:t>‰</w:t>
      </w:r>
      <w:r>
        <w:rPr>
          <w:rFonts w:hint="eastAsia" w:ascii="仿宋_GB2312" w:eastAsia="仿宋_GB2312"/>
          <w:color w:val="auto"/>
          <w:highlight w:val="none"/>
        </w:rPr>
        <w:t>的滞纳金。如卖方逾期交货达</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30</w:t>
      </w:r>
      <w:r>
        <w:rPr>
          <w:rFonts w:hint="eastAsia" w:ascii="仿宋_GB2312" w:eastAsia="仿宋_GB2312"/>
          <w:color w:val="auto"/>
          <w:highlight w:val="none"/>
          <w:u w:val="single"/>
        </w:rPr>
        <w:t xml:space="preserve"> </w:t>
      </w:r>
      <w:r>
        <w:rPr>
          <w:rFonts w:hint="eastAsia" w:ascii="仿宋_GB2312" w:eastAsia="仿宋_GB2312"/>
          <w:color w:val="auto"/>
          <w:highlight w:val="none"/>
        </w:rPr>
        <w:t>天，买方有权解除合同，解除合同的通知自到达卖方时生效；</w:t>
      </w:r>
    </w:p>
    <w:p w14:paraId="493C34AD">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14:paraId="159A94D5">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3</w:t>
      </w:r>
      <w:r>
        <w:rPr>
          <w:rFonts w:hint="eastAsia" w:ascii="仿宋_GB2312" w:eastAsia="仿宋_GB2312"/>
          <w:color w:val="auto"/>
          <w:highlight w:val="none"/>
        </w:rPr>
        <w:t>.5</w:t>
      </w:r>
      <w:r>
        <w:rPr>
          <w:rFonts w:ascii="仿宋_GB2312" w:eastAsia="仿宋_GB2312"/>
          <w:color w:val="auto"/>
          <w:highlight w:val="none"/>
        </w:rPr>
        <w:t xml:space="preserve"> </w:t>
      </w:r>
      <w:r>
        <w:rPr>
          <w:rFonts w:hint="eastAsia" w:ascii="仿宋_GB2312" w:eastAsia="仿宋_GB2312"/>
          <w:color w:val="auto"/>
          <w:highlight w:val="none"/>
        </w:rPr>
        <w:t>卖方所交付的货物品种、型号、规格、技术指标不符合合同规定的，买方有权拒收。买方拒收的，卖方应向买方支付货款总额3%的违约金；</w:t>
      </w:r>
    </w:p>
    <w:p w14:paraId="693B453B">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3</w:t>
      </w:r>
      <w:r>
        <w:rPr>
          <w:rFonts w:hint="eastAsia" w:ascii="仿宋_GB2312" w:eastAsia="仿宋_GB2312"/>
          <w:color w:val="auto"/>
          <w:highlight w:val="none"/>
        </w:rPr>
        <w:t>.6</w:t>
      </w:r>
      <w:r>
        <w:rPr>
          <w:rFonts w:ascii="仿宋_GB2312" w:eastAsia="仿宋_GB2312"/>
          <w:color w:val="auto"/>
          <w:highlight w:val="none"/>
        </w:rPr>
        <w:t xml:space="preserve"> </w:t>
      </w:r>
      <w:r>
        <w:rPr>
          <w:rFonts w:hint="eastAsia" w:ascii="仿宋_GB2312" w:eastAsia="仿宋_GB2312"/>
          <w:color w:val="auto"/>
          <w:highlight w:val="none"/>
        </w:rPr>
        <w:t>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14:paraId="29767793">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3</w:t>
      </w:r>
      <w:r>
        <w:rPr>
          <w:rFonts w:hint="eastAsia" w:ascii="仿宋_GB2312" w:eastAsia="仿宋_GB2312"/>
          <w:color w:val="auto"/>
          <w:highlight w:val="none"/>
        </w:rPr>
        <w:t>.7</w:t>
      </w:r>
      <w:r>
        <w:rPr>
          <w:rFonts w:ascii="仿宋_GB2312" w:eastAsia="仿宋_GB2312"/>
          <w:color w:val="auto"/>
          <w:highlight w:val="none"/>
        </w:rPr>
        <w:t xml:space="preserve"> </w:t>
      </w:r>
      <w:r>
        <w:rPr>
          <w:rFonts w:hint="eastAsia" w:ascii="仿宋_GB2312" w:eastAsia="仿宋_GB2312"/>
          <w:color w:val="auto"/>
          <w:highlight w:val="none"/>
        </w:rPr>
        <w:t>卖方未按本合同的规定和“服务承诺”提供伴随服务/售后服务的，应按合同总价款的</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10</w:t>
      </w:r>
      <w:r>
        <w:rPr>
          <w:rFonts w:hint="eastAsia" w:ascii="仿宋_GB2312" w:eastAsia="仿宋_GB2312"/>
          <w:color w:val="auto"/>
          <w:highlight w:val="none"/>
          <w:u w:val="single"/>
        </w:rPr>
        <w:t xml:space="preserve"> %</w:t>
      </w:r>
      <w:r>
        <w:rPr>
          <w:rFonts w:hint="eastAsia" w:ascii="仿宋_GB2312" w:eastAsia="仿宋_GB2312"/>
          <w:color w:val="auto"/>
          <w:highlight w:val="none"/>
        </w:rPr>
        <w:t>向买方承担违约责任；</w:t>
      </w:r>
    </w:p>
    <w:p w14:paraId="642A1AD7">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3</w:t>
      </w:r>
      <w:r>
        <w:rPr>
          <w:rFonts w:hint="eastAsia" w:ascii="仿宋_GB2312" w:eastAsia="仿宋_GB2312"/>
          <w:color w:val="auto"/>
          <w:highlight w:val="none"/>
        </w:rPr>
        <w:t>.8</w:t>
      </w:r>
      <w:r>
        <w:rPr>
          <w:rFonts w:ascii="仿宋_GB2312" w:eastAsia="仿宋_GB2312"/>
          <w:color w:val="auto"/>
          <w:highlight w:val="none"/>
        </w:rPr>
        <w:t xml:space="preserve"> </w:t>
      </w:r>
      <w:r>
        <w:rPr>
          <w:rFonts w:hint="eastAsia" w:ascii="仿宋_GB2312" w:eastAsia="仿宋_GB2312"/>
          <w:color w:val="auto"/>
          <w:highlight w:val="none"/>
        </w:rPr>
        <w:t>卖方在承担上述1</w:t>
      </w:r>
      <w:r>
        <w:rPr>
          <w:rFonts w:ascii="仿宋_GB2312" w:eastAsia="仿宋_GB2312"/>
          <w:color w:val="auto"/>
          <w:highlight w:val="none"/>
        </w:rPr>
        <w:t>3</w:t>
      </w:r>
      <w:r>
        <w:rPr>
          <w:rFonts w:hint="eastAsia" w:ascii="仿宋_GB2312" w:eastAsia="仿宋_GB2312"/>
          <w:color w:val="auto"/>
          <w:highlight w:val="none"/>
        </w:rPr>
        <w:t>.3～1</w:t>
      </w:r>
      <w:r>
        <w:rPr>
          <w:rFonts w:ascii="仿宋_GB2312" w:eastAsia="仿宋_GB2312"/>
          <w:color w:val="auto"/>
          <w:highlight w:val="none"/>
        </w:rPr>
        <w:t>3</w:t>
      </w:r>
      <w:r>
        <w:rPr>
          <w:rFonts w:hint="eastAsia" w:ascii="仿宋_GB2312" w:eastAsia="仿宋_GB2312"/>
          <w:color w:val="auto"/>
          <w:highlight w:val="none"/>
        </w:rPr>
        <w:t>.7款一项或多项违约责任后，仍应继续履行合同规定的义务（买方解除合同的除外）。买方未能及时追究卖方的任何一项违约责任并不表明买方放弃追究卖方该项或其他违约责任；</w:t>
      </w:r>
    </w:p>
    <w:p w14:paraId="3AF86746">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其他</w:t>
      </w:r>
      <w:r>
        <w:rPr>
          <w:rFonts w:hint="eastAsia" w:ascii="仿宋_GB2312" w:eastAsia="仿宋_GB2312"/>
          <w:color w:val="auto"/>
          <w:highlight w:val="none"/>
          <w:u w:val="single"/>
        </w:rPr>
        <w:t xml:space="preserve">                                                               </w:t>
      </w:r>
    </w:p>
    <w:p w14:paraId="3B6D2A63">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第十四条　转让和分包</w:t>
      </w:r>
    </w:p>
    <w:p w14:paraId="5E6EC0EC">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卖方不得擅自分包其应履行的合同义务。须将项目的非主体、非关键性工作分包的，应当在投标文件中载明分包承担主体，分包承担主体应当具备相应资质条件且不得再次分包。</w:t>
      </w:r>
    </w:p>
    <w:p w14:paraId="77885EA7">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第十五条　合同的变更和终止</w:t>
      </w:r>
    </w:p>
    <w:p w14:paraId="6F2A5F0A">
      <w:pPr>
        <w:pStyle w:val="45"/>
        <w:widowControl w:val="0"/>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除《政府采购法》第50条第二款规定的情形外，本合同一经签订，双方不得擅自变更、中止或终止合同。</w:t>
      </w:r>
    </w:p>
    <w:p w14:paraId="5E041DF1">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第十六条  不可抗力</w:t>
      </w:r>
    </w:p>
    <w:p w14:paraId="1953B098">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6</w:t>
      </w:r>
      <w:r>
        <w:rPr>
          <w:rFonts w:hint="eastAsia" w:ascii="仿宋_GB2312" w:eastAsia="仿宋_GB2312"/>
          <w:color w:val="auto"/>
          <w:highlight w:val="none"/>
        </w:rPr>
        <w:t>.1</w:t>
      </w:r>
      <w:r>
        <w:rPr>
          <w:rFonts w:ascii="仿宋_GB2312" w:eastAsia="仿宋_GB2312"/>
          <w:color w:val="auto"/>
          <w:highlight w:val="none"/>
        </w:rPr>
        <w:t xml:space="preserve"> </w:t>
      </w:r>
      <w:r>
        <w:rPr>
          <w:rFonts w:hint="eastAsia" w:ascii="仿宋_GB2312" w:eastAsia="仿宋_GB2312"/>
          <w:color w:val="auto"/>
          <w:highlight w:val="none"/>
        </w:rPr>
        <w:t>如果双方中任何一方遭遇法律规定的不可抗力，致使合同履行受阻时，履行合同的期限应予延长，延长的期限应相当于不可抗力所影响的时间；</w:t>
      </w:r>
    </w:p>
    <w:p w14:paraId="7252408C">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6</w:t>
      </w:r>
      <w:r>
        <w:rPr>
          <w:rFonts w:hint="eastAsia" w:ascii="仿宋_GB2312" w:eastAsia="仿宋_GB2312"/>
          <w:color w:val="auto"/>
          <w:highlight w:val="none"/>
        </w:rPr>
        <w:t>.2</w:t>
      </w:r>
      <w:r>
        <w:rPr>
          <w:rFonts w:ascii="仿宋_GB2312" w:eastAsia="仿宋_GB2312"/>
          <w:color w:val="auto"/>
          <w:highlight w:val="none"/>
        </w:rPr>
        <w:t xml:space="preserve"> </w:t>
      </w:r>
      <w:r>
        <w:rPr>
          <w:rFonts w:hint="eastAsia" w:ascii="仿宋_GB2312" w:eastAsia="仿宋_GB2312"/>
          <w:color w:val="auto"/>
          <w:highlight w:val="none"/>
        </w:rPr>
        <w:t>受事故影响的一方应在不可抗力的事故发生后尽快书面形式通知另一方，并尽快将有关部门出具的证明文件送达另一方；</w:t>
      </w:r>
    </w:p>
    <w:p w14:paraId="17FCFEE5">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6</w:t>
      </w:r>
      <w:r>
        <w:rPr>
          <w:rFonts w:hint="eastAsia" w:ascii="仿宋_GB2312" w:eastAsia="仿宋_GB2312"/>
          <w:color w:val="auto"/>
          <w:highlight w:val="none"/>
        </w:rPr>
        <w:t>.3</w:t>
      </w:r>
      <w:r>
        <w:rPr>
          <w:rFonts w:ascii="仿宋_GB2312" w:eastAsia="仿宋_GB2312"/>
          <w:color w:val="auto"/>
          <w:highlight w:val="none"/>
        </w:rPr>
        <w:t xml:space="preserve"> </w:t>
      </w:r>
      <w:r>
        <w:rPr>
          <w:rFonts w:hint="eastAsia" w:ascii="仿宋_GB2312" w:eastAsia="仿宋_GB2312"/>
          <w:color w:val="auto"/>
          <w:highlight w:val="none"/>
        </w:rPr>
        <w:t>不可抗力使合同的某些内容有变更必要的， 双方应通过协商达成进一步履行合同的协议，因不可抗力致使合同不能履行的，合同终止。</w:t>
      </w:r>
    </w:p>
    <w:p w14:paraId="59899F7F">
      <w:pPr>
        <w:pStyle w:val="45"/>
        <w:spacing w:before="0" w:beforeAutospacing="0" w:after="0" w:afterAutospacing="0" w:line="360" w:lineRule="auto"/>
        <w:ind w:firstLine="482" w:firstLineChars="200"/>
        <w:rPr>
          <w:rFonts w:hint="eastAsia" w:ascii="仿宋_GB2312" w:eastAsia="仿宋_GB2312"/>
          <w:b/>
          <w:color w:val="auto"/>
          <w:highlight w:val="none"/>
        </w:rPr>
      </w:pPr>
      <w:r>
        <w:rPr>
          <w:rFonts w:hint="eastAsia" w:ascii="仿宋_GB2312" w:eastAsia="仿宋_GB2312"/>
          <w:b/>
          <w:color w:val="auto"/>
          <w:highlight w:val="none"/>
        </w:rPr>
        <w:t>第十七条　争议的解决</w:t>
      </w:r>
    </w:p>
    <w:p w14:paraId="6B7F56C4">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7</w:t>
      </w:r>
      <w:r>
        <w:rPr>
          <w:rFonts w:hint="eastAsia" w:ascii="仿宋_GB2312" w:eastAsia="仿宋_GB2312"/>
          <w:color w:val="auto"/>
          <w:highlight w:val="none"/>
        </w:rPr>
        <w:t>.1</w:t>
      </w:r>
      <w:r>
        <w:rPr>
          <w:rFonts w:ascii="仿宋_GB2312" w:eastAsia="仿宋_GB2312"/>
          <w:color w:val="auto"/>
          <w:highlight w:val="none"/>
        </w:rPr>
        <w:t xml:space="preserve"> </w:t>
      </w:r>
      <w:r>
        <w:rPr>
          <w:rFonts w:hint="eastAsia" w:ascii="仿宋_GB2312" w:eastAsia="仿宋_GB2312"/>
          <w:color w:val="auto"/>
          <w:highlight w:val="none"/>
        </w:rPr>
        <w:t>因货物的质量问题发生争议的，应当邀请国家认可的质量检测机构对货物质量进行鉴定。货物符合标准的，鉴定费由买方承担；货物不符合质量标准的，鉴定费由卖方承担。</w:t>
      </w:r>
    </w:p>
    <w:p w14:paraId="427D914A">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7</w:t>
      </w:r>
      <w:r>
        <w:rPr>
          <w:rFonts w:hint="eastAsia" w:ascii="仿宋_GB2312" w:eastAsia="仿宋_GB2312"/>
          <w:color w:val="auto"/>
          <w:highlight w:val="none"/>
        </w:rPr>
        <w:t>.2</w:t>
      </w:r>
      <w:r>
        <w:rPr>
          <w:rFonts w:ascii="仿宋_GB2312" w:eastAsia="仿宋_GB2312"/>
          <w:color w:val="auto"/>
          <w:highlight w:val="none"/>
        </w:rPr>
        <w:t xml:space="preserve"> </w:t>
      </w:r>
      <w:r>
        <w:rPr>
          <w:rFonts w:hint="eastAsia" w:ascii="仿宋_GB2312" w:eastAsia="仿宋_GB2312"/>
          <w:color w:val="auto"/>
          <w:highlight w:val="none"/>
        </w:rPr>
        <w:t>因履行本合同引起的或与本合同有关的争议，买、卖双方应首先通过友好协商解决，如果协商不能解决争议，则采取以下第</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2</w:t>
      </w:r>
      <w:r>
        <w:rPr>
          <w:rFonts w:hint="eastAsia" w:ascii="仿宋_GB2312" w:eastAsia="仿宋_GB2312"/>
          <w:color w:val="auto"/>
          <w:highlight w:val="none"/>
          <w:u w:val="single"/>
        </w:rPr>
        <w:t xml:space="preserve"> </w:t>
      </w:r>
      <w:r>
        <w:rPr>
          <w:rFonts w:hint="eastAsia" w:ascii="仿宋_GB2312" w:eastAsia="仿宋_GB2312"/>
          <w:color w:val="auto"/>
          <w:highlight w:val="none"/>
        </w:rPr>
        <w:t>种方式解决争议：</w:t>
      </w:r>
    </w:p>
    <w:p w14:paraId="256AD6A2">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7</w:t>
      </w:r>
      <w:r>
        <w:rPr>
          <w:rFonts w:hint="eastAsia" w:ascii="仿宋_GB2312" w:eastAsia="仿宋_GB2312"/>
          <w:color w:val="auto"/>
          <w:highlight w:val="none"/>
        </w:rPr>
        <w:t>.2.1</w:t>
      </w:r>
      <w:r>
        <w:rPr>
          <w:rFonts w:ascii="仿宋_GB2312" w:eastAsia="仿宋_GB2312"/>
          <w:color w:val="auto"/>
          <w:highlight w:val="none"/>
        </w:rPr>
        <w:t xml:space="preserve"> </w:t>
      </w:r>
      <w:r>
        <w:rPr>
          <w:rFonts w:hint="eastAsia" w:ascii="仿宋_GB2312" w:eastAsia="仿宋_GB2312"/>
          <w:color w:val="auto"/>
          <w:highlight w:val="none"/>
        </w:rPr>
        <w:t>向买方所在地有管辖权的人民法院提起诉讼；</w:t>
      </w:r>
    </w:p>
    <w:p w14:paraId="1A2DC1B6">
      <w:pPr>
        <w:pStyle w:val="45"/>
        <w:spacing w:before="0" w:beforeAutospacing="0" w:after="0" w:afterAutospacing="0" w:line="360" w:lineRule="auto"/>
        <w:ind w:firstLine="480" w:firstLineChars="200"/>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7</w:t>
      </w:r>
      <w:r>
        <w:rPr>
          <w:rFonts w:hint="eastAsia" w:ascii="仿宋_GB2312" w:eastAsia="仿宋_GB2312"/>
          <w:color w:val="auto"/>
          <w:highlight w:val="none"/>
        </w:rPr>
        <w:t>.2.2</w:t>
      </w:r>
      <w:r>
        <w:rPr>
          <w:rFonts w:ascii="仿宋_GB2312" w:eastAsia="仿宋_GB2312"/>
          <w:color w:val="auto"/>
          <w:highlight w:val="none"/>
        </w:rPr>
        <w:t xml:space="preserve"> </w:t>
      </w:r>
      <w:r>
        <w:rPr>
          <w:rFonts w:hint="eastAsia" w:ascii="仿宋_GB2312" w:eastAsia="仿宋_GB2312"/>
          <w:color w:val="auto"/>
          <w:highlight w:val="none"/>
        </w:rPr>
        <w:t>向</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文成县</w:t>
      </w:r>
      <w:r>
        <w:rPr>
          <w:rFonts w:hint="eastAsia" w:ascii="仿宋_GB2312" w:eastAsia="仿宋_GB2312"/>
          <w:color w:val="auto"/>
          <w:highlight w:val="none"/>
          <w:u w:val="single"/>
        </w:rPr>
        <w:t xml:space="preserve"> </w:t>
      </w:r>
      <w:r>
        <w:rPr>
          <w:rFonts w:hint="eastAsia" w:ascii="仿宋_GB2312" w:eastAsia="仿宋_GB2312"/>
          <w:color w:val="auto"/>
          <w:highlight w:val="none"/>
        </w:rPr>
        <w:t>仲裁委员会按其仲裁规则申请仲裁。</w:t>
      </w:r>
    </w:p>
    <w:p w14:paraId="014D6C86">
      <w:pPr>
        <w:pStyle w:val="45"/>
        <w:spacing w:before="0" w:beforeAutospacing="0" w:after="0" w:afterAutospacing="0" w:line="360" w:lineRule="auto"/>
        <w:ind w:firstLine="482"/>
        <w:rPr>
          <w:rFonts w:hint="eastAsia" w:ascii="仿宋_GB2312" w:eastAsia="仿宋_GB2312"/>
          <w:b/>
          <w:color w:val="auto"/>
          <w:highlight w:val="none"/>
        </w:rPr>
      </w:pPr>
      <w:r>
        <w:rPr>
          <w:rFonts w:hint="eastAsia" w:ascii="仿宋_GB2312" w:eastAsia="仿宋_GB2312"/>
          <w:b/>
          <w:color w:val="auto"/>
          <w:highlight w:val="none"/>
        </w:rPr>
        <w:t>第十八条　合同生效及其他</w:t>
      </w:r>
    </w:p>
    <w:p w14:paraId="2195ACA0">
      <w:pPr>
        <w:pStyle w:val="45"/>
        <w:spacing w:before="0" w:beforeAutospacing="0" w:after="0" w:afterAutospacing="0" w:line="360" w:lineRule="auto"/>
        <w:ind w:firstLine="482"/>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8</w:t>
      </w:r>
      <w:r>
        <w:rPr>
          <w:rFonts w:hint="eastAsia" w:ascii="仿宋_GB2312" w:eastAsia="仿宋_GB2312"/>
          <w:color w:val="auto"/>
          <w:highlight w:val="none"/>
        </w:rPr>
        <w:t>.1</w:t>
      </w:r>
      <w:r>
        <w:rPr>
          <w:rFonts w:ascii="仿宋_GB2312" w:eastAsia="仿宋_GB2312"/>
          <w:color w:val="auto"/>
          <w:highlight w:val="none"/>
        </w:rPr>
        <w:t xml:space="preserve"> </w:t>
      </w:r>
      <w:r>
        <w:rPr>
          <w:rFonts w:hint="eastAsia" w:ascii="仿宋_GB2312" w:eastAsia="仿宋_GB2312"/>
          <w:color w:val="auto"/>
          <w:highlight w:val="none"/>
        </w:rPr>
        <w:t>合同经双方负责人或委托代理人签字并加盖单位公章。</w:t>
      </w:r>
    </w:p>
    <w:p w14:paraId="08C4AD9B">
      <w:pPr>
        <w:pStyle w:val="45"/>
        <w:spacing w:before="0" w:beforeAutospacing="0" w:after="0" w:afterAutospacing="0" w:line="360" w:lineRule="auto"/>
        <w:ind w:firstLine="482"/>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8</w:t>
      </w:r>
      <w:r>
        <w:rPr>
          <w:rFonts w:hint="eastAsia" w:ascii="仿宋_GB2312" w:eastAsia="仿宋_GB2312"/>
          <w:color w:val="auto"/>
          <w:highlight w:val="none"/>
        </w:rPr>
        <w:t>.2</w:t>
      </w:r>
      <w:r>
        <w:rPr>
          <w:rFonts w:ascii="仿宋_GB2312" w:eastAsia="仿宋_GB2312"/>
          <w:color w:val="auto"/>
          <w:highlight w:val="none"/>
        </w:rPr>
        <w:t xml:space="preserve"> </w:t>
      </w:r>
      <w:r>
        <w:rPr>
          <w:rFonts w:hint="eastAsia" w:ascii="仿宋_GB2312" w:eastAsia="仿宋_GB2312"/>
          <w:color w:val="auto"/>
          <w:highlight w:val="none"/>
        </w:rPr>
        <w:t>合同执行中涉及采购资金和采购内容修改或补充的，须经财政部门批准，并签书面补充协议报政府采购监督管理部门备案，方可作为合同不可分割的一部分。</w:t>
      </w:r>
    </w:p>
    <w:p w14:paraId="59E3E0F2">
      <w:pPr>
        <w:pStyle w:val="45"/>
        <w:spacing w:before="0" w:beforeAutospacing="0" w:after="0" w:afterAutospacing="0" w:line="360" w:lineRule="auto"/>
        <w:ind w:firstLine="482"/>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8</w:t>
      </w:r>
      <w:r>
        <w:rPr>
          <w:rFonts w:hint="eastAsia" w:ascii="仿宋_GB2312" w:eastAsia="仿宋_GB2312"/>
          <w:color w:val="auto"/>
          <w:highlight w:val="none"/>
        </w:rPr>
        <w:t>.3</w:t>
      </w:r>
      <w:r>
        <w:rPr>
          <w:rFonts w:ascii="仿宋_GB2312" w:eastAsia="仿宋_GB2312"/>
          <w:color w:val="auto"/>
          <w:highlight w:val="none"/>
        </w:rPr>
        <w:t xml:space="preserve"> </w:t>
      </w:r>
      <w:r>
        <w:rPr>
          <w:rFonts w:hint="eastAsia" w:ascii="仿宋_GB2312" w:eastAsia="仿宋_GB2312"/>
          <w:color w:val="auto"/>
          <w:highlight w:val="none"/>
        </w:rPr>
        <w:t>本合同自签订之日起生效。</w:t>
      </w:r>
    </w:p>
    <w:p w14:paraId="424A1752">
      <w:pPr>
        <w:pStyle w:val="45"/>
        <w:spacing w:before="0" w:beforeAutospacing="0" w:after="0" w:afterAutospacing="0" w:line="360" w:lineRule="auto"/>
        <w:ind w:firstLine="482"/>
        <w:rPr>
          <w:rFonts w:hint="eastAsia"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8</w:t>
      </w:r>
      <w:r>
        <w:rPr>
          <w:rFonts w:hint="eastAsia" w:ascii="仿宋_GB2312" w:eastAsia="仿宋_GB2312"/>
          <w:color w:val="auto"/>
          <w:highlight w:val="none"/>
        </w:rPr>
        <w:t>.4</w:t>
      </w:r>
      <w:r>
        <w:rPr>
          <w:rFonts w:ascii="仿宋_GB2312" w:eastAsia="仿宋_GB2312"/>
          <w:color w:val="auto"/>
          <w:highlight w:val="none"/>
        </w:rPr>
        <w:t xml:space="preserve"> </w:t>
      </w:r>
      <w:r>
        <w:rPr>
          <w:rFonts w:hint="eastAsia" w:ascii="仿宋_GB2312" w:eastAsia="仿宋_GB2312"/>
          <w:color w:val="auto"/>
          <w:highlight w:val="none"/>
        </w:rPr>
        <w:t>本合同一式六份，买卖双方各执二份，一份交</w:t>
      </w:r>
      <w:r>
        <w:rPr>
          <w:rFonts w:hint="eastAsia" w:ascii="仿宋_GB2312" w:eastAsia="仿宋_GB2312"/>
          <w:color w:val="auto"/>
          <w:highlight w:val="none"/>
          <w:u w:val="single"/>
        </w:rPr>
        <w:t>（</w:t>
      </w:r>
      <w:r>
        <w:rPr>
          <w:rFonts w:ascii="仿宋_GB2312" w:eastAsia="仿宋_GB2312"/>
          <w:color w:val="auto"/>
          <w:highlight w:val="none"/>
          <w:u w:val="single"/>
        </w:rPr>
        <w:t>代理</w:t>
      </w:r>
      <w:r>
        <w:rPr>
          <w:rFonts w:hint="eastAsia" w:ascii="仿宋_GB2312" w:eastAsia="仿宋_GB2312"/>
          <w:color w:val="auto"/>
          <w:highlight w:val="none"/>
          <w:u w:val="single"/>
        </w:rPr>
        <w:t>机构</w:t>
      </w:r>
      <w:r>
        <w:rPr>
          <w:rFonts w:ascii="仿宋_GB2312" w:eastAsia="仿宋_GB2312"/>
          <w:color w:val="auto"/>
          <w:highlight w:val="none"/>
          <w:u w:val="single"/>
        </w:rPr>
        <w:t>名称</w:t>
      </w:r>
      <w:r>
        <w:rPr>
          <w:rFonts w:hint="eastAsia" w:ascii="仿宋_GB2312" w:eastAsia="仿宋_GB2312"/>
          <w:color w:val="auto"/>
          <w:highlight w:val="none"/>
          <w:u w:val="single"/>
        </w:rPr>
        <w:t>）</w:t>
      </w:r>
      <w:r>
        <w:rPr>
          <w:rFonts w:hint="eastAsia" w:ascii="仿宋_GB2312" w:eastAsia="仿宋_GB2312"/>
          <w:color w:val="auto"/>
          <w:highlight w:val="none"/>
        </w:rPr>
        <w:t>存档，一份报送政府采购监督管理部门备案。</w:t>
      </w:r>
    </w:p>
    <w:p w14:paraId="7284C792">
      <w:pPr>
        <w:pStyle w:val="45"/>
        <w:spacing w:before="0" w:beforeAutospacing="0" w:after="0" w:afterAutospacing="0" w:line="360" w:lineRule="auto"/>
        <w:ind w:firstLine="482"/>
        <w:rPr>
          <w:rFonts w:hint="eastAsia" w:ascii="仿宋_GB2312" w:eastAsia="仿宋_GB2312"/>
          <w:color w:val="auto"/>
          <w:highlight w:val="none"/>
        </w:rPr>
      </w:pPr>
      <w:r>
        <w:rPr>
          <w:rFonts w:hint="eastAsia" w:ascii="仿宋_GB2312" w:eastAsia="仿宋_GB2312"/>
          <w:color w:val="auto"/>
          <w:highlight w:val="none"/>
        </w:rPr>
        <w:t>18.</w:t>
      </w:r>
      <w:r>
        <w:rPr>
          <w:rFonts w:ascii="仿宋_GB2312" w:eastAsia="仿宋_GB2312"/>
          <w:color w:val="auto"/>
          <w:highlight w:val="none"/>
        </w:rPr>
        <w:t>5</w:t>
      </w:r>
      <w:r>
        <w:rPr>
          <w:rFonts w:hint="eastAsia" w:ascii="仿宋_GB2312" w:eastAsia="仿宋_GB2312"/>
          <w:color w:val="auto"/>
          <w:highlight w:val="none"/>
        </w:rPr>
        <w:t>本合同应按照中华人民共和国的现行法律进行解释。</w:t>
      </w:r>
    </w:p>
    <w:p w14:paraId="50EFB315">
      <w:pPr>
        <w:pStyle w:val="27"/>
        <w:snapToGrid w:val="0"/>
        <w:spacing w:before="0" w:beforeLines="0" w:after="0" w:afterLines="0" w:line="500" w:lineRule="atLeast"/>
        <w:rPr>
          <w:rFonts w:hAnsi="宋体"/>
          <w:b w:val="0"/>
          <w:bCs w:val="0"/>
          <w:color w:val="auto"/>
          <w:sz w:val="24"/>
          <w:szCs w:val="24"/>
          <w:highlight w:val="none"/>
        </w:rPr>
      </w:pPr>
      <w:r>
        <w:rPr>
          <w:rFonts w:hAnsi="宋体"/>
          <w:b w:val="0"/>
          <w:bCs w:val="0"/>
          <w:color w:val="auto"/>
          <w:sz w:val="24"/>
          <w:szCs w:val="24"/>
          <w:highlight w:val="none"/>
        </w:rPr>
        <w:t>甲方：</w:t>
      </w:r>
      <w:r>
        <w:rPr>
          <w:rFonts w:hint="eastAsia" w:hAnsi="宋体"/>
          <w:b w:val="0"/>
          <w:bCs w:val="0"/>
          <w:color w:val="auto"/>
          <w:sz w:val="24"/>
          <w:szCs w:val="24"/>
          <w:highlight w:val="none"/>
        </w:rPr>
        <w:t xml:space="preserve">  </w:t>
      </w:r>
      <w:r>
        <w:rPr>
          <w:rFonts w:hAnsi="宋体"/>
          <w:b w:val="0"/>
          <w:bCs w:val="0"/>
          <w:color w:val="auto"/>
          <w:sz w:val="24"/>
          <w:szCs w:val="24"/>
          <w:highlight w:val="none"/>
        </w:rPr>
        <w:t xml:space="preserve">                                 乙方： </w:t>
      </w:r>
    </w:p>
    <w:p w14:paraId="7403C473">
      <w:pPr>
        <w:pStyle w:val="27"/>
        <w:snapToGrid w:val="0"/>
        <w:spacing w:before="0" w:beforeLines="0" w:after="0" w:afterLines="0" w:line="500" w:lineRule="atLeast"/>
        <w:rPr>
          <w:rFonts w:hAnsi="宋体"/>
          <w:b w:val="0"/>
          <w:bCs w:val="0"/>
          <w:color w:val="auto"/>
          <w:sz w:val="24"/>
          <w:szCs w:val="24"/>
          <w:highlight w:val="none"/>
        </w:rPr>
      </w:pPr>
      <w:r>
        <w:rPr>
          <w:rFonts w:hAnsi="宋体"/>
          <w:b w:val="0"/>
          <w:bCs w:val="0"/>
          <w:color w:val="auto"/>
          <w:sz w:val="24"/>
          <w:szCs w:val="24"/>
          <w:highlight w:val="none"/>
        </w:rPr>
        <w:t xml:space="preserve">地址：                                   地址： </w:t>
      </w:r>
    </w:p>
    <w:p w14:paraId="6919AAFE">
      <w:pPr>
        <w:pStyle w:val="27"/>
        <w:snapToGrid w:val="0"/>
        <w:spacing w:before="0" w:beforeLines="0" w:after="0" w:afterLines="0" w:line="500" w:lineRule="atLeast"/>
        <w:rPr>
          <w:rFonts w:hAnsi="宋体"/>
          <w:b w:val="0"/>
          <w:bCs w:val="0"/>
          <w:color w:val="auto"/>
          <w:sz w:val="24"/>
          <w:szCs w:val="24"/>
          <w:highlight w:val="none"/>
        </w:rPr>
      </w:pPr>
      <w:r>
        <w:rPr>
          <w:rFonts w:hAnsi="宋体"/>
          <w:b w:val="0"/>
          <w:bCs w:val="0"/>
          <w:color w:val="auto"/>
          <w:sz w:val="24"/>
          <w:szCs w:val="24"/>
          <w:highlight w:val="none"/>
        </w:rPr>
        <w:t>法定</w:t>
      </w:r>
      <w:r>
        <w:rPr>
          <w:rFonts w:hint="eastAsia" w:hAnsi="宋体"/>
          <w:b w:val="0"/>
          <w:bCs w:val="0"/>
          <w:color w:val="auto"/>
          <w:sz w:val="24"/>
          <w:szCs w:val="24"/>
          <w:highlight w:val="none"/>
        </w:rPr>
        <w:t>（授权）</w:t>
      </w:r>
      <w:r>
        <w:rPr>
          <w:rFonts w:hAnsi="宋体"/>
          <w:b w:val="0"/>
          <w:bCs w:val="0"/>
          <w:color w:val="auto"/>
          <w:sz w:val="24"/>
          <w:szCs w:val="24"/>
          <w:highlight w:val="none"/>
        </w:rPr>
        <w:t>代表人：                     法定</w:t>
      </w:r>
      <w:r>
        <w:rPr>
          <w:rFonts w:hint="eastAsia" w:hAnsi="宋体"/>
          <w:b w:val="0"/>
          <w:bCs w:val="0"/>
          <w:color w:val="auto"/>
          <w:sz w:val="24"/>
          <w:szCs w:val="24"/>
          <w:highlight w:val="none"/>
        </w:rPr>
        <w:t>（授权）</w:t>
      </w:r>
      <w:r>
        <w:rPr>
          <w:rFonts w:hAnsi="宋体"/>
          <w:b w:val="0"/>
          <w:bCs w:val="0"/>
          <w:color w:val="auto"/>
          <w:sz w:val="24"/>
          <w:szCs w:val="24"/>
          <w:highlight w:val="none"/>
        </w:rPr>
        <w:t>代表人：</w:t>
      </w:r>
    </w:p>
    <w:p w14:paraId="46B20DF3">
      <w:pPr>
        <w:pStyle w:val="27"/>
        <w:snapToGrid w:val="0"/>
        <w:spacing w:before="0" w:beforeLines="0" w:after="0" w:afterLines="0" w:line="500" w:lineRule="atLeast"/>
        <w:rPr>
          <w:rFonts w:hint="eastAsia" w:hAnsi="宋体"/>
          <w:b w:val="0"/>
          <w:bCs w:val="0"/>
          <w:color w:val="auto"/>
          <w:sz w:val="24"/>
          <w:szCs w:val="24"/>
          <w:highlight w:val="none"/>
        </w:rPr>
      </w:pPr>
      <w:r>
        <w:rPr>
          <w:rFonts w:hint="eastAsia" w:hAnsi="宋体"/>
          <w:b w:val="0"/>
          <w:bCs w:val="0"/>
          <w:color w:val="auto"/>
          <w:sz w:val="24"/>
          <w:szCs w:val="24"/>
          <w:highlight w:val="none"/>
        </w:rPr>
        <w:t>开户银行：　　　　　　　　　　　　　　　 开户银行：</w:t>
      </w:r>
    </w:p>
    <w:p w14:paraId="4CFCAABD">
      <w:pPr>
        <w:pStyle w:val="27"/>
        <w:snapToGrid w:val="0"/>
        <w:spacing w:before="0" w:beforeLines="0" w:after="0" w:afterLines="0" w:line="500" w:lineRule="atLeast"/>
        <w:rPr>
          <w:rFonts w:hint="eastAsia" w:hAnsi="宋体"/>
          <w:b w:val="0"/>
          <w:bCs w:val="0"/>
          <w:color w:val="auto"/>
          <w:sz w:val="24"/>
          <w:szCs w:val="24"/>
          <w:highlight w:val="none"/>
        </w:rPr>
      </w:pPr>
      <w:r>
        <w:rPr>
          <w:rFonts w:hint="eastAsia"/>
          <w:b w:val="0"/>
          <w:bCs w:val="0"/>
          <w:color w:val="auto"/>
          <w:sz w:val="24"/>
          <w:szCs w:val="24"/>
          <w:highlight w:val="none"/>
          <w:lang w:eastAsia="zh-CN"/>
        </w:rPr>
        <w:t>账号</w:t>
      </w:r>
      <w:r>
        <w:rPr>
          <w:rFonts w:hint="eastAsia" w:hAnsi="宋体"/>
          <w:b w:val="0"/>
          <w:bCs w:val="0"/>
          <w:color w:val="auto"/>
          <w:sz w:val="24"/>
          <w:szCs w:val="24"/>
          <w:highlight w:val="none"/>
        </w:rPr>
        <w:t xml:space="preserve">：　　　　　　　　　　　　　　　　　 </w:t>
      </w:r>
      <w:r>
        <w:rPr>
          <w:rFonts w:hint="eastAsia"/>
          <w:b w:val="0"/>
          <w:bCs w:val="0"/>
          <w:color w:val="auto"/>
          <w:sz w:val="24"/>
          <w:szCs w:val="24"/>
          <w:highlight w:val="none"/>
          <w:lang w:eastAsia="zh-CN"/>
        </w:rPr>
        <w:t>账号</w:t>
      </w:r>
      <w:r>
        <w:rPr>
          <w:rFonts w:hint="eastAsia" w:hAnsi="宋体"/>
          <w:b w:val="0"/>
          <w:bCs w:val="0"/>
          <w:color w:val="auto"/>
          <w:sz w:val="24"/>
          <w:szCs w:val="24"/>
          <w:highlight w:val="none"/>
        </w:rPr>
        <w:t>：</w:t>
      </w:r>
    </w:p>
    <w:p w14:paraId="4AA24486">
      <w:pPr>
        <w:pStyle w:val="27"/>
        <w:adjustRightInd w:val="0"/>
        <w:snapToGrid w:val="0"/>
        <w:spacing w:before="0" w:after="0" w:line="360" w:lineRule="auto"/>
        <w:jc w:val="center"/>
        <w:rPr>
          <w:rFonts w:hAnsi="宋体"/>
          <w:b w:val="0"/>
          <w:bCs w:val="0"/>
          <w:color w:val="auto"/>
          <w:sz w:val="24"/>
          <w:szCs w:val="24"/>
          <w:highlight w:val="none"/>
        </w:rPr>
      </w:pPr>
    </w:p>
    <w:p w14:paraId="2F2C3701">
      <w:pPr>
        <w:pStyle w:val="27"/>
        <w:adjustRightInd w:val="0"/>
        <w:snapToGrid w:val="0"/>
        <w:spacing w:before="0" w:after="0" w:line="360" w:lineRule="auto"/>
        <w:jc w:val="center"/>
        <w:rPr>
          <w:rFonts w:hint="default" w:hAnsi="宋体" w:eastAsia="宋体"/>
          <w:b w:val="0"/>
          <w:bCs w:val="0"/>
          <w:color w:val="auto"/>
          <w:sz w:val="24"/>
          <w:szCs w:val="24"/>
          <w:highlight w:val="none"/>
          <w:lang w:val="en-US" w:eastAsia="zh-CN"/>
        </w:rPr>
      </w:pPr>
      <w:r>
        <w:rPr>
          <w:rFonts w:hAnsi="宋体"/>
          <w:b w:val="0"/>
          <w:bCs w:val="0"/>
          <w:color w:val="auto"/>
          <w:sz w:val="24"/>
          <w:szCs w:val="24"/>
          <w:highlight w:val="none"/>
        </w:rPr>
        <w:t>签</w:t>
      </w:r>
      <w:r>
        <w:rPr>
          <w:rFonts w:hint="eastAsia" w:hAnsi="宋体"/>
          <w:b w:val="0"/>
          <w:bCs w:val="0"/>
          <w:color w:val="auto"/>
          <w:sz w:val="24"/>
          <w:szCs w:val="24"/>
          <w:highlight w:val="none"/>
        </w:rPr>
        <w:t>字日期</w:t>
      </w:r>
      <w:r>
        <w:rPr>
          <w:rFonts w:hAnsi="宋体"/>
          <w:b w:val="0"/>
          <w:bCs w:val="0"/>
          <w:color w:val="auto"/>
          <w:sz w:val="24"/>
          <w:szCs w:val="24"/>
          <w:highlight w:val="none"/>
        </w:rPr>
        <w:t xml:space="preserve">：      年  月  日  </w:t>
      </w:r>
      <w:r>
        <w:rPr>
          <w:rFonts w:hint="eastAsia" w:hAnsi="宋体"/>
          <w:b w:val="0"/>
          <w:bCs w:val="0"/>
          <w:color w:val="auto"/>
          <w:sz w:val="24"/>
          <w:szCs w:val="24"/>
          <w:highlight w:val="none"/>
        </w:rPr>
        <w:t xml:space="preserve">    </w:t>
      </w:r>
      <w:r>
        <w:rPr>
          <w:rFonts w:hAnsi="宋体"/>
          <w:b w:val="0"/>
          <w:bCs w:val="0"/>
          <w:color w:val="auto"/>
          <w:sz w:val="24"/>
          <w:szCs w:val="24"/>
          <w:highlight w:val="none"/>
        </w:rPr>
        <w:t xml:space="preserve">   </w:t>
      </w:r>
      <w:r>
        <w:rPr>
          <w:rFonts w:hint="eastAsia" w:hAnsi="宋体"/>
          <w:b w:val="0"/>
          <w:bCs w:val="0"/>
          <w:color w:val="auto"/>
          <w:sz w:val="24"/>
          <w:szCs w:val="24"/>
          <w:highlight w:val="none"/>
        </w:rPr>
        <w:t xml:space="preserve">    </w:t>
      </w:r>
      <w:r>
        <w:rPr>
          <w:rFonts w:hAnsi="宋体"/>
          <w:b w:val="0"/>
          <w:bCs w:val="0"/>
          <w:color w:val="auto"/>
          <w:sz w:val="24"/>
          <w:szCs w:val="24"/>
          <w:highlight w:val="none"/>
        </w:rPr>
        <w:t xml:space="preserve">  签</w:t>
      </w:r>
      <w:r>
        <w:rPr>
          <w:rFonts w:hint="eastAsia" w:hAnsi="宋体"/>
          <w:b w:val="0"/>
          <w:bCs w:val="0"/>
          <w:color w:val="auto"/>
          <w:sz w:val="24"/>
          <w:szCs w:val="24"/>
          <w:highlight w:val="none"/>
        </w:rPr>
        <w:t>字</w:t>
      </w:r>
      <w:r>
        <w:rPr>
          <w:rFonts w:hAnsi="宋体"/>
          <w:b w:val="0"/>
          <w:bCs w:val="0"/>
          <w:color w:val="auto"/>
          <w:sz w:val="24"/>
          <w:szCs w:val="24"/>
          <w:highlight w:val="none"/>
        </w:rPr>
        <w:t>日期：      年</w:t>
      </w:r>
      <w:r>
        <w:rPr>
          <w:rFonts w:hint="eastAsia" w:hAnsi="宋体"/>
          <w:b w:val="0"/>
          <w:bCs w:val="0"/>
          <w:color w:val="auto"/>
          <w:sz w:val="24"/>
          <w:szCs w:val="24"/>
          <w:highlight w:val="none"/>
          <w:lang w:val="en-US" w:eastAsia="zh-CN"/>
        </w:rPr>
        <w:t xml:space="preserve">   月   日</w:t>
      </w:r>
    </w:p>
    <w:p w14:paraId="12754105">
      <w:pPr>
        <w:pStyle w:val="6"/>
        <w:spacing w:after="50" w:line="360" w:lineRule="auto"/>
        <w:ind w:firstLine="442" w:firstLineChars="200"/>
        <w:jc w:val="both"/>
        <w:outlineLvl w:val="0"/>
        <w:rPr>
          <w:rFonts w:hint="eastAsia" w:ascii="宋体" w:eastAsia="宋体"/>
          <w:b/>
          <w:bCs/>
          <w:color w:val="auto"/>
          <w:sz w:val="22"/>
          <w:szCs w:val="22"/>
          <w:u w:val="single"/>
        </w:rPr>
      </w:pPr>
      <w:r>
        <w:rPr>
          <w:rFonts w:hint="eastAsia" w:ascii="宋体" w:eastAsia="宋体"/>
          <w:b/>
          <w:bCs/>
          <w:color w:val="auto"/>
          <w:sz w:val="22"/>
          <w:szCs w:val="22"/>
          <w:u w:val="single"/>
        </w:rPr>
        <w:t>注：以上合同条款供采购人及中标供应商作为商务参考，具体签订时，采购人可根据自身项目情况与中标供应商协商另行修改拟定相关合同具体条款。</w:t>
      </w:r>
    </w:p>
    <w:p w14:paraId="5DCFEAEB">
      <w:pPr>
        <w:pStyle w:val="6"/>
        <w:spacing w:after="50" w:line="360" w:lineRule="auto"/>
        <w:ind w:firstLine="0"/>
        <w:jc w:val="center"/>
        <w:outlineLvl w:val="0"/>
        <w:rPr>
          <w:rFonts w:ascii="Arial" w:hAnsi="宋体" w:cs="Arial"/>
          <w:b/>
          <w:bCs/>
          <w:color w:val="000000"/>
          <w:szCs w:val="28"/>
        </w:rPr>
      </w:pPr>
      <w:r>
        <w:rPr>
          <w:rFonts w:ascii="Arial" w:hAnsi="宋体" w:cs="Arial"/>
          <w:b/>
          <w:bCs/>
          <w:color w:val="000000"/>
          <w:szCs w:val="28"/>
        </w:rPr>
        <w:t>第五部分  投标文件格式</w:t>
      </w:r>
      <w:bookmarkEnd w:id="83"/>
      <w:bookmarkEnd w:id="84"/>
    </w:p>
    <w:p w14:paraId="72B598D4">
      <w:pPr>
        <w:rPr>
          <w:rFonts w:hint="eastAsia"/>
          <w:color w:val="000000"/>
          <w:szCs w:val="21"/>
        </w:rPr>
      </w:pPr>
    </w:p>
    <w:p w14:paraId="0939BA30">
      <w:pPr>
        <w:kinsoku/>
        <w:wordWrap/>
        <w:topLinePunct w:val="0"/>
        <w:bidi w:val="0"/>
        <w:snapToGrid w:val="0"/>
        <w:spacing w:line="480" w:lineRule="auto"/>
        <w:jc w:val="center"/>
        <w:rPr>
          <w:rFonts w:hint="eastAsia" w:ascii="宋体" w:hAnsi="宋体" w:eastAsia="宋体" w:cs="宋体"/>
          <w:b/>
          <w:bCs/>
          <w:color w:val="000000"/>
          <w:sz w:val="21"/>
          <w:szCs w:val="21"/>
          <w:highlight w:val="none"/>
        </w:rPr>
      </w:pPr>
      <w:bookmarkStart w:id="85" w:name="_Toc132221307"/>
      <w:bookmarkStart w:id="86" w:name="_Toc191204214"/>
      <w:bookmarkStart w:id="87" w:name="_Toc186617637"/>
      <w:r>
        <w:rPr>
          <w:rFonts w:hint="eastAsia" w:ascii="宋体" w:hAnsi="宋体" w:eastAsia="宋体" w:cs="宋体"/>
          <w:b/>
          <w:bCs/>
          <w:color w:val="000000"/>
          <w:sz w:val="21"/>
          <w:szCs w:val="21"/>
          <w:highlight w:val="none"/>
        </w:rPr>
        <w:t>投标供应商提交投标文件须知</w:t>
      </w:r>
    </w:p>
    <w:p w14:paraId="239A5372">
      <w:pPr>
        <w:kinsoku/>
        <w:wordWrap/>
        <w:topLinePunct w:val="0"/>
        <w:bidi w:val="0"/>
        <w:snapToGrid w:val="0"/>
        <w:spacing w:line="480" w:lineRule="auto"/>
        <w:jc w:val="center"/>
        <w:rPr>
          <w:rFonts w:hint="eastAsia" w:ascii="宋体" w:hAnsi="宋体" w:eastAsia="宋体" w:cs="宋体"/>
          <w:color w:val="000000"/>
          <w:sz w:val="21"/>
          <w:szCs w:val="21"/>
          <w:highlight w:val="none"/>
        </w:rPr>
      </w:pPr>
    </w:p>
    <w:p w14:paraId="16A948E7">
      <w:pPr>
        <w:numPr>
          <w:ilvl w:val="4"/>
          <w:numId w:val="16"/>
        </w:numPr>
        <w:kinsoku/>
        <w:wordWrap/>
        <w:topLinePunct w:val="0"/>
        <w:bidi w:val="0"/>
        <w:snapToGrid w:val="0"/>
        <w:spacing w:line="480" w:lineRule="auto"/>
        <w:ind w:left="426"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投标供应商应严格按照投标文件的组成提交下述规定的全部格式文件以及其他有关资料，混乱的编排导致投标文件被误读或</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查找不到有效文件是投标供应商的风险。</w:t>
      </w:r>
    </w:p>
    <w:p w14:paraId="5D789059">
      <w:pPr>
        <w:numPr>
          <w:ilvl w:val="4"/>
          <w:numId w:val="16"/>
        </w:numPr>
        <w:kinsoku/>
        <w:wordWrap/>
        <w:topLinePunct w:val="0"/>
        <w:bidi w:val="0"/>
        <w:snapToGrid w:val="0"/>
        <w:spacing w:line="480" w:lineRule="auto"/>
        <w:ind w:left="426"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所附表格中要求回答的全部问题和/或信息都必须正面回答。</w:t>
      </w:r>
    </w:p>
    <w:p w14:paraId="7A4D3471">
      <w:pPr>
        <w:numPr>
          <w:ilvl w:val="4"/>
          <w:numId w:val="16"/>
        </w:numPr>
        <w:kinsoku/>
        <w:wordWrap/>
        <w:topLinePunct w:val="0"/>
        <w:bidi w:val="0"/>
        <w:snapToGrid w:val="0"/>
        <w:spacing w:line="480" w:lineRule="auto"/>
        <w:ind w:left="426"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本资格声明的签字人应保证全部声明和问题的回答是真实的和准确的。</w:t>
      </w:r>
    </w:p>
    <w:p w14:paraId="06ED1613">
      <w:pPr>
        <w:numPr>
          <w:ilvl w:val="4"/>
          <w:numId w:val="16"/>
        </w:numPr>
        <w:kinsoku/>
        <w:wordWrap/>
        <w:topLinePunct w:val="0"/>
        <w:bidi w:val="0"/>
        <w:snapToGrid w:val="0"/>
        <w:spacing w:line="480" w:lineRule="auto"/>
        <w:ind w:left="426"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将应用投标供应商提交的资料根据自己的判断和考虑决定投标供应商履行合同的合格性及能力。</w:t>
      </w:r>
    </w:p>
    <w:p w14:paraId="35122869">
      <w:pPr>
        <w:numPr>
          <w:ilvl w:val="4"/>
          <w:numId w:val="16"/>
        </w:numPr>
        <w:kinsoku/>
        <w:wordWrap/>
        <w:topLinePunct w:val="0"/>
        <w:bidi w:val="0"/>
        <w:snapToGrid w:val="0"/>
        <w:spacing w:line="480" w:lineRule="auto"/>
        <w:ind w:left="426"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全部文件应按投标供应商须知中规定的语言和份数提交。</w:t>
      </w:r>
    </w:p>
    <w:p w14:paraId="078875C4">
      <w:pPr>
        <w:snapToGrid w:val="0"/>
        <w:spacing w:line="400" w:lineRule="exact"/>
        <w:jc w:val="left"/>
        <w:outlineLvl w:val="1"/>
        <w:rPr>
          <w:rFonts w:hint="eastAsia" w:ascii="宋体" w:hAnsi="宋体"/>
          <w:b/>
          <w:bCs/>
          <w:color w:val="000000"/>
          <w:sz w:val="24"/>
        </w:rPr>
      </w:pPr>
      <w:r>
        <w:rPr>
          <w:rFonts w:hint="eastAsia" w:ascii="宋体" w:hAnsi="宋体"/>
          <w:b/>
          <w:bCs/>
          <w:color w:val="000000"/>
          <w:sz w:val="24"/>
        </w:rPr>
        <w:br w:type="page"/>
      </w:r>
      <w:bookmarkStart w:id="88" w:name="_Toc26664"/>
      <w:r>
        <w:rPr>
          <w:rFonts w:hint="eastAsia" w:ascii="宋体" w:hAnsi="宋体"/>
          <w:b/>
          <w:bCs/>
          <w:color w:val="000000"/>
          <w:sz w:val="24"/>
        </w:rPr>
        <w:t>附件</w:t>
      </w:r>
      <w:r>
        <w:rPr>
          <w:rFonts w:hint="eastAsia" w:ascii="宋体" w:hAnsi="宋体"/>
          <w:b/>
          <w:bCs/>
          <w:color w:val="000000"/>
          <w:sz w:val="24"/>
          <w:lang w:val="en-US" w:eastAsia="zh-CN"/>
        </w:rPr>
        <w:t>1</w:t>
      </w:r>
      <w:r>
        <w:rPr>
          <w:rFonts w:hint="eastAsia" w:ascii="宋体" w:hAnsi="宋体"/>
          <w:b/>
          <w:bCs/>
          <w:color w:val="000000"/>
          <w:sz w:val="24"/>
        </w:rPr>
        <w:t xml:space="preserve">   承诺函</w:t>
      </w:r>
      <w:bookmarkEnd w:id="85"/>
      <w:bookmarkEnd w:id="88"/>
    </w:p>
    <w:p w14:paraId="54037870">
      <w:pPr>
        <w:rPr>
          <w:rFonts w:hint="eastAsia"/>
          <w:color w:val="000000"/>
        </w:rPr>
      </w:pPr>
    </w:p>
    <w:p w14:paraId="6CDA04E2">
      <w:pPr>
        <w:spacing w:line="276" w:lineRule="auto"/>
        <w:rPr>
          <w:rFonts w:hint="eastAsia" w:ascii="宋体" w:hAnsi="宋体" w:eastAsia="宋体" w:cs="宋体"/>
          <w:bCs/>
          <w:color w:val="000000"/>
          <w:sz w:val="22"/>
          <w:szCs w:val="22"/>
        </w:rPr>
      </w:pPr>
      <w:r>
        <w:rPr>
          <w:rFonts w:hint="eastAsia" w:ascii="宋体" w:hAnsi="宋体" w:eastAsia="宋体" w:cs="宋体"/>
          <w:sz w:val="22"/>
          <w:szCs w:val="22"/>
          <w:lang w:eastAsia="zh-CN"/>
        </w:rPr>
        <w:t>文成县城市发展集团有限公司</w:t>
      </w:r>
      <w:r>
        <w:rPr>
          <w:rFonts w:hint="eastAsia" w:ascii="宋体" w:hAnsi="宋体" w:eastAsia="宋体" w:cs="宋体"/>
          <w:bCs/>
          <w:color w:val="000000"/>
          <w:sz w:val="22"/>
          <w:szCs w:val="22"/>
        </w:rPr>
        <w:t>：</w:t>
      </w:r>
    </w:p>
    <w:p w14:paraId="64008832">
      <w:pPr>
        <w:rPr>
          <w:rFonts w:hint="eastAsia" w:ascii="宋体" w:hAnsi="宋体" w:eastAsia="宋体" w:cs="宋体"/>
          <w:color w:val="000000"/>
          <w:sz w:val="22"/>
          <w:szCs w:val="22"/>
        </w:rPr>
      </w:pPr>
    </w:p>
    <w:p w14:paraId="495DB65D">
      <w:pPr>
        <w:spacing w:line="500" w:lineRule="exact"/>
        <w:ind w:firstLine="440" w:firstLineChars="200"/>
        <w:rPr>
          <w:rStyle w:val="138"/>
          <w:rFonts w:hint="eastAsia" w:ascii="宋体" w:hAnsi="宋体" w:eastAsia="宋体" w:cs="宋体"/>
          <w:color w:val="000000"/>
          <w:sz w:val="22"/>
          <w:szCs w:val="22"/>
        </w:rPr>
      </w:pPr>
      <w:r>
        <w:rPr>
          <w:rStyle w:val="138"/>
          <w:rFonts w:hint="eastAsia" w:ascii="宋体" w:hAnsi="宋体" w:eastAsia="宋体" w:cs="宋体"/>
          <w:color w:val="000000"/>
          <w:sz w:val="22"/>
          <w:szCs w:val="22"/>
        </w:rPr>
        <w:t>我公司参与</w:t>
      </w:r>
      <w:r>
        <w:rPr>
          <w:rStyle w:val="138"/>
          <w:rFonts w:hint="eastAsia" w:ascii="宋体" w:hAnsi="宋体" w:eastAsia="宋体" w:cs="宋体"/>
          <w:color w:val="000000"/>
          <w:sz w:val="22"/>
          <w:szCs w:val="22"/>
          <w:u w:val="single"/>
        </w:rPr>
        <w:t>文成县龙船垟城中村改造（二期）项目配套幼儿园装修工程-课桌椅采购及安装项目</w:t>
      </w:r>
      <w:r>
        <w:rPr>
          <w:rStyle w:val="138"/>
          <w:rFonts w:hint="eastAsia" w:ascii="宋体" w:hAnsi="宋体" w:eastAsia="宋体" w:cs="宋体"/>
          <w:color w:val="000000"/>
          <w:sz w:val="22"/>
          <w:szCs w:val="22"/>
        </w:rPr>
        <w:t>（项目编号：</w:t>
      </w:r>
      <w:r>
        <w:rPr>
          <w:rStyle w:val="138"/>
          <w:rFonts w:hint="eastAsia" w:ascii="宋体" w:hAnsi="宋体" w:eastAsia="宋体" w:cs="宋体"/>
          <w:color w:val="000000"/>
          <w:sz w:val="22"/>
          <w:szCs w:val="22"/>
          <w:lang w:val="en-US"/>
        </w:rPr>
        <w:t>WGWC-CTGS-2025006</w:t>
      </w:r>
      <w:r>
        <w:rPr>
          <w:rStyle w:val="138"/>
          <w:rFonts w:hint="eastAsia" w:ascii="宋体" w:hAnsi="宋体" w:eastAsia="宋体" w:cs="宋体"/>
          <w:color w:val="000000"/>
          <w:sz w:val="22"/>
          <w:szCs w:val="22"/>
        </w:rPr>
        <w:t>）投标。</w:t>
      </w:r>
    </w:p>
    <w:p w14:paraId="054EFABA">
      <w:pPr>
        <w:spacing w:line="500" w:lineRule="exact"/>
        <w:ind w:firstLine="440" w:firstLineChars="200"/>
        <w:rPr>
          <w:rFonts w:hint="eastAsia" w:ascii="宋体" w:hAnsi="宋体" w:eastAsia="宋体" w:cs="宋体"/>
          <w:color w:val="000000"/>
          <w:sz w:val="22"/>
          <w:szCs w:val="22"/>
        </w:rPr>
      </w:pPr>
      <w:r>
        <w:rPr>
          <w:rStyle w:val="138"/>
          <w:rFonts w:hint="eastAsia" w:ascii="宋体" w:hAnsi="宋体" w:eastAsia="宋体" w:cs="宋体"/>
          <w:color w:val="000000"/>
          <w:sz w:val="22"/>
          <w:szCs w:val="22"/>
        </w:rPr>
        <w:t>郑重承诺具备以下条件</w:t>
      </w:r>
      <w:r>
        <w:rPr>
          <w:rFonts w:hint="eastAsia" w:ascii="宋体" w:hAnsi="宋体" w:eastAsia="宋体" w:cs="宋体"/>
          <w:color w:val="000000"/>
          <w:sz w:val="22"/>
          <w:szCs w:val="22"/>
        </w:rPr>
        <w:t>：</w:t>
      </w:r>
    </w:p>
    <w:p w14:paraId="7F6A4A43">
      <w:pPr>
        <w:snapToGrid w:val="0"/>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（一）具有独立承担民事责任的能力；</w:t>
      </w:r>
    </w:p>
    <w:p w14:paraId="0D91B737">
      <w:pPr>
        <w:snapToGrid w:val="0"/>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（二）具有良好的商业信誉和健全的财务会计制度；</w:t>
      </w:r>
    </w:p>
    <w:p w14:paraId="1898B00A">
      <w:pPr>
        <w:snapToGrid w:val="0"/>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（三）具有履行合同所必需的设备和专业技术、售后保障等能力；</w:t>
      </w:r>
    </w:p>
    <w:p w14:paraId="3C1EA097">
      <w:pPr>
        <w:snapToGrid w:val="0"/>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（四）有依法缴纳税收和社会保障资金的良好记录；</w:t>
      </w:r>
    </w:p>
    <w:p w14:paraId="601E5432">
      <w:pPr>
        <w:snapToGrid w:val="0"/>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（五）参加采购、招投标等活动前三年内，在经营活动中没有重大违法记录、严重失信行为和行贿记录；</w:t>
      </w:r>
    </w:p>
    <w:p w14:paraId="6D54B3B0">
      <w:pPr>
        <w:snapToGrid w:val="0"/>
        <w:spacing w:line="460" w:lineRule="exact"/>
        <w:ind w:firstLine="440" w:firstLineChars="200"/>
        <w:rPr>
          <w:rFonts w:hint="eastAsia" w:ascii="宋体" w:hAnsi="宋体" w:eastAsia="宋体" w:cs="宋体"/>
          <w:b/>
          <w:color w:val="000000"/>
          <w:sz w:val="22"/>
          <w:szCs w:val="22"/>
        </w:rPr>
      </w:pPr>
      <w:r>
        <w:rPr>
          <w:rFonts w:hint="eastAsia" w:ascii="宋体" w:hAnsi="宋体" w:eastAsia="宋体" w:cs="宋体"/>
          <w:color w:val="000000"/>
          <w:sz w:val="22"/>
          <w:szCs w:val="22"/>
        </w:rPr>
        <w:t>（六）法律、行政法规规定的其他条件。</w:t>
      </w:r>
    </w:p>
    <w:p w14:paraId="52B04CA0">
      <w:pPr>
        <w:spacing w:line="360" w:lineRule="auto"/>
        <w:ind w:firstLine="442" w:firstLineChars="200"/>
        <w:rPr>
          <w:rStyle w:val="138"/>
          <w:rFonts w:hint="eastAsia" w:ascii="宋体" w:hAnsi="宋体" w:eastAsia="宋体" w:cs="宋体"/>
          <w:color w:val="000000"/>
          <w:sz w:val="22"/>
          <w:szCs w:val="22"/>
        </w:rPr>
      </w:pPr>
      <w:r>
        <w:rPr>
          <w:rStyle w:val="138"/>
          <w:rFonts w:hint="eastAsia" w:ascii="宋体" w:hAnsi="宋体" w:eastAsia="宋体" w:cs="宋体"/>
          <w:b/>
          <w:bCs/>
          <w:color w:val="000000"/>
          <w:sz w:val="22"/>
          <w:szCs w:val="22"/>
        </w:rPr>
        <w:t>本公司对上述承诺的真实性负责。上述承诺如有虚假，将按“提供虚假材料谋取中标、成交”情形，由采购人取消我公司任何资格（投标/中标/签订合同），且由采购单位/采购代理机构报告至监管部门。</w:t>
      </w:r>
    </w:p>
    <w:p w14:paraId="3130D496">
      <w:pPr>
        <w:spacing w:line="360" w:lineRule="auto"/>
        <w:ind w:firstLine="440" w:firstLineChars="200"/>
        <w:rPr>
          <w:rFonts w:hint="eastAsia" w:ascii="宋体" w:hAnsi="宋体" w:eastAsia="宋体" w:cs="宋体"/>
          <w:snapToGrid w:val="0"/>
          <w:color w:val="000000"/>
          <w:sz w:val="22"/>
          <w:szCs w:val="22"/>
        </w:rPr>
      </w:pPr>
      <w:r>
        <w:rPr>
          <w:rStyle w:val="138"/>
          <w:rFonts w:hint="eastAsia" w:ascii="宋体" w:hAnsi="宋体" w:eastAsia="宋体" w:cs="宋体"/>
          <w:color w:val="000000"/>
          <w:sz w:val="22"/>
          <w:szCs w:val="22"/>
        </w:rPr>
        <w:t>我单位已知晓前述法律规定，对此无任何异议。</w:t>
      </w:r>
    </w:p>
    <w:p w14:paraId="58E0E1AD">
      <w:pPr>
        <w:snapToGrid w:val="0"/>
        <w:spacing w:line="460" w:lineRule="exact"/>
        <w:ind w:firstLine="442" w:firstLineChars="200"/>
        <w:rPr>
          <w:rFonts w:hint="eastAsia" w:ascii="宋体" w:hAnsi="宋体" w:eastAsia="宋体" w:cs="宋体"/>
          <w:b/>
          <w:color w:val="000000"/>
          <w:sz w:val="22"/>
          <w:szCs w:val="22"/>
        </w:rPr>
      </w:pPr>
    </w:p>
    <w:p w14:paraId="628FEE90">
      <w:pPr>
        <w:spacing w:line="380" w:lineRule="exact"/>
        <w:ind w:left="4620" w:leftChars="2200"/>
        <w:rPr>
          <w:rFonts w:hint="eastAsia" w:ascii="宋体" w:hAnsi="宋体" w:eastAsia="宋体" w:cs="宋体"/>
          <w:color w:val="000000"/>
          <w:sz w:val="22"/>
          <w:szCs w:val="22"/>
        </w:rPr>
      </w:pPr>
    </w:p>
    <w:p w14:paraId="344B9425">
      <w:pPr>
        <w:spacing w:line="380" w:lineRule="exact"/>
        <w:ind w:left="4620" w:leftChars="2200"/>
        <w:rPr>
          <w:rFonts w:hint="eastAsia" w:ascii="宋体" w:hAnsi="宋体" w:eastAsia="宋体" w:cs="宋体"/>
          <w:color w:val="000000"/>
          <w:sz w:val="22"/>
          <w:szCs w:val="22"/>
        </w:rPr>
      </w:pPr>
    </w:p>
    <w:p w14:paraId="60EBE188">
      <w:pPr>
        <w:spacing w:line="480" w:lineRule="auto"/>
        <w:ind w:right="-2" w:firstLine="5500" w:firstLineChars="2500"/>
        <w:rPr>
          <w:rFonts w:hint="eastAsia" w:ascii="宋体" w:hAnsi="宋体" w:eastAsia="宋体" w:cs="宋体"/>
          <w:color w:val="000000"/>
          <w:sz w:val="22"/>
          <w:szCs w:val="22"/>
        </w:rPr>
      </w:pPr>
      <w:r>
        <w:rPr>
          <w:rFonts w:hint="eastAsia" w:ascii="宋体" w:hAnsi="宋体" w:eastAsia="宋体" w:cs="宋体"/>
          <w:color w:val="000000"/>
          <w:sz w:val="22"/>
          <w:szCs w:val="22"/>
        </w:rPr>
        <w:t>投标供应商（公章）：</w:t>
      </w:r>
    </w:p>
    <w:p w14:paraId="61C33AB5">
      <w:pPr>
        <w:spacing w:line="340" w:lineRule="exact"/>
        <w:ind w:firstLine="5493" w:firstLineChars="2497"/>
        <w:rPr>
          <w:rFonts w:hint="eastAsia" w:ascii="宋体" w:hAnsi="宋体" w:eastAsia="宋体" w:cs="宋体"/>
          <w:color w:val="000000"/>
          <w:sz w:val="22"/>
          <w:szCs w:val="22"/>
        </w:rPr>
      </w:pPr>
      <w:r>
        <w:rPr>
          <w:rFonts w:hint="eastAsia" w:ascii="宋体" w:hAnsi="宋体" w:eastAsia="宋体" w:cs="宋体"/>
          <w:color w:val="000000"/>
          <w:sz w:val="22"/>
          <w:szCs w:val="22"/>
        </w:rPr>
        <w:t>日期：</w:t>
      </w:r>
    </w:p>
    <w:p w14:paraId="538E03FE">
      <w:pPr>
        <w:textAlignment w:val="baseline"/>
        <w:rPr>
          <w:rStyle w:val="138"/>
          <w:rFonts w:hint="eastAsia" w:ascii="宋体" w:hAnsi="宋体" w:eastAsia="宋体" w:cs="宋体"/>
          <w:b/>
          <w:bCs/>
          <w:color w:val="000000"/>
          <w:kern w:val="0"/>
          <w:sz w:val="22"/>
          <w:szCs w:val="22"/>
        </w:rPr>
      </w:pPr>
    </w:p>
    <w:p w14:paraId="6FCD731D">
      <w:pPr>
        <w:textAlignment w:val="baseline"/>
        <w:rPr>
          <w:rStyle w:val="138"/>
          <w:rFonts w:hint="eastAsia" w:ascii="宋体" w:hAnsi="宋体" w:eastAsia="宋体" w:cs="宋体"/>
          <w:b/>
          <w:bCs/>
          <w:color w:val="000000"/>
          <w:kern w:val="0"/>
          <w:sz w:val="22"/>
          <w:szCs w:val="22"/>
        </w:rPr>
      </w:pPr>
    </w:p>
    <w:p w14:paraId="1AFBEBA4">
      <w:pPr>
        <w:textAlignment w:val="baseline"/>
        <w:rPr>
          <w:rStyle w:val="138"/>
          <w:rFonts w:hint="eastAsia" w:ascii="宋体" w:hAnsi="宋体" w:eastAsia="宋体" w:cs="宋体"/>
          <w:b/>
          <w:bCs/>
          <w:color w:val="000000"/>
          <w:kern w:val="0"/>
          <w:sz w:val="22"/>
          <w:szCs w:val="22"/>
        </w:rPr>
      </w:pPr>
      <w:r>
        <w:rPr>
          <w:rStyle w:val="138"/>
          <w:rFonts w:hint="eastAsia" w:ascii="宋体" w:hAnsi="宋体" w:eastAsia="宋体" w:cs="宋体"/>
          <w:b/>
          <w:bCs/>
          <w:color w:val="000000"/>
          <w:kern w:val="0"/>
          <w:sz w:val="22"/>
          <w:szCs w:val="22"/>
        </w:rPr>
        <w:t>注：1、▲本承诺函必须提供。</w:t>
      </w:r>
    </w:p>
    <w:p w14:paraId="275C4C10">
      <w:pPr>
        <w:tabs>
          <w:tab w:val="left" w:pos="0"/>
          <w:tab w:val="left" w:pos="600"/>
        </w:tabs>
        <w:spacing w:line="400" w:lineRule="exact"/>
        <w:jc w:val="center"/>
        <w:rPr>
          <w:rFonts w:ascii="新宋体" w:hAnsi="新宋体" w:eastAsia="新宋体"/>
          <w:b/>
          <w:sz w:val="28"/>
          <w:szCs w:val="28"/>
        </w:rPr>
      </w:pPr>
      <w:r>
        <w:rPr>
          <w:rFonts w:hint="eastAsia" w:ascii="宋体" w:hAnsi="宋体" w:eastAsia="宋体"/>
          <w:color w:val="000000"/>
          <w:sz w:val="24"/>
          <w:szCs w:val="24"/>
        </w:rPr>
        <w:br w:type="page"/>
      </w:r>
      <w:r>
        <w:rPr>
          <w:rFonts w:hint="eastAsia" w:ascii="新宋体" w:hAnsi="新宋体" w:eastAsia="新宋体"/>
          <w:b/>
          <w:sz w:val="28"/>
          <w:szCs w:val="28"/>
        </w:rPr>
        <w:t>信用记录查询结果</w:t>
      </w:r>
    </w:p>
    <w:p w14:paraId="411FE4F6">
      <w:pPr>
        <w:tabs>
          <w:tab w:val="left" w:pos="0"/>
          <w:tab w:val="left" w:pos="600"/>
        </w:tabs>
        <w:spacing w:line="400" w:lineRule="exact"/>
        <w:rPr>
          <w:rFonts w:ascii="新宋体" w:hAnsi="新宋体" w:eastAsia="新宋体"/>
          <w:b/>
          <w:sz w:val="22"/>
        </w:rPr>
      </w:pPr>
      <w:r>
        <w:rPr>
          <w:rFonts w:ascii="新宋体" w:hAnsi="新宋体" w:eastAsia="新宋体"/>
          <w:b/>
          <w:sz w:val="22"/>
        </w:rPr>
        <w:t xml:space="preserve"> </w:t>
      </w:r>
    </w:p>
    <w:p w14:paraId="28348F36">
      <w:pPr>
        <w:pStyle w:val="27"/>
        <w:spacing w:line="360" w:lineRule="auto"/>
        <w:rPr>
          <w:rFonts w:ascii="新宋体" w:hAnsi="新宋体" w:eastAsia="新宋体" w:cs="Courier New"/>
          <w:sz w:val="22"/>
          <w:szCs w:val="22"/>
        </w:rPr>
      </w:pPr>
      <w:r>
        <w:rPr>
          <w:rFonts w:hint="eastAsia" w:ascii="新宋体" w:hAnsi="新宋体" w:eastAsia="新宋体" w:cs="Courier New"/>
          <w:sz w:val="22"/>
          <w:szCs w:val="22"/>
          <w:lang w:eastAsia="zh-CN"/>
        </w:rPr>
        <w:t>文成县城市发展集团有限公司</w:t>
      </w:r>
      <w:r>
        <w:rPr>
          <w:rFonts w:hint="eastAsia" w:ascii="新宋体" w:hAnsi="新宋体" w:eastAsia="新宋体" w:cs="Courier New"/>
          <w:sz w:val="22"/>
          <w:szCs w:val="22"/>
        </w:rPr>
        <w:t>：</w:t>
      </w:r>
    </w:p>
    <w:p w14:paraId="7B5647B8">
      <w:pPr>
        <w:pStyle w:val="27"/>
        <w:spacing w:line="360" w:lineRule="auto"/>
        <w:rPr>
          <w:rFonts w:ascii="新宋体" w:hAnsi="新宋体" w:eastAsia="新宋体" w:cs="Courier New"/>
          <w:sz w:val="22"/>
          <w:szCs w:val="22"/>
        </w:rPr>
      </w:pPr>
      <w:r>
        <w:rPr>
          <w:rFonts w:hint="eastAsia" w:ascii="新宋体" w:hAnsi="新宋体" w:eastAsia="新宋体" w:cs="Courier New"/>
          <w:sz w:val="22"/>
          <w:szCs w:val="22"/>
          <w:lang w:eastAsia="zh-CN"/>
        </w:rPr>
        <w:t>浙江信达咨询监理有限公司</w:t>
      </w:r>
      <w:r>
        <w:rPr>
          <w:rFonts w:hint="eastAsia" w:ascii="新宋体" w:hAnsi="新宋体" w:eastAsia="新宋体" w:cs="Courier New"/>
          <w:sz w:val="22"/>
          <w:szCs w:val="22"/>
        </w:rPr>
        <w:t>：</w:t>
      </w:r>
    </w:p>
    <w:p w14:paraId="7FDF35DC">
      <w:pPr>
        <w:spacing w:line="460" w:lineRule="exact"/>
        <w:ind w:firstLine="440" w:firstLineChars="200"/>
        <w:rPr>
          <w:rFonts w:ascii="新宋体" w:hAnsi="新宋体" w:eastAsia="新宋体" w:cs="Courier New"/>
          <w:sz w:val="22"/>
          <w:szCs w:val="22"/>
        </w:rPr>
      </w:pPr>
      <w:r>
        <w:rPr>
          <w:rFonts w:hint="eastAsia" w:ascii="新宋体" w:hAnsi="新宋体" w:eastAsia="新宋体" w:cs="Courier New"/>
          <w:sz w:val="22"/>
          <w:szCs w:val="22"/>
        </w:rPr>
        <w:t>现附上截至</w:t>
      </w:r>
      <w:r>
        <w:rPr>
          <w:rFonts w:hint="eastAsia" w:ascii="新宋体" w:hAnsi="新宋体" w:eastAsia="新宋体" w:cs="Courier New"/>
          <w:sz w:val="22"/>
          <w:szCs w:val="22"/>
          <w:u w:val="single"/>
        </w:rPr>
        <w:t xml:space="preserve">    </w:t>
      </w:r>
      <w:r>
        <w:rPr>
          <w:rFonts w:hint="eastAsia" w:ascii="新宋体" w:hAnsi="新宋体" w:eastAsia="新宋体" w:cs="Courier New"/>
          <w:sz w:val="22"/>
          <w:szCs w:val="22"/>
        </w:rPr>
        <w:t>年</w:t>
      </w:r>
      <w:r>
        <w:rPr>
          <w:rFonts w:hint="eastAsia" w:ascii="新宋体" w:hAnsi="新宋体" w:eastAsia="新宋体" w:cs="Courier New"/>
          <w:sz w:val="22"/>
          <w:szCs w:val="22"/>
          <w:u w:val="single"/>
        </w:rPr>
        <w:t xml:space="preserve">   </w:t>
      </w:r>
      <w:r>
        <w:rPr>
          <w:rFonts w:hint="eastAsia" w:ascii="新宋体" w:hAnsi="新宋体" w:eastAsia="新宋体" w:cs="Courier New"/>
          <w:sz w:val="22"/>
          <w:szCs w:val="22"/>
        </w:rPr>
        <w:t>月</w:t>
      </w:r>
      <w:r>
        <w:rPr>
          <w:rFonts w:hint="eastAsia" w:ascii="新宋体" w:hAnsi="新宋体" w:eastAsia="新宋体" w:cs="Courier New"/>
          <w:sz w:val="22"/>
          <w:szCs w:val="22"/>
          <w:u w:val="single"/>
        </w:rPr>
        <w:t xml:space="preserve">   </w:t>
      </w:r>
      <w:r>
        <w:rPr>
          <w:rFonts w:hint="eastAsia" w:ascii="新宋体" w:hAnsi="新宋体" w:eastAsia="新宋体" w:cs="Courier New"/>
          <w:sz w:val="22"/>
          <w:szCs w:val="22"/>
        </w:rPr>
        <w:t>日</w:t>
      </w:r>
      <w:r>
        <w:rPr>
          <w:rFonts w:hint="eastAsia" w:ascii="新宋体" w:hAnsi="新宋体" w:eastAsia="新宋体" w:cs="Courier New"/>
          <w:sz w:val="22"/>
          <w:szCs w:val="22"/>
          <w:u w:val="single"/>
        </w:rPr>
        <w:t xml:space="preserve">   </w:t>
      </w:r>
      <w:r>
        <w:rPr>
          <w:rFonts w:hint="eastAsia" w:ascii="新宋体" w:hAnsi="新宋体" w:eastAsia="新宋体" w:cs="Courier New"/>
          <w:sz w:val="22"/>
          <w:szCs w:val="22"/>
        </w:rPr>
        <w:t xml:space="preserve">时我方通过“信用中国”网站（www.creditchina.gov.cn）获取的我方信用信息查询结果 </w:t>
      </w:r>
      <w:r>
        <w:rPr>
          <w:rFonts w:hint="eastAsia" w:ascii="新宋体" w:hAnsi="新宋体" w:eastAsia="新宋体" w:cs="Courier New"/>
          <w:sz w:val="22"/>
          <w:szCs w:val="22"/>
          <w:u w:val="single"/>
        </w:rPr>
        <w:t xml:space="preserve">（填写具体份数） </w:t>
      </w:r>
      <w:r>
        <w:rPr>
          <w:rFonts w:hint="eastAsia" w:ascii="新宋体" w:hAnsi="新宋体" w:eastAsia="新宋体" w:cs="Courier New"/>
          <w:sz w:val="22"/>
          <w:szCs w:val="22"/>
        </w:rPr>
        <w:t xml:space="preserve">份、通过中国政府采购网（www.ccgp.gov.cn）获取的我方信用信息查询结果 </w:t>
      </w:r>
      <w:r>
        <w:rPr>
          <w:rFonts w:hint="eastAsia" w:ascii="新宋体" w:hAnsi="新宋体" w:eastAsia="新宋体" w:cs="Courier New"/>
          <w:sz w:val="22"/>
          <w:szCs w:val="22"/>
          <w:u w:val="single"/>
        </w:rPr>
        <w:t>（填写具体份数）</w:t>
      </w:r>
      <w:r>
        <w:rPr>
          <w:rFonts w:hint="eastAsia" w:ascii="新宋体" w:hAnsi="新宋体" w:eastAsia="新宋体" w:cs="Courier New"/>
          <w:sz w:val="22"/>
          <w:szCs w:val="22"/>
        </w:rPr>
        <w:t xml:space="preserve"> 份，上述信用信息查询结果真实有效，否则我方负全部责任。</w:t>
      </w:r>
    </w:p>
    <w:p w14:paraId="06F9203B">
      <w:pPr>
        <w:spacing w:line="460" w:lineRule="exact"/>
        <w:ind w:firstLine="440" w:firstLineChars="200"/>
        <w:rPr>
          <w:rFonts w:ascii="新宋体" w:hAnsi="新宋体" w:eastAsia="新宋体" w:cs="Courier New"/>
          <w:sz w:val="22"/>
          <w:szCs w:val="22"/>
        </w:rPr>
      </w:pPr>
    </w:p>
    <w:p w14:paraId="606172D5">
      <w:pPr>
        <w:spacing w:line="400" w:lineRule="exact"/>
        <w:ind w:left="221" w:hanging="221" w:hangingChars="100"/>
        <w:rPr>
          <w:rFonts w:ascii="新宋体" w:hAnsi="新宋体" w:eastAsia="新宋体"/>
          <w:b/>
          <w:sz w:val="22"/>
          <w:szCs w:val="22"/>
        </w:rPr>
      </w:pPr>
      <w:r>
        <w:rPr>
          <w:rFonts w:hint="eastAsia" w:ascii="新宋体" w:hAnsi="新宋体" w:eastAsia="新宋体"/>
          <w:b/>
          <w:sz w:val="22"/>
          <w:szCs w:val="22"/>
        </w:rPr>
        <w:t>说明：</w:t>
      </w:r>
    </w:p>
    <w:p w14:paraId="3C1CB491">
      <w:pPr>
        <w:spacing w:line="400" w:lineRule="exact"/>
        <w:ind w:left="221" w:hanging="221" w:hangingChars="100"/>
        <w:rPr>
          <w:rFonts w:ascii="新宋体" w:hAnsi="新宋体" w:eastAsia="新宋体"/>
          <w:b/>
          <w:sz w:val="22"/>
          <w:szCs w:val="22"/>
        </w:rPr>
      </w:pPr>
      <w:r>
        <w:rPr>
          <w:rFonts w:ascii="新宋体" w:hAnsi="新宋体" w:eastAsia="新宋体"/>
          <w:b/>
          <w:sz w:val="22"/>
          <w:szCs w:val="22"/>
        </w:rPr>
        <w:t>1</w:t>
      </w:r>
      <w:r>
        <w:rPr>
          <w:rFonts w:hint="eastAsia" w:ascii="新宋体" w:hAnsi="新宋体" w:eastAsia="新宋体"/>
          <w:b/>
          <w:sz w:val="22"/>
          <w:szCs w:val="22"/>
        </w:rPr>
        <w:t>、供应商信用信息查询截止时点：采购公告发布之日至投标截止时间前。</w:t>
      </w:r>
    </w:p>
    <w:p w14:paraId="42ADD2C8">
      <w:pPr>
        <w:spacing w:line="400" w:lineRule="exact"/>
        <w:ind w:left="221" w:hanging="221" w:hangingChars="100"/>
        <w:rPr>
          <w:rFonts w:ascii="新宋体" w:hAnsi="新宋体" w:eastAsia="新宋体"/>
          <w:b/>
          <w:sz w:val="22"/>
          <w:szCs w:val="22"/>
        </w:rPr>
      </w:pPr>
      <w:r>
        <w:rPr>
          <w:rFonts w:ascii="新宋体" w:hAnsi="新宋体" w:eastAsia="新宋体"/>
          <w:b/>
          <w:sz w:val="22"/>
          <w:szCs w:val="22"/>
        </w:rPr>
        <w:t>2</w:t>
      </w:r>
      <w:r>
        <w:rPr>
          <w:rFonts w:hint="eastAsia" w:ascii="新宋体" w:hAnsi="新宋体" w:eastAsia="新宋体"/>
          <w:b/>
          <w:sz w:val="22"/>
          <w:szCs w:val="22"/>
        </w:rPr>
        <w:t>、供应商信用信息查询记录和证据留存的具体方式：网页截图打印；</w:t>
      </w:r>
    </w:p>
    <w:p w14:paraId="7070CDD4">
      <w:pPr>
        <w:spacing w:line="400" w:lineRule="exact"/>
        <w:ind w:left="221" w:hanging="221" w:hangingChars="100"/>
        <w:rPr>
          <w:rFonts w:ascii="新宋体" w:hAnsi="新宋体" w:eastAsia="新宋体"/>
          <w:b/>
          <w:sz w:val="22"/>
          <w:szCs w:val="22"/>
        </w:rPr>
      </w:pPr>
      <w:r>
        <w:rPr>
          <w:rFonts w:ascii="新宋体" w:hAnsi="新宋体" w:eastAsia="新宋体"/>
          <w:b/>
          <w:sz w:val="22"/>
          <w:szCs w:val="22"/>
        </w:rPr>
        <w:t>3</w:t>
      </w:r>
      <w:r>
        <w:rPr>
          <w:rFonts w:hint="eastAsia" w:ascii="新宋体" w:hAnsi="新宋体" w:eastAsia="新宋体"/>
          <w:b/>
          <w:sz w:val="22"/>
          <w:szCs w:val="22"/>
        </w:rPr>
        <w:t>、</w:t>
      </w:r>
      <w:r>
        <w:rPr>
          <w:rFonts w:ascii="新宋体" w:hAnsi="新宋体" w:eastAsia="新宋体"/>
          <w:b/>
          <w:bCs/>
          <w:sz w:val="22"/>
          <w:szCs w:val="22"/>
          <w:u w:val="single"/>
        </w:rPr>
        <w:t>▲</w:t>
      </w:r>
      <w:r>
        <w:rPr>
          <w:rFonts w:hint="eastAsia" w:ascii="新宋体" w:hAnsi="新宋体" w:eastAsia="新宋体"/>
          <w:b/>
          <w:sz w:val="22"/>
          <w:szCs w:val="22"/>
          <w:u w:val="single"/>
        </w:rPr>
        <w:t>信用信息的使用规则： 被“信用中国”网站列入失信被执行人、重大税收违法案件当事人名单，或被“中国政府采购网”列入政府采购严重违法失信行为记录名单，其投标无效。</w:t>
      </w:r>
    </w:p>
    <w:p w14:paraId="514D851A">
      <w:pPr>
        <w:spacing w:line="400" w:lineRule="exact"/>
        <w:ind w:left="221" w:hanging="221" w:hangingChars="100"/>
        <w:rPr>
          <w:rFonts w:ascii="新宋体" w:hAnsi="新宋体" w:eastAsia="新宋体"/>
          <w:b/>
          <w:sz w:val="22"/>
          <w:szCs w:val="22"/>
        </w:rPr>
      </w:pPr>
      <w:r>
        <w:rPr>
          <w:rFonts w:hint="eastAsia" w:ascii="新宋体" w:hAnsi="新宋体" w:eastAsia="新宋体"/>
          <w:b/>
          <w:sz w:val="22"/>
          <w:szCs w:val="22"/>
        </w:rPr>
        <w:t>4、查询内容为“信用中国”(</w:t>
      </w:r>
      <w:r>
        <w:fldChar w:fldCharType="begin"/>
      </w:r>
      <w:r>
        <w:instrText xml:space="preserve"> HYPERLINK "http://www.creditchina.gov.cn" </w:instrText>
      </w:r>
      <w:r>
        <w:fldChar w:fldCharType="separate"/>
      </w:r>
      <w:r>
        <w:rPr>
          <w:rFonts w:hint="eastAsia" w:ascii="新宋体" w:hAnsi="新宋体" w:eastAsia="新宋体"/>
          <w:b/>
          <w:sz w:val="22"/>
          <w:szCs w:val="22"/>
        </w:rPr>
        <w:t>www.creditchina.gov.cn</w:t>
      </w:r>
      <w:r>
        <w:rPr>
          <w:rFonts w:hint="eastAsia" w:ascii="新宋体" w:hAnsi="新宋体" w:eastAsia="新宋体"/>
          <w:b/>
          <w:sz w:val="22"/>
          <w:szCs w:val="22"/>
        </w:rPr>
        <w:fldChar w:fldCharType="end"/>
      </w:r>
      <w:r>
        <w:rPr>
          <w:rFonts w:hint="eastAsia" w:ascii="新宋体" w:hAnsi="新宋体" w:eastAsia="新宋体"/>
          <w:b/>
          <w:sz w:val="22"/>
          <w:szCs w:val="22"/>
        </w:rPr>
        <w:t>)中“</w:t>
      </w:r>
      <w:r>
        <w:rPr>
          <w:rFonts w:ascii="新宋体" w:hAnsi="新宋体" w:eastAsia="新宋体"/>
          <w:b/>
          <w:sz w:val="22"/>
          <w:szCs w:val="22"/>
        </w:rPr>
        <w:fldChar w:fldCharType="begin"/>
      </w:r>
      <w:r>
        <w:rPr>
          <w:rFonts w:ascii="新宋体" w:hAnsi="新宋体" w:eastAsia="新宋体"/>
          <w:b/>
          <w:sz w:val="22"/>
          <w:szCs w:val="22"/>
        </w:rPr>
        <w:instrText xml:space="preserve"> </w:instrText>
      </w:r>
      <w:r>
        <w:rPr>
          <w:rFonts w:hint="eastAsia" w:ascii="新宋体" w:hAnsi="新宋体" w:eastAsia="新宋体"/>
          <w:b/>
          <w:sz w:val="22"/>
          <w:szCs w:val="22"/>
        </w:rPr>
        <w:instrText xml:space="preserve">= 1 \* GB3</w:instrText>
      </w:r>
      <w:r>
        <w:rPr>
          <w:rFonts w:ascii="新宋体" w:hAnsi="新宋体" w:eastAsia="新宋体"/>
          <w:b/>
          <w:sz w:val="22"/>
          <w:szCs w:val="22"/>
        </w:rPr>
        <w:instrText xml:space="preserve"> </w:instrText>
      </w:r>
      <w:r>
        <w:rPr>
          <w:rFonts w:ascii="新宋体" w:hAnsi="新宋体" w:eastAsia="新宋体"/>
          <w:b/>
          <w:sz w:val="22"/>
          <w:szCs w:val="22"/>
        </w:rPr>
        <w:fldChar w:fldCharType="separate"/>
      </w:r>
      <w:r>
        <w:rPr>
          <w:rFonts w:hint="eastAsia" w:ascii="新宋体" w:hAnsi="新宋体" w:eastAsia="新宋体"/>
          <w:b/>
          <w:sz w:val="22"/>
          <w:szCs w:val="22"/>
        </w:rPr>
        <w:t>①</w:t>
      </w:r>
      <w:r>
        <w:rPr>
          <w:rFonts w:ascii="新宋体" w:hAnsi="新宋体" w:eastAsia="新宋体"/>
          <w:b/>
          <w:sz w:val="22"/>
          <w:szCs w:val="22"/>
        </w:rPr>
        <w:fldChar w:fldCharType="end"/>
      </w:r>
      <w:r>
        <w:rPr>
          <w:rFonts w:hint="eastAsia" w:ascii="新宋体" w:hAnsi="新宋体" w:eastAsia="新宋体"/>
          <w:b/>
          <w:sz w:val="22"/>
          <w:szCs w:val="22"/>
        </w:rPr>
        <w:t>失信被执行人查询</w:t>
      </w:r>
      <w:r>
        <w:rPr>
          <w:rFonts w:ascii="新宋体" w:hAnsi="新宋体" w:eastAsia="新宋体"/>
          <w:b/>
          <w:sz w:val="22"/>
          <w:szCs w:val="22"/>
        </w:rPr>
        <w:fldChar w:fldCharType="begin"/>
      </w:r>
      <w:r>
        <w:rPr>
          <w:rFonts w:ascii="新宋体" w:hAnsi="新宋体" w:eastAsia="新宋体"/>
          <w:b/>
          <w:sz w:val="22"/>
          <w:szCs w:val="22"/>
        </w:rPr>
        <w:instrText xml:space="preserve"> </w:instrText>
      </w:r>
      <w:r>
        <w:rPr>
          <w:rFonts w:hint="eastAsia" w:ascii="新宋体" w:hAnsi="新宋体" w:eastAsia="新宋体"/>
          <w:b/>
          <w:sz w:val="22"/>
          <w:szCs w:val="22"/>
        </w:rPr>
        <w:instrText xml:space="preserve">= 2 \* GB3</w:instrText>
      </w:r>
      <w:r>
        <w:rPr>
          <w:rFonts w:ascii="新宋体" w:hAnsi="新宋体" w:eastAsia="新宋体"/>
          <w:b/>
          <w:sz w:val="22"/>
          <w:szCs w:val="22"/>
        </w:rPr>
        <w:instrText xml:space="preserve"> </w:instrText>
      </w:r>
      <w:r>
        <w:rPr>
          <w:rFonts w:ascii="新宋体" w:hAnsi="新宋体" w:eastAsia="新宋体"/>
          <w:b/>
          <w:sz w:val="22"/>
          <w:szCs w:val="22"/>
        </w:rPr>
        <w:fldChar w:fldCharType="separate"/>
      </w:r>
      <w:r>
        <w:rPr>
          <w:rFonts w:hint="eastAsia" w:ascii="新宋体" w:hAnsi="新宋体" w:eastAsia="新宋体"/>
          <w:b/>
          <w:sz w:val="22"/>
          <w:szCs w:val="22"/>
        </w:rPr>
        <w:t>②</w:t>
      </w:r>
      <w:r>
        <w:rPr>
          <w:rFonts w:ascii="新宋体" w:hAnsi="新宋体" w:eastAsia="新宋体"/>
          <w:b/>
          <w:sz w:val="22"/>
          <w:szCs w:val="22"/>
        </w:rPr>
        <w:fldChar w:fldCharType="end"/>
      </w:r>
      <w:r>
        <w:rPr>
          <w:rFonts w:hint="eastAsia" w:ascii="新宋体" w:hAnsi="新宋体" w:eastAsia="新宋体"/>
          <w:b/>
          <w:sz w:val="22"/>
          <w:szCs w:val="22"/>
        </w:rPr>
        <w:t>重大税收违法案件当事人名单”，“中国政府采购网”（www.ccgp.gov.cn）中“政府采购严重违法失信行为记录名单”。</w:t>
      </w:r>
    </w:p>
    <w:p w14:paraId="6C70089F">
      <w:pPr>
        <w:spacing w:line="460" w:lineRule="exact"/>
        <w:rPr>
          <w:rFonts w:ascii="新宋体" w:hAnsi="新宋体" w:eastAsia="新宋体" w:cs="Courier New"/>
          <w:sz w:val="22"/>
          <w:szCs w:val="22"/>
        </w:rPr>
      </w:pPr>
    </w:p>
    <w:p w14:paraId="7CCD331F">
      <w:pPr>
        <w:spacing w:line="460" w:lineRule="exact"/>
        <w:rPr>
          <w:rFonts w:ascii="新宋体" w:hAnsi="新宋体" w:eastAsia="新宋体"/>
          <w:b/>
          <w:sz w:val="22"/>
          <w:szCs w:val="22"/>
        </w:rPr>
      </w:pPr>
      <w:r>
        <w:rPr>
          <w:rFonts w:ascii="新宋体" w:hAnsi="新宋体" w:eastAsia="新宋体"/>
          <w:b/>
          <w:bCs/>
          <w:sz w:val="22"/>
          <w:szCs w:val="22"/>
          <w:u w:val="single"/>
        </w:rPr>
        <w:t>▲</w:t>
      </w:r>
      <w:r>
        <w:rPr>
          <w:rFonts w:hint="eastAsia" w:ascii="新宋体" w:hAnsi="新宋体" w:eastAsia="新宋体"/>
          <w:b/>
          <w:bCs/>
          <w:sz w:val="22"/>
          <w:szCs w:val="22"/>
          <w:u w:val="single"/>
        </w:rPr>
        <w:t>供应商应同时提供在采购文件要求的时间内通过上述2个网站获取的信用信息查询结果，信用信息查询结果应为从上述2个网站获取的查询结果原始页面的打印件或完整截图，否则投标无效。</w:t>
      </w:r>
    </w:p>
    <w:p w14:paraId="24B9EB63">
      <w:pPr>
        <w:tabs>
          <w:tab w:val="left" w:pos="0"/>
          <w:tab w:val="left" w:pos="600"/>
        </w:tabs>
        <w:spacing w:line="400" w:lineRule="exact"/>
        <w:rPr>
          <w:rFonts w:ascii="新宋体" w:hAnsi="新宋体" w:eastAsia="新宋体"/>
          <w:b/>
          <w:sz w:val="22"/>
          <w:szCs w:val="22"/>
        </w:rPr>
      </w:pPr>
    </w:p>
    <w:p w14:paraId="15A235D4">
      <w:pPr>
        <w:tabs>
          <w:tab w:val="left" w:pos="0"/>
          <w:tab w:val="left" w:pos="600"/>
        </w:tabs>
        <w:spacing w:line="400" w:lineRule="exact"/>
        <w:rPr>
          <w:rFonts w:ascii="新宋体" w:hAnsi="新宋体" w:eastAsia="新宋体"/>
          <w:b/>
          <w:sz w:val="22"/>
          <w:szCs w:val="22"/>
        </w:rPr>
      </w:pPr>
      <w:r>
        <w:rPr>
          <w:rFonts w:ascii="新宋体" w:hAnsi="新宋体" w:eastAsia="新宋体"/>
          <w:b/>
          <w:sz w:val="22"/>
          <w:szCs w:val="22"/>
        </w:rPr>
        <w:t xml:space="preserve"> </w:t>
      </w:r>
    </w:p>
    <w:p w14:paraId="596ECA96">
      <w:pPr>
        <w:tabs>
          <w:tab w:val="left" w:pos="840"/>
        </w:tabs>
        <w:adjustRightInd w:val="0"/>
        <w:snapToGrid w:val="0"/>
        <w:spacing w:line="360" w:lineRule="auto"/>
        <w:ind w:left="420" w:leftChars="200" w:firstLine="330" w:firstLineChars="150"/>
        <w:rPr>
          <w:rFonts w:ascii="新宋体" w:hAnsi="新宋体" w:eastAsia="新宋体"/>
          <w:sz w:val="22"/>
          <w:szCs w:val="22"/>
        </w:rPr>
      </w:pPr>
      <w:r>
        <w:rPr>
          <w:rFonts w:hint="eastAsia" w:ascii="新宋体" w:hAnsi="新宋体" w:eastAsia="新宋体" w:cs="Courier New"/>
          <w:bCs/>
          <w:sz w:val="22"/>
          <w:szCs w:val="22"/>
        </w:rPr>
        <w:t>供应商</w:t>
      </w:r>
      <w:r>
        <w:rPr>
          <w:rFonts w:hint="eastAsia" w:ascii="新宋体" w:hAnsi="新宋体" w:eastAsia="新宋体"/>
          <w:sz w:val="22"/>
          <w:szCs w:val="22"/>
        </w:rPr>
        <w:t>全称（盖章）：</w:t>
      </w:r>
    </w:p>
    <w:p w14:paraId="2C74369D">
      <w:pPr>
        <w:tabs>
          <w:tab w:val="left" w:pos="840"/>
        </w:tabs>
        <w:adjustRightInd w:val="0"/>
        <w:snapToGrid w:val="0"/>
        <w:spacing w:line="360" w:lineRule="auto"/>
        <w:ind w:left="420" w:leftChars="200" w:firstLine="330" w:firstLineChars="150"/>
        <w:rPr>
          <w:rFonts w:ascii="新宋体" w:hAnsi="新宋体" w:eastAsia="新宋体"/>
          <w:sz w:val="22"/>
          <w:szCs w:val="22"/>
        </w:rPr>
      </w:pPr>
      <w:r>
        <w:rPr>
          <w:rFonts w:hint="eastAsia" w:ascii="新宋体" w:hAnsi="新宋体" w:eastAsia="新宋体"/>
          <w:sz w:val="22"/>
          <w:szCs w:val="22"/>
        </w:rPr>
        <w:t>法定代表人（或单位负责人）或授权代表（签字）：</w:t>
      </w:r>
    </w:p>
    <w:p w14:paraId="57098A3E">
      <w:pPr>
        <w:tabs>
          <w:tab w:val="left" w:pos="840"/>
        </w:tabs>
        <w:adjustRightInd w:val="0"/>
        <w:snapToGrid w:val="0"/>
        <w:spacing w:line="360" w:lineRule="auto"/>
        <w:ind w:left="420" w:leftChars="200" w:firstLine="330" w:firstLineChars="150"/>
        <w:rPr>
          <w:rFonts w:ascii="新宋体" w:hAnsi="新宋体" w:eastAsia="新宋体"/>
          <w:sz w:val="22"/>
          <w:szCs w:val="22"/>
        </w:rPr>
      </w:pPr>
      <w:r>
        <w:rPr>
          <w:rFonts w:hint="eastAsia" w:ascii="新宋体" w:hAnsi="新宋体" w:eastAsia="新宋体"/>
          <w:sz w:val="22"/>
          <w:szCs w:val="22"/>
        </w:rPr>
        <w:t>日   期：  年  月  日</w:t>
      </w:r>
    </w:p>
    <w:p w14:paraId="3D7474C7">
      <w:pPr>
        <w:pStyle w:val="3"/>
        <w:jc w:val="center"/>
        <w:rPr>
          <w:rFonts w:hint="eastAsia" w:ascii="宋体" w:hAnsi="宋体" w:eastAsia="宋体"/>
          <w:color w:val="000000"/>
          <w:sz w:val="24"/>
          <w:szCs w:val="24"/>
        </w:rPr>
      </w:pPr>
      <w:r>
        <w:rPr>
          <w:rFonts w:hint="eastAsia" w:ascii="宋体" w:hAnsi="宋体" w:eastAsia="宋体"/>
          <w:color w:val="000000"/>
          <w:sz w:val="24"/>
          <w:szCs w:val="24"/>
        </w:rPr>
        <w:br w:type="page"/>
      </w:r>
      <w:bookmarkStart w:id="89" w:name="_Toc13593"/>
      <w:r>
        <w:rPr>
          <w:rFonts w:hint="eastAsia" w:ascii="宋体" w:hAnsi="宋体" w:eastAsia="宋体"/>
          <w:color w:val="000000"/>
          <w:sz w:val="24"/>
          <w:szCs w:val="24"/>
        </w:rPr>
        <w:t>附件</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-1 法定代表人身份证明</w:t>
      </w:r>
      <w:bookmarkEnd w:id="89"/>
    </w:p>
    <w:p w14:paraId="7DD1DF1D">
      <w:pPr>
        <w:spacing w:line="440" w:lineRule="exact"/>
        <w:rPr>
          <w:rFonts w:ascii="Arial" w:hAnsi="Arial" w:cs="Arial"/>
          <w:color w:val="000000"/>
          <w:szCs w:val="21"/>
        </w:rPr>
      </w:pPr>
    </w:p>
    <w:p w14:paraId="76EFE0D0">
      <w:pPr>
        <w:spacing w:line="440" w:lineRule="exact"/>
        <w:rPr>
          <w:rFonts w:ascii="Arial" w:hAnsi="Arial" w:cs="Arial"/>
          <w:color w:val="000000"/>
          <w:szCs w:val="21"/>
        </w:rPr>
      </w:pPr>
      <w:r>
        <w:rPr>
          <w:rFonts w:ascii="Arial" w:hAnsi="宋体" w:cs="Arial"/>
          <w:color w:val="000000"/>
          <w:szCs w:val="21"/>
        </w:rPr>
        <w:t>投标供应商名称：</w:t>
      </w:r>
      <w:r>
        <w:rPr>
          <w:rFonts w:ascii="Arial" w:hAnsi="Arial" w:cs="Arial"/>
          <w:color w:val="000000"/>
          <w:szCs w:val="21"/>
          <w:u w:val="single"/>
        </w:rPr>
        <w:t xml:space="preserve">                            </w:t>
      </w:r>
      <w:r>
        <w:rPr>
          <w:rFonts w:ascii="Arial" w:hAnsi="Arial" w:cs="Arial"/>
          <w:color w:val="000000"/>
          <w:szCs w:val="21"/>
        </w:rPr>
        <w:t xml:space="preserve"> </w:t>
      </w:r>
    </w:p>
    <w:p w14:paraId="3F64528B">
      <w:pPr>
        <w:spacing w:line="440" w:lineRule="exact"/>
        <w:rPr>
          <w:rFonts w:ascii="Arial" w:hAnsi="Arial" w:cs="Arial"/>
          <w:color w:val="000000"/>
          <w:szCs w:val="21"/>
        </w:rPr>
      </w:pPr>
      <w:r>
        <w:rPr>
          <w:rFonts w:ascii="Arial" w:hAnsi="宋体" w:cs="Arial"/>
          <w:color w:val="000000"/>
          <w:szCs w:val="21"/>
        </w:rPr>
        <w:t>单位性质：</w:t>
      </w:r>
      <w:r>
        <w:rPr>
          <w:rFonts w:ascii="Arial" w:hAnsi="Arial" w:cs="Arial"/>
          <w:color w:val="000000"/>
          <w:szCs w:val="21"/>
          <w:u w:val="single"/>
        </w:rPr>
        <w:t xml:space="preserve">                               </w:t>
      </w:r>
      <w:r>
        <w:rPr>
          <w:rFonts w:ascii="Arial" w:hAnsi="Arial" w:cs="Arial"/>
          <w:color w:val="000000"/>
          <w:szCs w:val="21"/>
        </w:rPr>
        <w:t xml:space="preserve"> </w:t>
      </w:r>
    </w:p>
    <w:p w14:paraId="6D3DABA5">
      <w:pPr>
        <w:spacing w:line="440" w:lineRule="exact"/>
        <w:rPr>
          <w:rFonts w:ascii="Arial" w:hAnsi="Arial" w:cs="Arial"/>
          <w:color w:val="000000"/>
          <w:szCs w:val="21"/>
        </w:rPr>
      </w:pPr>
      <w:r>
        <w:rPr>
          <w:rFonts w:ascii="Arial" w:hAnsi="宋体" w:cs="Arial"/>
          <w:color w:val="000000"/>
          <w:szCs w:val="21"/>
        </w:rPr>
        <w:t>地址：</w:t>
      </w:r>
      <w:r>
        <w:rPr>
          <w:rFonts w:ascii="Arial" w:hAnsi="Arial" w:cs="Arial"/>
          <w:color w:val="000000"/>
          <w:szCs w:val="21"/>
          <w:u w:val="single"/>
        </w:rPr>
        <w:t xml:space="preserve">                                   </w:t>
      </w:r>
    </w:p>
    <w:p w14:paraId="70E60813">
      <w:pPr>
        <w:spacing w:line="440" w:lineRule="exact"/>
        <w:rPr>
          <w:rFonts w:ascii="Arial" w:hAnsi="Arial" w:cs="Arial"/>
          <w:color w:val="000000"/>
          <w:szCs w:val="21"/>
        </w:rPr>
      </w:pPr>
      <w:r>
        <w:rPr>
          <w:rFonts w:ascii="Arial" w:hAnsi="宋体" w:cs="Arial"/>
          <w:color w:val="000000"/>
          <w:szCs w:val="21"/>
        </w:rPr>
        <w:t>成立时间：</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年</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月</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日</w:t>
      </w:r>
    </w:p>
    <w:p w14:paraId="0AE3E6AF">
      <w:pPr>
        <w:spacing w:line="440" w:lineRule="exact"/>
        <w:rPr>
          <w:rFonts w:ascii="Arial" w:hAnsi="Arial" w:cs="Arial"/>
          <w:color w:val="000000"/>
          <w:szCs w:val="21"/>
        </w:rPr>
      </w:pPr>
      <w:r>
        <w:rPr>
          <w:rFonts w:ascii="Arial" w:hAnsi="宋体" w:cs="Arial"/>
          <w:color w:val="000000"/>
          <w:szCs w:val="21"/>
        </w:rPr>
        <w:t>经营期限：</w:t>
      </w:r>
      <w:r>
        <w:rPr>
          <w:rFonts w:ascii="Arial" w:hAnsi="Arial" w:cs="Arial"/>
          <w:color w:val="000000"/>
          <w:szCs w:val="21"/>
          <w:u w:val="single"/>
        </w:rPr>
        <w:t xml:space="preserve">                               </w:t>
      </w:r>
    </w:p>
    <w:p w14:paraId="72AC4F07">
      <w:pPr>
        <w:spacing w:line="440" w:lineRule="exact"/>
        <w:rPr>
          <w:rFonts w:ascii="Arial" w:hAnsi="Arial" w:cs="Arial"/>
          <w:color w:val="000000"/>
          <w:szCs w:val="21"/>
        </w:rPr>
      </w:pPr>
      <w:r>
        <w:rPr>
          <w:rFonts w:ascii="Arial" w:hAnsi="宋体" w:cs="Arial"/>
          <w:color w:val="000000"/>
          <w:szCs w:val="21"/>
        </w:rPr>
        <w:t>姓名：</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性别：</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年龄：</w:t>
      </w:r>
      <w:r>
        <w:rPr>
          <w:rFonts w:ascii="Arial" w:hAnsi="Arial" w:cs="Arial"/>
          <w:color w:val="000000"/>
          <w:szCs w:val="21"/>
          <w:u w:val="single"/>
        </w:rPr>
        <w:t xml:space="preserve">        </w:t>
      </w:r>
      <w:r>
        <w:rPr>
          <w:rFonts w:ascii="Arial" w:hAnsi="宋体" w:cs="Arial"/>
          <w:color w:val="000000"/>
          <w:szCs w:val="21"/>
        </w:rPr>
        <w:t>职务：</w:t>
      </w:r>
      <w:r>
        <w:rPr>
          <w:rFonts w:ascii="Arial" w:hAnsi="Arial" w:cs="Arial"/>
          <w:color w:val="000000"/>
          <w:szCs w:val="21"/>
          <w:u w:val="single"/>
        </w:rPr>
        <w:t xml:space="preserve">        </w:t>
      </w:r>
    </w:p>
    <w:p w14:paraId="3740A604">
      <w:pPr>
        <w:spacing w:line="440" w:lineRule="exact"/>
        <w:rPr>
          <w:rFonts w:ascii="Arial" w:hAnsi="Arial" w:cs="Arial"/>
          <w:color w:val="000000"/>
          <w:szCs w:val="21"/>
        </w:rPr>
      </w:pPr>
      <w:r>
        <w:rPr>
          <w:rFonts w:ascii="Arial" w:hAnsi="宋体" w:cs="Arial"/>
          <w:color w:val="000000"/>
          <w:szCs w:val="21"/>
        </w:rPr>
        <w:t>系</w:t>
      </w:r>
      <w:r>
        <w:rPr>
          <w:rFonts w:ascii="Arial" w:hAnsi="Arial" w:cs="Arial"/>
          <w:color w:val="000000"/>
          <w:szCs w:val="21"/>
          <w:u w:val="single"/>
        </w:rPr>
        <w:t xml:space="preserve">                             </w:t>
      </w:r>
      <w:r>
        <w:rPr>
          <w:rFonts w:ascii="Arial" w:hAnsi="Arial" w:cs="Arial"/>
          <w:color w:val="000000"/>
          <w:szCs w:val="21"/>
        </w:rPr>
        <w:t xml:space="preserve"> </w:t>
      </w:r>
      <w:r>
        <w:rPr>
          <w:rFonts w:ascii="Arial" w:hAnsi="宋体" w:cs="Arial"/>
          <w:color w:val="000000"/>
          <w:szCs w:val="21"/>
        </w:rPr>
        <w:t>（投标供应商名称）的法定代表人。</w:t>
      </w:r>
    </w:p>
    <w:p w14:paraId="369085B6">
      <w:pPr>
        <w:spacing w:line="440" w:lineRule="exact"/>
        <w:ind w:firstLine="420" w:firstLineChars="200"/>
        <w:rPr>
          <w:rFonts w:ascii="Arial" w:hAnsi="Arial" w:cs="Arial"/>
          <w:color w:val="000000"/>
          <w:szCs w:val="21"/>
        </w:rPr>
      </w:pPr>
      <w:r>
        <w:rPr>
          <w:rFonts w:ascii="Arial" w:hAnsi="宋体" w:cs="Arial"/>
          <w:color w:val="000000"/>
          <w:szCs w:val="21"/>
        </w:rPr>
        <w:t>特此证明。</w:t>
      </w:r>
    </w:p>
    <w:p w14:paraId="4D6B43CD">
      <w:pPr>
        <w:tabs>
          <w:tab w:val="left" w:pos="684"/>
        </w:tabs>
        <w:spacing w:line="440" w:lineRule="exact"/>
        <w:rPr>
          <w:rFonts w:hint="eastAsia" w:ascii="Arial" w:hAnsi="Arial" w:cs="Arial"/>
          <w:color w:val="000000"/>
          <w:szCs w:val="21"/>
        </w:rPr>
      </w:pPr>
      <w:r>
        <w:rPr>
          <w:rFonts w:hint="eastAsia" w:ascii="Arial" w:hAnsi="Arial" w:cs="Arial"/>
          <w:color w:val="000000"/>
          <w:szCs w:val="21"/>
        </w:rPr>
        <w:tab/>
      </w:r>
    </w:p>
    <w:p w14:paraId="33F4AB61">
      <w:pPr>
        <w:tabs>
          <w:tab w:val="left" w:pos="684"/>
        </w:tabs>
        <w:spacing w:line="440" w:lineRule="exact"/>
        <w:rPr>
          <w:rFonts w:hint="eastAsia" w:ascii="Arial" w:hAnsi="Arial" w:cs="Arial"/>
          <w:color w:val="000000"/>
          <w:szCs w:val="21"/>
        </w:rPr>
      </w:pPr>
    </w:p>
    <w:p w14:paraId="07B771BE">
      <w:pPr>
        <w:spacing w:line="440" w:lineRule="exact"/>
        <w:rPr>
          <w:rFonts w:hint="eastAsia" w:ascii="Arial" w:hAnsi="Arial" w:cs="Arial"/>
          <w:color w:val="000000"/>
          <w:szCs w:val="21"/>
        </w:rPr>
      </w:pPr>
      <w:r>
        <w:rPr>
          <w:rFonts w:cs="Arial"/>
          <w:color w:val="000000"/>
        </w:rPr>
        <mc:AlternateContent>
          <mc:Choice Requires="wps">
            <w:drawing>
              <wp:anchor distT="45720" distB="45720" distL="114300" distR="114300" simplePos="0" relativeHeight="251659264" behindDoc="0" locked="0" layoutInCell="1" allowOverlap="1">
                <wp:simplePos x="0" y="0"/>
                <wp:positionH relativeFrom="column">
                  <wp:posOffset>133350</wp:posOffset>
                </wp:positionH>
                <wp:positionV relativeFrom="paragraph">
                  <wp:posOffset>2540</wp:posOffset>
                </wp:positionV>
                <wp:extent cx="5909945" cy="2076450"/>
                <wp:effectExtent l="4445" t="4445" r="10160" b="14605"/>
                <wp:wrapSquare wrapText="bothSides"/>
                <wp:docPr id="1" name="文本框 2"/>
                <wp:cNvGraphicFramePr/>
                <a:graphic xmlns:a="http://schemas.openxmlformats.org/drawingml/2006/main">
                  <a:graphicData uri="http://schemas.microsoft.com/office/word/2010/wordprocessingShape">
                    <wps:wsp>
                      <wps:cNvSpPr txBox="1"/>
                      <wps:spPr>
                        <a:xfrm>
                          <a:off x="0" y="0"/>
                          <a:ext cx="5909945" cy="2076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6AC3C7">
                            <w:pPr>
                              <w:spacing w:line="360" w:lineRule="auto"/>
                              <w:rPr>
                                <w:rFonts w:ascii="Arial" w:hAnsi="宋体" w:cs="Arial"/>
                                <w:szCs w:val="21"/>
                              </w:rPr>
                            </w:pPr>
                          </w:p>
                          <w:p w14:paraId="23334B8F">
                            <w:pPr>
                              <w:spacing w:line="360" w:lineRule="auto"/>
                              <w:rPr>
                                <w:rFonts w:ascii="Arial" w:hAnsi="宋体" w:cs="Arial"/>
                                <w:szCs w:val="21"/>
                              </w:rPr>
                            </w:pPr>
                          </w:p>
                          <w:p w14:paraId="20639D4A">
                            <w:pPr>
                              <w:spacing w:line="360" w:lineRule="auto"/>
                              <w:jc w:val="center"/>
                              <w:rPr>
                                <w:rFonts w:ascii="Arial" w:hAnsi="Arial" w:cs="Arial"/>
                                <w:szCs w:val="21"/>
                              </w:rPr>
                            </w:pPr>
                            <w:r>
                              <w:rPr>
                                <w:rFonts w:ascii="Arial" w:hAnsi="宋体" w:cs="Arial"/>
                                <w:szCs w:val="21"/>
                              </w:rPr>
                              <w:t>身份证复印件粘贴处</w:t>
                            </w:r>
                          </w:p>
                          <w:p w14:paraId="1D68CB41">
                            <w:pPr>
                              <w:jc w:val="center"/>
                            </w:pPr>
                            <w:r>
                              <w:rPr>
                                <w:rFonts w:ascii="Arial" w:hAnsi="宋体" w:cs="Arial"/>
                                <w:szCs w:val="21"/>
                              </w:rPr>
                              <w:t>（身份证需双面复印）</w:t>
                            </w:r>
                          </w:p>
                        </w:txbxContent>
                      </wps:txbx>
                      <wps:bodyPr wrap="square" upright="1"/>
                    </wps:wsp>
                  </a:graphicData>
                </a:graphic>
              </wp:anchor>
            </w:drawing>
          </mc:Choice>
          <mc:Fallback>
            <w:pict>
              <v:shape id="文本框 2" o:spid="_x0000_s1026" o:spt="202" type="#_x0000_t202" style="position:absolute;left:0pt;margin-left:10.5pt;margin-top:0.2pt;height:163.5pt;width:465.35pt;mso-wrap-distance-bottom:3.6pt;mso-wrap-distance-left:9pt;mso-wrap-distance-right:9pt;mso-wrap-distance-top:3.6pt;z-index:251659264;mso-width-relative:page;mso-height-relative:page;" fillcolor="#FFFFFF" filled="t" stroked="t" coordsize="21600,21600" o:gfxdata="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2wINXYAAAABwEAAA8A&#10;AAAAAAAAAQAgAAAAIgAAAGRycy9kb3ducmV2LnhtbFBLAQIUABQAAAAIAIdO4kDYJRMjFwIAAEUE&#10;AAAOAAAAAAAAAAEAIAAAACcBAABkcnMvZTJvRG9jLnhtbFBLBQYAAAAABgAGAFkBAACwBQAAAAA=&#10;">
                <v:fill on="t" focussize="0,0"/>
                <v:stroke color="#000000" joinstyle="miter"/>
                <v:imagedata o:title=""/>
                <o:lock v:ext="edit" aspectratio="f"/>
                <v:textbox>
                  <w:txbxContent>
                    <w:p w14:paraId="4A6AC3C7">
                      <w:pPr>
                        <w:spacing w:line="360" w:lineRule="auto"/>
                        <w:rPr>
                          <w:rFonts w:ascii="Arial" w:hAnsi="宋体" w:cs="Arial"/>
                          <w:szCs w:val="21"/>
                        </w:rPr>
                      </w:pPr>
                    </w:p>
                    <w:p w14:paraId="23334B8F">
                      <w:pPr>
                        <w:spacing w:line="360" w:lineRule="auto"/>
                        <w:rPr>
                          <w:rFonts w:ascii="Arial" w:hAnsi="宋体" w:cs="Arial"/>
                          <w:szCs w:val="21"/>
                        </w:rPr>
                      </w:pPr>
                    </w:p>
                    <w:p w14:paraId="20639D4A">
                      <w:pPr>
                        <w:spacing w:line="360" w:lineRule="auto"/>
                        <w:jc w:val="center"/>
                        <w:rPr>
                          <w:rFonts w:ascii="Arial" w:hAnsi="Arial" w:cs="Arial"/>
                          <w:szCs w:val="21"/>
                        </w:rPr>
                      </w:pPr>
                      <w:r>
                        <w:rPr>
                          <w:rFonts w:ascii="Arial" w:hAnsi="宋体" w:cs="Arial"/>
                          <w:szCs w:val="21"/>
                        </w:rPr>
                        <w:t>身份证复印件粘贴处</w:t>
                      </w:r>
                    </w:p>
                    <w:p w14:paraId="1D68CB41">
                      <w:pPr>
                        <w:jc w:val="center"/>
                      </w:pPr>
                      <w:r>
                        <w:rPr>
                          <w:rFonts w:ascii="Arial" w:hAnsi="宋体" w:cs="Arial"/>
                          <w:szCs w:val="21"/>
                        </w:rPr>
                        <w:t>（身份证需双面复印）</w:t>
                      </w:r>
                    </w:p>
                  </w:txbxContent>
                </v:textbox>
                <w10:wrap type="square"/>
              </v:shape>
            </w:pict>
          </mc:Fallback>
        </mc:AlternateContent>
      </w:r>
    </w:p>
    <w:p w14:paraId="77FD83B3">
      <w:pPr>
        <w:spacing w:line="440" w:lineRule="exact"/>
        <w:jc w:val="right"/>
        <w:rPr>
          <w:rFonts w:ascii="Arial" w:hAnsi="Arial" w:cs="Arial"/>
          <w:color w:val="000000"/>
          <w:szCs w:val="21"/>
        </w:rPr>
      </w:pPr>
      <w:r>
        <w:rPr>
          <w:rFonts w:ascii="Arial" w:hAnsi="Arial" w:cs="Arial"/>
          <w:color w:val="000000"/>
          <w:szCs w:val="21"/>
        </w:rPr>
        <w:t xml:space="preserve">   </w:t>
      </w:r>
      <w:r>
        <w:rPr>
          <w:rFonts w:ascii="Arial" w:hAnsi="宋体" w:cs="Arial"/>
          <w:color w:val="000000"/>
          <w:szCs w:val="21"/>
        </w:rPr>
        <w:t>投标供应商：</w:t>
      </w:r>
      <w:r>
        <w:rPr>
          <w:rFonts w:ascii="Arial" w:hAnsi="Arial" w:cs="Arial"/>
          <w:color w:val="000000"/>
          <w:szCs w:val="21"/>
          <w:u w:val="single"/>
        </w:rPr>
        <w:t xml:space="preserve">                 </w:t>
      </w:r>
      <w:r>
        <w:rPr>
          <w:rFonts w:ascii="Arial" w:hAnsi="宋体" w:cs="Arial"/>
          <w:color w:val="000000"/>
          <w:szCs w:val="21"/>
        </w:rPr>
        <w:t>（盖单位章）</w:t>
      </w:r>
    </w:p>
    <w:p w14:paraId="6681DF48">
      <w:pPr>
        <w:spacing w:line="440" w:lineRule="exact"/>
        <w:rPr>
          <w:rFonts w:hint="eastAsia" w:ascii="Arial" w:hAnsi="Arial" w:cs="Arial"/>
          <w:b/>
          <w:color w:val="000000"/>
          <w:sz w:val="28"/>
        </w:rPr>
      </w:pPr>
      <w:r>
        <w:rPr>
          <w:color w:val="000000"/>
        </w:rPr>
        <w:t xml:space="preserve">                                  </w:t>
      </w:r>
      <w:r>
        <w:rPr>
          <w:rFonts w:hint="eastAsia"/>
          <w:color w:val="000000"/>
        </w:rPr>
        <w:t xml:space="preserve">              </w:t>
      </w:r>
      <w:r>
        <w:rPr>
          <w:rFonts w:hint="eastAsia"/>
          <w:color w:val="000000"/>
          <w:lang w:val="en-US" w:eastAsia="zh-CN"/>
        </w:rPr>
        <w:t xml:space="preserve">               </w:t>
      </w:r>
      <w:r>
        <w:rPr>
          <w:color w:val="000000"/>
          <w:u w:val="single"/>
        </w:rPr>
        <w:t xml:space="preserve">       </w:t>
      </w:r>
      <w:r>
        <w:rPr>
          <w:rFonts w:hAnsi="宋体"/>
          <w:color w:val="000000"/>
        </w:rPr>
        <w:t>年</w:t>
      </w:r>
      <w:r>
        <w:rPr>
          <w:color w:val="000000"/>
          <w:u w:val="single"/>
        </w:rPr>
        <w:t xml:space="preserve">       </w:t>
      </w:r>
      <w:r>
        <w:rPr>
          <w:rFonts w:hAnsi="宋体"/>
          <w:color w:val="000000"/>
        </w:rPr>
        <w:t>月</w:t>
      </w:r>
      <w:r>
        <w:rPr>
          <w:color w:val="000000"/>
          <w:u w:val="single"/>
        </w:rPr>
        <w:t xml:space="preserve">       </w:t>
      </w:r>
      <w:r>
        <w:rPr>
          <w:rFonts w:hAnsi="宋体"/>
          <w:color w:val="000000"/>
        </w:rPr>
        <w:t>日</w:t>
      </w:r>
      <w:r>
        <w:rPr>
          <w:color w:val="000000"/>
        </w:rPr>
        <w:t xml:space="preserve">  </w:t>
      </w:r>
    </w:p>
    <w:p w14:paraId="221605DC">
      <w:pPr>
        <w:ind w:firstLine="516"/>
        <w:rPr>
          <w:rFonts w:hint="eastAsia"/>
          <w:color w:val="000000"/>
        </w:rPr>
      </w:pPr>
      <w:r>
        <w:rPr>
          <w:color w:val="000000"/>
        </w:rPr>
        <w:br w:type="page"/>
      </w:r>
    </w:p>
    <w:p w14:paraId="11DF6377">
      <w:pPr>
        <w:pStyle w:val="3"/>
        <w:jc w:val="center"/>
        <w:rPr>
          <w:rFonts w:cs="Arial"/>
          <w:color w:val="000000"/>
        </w:rPr>
      </w:pPr>
      <w:bookmarkStart w:id="90" w:name="_Toc412788172"/>
      <w:bookmarkStart w:id="91" w:name="_Toc388974303"/>
      <w:bookmarkStart w:id="92" w:name="_Toc25693"/>
      <w:r>
        <w:rPr>
          <w:rFonts w:hint="eastAsia" w:ascii="宋体" w:hAnsi="宋体" w:eastAsia="宋体"/>
          <w:color w:val="000000"/>
          <w:sz w:val="24"/>
          <w:szCs w:val="24"/>
        </w:rPr>
        <w:t>附件</w:t>
      </w:r>
      <w:r>
        <w:rPr>
          <w:rFonts w:hint="eastAsia" w:ascii="宋体" w:hAnsi="宋体" w:eastAsia="宋体"/>
          <w:color w:val="000000"/>
          <w:sz w:val="24"/>
          <w:szCs w:val="24"/>
          <w:lang w:val="en-US" w:eastAsia="zh-CN"/>
        </w:rPr>
        <w:t>2</w:t>
      </w:r>
      <w:r>
        <w:rPr>
          <w:rFonts w:ascii="宋体" w:hAnsi="宋体" w:eastAsia="宋体"/>
          <w:color w:val="000000"/>
          <w:sz w:val="24"/>
          <w:szCs w:val="24"/>
        </w:rPr>
        <w:t>-2 法定代表人授权委托书</w:t>
      </w:r>
      <w:bookmarkEnd w:id="90"/>
      <w:bookmarkEnd w:id="91"/>
      <w:bookmarkEnd w:id="92"/>
    </w:p>
    <w:p w14:paraId="0E72CE63">
      <w:pPr>
        <w:spacing w:line="360" w:lineRule="auto"/>
        <w:rPr>
          <w:rFonts w:hint="eastAsia" w:ascii="宋体" w:hAnsi="宋体" w:cs="Arial Unicode MS"/>
          <w:color w:val="000000"/>
        </w:rPr>
      </w:pPr>
      <w:bookmarkStart w:id="93" w:name="_Toc412788174"/>
      <w:r>
        <w:rPr>
          <w:rFonts w:hint="eastAsia" w:ascii="宋体" w:hAnsi="宋体" w:cs="Arial Unicode MS"/>
          <w:b/>
          <w:color w:val="000000"/>
          <w:sz w:val="24"/>
          <w:u w:val="single"/>
          <w:lang w:eastAsia="zh-CN"/>
        </w:rPr>
        <w:t>文成县城市发展集团有限公司</w:t>
      </w:r>
      <w:r>
        <w:rPr>
          <w:rFonts w:hint="eastAsia" w:ascii="宋体" w:hAnsi="宋体" w:cs="Arial Unicode MS"/>
          <w:color w:val="000000"/>
        </w:rPr>
        <w:t>：</w:t>
      </w:r>
    </w:p>
    <w:p w14:paraId="277B5DC9">
      <w:pPr>
        <w:snapToGrid w:val="0"/>
        <w:spacing w:before="156" w:beforeLines="50" w:after="50" w:line="360" w:lineRule="auto"/>
        <w:ind w:firstLine="630" w:firstLineChars="300"/>
        <w:rPr>
          <w:rFonts w:hint="eastAsia" w:ascii="宋体" w:hAnsi="宋体" w:cs="Arial Unicode MS"/>
          <w:color w:val="000000"/>
        </w:rPr>
      </w:pPr>
      <w:r>
        <w:rPr>
          <w:rFonts w:hint="eastAsia" w:ascii="宋体" w:hAnsi="宋体" w:cs="Arial Unicode MS"/>
          <w:color w:val="000000"/>
        </w:rPr>
        <w:t>本授权委托书声明：我</w:t>
      </w:r>
      <w:r>
        <w:rPr>
          <w:rFonts w:hint="eastAsia" w:ascii="宋体" w:hAnsi="宋体" w:cs="Arial Unicode MS"/>
          <w:color w:val="000000"/>
          <w:u w:val="single"/>
        </w:rPr>
        <w:t>（法人代表姓名）</w:t>
      </w:r>
      <w:r>
        <w:rPr>
          <w:rFonts w:hint="eastAsia" w:ascii="宋体" w:hAnsi="宋体" w:cs="Arial Unicode MS"/>
          <w:color w:val="000000"/>
        </w:rPr>
        <w:t>系</w:t>
      </w:r>
      <w:r>
        <w:rPr>
          <w:rFonts w:hint="eastAsia" w:ascii="宋体" w:hAnsi="宋体" w:cs="Arial Unicode MS"/>
          <w:color w:val="000000"/>
          <w:u w:val="single"/>
        </w:rPr>
        <w:t xml:space="preserve">（投 标 人 名 称） </w:t>
      </w:r>
      <w:r>
        <w:rPr>
          <w:rFonts w:hint="eastAsia" w:ascii="宋体" w:hAnsi="宋体" w:cs="Arial Unicode MS"/>
          <w:color w:val="000000"/>
        </w:rPr>
        <w:t>的法定代表人，现授权委托本单位正式职工：</w:t>
      </w:r>
      <w:r>
        <w:rPr>
          <w:rFonts w:hint="eastAsia" w:ascii="宋体" w:hAnsi="宋体" w:cs="Arial Unicode MS"/>
          <w:color w:val="000000"/>
          <w:u w:val="single"/>
        </w:rPr>
        <w:t>（授权代表姓名）</w:t>
      </w:r>
      <w:r>
        <w:rPr>
          <w:rFonts w:hint="eastAsia" w:ascii="宋体" w:hAnsi="宋体" w:cs="Arial Unicode MS"/>
          <w:color w:val="000000"/>
        </w:rPr>
        <w:t>为我公司授权代表，参加贵处组织的</w:t>
      </w:r>
      <w:r>
        <w:rPr>
          <w:rFonts w:hint="eastAsia" w:ascii="宋体" w:hAnsi="宋体" w:cs="Arial Unicode MS"/>
          <w:color w:val="000000"/>
          <w:u w:val="single"/>
        </w:rPr>
        <w:t>（项目名称）</w:t>
      </w:r>
      <w:r>
        <w:rPr>
          <w:rFonts w:hint="eastAsia" w:ascii="宋体" w:hAnsi="宋体" w:cs="Arial Unicode MS"/>
          <w:color w:val="000000"/>
        </w:rPr>
        <w:t>（项目编号：</w:t>
      </w:r>
      <w:r>
        <w:rPr>
          <w:rFonts w:hint="eastAsia" w:ascii="宋体" w:hAnsi="宋体" w:cs="Arial Unicode MS"/>
          <w:color w:val="000000"/>
          <w:u w:val="single"/>
        </w:rPr>
        <w:t xml:space="preserve">       </w:t>
      </w:r>
      <w:r>
        <w:rPr>
          <w:rFonts w:hint="eastAsia" w:ascii="宋体" w:hAnsi="宋体" w:cs="Arial Unicode MS"/>
          <w:color w:val="000000"/>
        </w:rPr>
        <w:t>）项目投标，全权处理本次招投标活动中的一切事宜，并代表我方全权办理针对上述项目的投标、开标、评标、签约等具体事务和签署相关文件。</w:t>
      </w:r>
    </w:p>
    <w:p w14:paraId="755108E7">
      <w:pPr>
        <w:snapToGrid w:val="0"/>
        <w:spacing w:before="156" w:beforeLines="50" w:after="50" w:line="360" w:lineRule="auto"/>
        <w:rPr>
          <w:rFonts w:hint="eastAsia" w:ascii="宋体" w:hAnsi="宋体" w:cs="Arial Unicode MS"/>
          <w:color w:val="000000"/>
        </w:rPr>
      </w:pPr>
      <w:r>
        <w:rPr>
          <w:rFonts w:hint="eastAsia" w:ascii="宋体" w:hAnsi="宋体" w:cs="Arial Unicode MS"/>
          <w:color w:val="000000"/>
        </w:rPr>
        <w:t xml:space="preserve">    我方对被授权人的签名负全部责任。</w:t>
      </w:r>
    </w:p>
    <w:p w14:paraId="5634167A">
      <w:pPr>
        <w:snapToGrid w:val="0"/>
        <w:spacing w:before="156" w:beforeLines="50" w:after="50" w:line="360" w:lineRule="auto"/>
        <w:ind w:firstLine="480"/>
        <w:rPr>
          <w:rFonts w:hint="eastAsia" w:ascii="宋体" w:hAnsi="宋体" w:cs="Arial Unicode MS"/>
          <w:color w:val="000000"/>
        </w:rPr>
      </w:pPr>
      <w:r>
        <w:rPr>
          <w:rFonts w:hint="eastAsia" w:ascii="宋体" w:hAnsi="宋体" w:cs="Arial Unicode MS"/>
          <w:color w:val="000000"/>
        </w:rPr>
        <w:t>在撤销授权的书面通知以前，本授权书一直有效。被授权人在授权书有效期内签署的所有文件不因授权的撤销而失效。</w:t>
      </w:r>
    </w:p>
    <w:p w14:paraId="2F8951E0">
      <w:pPr>
        <w:spacing w:line="360" w:lineRule="auto"/>
        <w:ind w:firstLine="612"/>
        <w:rPr>
          <w:rFonts w:hint="eastAsia" w:ascii="宋体" w:hAnsi="宋体" w:cs="Arial Unicode MS"/>
          <w:color w:val="000000"/>
        </w:rPr>
      </w:pPr>
      <w:r>
        <w:rPr>
          <w:rFonts w:hint="eastAsia" w:ascii="宋体" w:hAnsi="宋体" w:cs="Arial Unicode MS"/>
          <w:color w:val="000000"/>
        </w:rPr>
        <w:t>被授权人无转委托权，特此委托。</w:t>
      </w:r>
    </w:p>
    <w:tbl>
      <w:tblPr>
        <w:tblStyle w:val="49"/>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0"/>
      </w:tblGrid>
      <w:tr w14:paraId="63908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8" w:hRule="atLeast"/>
        </w:trPr>
        <w:tc>
          <w:tcPr>
            <w:tcW w:w="7700" w:type="dxa"/>
            <w:noWrap w:val="0"/>
            <w:vAlign w:val="top"/>
          </w:tcPr>
          <w:p w14:paraId="6B8BC143">
            <w:pPr>
              <w:rPr>
                <w:rFonts w:hint="eastAsia" w:ascii="宋体" w:hAnsi="宋体"/>
                <w:color w:val="000000"/>
              </w:rPr>
            </w:pPr>
          </w:p>
          <w:p w14:paraId="7AA68C9F">
            <w:pPr>
              <w:rPr>
                <w:rFonts w:hint="eastAsia" w:ascii="宋体" w:hAnsi="宋体"/>
                <w:color w:val="000000"/>
              </w:rPr>
            </w:pPr>
          </w:p>
          <w:p w14:paraId="4EC2DDEC">
            <w:pPr>
              <w:spacing w:line="360" w:lineRule="auto"/>
              <w:rPr>
                <w:rFonts w:hint="eastAsia" w:ascii="宋体" w:hAnsi="宋体" w:cs="Arial Unicode MS"/>
                <w:color w:val="000000"/>
              </w:rPr>
            </w:pPr>
          </w:p>
          <w:p w14:paraId="4CCF7EC8">
            <w:pPr>
              <w:pStyle w:val="19"/>
              <w:spacing w:line="480" w:lineRule="auto"/>
              <w:jc w:val="center"/>
              <w:rPr>
                <w:rFonts w:hint="eastAsia" w:ascii="宋体" w:hAnsi="宋体" w:cs="Arial Unicode MS"/>
                <w:color w:val="000000"/>
                <w:kern w:val="0"/>
              </w:rPr>
            </w:pPr>
            <w:r>
              <w:rPr>
                <w:rFonts w:hint="eastAsia" w:ascii="宋体" w:hAnsi="宋体" w:cs="宋体"/>
                <w:color w:val="000000"/>
                <w:kern w:val="0"/>
              </w:rPr>
              <w:t>附授权代表身份证扫描件（正反两面）</w:t>
            </w:r>
          </w:p>
        </w:tc>
      </w:tr>
    </w:tbl>
    <w:p w14:paraId="2C5A1CA9">
      <w:pPr>
        <w:pStyle w:val="19"/>
        <w:spacing w:line="480" w:lineRule="auto"/>
        <w:ind w:firstLine="4830" w:firstLineChars="2300"/>
        <w:rPr>
          <w:rFonts w:hint="eastAsia" w:ascii="宋体" w:hAnsi="宋体" w:cs="Arial Unicode MS"/>
          <w:color w:val="000000"/>
          <w:kern w:val="0"/>
        </w:rPr>
      </w:pPr>
    </w:p>
    <w:p w14:paraId="3AEE5540">
      <w:pPr>
        <w:spacing w:before="312" w:beforeLines="100" w:after="312" w:afterLines="100" w:line="280" w:lineRule="atLeast"/>
        <w:ind w:left="2100" w:leftChars="1000" w:firstLine="1365" w:firstLineChars="650"/>
        <w:rPr>
          <w:rFonts w:hint="eastAsia" w:ascii="宋体" w:hAnsi="宋体"/>
          <w:color w:val="000000"/>
          <w:szCs w:val="21"/>
          <w:u w:val="single"/>
        </w:rPr>
      </w:pPr>
      <w:r>
        <w:rPr>
          <w:rFonts w:hint="eastAsia" w:ascii="宋体" w:hAnsi="宋体"/>
          <w:color w:val="000000"/>
          <w:szCs w:val="21"/>
        </w:rPr>
        <w:t>授权代表：</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 xml:space="preserve"> </w:t>
      </w:r>
    </w:p>
    <w:p w14:paraId="128A2F99">
      <w:pPr>
        <w:spacing w:before="312" w:beforeLines="100" w:after="312" w:afterLines="100" w:line="280" w:lineRule="atLeast"/>
        <w:ind w:left="2100" w:leftChars="1000" w:firstLine="1365" w:firstLineChars="650"/>
        <w:rPr>
          <w:rFonts w:hint="eastAsia" w:ascii="宋体" w:hAnsi="宋体"/>
          <w:color w:val="000000"/>
          <w:szCs w:val="21"/>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p>
    <w:p w14:paraId="077561E5">
      <w:pPr>
        <w:spacing w:before="312" w:beforeLines="100" w:after="312" w:afterLines="100" w:line="280" w:lineRule="atLeast"/>
        <w:ind w:left="2100" w:leftChars="1000" w:firstLine="1365" w:firstLineChars="650"/>
        <w:rPr>
          <w:rFonts w:hint="eastAsia" w:ascii="宋体" w:hAnsi="宋体"/>
          <w:color w:val="000000"/>
          <w:szCs w:val="21"/>
          <w:u w:val="single"/>
        </w:rPr>
      </w:pPr>
      <w:r>
        <w:rPr>
          <w:rFonts w:hint="eastAsia" w:ascii="宋体" w:hAnsi="宋体"/>
          <w:color w:val="000000"/>
          <w:szCs w:val="21"/>
        </w:rPr>
        <w:t>详细通讯地址：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p>
    <w:p w14:paraId="4782EA4D">
      <w:pPr>
        <w:spacing w:before="312" w:beforeLines="100" w:after="312" w:afterLines="100" w:line="280" w:lineRule="atLeast"/>
        <w:ind w:left="2100" w:leftChars="1000" w:firstLine="1365" w:firstLineChars="650"/>
        <w:rPr>
          <w:rFonts w:hint="eastAsia" w:ascii="宋体" w:hAnsi="宋体"/>
          <w:color w:val="000000"/>
          <w:szCs w:val="21"/>
          <w:u w:val="single"/>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邮箱：</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p>
    <w:p w14:paraId="434F69D4">
      <w:pPr>
        <w:spacing w:before="312" w:beforeLines="100" w:after="312" w:afterLines="100" w:line="280" w:lineRule="atLeast"/>
        <w:ind w:left="1" w:firstLine="3129" w:firstLineChars="1490"/>
        <w:rPr>
          <w:rFonts w:hint="eastAsia" w:ascii="宋体" w:hAnsi="宋体"/>
          <w:color w:val="000000"/>
          <w:szCs w:val="21"/>
        </w:rPr>
      </w:pPr>
      <w:r>
        <w:rPr>
          <w:rFonts w:hint="eastAsia" w:ascii="宋体" w:hAnsi="宋体"/>
          <w:color w:val="000000"/>
          <w:szCs w:val="21"/>
        </w:rPr>
        <w:t xml:space="preserve">   投标供应商：</w:t>
      </w:r>
      <w:r>
        <w:rPr>
          <w:rFonts w:hint="eastAsia" w:ascii="宋体" w:hAnsi="宋体"/>
          <w:color w:val="000000"/>
          <w:szCs w:val="21"/>
          <w:u w:val="single"/>
        </w:rPr>
        <w:t xml:space="preserve">                            （盖章）</w:t>
      </w:r>
    </w:p>
    <w:p w14:paraId="5A3A49D7">
      <w:pPr>
        <w:spacing w:before="312" w:beforeLines="100" w:after="312" w:afterLines="100" w:line="280" w:lineRule="atLeast"/>
        <w:ind w:left="2100" w:leftChars="1000" w:right="420" w:firstLine="1365" w:firstLineChars="65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（签字或盖章）</w:t>
      </w:r>
    </w:p>
    <w:p w14:paraId="12598FD8">
      <w:pPr>
        <w:spacing w:before="312" w:beforeLines="100" w:after="312" w:afterLines="100" w:line="280" w:lineRule="atLeast"/>
        <w:ind w:left="2100" w:leftChars="1000" w:right="420" w:firstLine="1365" w:firstLineChars="650"/>
        <w:rPr>
          <w:rFonts w:hint="eastAsia" w:ascii="宋体" w:hAnsi="宋体"/>
          <w:color w:val="000000"/>
          <w:szCs w:val="21"/>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0FA4B27E">
      <w:pPr>
        <w:pStyle w:val="3"/>
        <w:numPr>
          <w:ilvl w:val="1"/>
          <w:numId w:val="0"/>
        </w:numPr>
        <w:tabs>
          <w:tab w:val="left" w:pos="840"/>
        </w:tabs>
        <w:spacing w:before="0" w:after="0" w:afterLines="0" w:line="240" w:lineRule="auto"/>
        <w:jc w:val="center"/>
        <w:rPr>
          <w:rFonts w:ascii="宋体" w:hAnsi="宋体" w:cs="宋体"/>
          <w:color w:val="000000"/>
          <w:sz w:val="21"/>
          <w:szCs w:val="21"/>
          <w:highlight w:val="none"/>
        </w:rPr>
      </w:pPr>
      <w:r>
        <w:rPr>
          <w:rFonts w:hint="eastAsia" w:ascii="宋体" w:hAnsi="宋体" w:eastAsia="宋体"/>
          <w:color w:val="000000"/>
          <w:sz w:val="24"/>
          <w:szCs w:val="24"/>
        </w:rPr>
        <w:br w:type="page"/>
      </w:r>
      <w:bookmarkStart w:id="94" w:name="_Toc18680"/>
      <w:bookmarkStart w:id="95" w:name="_Toc284"/>
      <w:bookmarkStart w:id="96" w:name="_Toc36139331"/>
      <w:bookmarkStart w:id="97" w:name="_Toc10658"/>
      <w:bookmarkStart w:id="98" w:name="_Toc7378"/>
      <w:bookmarkStart w:id="99" w:name="_Toc1302"/>
      <w:bookmarkStart w:id="100" w:name="_Toc2358"/>
      <w:bookmarkStart w:id="101" w:name="_Toc16163"/>
      <w:bookmarkStart w:id="102" w:name="_Toc10598"/>
      <w:bookmarkStart w:id="103" w:name="_Toc18524"/>
      <w:r>
        <w:rPr>
          <w:rFonts w:ascii="宋体" w:hAnsi="宋体" w:cs="宋体"/>
          <w:b/>
          <w:color w:val="000000"/>
          <w:sz w:val="30"/>
          <w:szCs w:val="30"/>
          <w:highlight w:val="none"/>
        </w:rPr>
        <w:t>附件</w:t>
      </w:r>
      <w:r>
        <w:rPr>
          <w:rFonts w:hint="eastAsia" w:ascii="宋体" w:hAnsi="宋体" w:cs="宋体"/>
          <w:b/>
          <w:color w:val="000000"/>
          <w:sz w:val="30"/>
          <w:szCs w:val="30"/>
          <w:highlight w:val="none"/>
          <w:lang w:val="en-US" w:eastAsia="zh-CN"/>
        </w:rPr>
        <w:t>3</w:t>
      </w:r>
      <w:r>
        <w:rPr>
          <w:rFonts w:ascii="宋体" w:hAnsi="宋体" w:cs="宋体"/>
          <w:b/>
          <w:color w:val="000000"/>
          <w:sz w:val="30"/>
          <w:szCs w:val="30"/>
          <w:highlight w:val="none"/>
        </w:rPr>
        <w:t xml:space="preserve">   投 标 函</w:t>
      </w:r>
      <w:bookmarkEnd w:id="94"/>
      <w:bookmarkEnd w:id="95"/>
      <w:bookmarkEnd w:id="96"/>
      <w:bookmarkEnd w:id="97"/>
      <w:bookmarkEnd w:id="98"/>
      <w:bookmarkEnd w:id="99"/>
      <w:bookmarkEnd w:id="100"/>
      <w:bookmarkEnd w:id="101"/>
      <w:bookmarkEnd w:id="102"/>
      <w:bookmarkEnd w:id="103"/>
    </w:p>
    <w:p w14:paraId="09B74A84">
      <w:pPr>
        <w:spacing w:line="432"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文成县城市发展集团有限公司</w:t>
      </w:r>
    </w:p>
    <w:p w14:paraId="28B69E58">
      <w:pPr>
        <w:spacing w:line="432" w:lineRule="auto"/>
        <w:rPr>
          <w:rFonts w:ascii="宋体" w:hAnsi="宋体" w:cs="宋体"/>
          <w:color w:val="000000"/>
          <w:szCs w:val="21"/>
          <w:highlight w:val="none"/>
        </w:rPr>
      </w:pPr>
      <w:r>
        <w:rPr>
          <w:rFonts w:hint="eastAsia" w:ascii="宋体" w:hAnsi="宋体" w:cs="宋体"/>
          <w:color w:val="000000"/>
          <w:szCs w:val="21"/>
          <w:highlight w:val="none"/>
          <w:lang w:val="en-US" w:eastAsia="zh-CN"/>
        </w:rPr>
        <w:t>浙江信达咨询监理有限公司</w:t>
      </w:r>
      <w:r>
        <w:rPr>
          <w:rFonts w:ascii="宋体" w:hAnsi="宋体" w:cs="宋体"/>
          <w:color w:val="000000"/>
          <w:szCs w:val="21"/>
          <w:highlight w:val="none"/>
        </w:rPr>
        <w:t>：</w:t>
      </w:r>
    </w:p>
    <w:p w14:paraId="125E88BA">
      <w:pPr>
        <w:spacing w:line="432" w:lineRule="auto"/>
        <w:ind w:right="6"/>
        <w:rPr>
          <w:rFonts w:ascii="宋体" w:hAnsi="宋体" w:cs="宋体"/>
          <w:color w:val="000000"/>
          <w:szCs w:val="21"/>
          <w:highlight w:val="none"/>
        </w:rPr>
      </w:pPr>
      <w:r>
        <w:rPr>
          <w:rFonts w:ascii="宋体" w:hAnsi="宋体" w:cs="宋体"/>
          <w:color w:val="000000"/>
          <w:szCs w:val="21"/>
          <w:highlight w:val="none"/>
        </w:rPr>
        <w:t xml:space="preserve">    遵照国家及地方政府相关</w:t>
      </w:r>
      <w:r>
        <w:rPr>
          <w:rFonts w:hint="eastAsia" w:ascii="宋体" w:hAnsi="宋体" w:cs="宋体"/>
          <w:color w:val="000000"/>
          <w:szCs w:val="21"/>
          <w:highlight w:val="none"/>
          <w:lang w:val="en-US" w:eastAsia="zh-CN"/>
        </w:rPr>
        <w:t>国企采购相关</w:t>
      </w:r>
      <w:r>
        <w:rPr>
          <w:rFonts w:ascii="宋体" w:hAnsi="宋体" w:cs="宋体"/>
          <w:color w:val="000000"/>
          <w:szCs w:val="21"/>
          <w:highlight w:val="none"/>
        </w:rPr>
        <w:t>规定，我单位：</w:t>
      </w:r>
      <w:r>
        <w:rPr>
          <w:rFonts w:ascii="宋体" w:hAnsi="宋体" w:cs="宋体"/>
          <w:color w:val="000000"/>
          <w:szCs w:val="21"/>
          <w:highlight w:val="none"/>
          <w:u w:val="single"/>
        </w:rPr>
        <w:t xml:space="preserve">            （投标供应商名称）</w:t>
      </w:r>
      <w:r>
        <w:rPr>
          <w:rFonts w:ascii="宋体" w:hAnsi="宋体" w:cs="宋体"/>
          <w:color w:val="000000"/>
          <w:szCs w:val="21"/>
          <w:highlight w:val="none"/>
        </w:rPr>
        <w:t xml:space="preserve">研究上述招标文件的投标须知、合同条款、技术要求和其他有关文件后，决定作为投标者正式授权 </w:t>
      </w:r>
      <w:r>
        <w:rPr>
          <w:rFonts w:ascii="宋体" w:hAnsi="宋体" w:cs="宋体"/>
          <w:color w:val="000000"/>
          <w:szCs w:val="21"/>
          <w:highlight w:val="none"/>
          <w:u w:val="single"/>
        </w:rPr>
        <w:t xml:space="preserve">     （授权代表全名，职务）</w:t>
      </w:r>
      <w:r>
        <w:rPr>
          <w:rFonts w:ascii="宋体" w:hAnsi="宋体" w:cs="宋体"/>
          <w:color w:val="000000"/>
          <w:szCs w:val="21"/>
          <w:highlight w:val="none"/>
        </w:rPr>
        <w:t>代表我方进行有关本投标的一切事宜。</w:t>
      </w:r>
    </w:p>
    <w:p w14:paraId="2FB4202B">
      <w:pPr>
        <w:numPr>
          <w:ilvl w:val="0"/>
          <w:numId w:val="17"/>
        </w:numPr>
        <w:spacing w:line="432" w:lineRule="auto"/>
        <w:ind w:right="6"/>
        <w:rPr>
          <w:rFonts w:ascii="宋体" w:hAnsi="宋体" w:cs="宋体"/>
          <w:color w:val="auto"/>
          <w:szCs w:val="21"/>
          <w:highlight w:val="none"/>
        </w:rPr>
      </w:pPr>
      <w:r>
        <w:rPr>
          <w:rFonts w:ascii="宋体" w:hAnsi="宋体" w:cs="宋体"/>
          <w:color w:val="auto"/>
          <w:szCs w:val="21"/>
          <w:highlight w:val="none"/>
          <w:lang w:bidi="ar"/>
        </w:rPr>
        <w:t>我方决定参加：作为本次供应商参与</w:t>
      </w:r>
      <w:r>
        <w:rPr>
          <w:rFonts w:ascii="宋体" w:hAnsi="宋体" w:cs="宋体"/>
          <w:color w:val="auto"/>
          <w:szCs w:val="21"/>
          <w:highlight w:val="none"/>
          <w:u w:val="single"/>
          <w:lang w:bidi="ar"/>
        </w:rPr>
        <w:t>项目名称：</w:t>
      </w:r>
      <w:r>
        <w:rPr>
          <w:rFonts w:hint="eastAsia" w:ascii="宋体" w:hAnsi="宋体" w:cs="宋体"/>
          <w:color w:val="auto"/>
          <w:szCs w:val="21"/>
          <w:highlight w:val="none"/>
          <w:u w:val="single"/>
          <w:lang w:eastAsia="zh-CN" w:bidi="ar"/>
        </w:rPr>
        <w:t>文成县龙船垟城中村改造（二期）项目配套幼儿园装修工程-课桌椅采购及安装项目</w:t>
      </w:r>
      <w:r>
        <w:rPr>
          <w:rFonts w:ascii="宋体" w:hAnsi="宋体" w:cs="宋体"/>
          <w:color w:val="auto"/>
          <w:szCs w:val="21"/>
          <w:highlight w:val="none"/>
          <w:u w:val="single"/>
          <w:lang w:bidi="ar"/>
        </w:rPr>
        <w:t>（项目编号：</w:t>
      </w:r>
      <w:r>
        <w:rPr>
          <w:rFonts w:hint="eastAsia" w:ascii="宋体" w:hAnsi="宋体" w:cs="宋体"/>
          <w:color w:val="auto"/>
          <w:szCs w:val="21"/>
          <w:highlight w:val="none"/>
          <w:u w:val="single"/>
          <w:lang w:eastAsia="zh-CN" w:bidi="ar"/>
        </w:rPr>
        <w:t>WGWC-CTGS-2025006</w:t>
      </w:r>
      <w:r>
        <w:rPr>
          <w:rFonts w:ascii="宋体" w:hAnsi="宋体" w:cs="宋体"/>
          <w:color w:val="auto"/>
          <w:szCs w:val="21"/>
          <w:highlight w:val="none"/>
          <w:u w:val="single"/>
          <w:lang w:bidi="ar"/>
        </w:rPr>
        <w:t>）</w:t>
      </w:r>
      <w:r>
        <w:rPr>
          <w:rFonts w:ascii="宋体" w:hAnsi="宋体" w:cs="宋体"/>
          <w:color w:val="auto"/>
          <w:szCs w:val="21"/>
          <w:highlight w:val="none"/>
          <w:lang w:bidi="ar"/>
        </w:rPr>
        <w:t>项目的投标</w:t>
      </w:r>
      <w:r>
        <w:rPr>
          <w:rFonts w:hint="eastAsia" w:ascii="宋体" w:hAnsi="宋体" w:cs="宋体"/>
          <w:color w:val="auto"/>
          <w:szCs w:val="21"/>
          <w:highlight w:val="none"/>
          <w:lang w:eastAsia="zh-CN" w:bidi="ar"/>
        </w:rPr>
        <w:t>。</w:t>
      </w:r>
    </w:p>
    <w:p w14:paraId="353F063B">
      <w:pPr>
        <w:numPr>
          <w:ilvl w:val="0"/>
          <w:numId w:val="17"/>
        </w:numPr>
        <w:spacing w:line="432" w:lineRule="auto"/>
        <w:ind w:right="6"/>
        <w:rPr>
          <w:rFonts w:ascii="宋体" w:hAnsi="宋体" w:cs="宋体"/>
          <w:color w:val="000000"/>
          <w:szCs w:val="21"/>
          <w:highlight w:val="none"/>
        </w:rPr>
      </w:pPr>
      <w:r>
        <w:rPr>
          <w:rFonts w:ascii="宋体" w:hAnsi="宋体" w:cs="宋体"/>
          <w:color w:val="000000"/>
          <w:szCs w:val="21"/>
          <w:highlight w:val="none"/>
        </w:rPr>
        <w:t>我方承诺：</w:t>
      </w:r>
    </w:p>
    <w:p w14:paraId="17C6FF8A">
      <w:pPr>
        <w:numPr>
          <w:ilvl w:val="0"/>
          <w:numId w:val="18"/>
        </w:numPr>
        <w:tabs>
          <w:tab w:val="left" w:pos="530"/>
        </w:tabs>
        <w:spacing w:line="432" w:lineRule="auto"/>
        <w:rPr>
          <w:rFonts w:ascii="宋体" w:hAnsi="宋体" w:cs="宋体"/>
          <w:color w:val="000000"/>
          <w:szCs w:val="21"/>
          <w:highlight w:val="none"/>
        </w:rPr>
      </w:pPr>
      <w:r>
        <w:rPr>
          <w:rFonts w:ascii="宋体" w:hAnsi="宋体" w:cs="宋体"/>
          <w:color w:val="000000"/>
          <w:szCs w:val="21"/>
          <w:highlight w:val="none"/>
        </w:rPr>
        <w:t>我方承诺的采购价格按开标一览表及本次有关的招投标文件执行。</w:t>
      </w:r>
    </w:p>
    <w:p w14:paraId="425CDCE7">
      <w:pPr>
        <w:numPr>
          <w:ilvl w:val="0"/>
          <w:numId w:val="18"/>
        </w:numPr>
        <w:tabs>
          <w:tab w:val="left" w:pos="530"/>
          <w:tab w:val="left" w:pos="814"/>
        </w:tabs>
        <w:spacing w:line="432" w:lineRule="auto"/>
        <w:ind w:left="0" w:firstLine="454"/>
        <w:rPr>
          <w:rFonts w:ascii="宋体" w:hAnsi="宋体" w:cs="宋体"/>
          <w:color w:val="000000"/>
          <w:szCs w:val="21"/>
          <w:highlight w:val="none"/>
        </w:rPr>
      </w:pPr>
      <w:r>
        <w:rPr>
          <w:rFonts w:ascii="宋体" w:hAnsi="宋体" w:cs="宋体"/>
          <w:color w:val="000000"/>
          <w:szCs w:val="21"/>
          <w:highlight w:val="none"/>
        </w:rPr>
        <w:t>我方报价包含履行合同所有相关服务所需的服务费用。</w:t>
      </w:r>
    </w:p>
    <w:p w14:paraId="00D3D899">
      <w:pPr>
        <w:numPr>
          <w:ilvl w:val="0"/>
          <w:numId w:val="18"/>
        </w:numPr>
        <w:tabs>
          <w:tab w:val="left" w:pos="530"/>
          <w:tab w:val="left" w:pos="814"/>
        </w:tabs>
        <w:spacing w:line="432" w:lineRule="auto"/>
        <w:ind w:left="0" w:firstLine="454"/>
        <w:rPr>
          <w:rFonts w:ascii="宋体" w:hAnsi="宋体" w:cs="宋体"/>
          <w:color w:val="000000"/>
          <w:szCs w:val="21"/>
          <w:highlight w:val="none"/>
        </w:rPr>
      </w:pPr>
      <w:r>
        <w:rPr>
          <w:rFonts w:ascii="宋体" w:hAnsi="宋体" w:cs="宋体"/>
          <w:color w:val="000000"/>
          <w:szCs w:val="21"/>
          <w:highlight w:val="none"/>
        </w:rPr>
        <w:t>我方报价均包含所有的税费。</w:t>
      </w:r>
    </w:p>
    <w:p w14:paraId="03ADCAE3">
      <w:pPr>
        <w:numPr>
          <w:ilvl w:val="0"/>
          <w:numId w:val="18"/>
        </w:numPr>
        <w:tabs>
          <w:tab w:val="left" w:pos="530"/>
          <w:tab w:val="left" w:pos="814"/>
        </w:tabs>
        <w:spacing w:line="432" w:lineRule="auto"/>
        <w:ind w:left="1258" w:leftChars="200" w:hanging="838" w:firstLineChars="0"/>
        <w:rPr>
          <w:rFonts w:ascii="宋体" w:hAnsi="宋体" w:cs="宋体"/>
          <w:color w:val="000000"/>
          <w:szCs w:val="21"/>
          <w:highlight w:val="none"/>
        </w:rPr>
      </w:pPr>
      <w:r>
        <w:rPr>
          <w:rFonts w:hint="eastAsia" w:ascii="宋体" w:hAnsi="宋体" w:cs="宋体"/>
          <w:color w:val="000000"/>
          <w:szCs w:val="21"/>
          <w:highlight w:val="none"/>
          <w:lang w:val="en-US" w:eastAsia="zh-CN"/>
        </w:rPr>
        <w:t>我方承诺，如我方不满足招标文件第三部分 招标内容及要求 第6.2项内容的，采购人有权   取消我方中标资格。</w:t>
      </w:r>
    </w:p>
    <w:p w14:paraId="07C91FED">
      <w:pPr>
        <w:numPr>
          <w:ilvl w:val="0"/>
          <w:numId w:val="17"/>
        </w:numPr>
        <w:spacing w:line="432" w:lineRule="auto"/>
        <w:ind w:right="6"/>
        <w:rPr>
          <w:rFonts w:ascii="宋体" w:hAnsi="宋体" w:cs="宋体"/>
          <w:color w:val="000000"/>
          <w:szCs w:val="21"/>
          <w:highlight w:val="none"/>
        </w:rPr>
      </w:pPr>
      <w:r>
        <w:rPr>
          <w:rFonts w:ascii="宋体" w:hAnsi="宋体" w:cs="宋体"/>
          <w:color w:val="000000"/>
          <w:szCs w:val="21"/>
          <w:highlight w:val="none"/>
        </w:rPr>
        <w:t>投标文件的有效期：提交投标文件截止日起 90日历天内；如中标，有效期将延至合同终止日为止。</w:t>
      </w:r>
    </w:p>
    <w:p w14:paraId="0CBF59E8">
      <w:pPr>
        <w:numPr>
          <w:ilvl w:val="0"/>
          <w:numId w:val="17"/>
        </w:numPr>
        <w:spacing w:line="432" w:lineRule="auto"/>
        <w:ind w:right="6"/>
        <w:rPr>
          <w:rFonts w:ascii="宋体" w:hAnsi="宋体" w:cs="宋体"/>
          <w:color w:val="000000"/>
          <w:szCs w:val="21"/>
          <w:highlight w:val="none"/>
        </w:rPr>
      </w:pPr>
      <w:r>
        <w:rPr>
          <w:rFonts w:ascii="宋体" w:hAnsi="宋体" w:cs="宋体"/>
          <w:color w:val="000000"/>
          <w:szCs w:val="21"/>
          <w:highlight w:val="none"/>
        </w:rPr>
        <w:t>我方已详细研究了招标文件的所有内容包括修正文件（如果有）和所有已提供的参考资料以及有关附件并完全明白， 我方放弃在此方面提出含糊意见或误解的一切权力。</w:t>
      </w:r>
    </w:p>
    <w:p w14:paraId="1A6C77D0">
      <w:pPr>
        <w:numPr>
          <w:ilvl w:val="0"/>
          <w:numId w:val="17"/>
        </w:numPr>
        <w:spacing w:line="432" w:lineRule="auto"/>
        <w:ind w:right="6"/>
        <w:rPr>
          <w:rFonts w:ascii="宋体" w:hAnsi="宋体" w:cs="宋体"/>
          <w:color w:val="000000"/>
          <w:szCs w:val="21"/>
          <w:highlight w:val="none"/>
        </w:rPr>
      </w:pPr>
      <w:r>
        <w:rPr>
          <w:rFonts w:ascii="宋体" w:hAnsi="宋体" w:cs="宋体"/>
          <w:color w:val="000000"/>
          <w:szCs w:val="21"/>
          <w:highlight w:val="none"/>
        </w:rPr>
        <w:t>我方同意按照贵方提出的要求而提供与投标</w:t>
      </w:r>
      <w:r>
        <w:rPr>
          <w:rFonts w:hint="eastAsia" w:ascii="宋体" w:hAnsi="宋体" w:cs="宋体"/>
          <w:color w:val="000000"/>
          <w:szCs w:val="21"/>
          <w:highlight w:val="none"/>
          <w:lang w:val="en-US" w:eastAsia="zh-CN"/>
        </w:rPr>
        <w:t>服务</w:t>
      </w:r>
      <w:r>
        <w:rPr>
          <w:rFonts w:ascii="宋体" w:hAnsi="宋体" w:cs="宋体"/>
          <w:color w:val="000000"/>
          <w:szCs w:val="21"/>
          <w:highlight w:val="none"/>
        </w:rPr>
        <w:t>有关的数据或信息。</w:t>
      </w:r>
    </w:p>
    <w:p w14:paraId="62DB57F1">
      <w:pPr>
        <w:numPr>
          <w:ilvl w:val="0"/>
          <w:numId w:val="17"/>
        </w:numPr>
        <w:spacing w:line="432" w:lineRule="auto"/>
        <w:ind w:right="6"/>
        <w:rPr>
          <w:rFonts w:ascii="宋体" w:hAnsi="宋体" w:cs="宋体"/>
          <w:color w:val="000000"/>
          <w:szCs w:val="21"/>
          <w:highlight w:val="none"/>
        </w:rPr>
      </w:pPr>
      <w:r>
        <w:rPr>
          <w:rFonts w:ascii="宋体" w:hAnsi="宋体" w:cs="宋体"/>
          <w:color w:val="000000"/>
          <w:szCs w:val="21"/>
          <w:highlight w:val="none"/>
        </w:rPr>
        <w:t>我方如果中标，将保证履行招标文件以及招标文件修改书（如果有的话）中的全部责任和义务，按质、按量、按期完成合同中的全部任务。</w:t>
      </w:r>
    </w:p>
    <w:p w14:paraId="592F4696">
      <w:pPr>
        <w:spacing w:before="156" w:beforeLines="50" w:after="156" w:afterLines="50" w:line="432" w:lineRule="auto"/>
        <w:jc w:val="center"/>
        <w:rPr>
          <w:rFonts w:ascii="宋体" w:hAnsi="宋体" w:cs="宋体"/>
          <w:color w:val="000000"/>
          <w:szCs w:val="21"/>
          <w:highlight w:val="none"/>
        </w:rPr>
      </w:pPr>
      <w:r>
        <w:rPr>
          <w:rFonts w:ascii="宋体" w:hAnsi="宋体" w:cs="宋体"/>
          <w:color w:val="000000"/>
          <w:szCs w:val="21"/>
          <w:highlight w:val="none"/>
        </w:rPr>
        <w:t xml:space="preserve">                                        投标供应商全称（盖章）：</w:t>
      </w:r>
    </w:p>
    <w:p w14:paraId="7767C813">
      <w:pPr>
        <w:spacing w:line="432" w:lineRule="auto"/>
        <w:ind w:firstLine="4200" w:firstLineChars="2000"/>
        <w:rPr>
          <w:rFonts w:ascii="宋体" w:hAnsi="宋体" w:cs="宋体"/>
          <w:color w:val="000000"/>
          <w:szCs w:val="21"/>
          <w:highlight w:val="none"/>
        </w:rPr>
      </w:pPr>
      <w:r>
        <w:rPr>
          <w:rFonts w:ascii="宋体" w:hAnsi="宋体" w:cs="宋体"/>
          <w:color w:val="000000"/>
          <w:szCs w:val="21"/>
          <w:highlight w:val="none"/>
        </w:rPr>
        <w:t>法定代表人或授权代表（签字或盖章）：</w:t>
      </w:r>
    </w:p>
    <w:p w14:paraId="46400EA1">
      <w:pPr>
        <w:pStyle w:val="6"/>
        <w:rPr>
          <w:rFonts w:hint="default" w:eastAsia="宋体"/>
          <w:color w:val="000000"/>
          <w:lang w:val="en-US" w:eastAsia="zh-CN"/>
        </w:rPr>
      </w:pPr>
      <w:r>
        <w:rPr>
          <w:rFonts w:hint="eastAsia" w:ascii="Arial" w:hAnsi="宋体" w:cs="Arial"/>
          <w:color w:val="000000"/>
          <w:szCs w:val="21"/>
        </w:rPr>
        <w:t xml:space="preserve"> </w:t>
      </w:r>
      <w:r>
        <w:rPr>
          <w:rFonts w:hint="eastAsia" w:ascii="Arial" w:hAnsi="宋体" w:cs="Arial"/>
          <w:color w:val="000000"/>
          <w:szCs w:val="21"/>
          <w:lang w:val="en-US" w:eastAsia="zh-CN"/>
        </w:rPr>
        <w:t xml:space="preserve">                                 </w:t>
      </w:r>
      <w:r>
        <w:rPr>
          <w:rFonts w:hint="eastAsia" w:ascii="宋体" w:hAnsi="宋体" w:eastAsia="宋体" w:cs="宋体"/>
          <w:color w:val="000000"/>
          <w:kern w:val="2"/>
          <w:sz w:val="21"/>
          <w:szCs w:val="21"/>
          <w:highlight w:val="none"/>
          <w:lang w:val="en-US" w:eastAsia="zh-CN" w:bidi="ar-SA"/>
        </w:rPr>
        <w:t xml:space="preserve">日   期：   年    月    日 </w:t>
      </w:r>
    </w:p>
    <w:p w14:paraId="102E41C5">
      <w:pPr>
        <w:pStyle w:val="3"/>
        <w:jc w:val="center"/>
        <w:rPr>
          <w:color w:val="000000"/>
          <w:sz w:val="24"/>
          <w:szCs w:val="24"/>
        </w:rPr>
      </w:pPr>
      <w:r>
        <w:rPr>
          <w:rFonts w:hint="eastAsia" w:ascii="宋体" w:hAnsi="宋体" w:eastAsia="宋体"/>
          <w:color w:val="000000"/>
          <w:sz w:val="24"/>
          <w:szCs w:val="24"/>
        </w:rPr>
        <w:br w:type="page"/>
      </w:r>
      <w:bookmarkStart w:id="104" w:name="_Toc25576"/>
      <w:r>
        <w:rPr>
          <w:rFonts w:hint="eastAsia" w:ascii="宋体" w:hAnsi="宋体" w:eastAsia="宋体"/>
          <w:color w:val="000000"/>
          <w:sz w:val="24"/>
          <w:szCs w:val="24"/>
        </w:rPr>
        <w:t>附件</w:t>
      </w: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 xml:space="preserve"> </w:t>
      </w:r>
      <w:bookmarkEnd w:id="93"/>
      <w:r>
        <w:rPr>
          <w:rFonts w:hint="eastAsia" w:ascii="宋体" w:hAnsi="宋体" w:eastAsia="宋体"/>
          <w:color w:val="000000"/>
          <w:sz w:val="24"/>
          <w:szCs w:val="24"/>
        </w:rPr>
        <w:t>投标供应商</w:t>
      </w:r>
      <w:r>
        <w:rPr>
          <w:rFonts w:ascii="宋体" w:hAnsi="宋体" w:eastAsia="宋体"/>
          <w:color w:val="000000"/>
          <w:sz w:val="24"/>
          <w:szCs w:val="24"/>
        </w:rPr>
        <w:t>情况</w:t>
      </w:r>
      <w:r>
        <w:rPr>
          <w:rFonts w:hint="eastAsia" w:ascii="宋体" w:hAnsi="宋体" w:eastAsia="宋体"/>
          <w:color w:val="000000"/>
          <w:sz w:val="24"/>
          <w:szCs w:val="24"/>
        </w:rPr>
        <w:t>说</w:t>
      </w:r>
      <w:r>
        <w:rPr>
          <w:rFonts w:ascii="宋体" w:hAnsi="宋体" w:eastAsia="宋体"/>
          <w:color w:val="000000"/>
          <w:sz w:val="24"/>
          <w:szCs w:val="24"/>
        </w:rPr>
        <w:t>明</w:t>
      </w:r>
      <w:bookmarkEnd w:id="104"/>
    </w:p>
    <w:p w14:paraId="572547E2">
      <w:pPr>
        <w:spacing w:line="380" w:lineRule="exact"/>
        <w:ind w:left="418" w:leftChars="199"/>
        <w:rPr>
          <w:rFonts w:ascii="宋体" w:cs="Arial"/>
          <w:b/>
          <w:color w:val="000000"/>
          <w:sz w:val="22"/>
          <w:szCs w:val="22"/>
        </w:rPr>
      </w:pPr>
      <w:r>
        <w:rPr>
          <w:rFonts w:ascii="宋体" w:cs="Arial"/>
          <w:b/>
          <w:color w:val="000000"/>
          <w:sz w:val="22"/>
          <w:szCs w:val="22"/>
        </w:rPr>
        <w:t>1、名称及概况：</w:t>
      </w:r>
    </w:p>
    <w:p w14:paraId="5B9DE3D1">
      <w:pPr>
        <w:spacing w:line="380" w:lineRule="exact"/>
        <w:ind w:firstLine="422" w:firstLineChars="191"/>
        <w:rPr>
          <w:rFonts w:ascii="宋体" w:cs="Arial"/>
          <w:b/>
          <w:color w:val="000000"/>
          <w:sz w:val="22"/>
          <w:szCs w:val="22"/>
        </w:rPr>
      </w:pPr>
      <w:r>
        <w:rPr>
          <w:rFonts w:ascii="宋体" w:cs="Arial"/>
          <w:b/>
          <w:color w:val="000000"/>
          <w:sz w:val="22"/>
          <w:szCs w:val="22"/>
        </w:rPr>
        <w:t>（1）投标供应商名称：</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0ED30758">
      <w:pPr>
        <w:spacing w:line="380" w:lineRule="exact"/>
        <w:ind w:firstLine="422" w:firstLineChars="191"/>
        <w:rPr>
          <w:rFonts w:ascii="宋体" w:cs="Arial"/>
          <w:b/>
          <w:color w:val="000000"/>
          <w:sz w:val="22"/>
          <w:szCs w:val="22"/>
        </w:rPr>
      </w:pPr>
      <w:r>
        <w:rPr>
          <w:rFonts w:ascii="宋体" w:cs="Arial"/>
          <w:b/>
          <w:color w:val="000000"/>
          <w:sz w:val="22"/>
          <w:szCs w:val="22"/>
        </w:rPr>
        <w:t>（2）总部地址：</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46B52BCC">
      <w:pPr>
        <w:spacing w:line="380" w:lineRule="exact"/>
        <w:ind w:firstLine="989" w:firstLineChars="448"/>
        <w:rPr>
          <w:rFonts w:ascii="宋体" w:cs="Arial"/>
          <w:b/>
          <w:color w:val="000000"/>
          <w:sz w:val="22"/>
          <w:szCs w:val="22"/>
        </w:rPr>
      </w:pPr>
      <w:r>
        <w:rPr>
          <w:rFonts w:ascii="宋体" w:cs="Arial"/>
          <w:b/>
          <w:color w:val="000000"/>
          <w:sz w:val="22"/>
          <w:szCs w:val="22"/>
        </w:rPr>
        <w:t>传真/电话号码：</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0D1EA275">
      <w:pPr>
        <w:spacing w:line="380" w:lineRule="exact"/>
        <w:ind w:firstLine="422" w:firstLineChars="191"/>
        <w:rPr>
          <w:rFonts w:ascii="宋体" w:cs="Arial"/>
          <w:b/>
          <w:color w:val="000000"/>
          <w:sz w:val="22"/>
          <w:szCs w:val="22"/>
        </w:rPr>
      </w:pPr>
      <w:r>
        <w:rPr>
          <w:rFonts w:ascii="宋体" w:cs="Arial"/>
          <w:b/>
          <w:color w:val="000000"/>
          <w:sz w:val="22"/>
          <w:szCs w:val="22"/>
        </w:rPr>
        <w:t>（3）成立或注册日期：</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636E069F">
      <w:pPr>
        <w:spacing w:line="380" w:lineRule="exact"/>
        <w:ind w:firstLine="422" w:firstLineChars="191"/>
        <w:rPr>
          <w:rFonts w:ascii="宋体" w:cs="Arial"/>
          <w:b/>
          <w:color w:val="000000"/>
          <w:sz w:val="22"/>
          <w:szCs w:val="22"/>
        </w:rPr>
      </w:pPr>
      <w:r>
        <w:rPr>
          <w:rFonts w:ascii="宋体" w:cs="Arial"/>
          <w:b/>
          <w:color w:val="000000"/>
          <w:sz w:val="22"/>
          <w:szCs w:val="22"/>
        </w:rPr>
        <w:t>（</w:t>
      </w:r>
      <w:r>
        <w:rPr>
          <w:rFonts w:hint="eastAsia" w:ascii="宋体" w:cs="Arial"/>
          <w:b/>
          <w:color w:val="000000"/>
          <w:sz w:val="22"/>
          <w:szCs w:val="22"/>
          <w:lang w:val="en-US" w:eastAsia="zh-CN"/>
        </w:rPr>
        <w:t>4</w:t>
      </w:r>
      <w:r>
        <w:rPr>
          <w:rFonts w:ascii="宋体" w:cs="Arial"/>
          <w:b/>
          <w:color w:val="000000"/>
          <w:sz w:val="22"/>
          <w:szCs w:val="22"/>
        </w:rPr>
        <w:t>）近期资产负债表（到</w:t>
      </w:r>
      <w:r>
        <w:rPr>
          <w:rFonts w:ascii="宋体" w:cs="Arial"/>
          <w:b/>
          <w:color w:val="000000"/>
          <w:sz w:val="22"/>
          <w:szCs w:val="22"/>
          <w:u w:val="single"/>
        </w:rPr>
        <w:t xml:space="preserve">        </w:t>
      </w:r>
      <w:r>
        <w:rPr>
          <w:rFonts w:ascii="宋体" w:cs="Arial"/>
          <w:b/>
          <w:color w:val="000000"/>
          <w:sz w:val="22"/>
          <w:szCs w:val="22"/>
        </w:rPr>
        <w:t>年</w:t>
      </w:r>
      <w:r>
        <w:rPr>
          <w:rFonts w:ascii="宋体" w:cs="Arial"/>
          <w:b/>
          <w:color w:val="000000"/>
          <w:sz w:val="22"/>
          <w:szCs w:val="22"/>
          <w:u w:val="single"/>
        </w:rPr>
        <w:t xml:space="preserve">    </w:t>
      </w:r>
      <w:r>
        <w:rPr>
          <w:rFonts w:ascii="宋体" w:cs="Arial"/>
          <w:b/>
          <w:color w:val="000000"/>
          <w:sz w:val="22"/>
          <w:szCs w:val="22"/>
        </w:rPr>
        <w:t>月</w:t>
      </w:r>
      <w:r>
        <w:rPr>
          <w:rFonts w:ascii="宋体" w:cs="Arial"/>
          <w:b/>
          <w:color w:val="000000"/>
          <w:sz w:val="22"/>
          <w:szCs w:val="22"/>
          <w:u w:val="single"/>
        </w:rPr>
        <w:t xml:space="preserve">    </w:t>
      </w:r>
      <w:r>
        <w:rPr>
          <w:rFonts w:ascii="宋体" w:cs="Arial"/>
          <w:b/>
          <w:color w:val="000000"/>
          <w:sz w:val="22"/>
          <w:szCs w:val="22"/>
        </w:rPr>
        <w:t>日止）</w:t>
      </w:r>
    </w:p>
    <w:p w14:paraId="3104C8CD">
      <w:pPr>
        <w:spacing w:line="380" w:lineRule="exact"/>
        <w:ind w:firstLine="422" w:firstLineChars="191"/>
        <w:rPr>
          <w:rFonts w:ascii="宋体" w:cs="Arial"/>
          <w:b/>
          <w:color w:val="000000"/>
          <w:sz w:val="22"/>
          <w:szCs w:val="22"/>
        </w:rPr>
      </w:pPr>
      <w:r>
        <w:rPr>
          <w:rFonts w:ascii="宋体" w:cs="Arial"/>
          <w:b/>
          <w:color w:val="000000"/>
          <w:sz w:val="22"/>
          <w:szCs w:val="22"/>
        </w:rPr>
        <w:t xml:space="preserve">  1）固定资产：</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28E9A028">
      <w:pPr>
        <w:spacing w:line="380" w:lineRule="exact"/>
        <w:ind w:firstLine="422" w:firstLineChars="191"/>
        <w:rPr>
          <w:rFonts w:ascii="宋体" w:cs="Arial"/>
          <w:b/>
          <w:color w:val="000000"/>
          <w:sz w:val="22"/>
          <w:szCs w:val="22"/>
        </w:rPr>
      </w:pPr>
      <w:r>
        <w:rPr>
          <w:rFonts w:ascii="宋体" w:cs="Arial"/>
          <w:b/>
          <w:color w:val="000000"/>
          <w:sz w:val="22"/>
          <w:szCs w:val="22"/>
        </w:rPr>
        <w:t xml:space="preserve">  2）流动资产：</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1DD1F390">
      <w:pPr>
        <w:spacing w:line="380" w:lineRule="exact"/>
        <w:ind w:firstLine="422" w:firstLineChars="191"/>
        <w:rPr>
          <w:rFonts w:ascii="宋体" w:cs="Arial"/>
          <w:b/>
          <w:color w:val="000000"/>
          <w:sz w:val="22"/>
          <w:szCs w:val="22"/>
        </w:rPr>
      </w:pPr>
      <w:r>
        <w:rPr>
          <w:rFonts w:ascii="宋体" w:cs="Arial"/>
          <w:b/>
          <w:color w:val="000000"/>
          <w:sz w:val="22"/>
          <w:szCs w:val="22"/>
        </w:rPr>
        <w:t xml:space="preserve">  3）长期负债：</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78FFED50">
      <w:pPr>
        <w:spacing w:line="380" w:lineRule="exact"/>
        <w:ind w:firstLine="422" w:firstLineChars="191"/>
        <w:rPr>
          <w:rFonts w:ascii="宋体" w:cs="Arial"/>
          <w:b/>
          <w:color w:val="000000"/>
          <w:sz w:val="22"/>
          <w:szCs w:val="22"/>
        </w:rPr>
      </w:pPr>
      <w:r>
        <w:rPr>
          <w:rFonts w:ascii="宋体" w:cs="Arial"/>
          <w:b/>
          <w:color w:val="000000"/>
          <w:sz w:val="22"/>
          <w:szCs w:val="22"/>
        </w:rPr>
        <w:t xml:space="preserve">  4）流动负债：</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2B82460F">
      <w:pPr>
        <w:spacing w:line="380" w:lineRule="exact"/>
        <w:ind w:firstLine="422" w:firstLineChars="191"/>
        <w:rPr>
          <w:rFonts w:ascii="宋体" w:cs="Arial"/>
          <w:b/>
          <w:color w:val="000000"/>
          <w:sz w:val="22"/>
          <w:szCs w:val="22"/>
        </w:rPr>
      </w:pPr>
      <w:r>
        <w:rPr>
          <w:rFonts w:ascii="宋体" w:cs="Arial"/>
          <w:b/>
          <w:color w:val="000000"/>
          <w:sz w:val="22"/>
          <w:szCs w:val="22"/>
        </w:rPr>
        <w:t xml:space="preserve">  5）净值：</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3824DE30">
      <w:pPr>
        <w:tabs>
          <w:tab w:val="left" w:pos="5486"/>
        </w:tabs>
        <w:spacing w:line="380" w:lineRule="exact"/>
        <w:ind w:firstLine="422" w:firstLineChars="191"/>
        <w:rPr>
          <w:rFonts w:ascii="宋体" w:cs="Arial"/>
          <w:b/>
          <w:color w:val="000000"/>
          <w:sz w:val="22"/>
          <w:szCs w:val="22"/>
          <w:u w:val="single"/>
        </w:rPr>
      </w:pPr>
      <w:r>
        <w:rPr>
          <w:rFonts w:ascii="宋体" w:cs="Arial"/>
          <w:b/>
          <w:color w:val="000000"/>
          <w:sz w:val="22"/>
          <w:szCs w:val="22"/>
        </w:rPr>
        <w:t>（</w:t>
      </w:r>
      <w:r>
        <w:rPr>
          <w:rFonts w:hint="eastAsia" w:ascii="宋体" w:cs="Arial"/>
          <w:b/>
          <w:color w:val="000000"/>
          <w:sz w:val="22"/>
          <w:szCs w:val="22"/>
          <w:lang w:val="en-US" w:eastAsia="zh-CN"/>
        </w:rPr>
        <w:t>5</w:t>
      </w:r>
      <w:r>
        <w:rPr>
          <w:rFonts w:ascii="宋体" w:cs="Arial"/>
          <w:b/>
          <w:color w:val="000000"/>
          <w:sz w:val="22"/>
          <w:szCs w:val="22"/>
        </w:rPr>
        <w:t>）主要负责人姓名：</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0A3B3241">
      <w:pPr>
        <w:spacing w:line="380" w:lineRule="exact"/>
        <w:rPr>
          <w:rFonts w:ascii="宋体" w:cs="Arial"/>
          <w:b/>
          <w:color w:val="000000"/>
          <w:sz w:val="22"/>
          <w:szCs w:val="22"/>
        </w:rPr>
      </w:pPr>
    </w:p>
    <w:p w14:paraId="378F9257">
      <w:pPr>
        <w:spacing w:line="380" w:lineRule="exact"/>
        <w:ind w:left="418" w:leftChars="199"/>
        <w:rPr>
          <w:rFonts w:ascii="宋体" w:cs="Arial"/>
          <w:b/>
          <w:color w:val="000000"/>
          <w:sz w:val="22"/>
          <w:szCs w:val="22"/>
        </w:rPr>
      </w:pPr>
      <w:r>
        <w:rPr>
          <w:rFonts w:ascii="宋体" w:cs="Arial"/>
          <w:b/>
          <w:color w:val="000000"/>
          <w:sz w:val="22"/>
          <w:szCs w:val="22"/>
        </w:rPr>
        <w:t>2、企业生产设备及规模</w:t>
      </w:r>
      <w:r>
        <w:rPr>
          <w:rFonts w:hint="eastAsia" w:ascii="宋体" w:cs="Arial"/>
          <w:b/>
          <w:color w:val="000000"/>
          <w:sz w:val="22"/>
          <w:szCs w:val="22"/>
        </w:rPr>
        <w:t>简介</w:t>
      </w:r>
      <w:r>
        <w:rPr>
          <w:rFonts w:ascii="宋体" w:cs="Arial"/>
          <w:b/>
          <w:color w:val="000000"/>
          <w:sz w:val="22"/>
          <w:szCs w:val="22"/>
        </w:rPr>
        <w:t>：</w:t>
      </w:r>
    </w:p>
    <w:p w14:paraId="37222072">
      <w:pPr>
        <w:spacing w:line="380" w:lineRule="exact"/>
        <w:ind w:left="663" w:hanging="663" w:hangingChars="300"/>
        <w:rPr>
          <w:rFonts w:ascii="宋体" w:cs="Arial"/>
          <w:b/>
          <w:color w:val="000000"/>
          <w:sz w:val="22"/>
          <w:szCs w:val="22"/>
        </w:rPr>
      </w:pPr>
    </w:p>
    <w:p w14:paraId="21724FEC">
      <w:pPr>
        <w:spacing w:line="380" w:lineRule="exact"/>
        <w:ind w:left="658" w:leftChars="201" w:hanging="236" w:hangingChars="107"/>
        <w:rPr>
          <w:rFonts w:ascii="宋体" w:cs="Arial"/>
          <w:b/>
          <w:color w:val="000000"/>
          <w:sz w:val="22"/>
          <w:szCs w:val="22"/>
        </w:rPr>
      </w:pPr>
      <w:r>
        <w:rPr>
          <w:rFonts w:ascii="宋体" w:cs="Arial"/>
          <w:b/>
          <w:color w:val="000000"/>
          <w:sz w:val="22"/>
          <w:szCs w:val="22"/>
        </w:rPr>
        <w:t>3、企业人员情况：</w:t>
      </w:r>
    </w:p>
    <w:p w14:paraId="3C85CD88">
      <w:pPr>
        <w:spacing w:line="380" w:lineRule="exact"/>
        <w:ind w:firstLine="883" w:firstLineChars="400"/>
        <w:rPr>
          <w:rFonts w:ascii="宋体" w:cs="Arial"/>
          <w:b/>
          <w:color w:val="000000"/>
          <w:sz w:val="22"/>
          <w:szCs w:val="22"/>
          <w:u w:val="single"/>
        </w:rPr>
      </w:pPr>
      <w:r>
        <w:rPr>
          <w:rFonts w:ascii="宋体" w:cs="Arial"/>
          <w:b/>
          <w:color w:val="000000"/>
          <w:sz w:val="22"/>
          <w:szCs w:val="22"/>
        </w:rPr>
        <w:t>职工（在职）人数</w:t>
      </w:r>
      <w:r>
        <w:rPr>
          <w:rFonts w:ascii="宋体" w:cs="Arial"/>
          <w:b/>
          <w:color w:val="000000"/>
          <w:sz w:val="22"/>
          <w:szCs w:val="22"/>
          <w:u w:val="single"/>
        </w:rPr>
        <w:t xml:space="preserve">       </w:t>
      </w:r>
      <w:r>
        <w:rPr>
          <w:rFonts w:ascii="宋体" w:cs="Arial"/>
          <w:b/>
          <w:color w:val="000000"/>
          <w:sz w:val="22"/>
          <w:szCs w:val="22"/>
        </w:rPr>
        <w:t>人，其中技术人员</w:t>
      </w:r>
      <w:r>
        <w:rPr>
          <w:rFonts w:ascii="宋体" w:cs="Arial"/>
          <w:b/>
          <w:color w:val="000000"/>
          <w:sz w:val="22"/>
          <w:szCs w:val="22"/>
          <w:u w:val="single"/>
        </w:rPr>
        <w:t xml:space="preserve">       </w:t>
      </w:r>
      <w:r>
        <w:rPr>
          <w:rFonts w:ascii="宋体" w:cs="Arial"/>
          <w:b/>
          <w:color w:val="000000"/>
          <w:sz w:val="22"/>
          <w:szCs w:val="22"/>
        </w:rPr>
        <w:t>人</w:t>
      </w:r>
    </w:p>
    <w:p w14:paraId="464F8DA1">
      <w:pPr>
        <w:spacing w:line="380" w:lineRule="exact"/>
        <w:ind w:left="658" w:leftChars="201" w:hanging="236" w:hangingChars="107"/>
        <w:rPr>
          <w:rFonts w:ascii="宋体" w:cs="Arial"/>
          <w:b/>
          <w:color w:val="000000"/>
          <w:sz w:val="22"/>
          <w:szCs w:val="22"/>
        </w:rPr>
      </w:pPr>
      <w:r>
        <w:rPr>
          <w:rFonts w:ascii="宋体" w:cs="Arial"/>
          <w:b/>
          <w:color w:val="000000"/>
          <w:sz w:val="22"/>
          <w:szCs w:val="22"/>
        </w:rPr>
        <w:t>4、近三年的年营业总额</w:t>
      </w:r>
      <w:r>
        <w:rPr>
          <w:rFonts w:ascii="宋体" w:cs="Arial"/>
          <w:b/>
          <w:color w:val="000000"/>
          <w:sz w:val="22"/>
          <w:szCs w:val="22"/>
          <w:u w:val="single"/>
        </w:rPr>
        <w:t xml:space="preserve">                   </w:t>
      </w:r>
      <w:r>
        <w:rPr>
          <w:rFonts w:hint="eastAsia" w:ascii="宋体" w:cs="Arial"/>
          <w:b/>
          <w:color w:val="000000"/>
          <w:sz w:val="22"/>
          <w:szCs w:val="22"/>
          <w:u w:val="single"/>
        </w:rPr>
        <w:t xml:space="preserve">      </w:t>
      </w:r>
      <w:r>
        <w:rPr>
          <w:rFonts w:ascii="宋体" w:cs="Arial"/>
          <w:b/>
          <w:color w:val="000000"/>
          <w:sz w:val="22"/>
          <w:szCs w:val="22"/>
          <w:u w:val="single"/>
        </w:rPr>
        <w:t xml:space="preserve">    </w:t>
      </w:r>
    </w:p>
    <w:p w14:paraId="1F387114">
      <w:pPr>
        <w:spacing w:line="380" w:lineRule="exact"/>
        <w:rPr>
          <w:rFonts w:ascii="宋体" w:cs="Arial"/>
          <w:color w:val="000000"/>
          <w:sz w:val="22"/>
          <w:szCs w:val="22"/>
        </w:rPr>
      </w:pPr>
    </w:p>
    <w:p w14:paraId="583C05F0">
      <w:pPr>
        <w:spacing w:line="380" w:lineRule="exact"/>
        <w:ind w:firstLine="418" w:firstLineChars="190"/>
        <w:rPr>
          <w:rFonts w:ascii="宋体" w:cs="Arial"/>
          <w:color w:val="000000"/>
          <w:sz w:val="22"/>
          <w:szCs w:val="22"/>
        </w:rPr>
      </w:pPr>
      <w:r>
        <w:rPr>
          <w:rFonts w:ascii="宋体" w:cs="Arial"/>
          <w:color w:val="000000"/>
          <w:sz w:val="22"/>
          <w:szCs w:val="22"/>
        </w:rPr>
        <w:t>兹证明上述声明是真实、正确的、并提供了全部能提供的资料和数据，我们同意遵照</w:t>
      </w:r>
      <w:r>
        <w:rPr>
          <w:rFonts w:hint="eastAsia" w:ascii="宋体" w:cs="Arial"/>
          <w:color w:val="000000"/>
          <w:sz w:val="22"/>
          <w:szCs w:val="22"/>
          <w:lang w:eastAsia="zh-CN"/>
        </w:rPr>
        <w:t>采购人</w:t>
      </w:r>
      <w:r>
        <w:rPr>
          <w:rFonts w:ascii="宋体" w:cs="Arial"/>
          <w:color w:val="000000"/>
          <w:sz w:val="22"/>
          <w:szCs w:val="22"/>
        </w:rPr>
        <w:t>要求出示有关证明文件。</w:t>
      </w:r>
    </w:p>
    <w:p w14:paraId="31815638">
      <w:pPr>
        <w:spacing w:after="156" w:afterLines="50" w:line="400" w:lineRule="exact"/>
        <w:ind w:firstLine="4412" w:firstLineChars="2101"/>
        <w:rPr>
          <w:rFonts w:ascii="Arial" w:hAnsi="Arial" w:cs="Arial"/>
          <w:color w:val="000000"/>
          <w:szCs w:val="21"/>
        </w:rPr>
      </w:pPr>
      <w:r>
        <w:rPr>
          <w:rFonts w:ascii="Arial" w:hAnsi="宋体" w:cs="Arial"/>
          <w:color w:val="000000"/>
          <w:szCs w:val="21"/>
        </w:rPr>
        <w:t>投标供应商（盖章）：</w:t>
      </w:r>
    </w:p>
    <w:p w14:paraId="6265AC4C">
      <w:pPr>
        <w:spacing w:after="156" w:afterLines="50" w:line="400" w:lineRule="exact"/>
        <w:ind w:firstLine="3889" w:firstLineChars="1852"/>
        <w:rPr>
          <w:rFonts w:hint="eastAsia" w:ascii="Arial" w:hAnsi="宋体" w:cs="Arial"/>
          <w:color w:val="000000"/>
          <w:szCs w:val="21"/>
        </w:rPr>
      </w:pPr>
      <w:r>
        <w:rPr>
          <w:rFonts w:ascii="Arial" w:hAnsi="Arial" w:cs="Arial"/>
          <w:color w:val="000000"/>
          <w:szCs w:val="21"/>
        </w:rPr>
        <w:t xml:space="preserve">     </w:t>
      </w:r>
      <w:r>
        <w:rPr>
          <w:rFonts w:ascii="Arial" w:hAnsi="宋体" w:cs="Arial"/>
          <w:color w:val="000000"/>
          <w:szCs w:val="21"/>
        </w:rPr>
        <w:t>法定代表人或授权代表（签字或盖章）：</w:t>
      </w:r>
    </w:p>
    <w:p w14:paraId="3AF9553D">
      <w:pPr>
        <w:spacing w:after="156" w:afterLines="50" w:line="400" w:lineRule="exact"/>
        <w:ind w:firstLine="3992" w:firstLineChars="1901"/>
        <w:rPr>
          <w:rFonts w:hint="eastAsia" w:ascii="Arial" w:hAnsi="宋体" w:cs="Arial"/>
          <w:color w:val="000000"/>
          <w:szCs w:val="21"/>
        </w:rPr>
      </w:pPr>
      <w:r>
        <w:rPr>
          <w:rFonts w:hint="eastAsia" w:ascii="Arial" w:hAnsi="宋体" w:cs="Arial"/>
          <w:color w:val="000000"/>
          <w:szCs w:val="21"/>
        </w:rPr>
        <w:t xml:space="preserve">    日期：</w:t>
      </w:r>
    </w:p>
    <w:p w14:paraId="7FE92EDB">
      <w:pPr>
        <w:pStyle w:val="3"/>
        <w:jc w:val="center"/>
        <w:rPr>
          <w:rFonts w:hint="eastAsia" w:cs="Arial"/>
          <w:b w:val="0"/>
          <w:bCs w:val="0"/>
          <w:color w:val="000000"/>
          <w:sz w:val="30"/>
          <w:highlight w:val="none"/>
        </w:rPr>
      </w:pPr>
      <w:bookmarkStart w:id="105" w:name="_Toc388974305"/>
      <w:bookmarkStart w:id="106" w:name="_Toc388974307"/>
      <w:r>
        <w:rPr>
          <w:rFonts w:hint="eastAsia" w:ascii="宋体" w:hAnsi="宋体" w:eastAsia="宋体"/>
          <w:color w:val="000000"/>
          <w:sz w:val="24"/>
          <w:szCs w:val="24"/>
          <w:highlight w:val="none"/>
        </w:rPr>
        <w:br w:type="page"/>
      </w:r>
      <w:bookmarkStart w:id="107" w:name="_Toc5263"/>
      <w:r>
        <w:rPr>
          <w:rFonts w:hint="eastAsia" w:ascii="宋体" w:hAnsi="宋体" w:eastAsia="宋体"/>
          <w:color w:val="000000"/>
          <w:sz w:val="24"/>
          <w:szCs w:val="24"/>
          <w:highlight w:val="none"/>
        </w:rPr>
        <w:t>附件</w:t>
      </w:r>
      <w:r>
        <w:rPr>
          <w:rFonts w:hint="eastAsia" w:ascii="宋体" w:hAnsi="宋体" w:eastAsia="宋体"/>
          <w:color w:val="000000"/>
          <w:sz w:val="24"/>
          <w:szCs w:val="24"/>
          <w:highlight w:val="none"/>
          <w:lang w:val="en-US" w:eastAsia="zh-CN"/>
        </w:rPr>
        <w:t>5</w:t>
      </w:r>
      <w:r>
        <w:rPr>
          <w:rFonts w:ascii="宋体" w:hAnsi="宋体" w:eastAsia="宋体"/>
          <w:color w:val="000000"/>
          <w:sz w:val="24"/>
          <w:szCs w:val="24"/>
          <w:highlight w:val="none"/>
        </w:rPr>
        <w:t xml:space="preserve"> </w:t>
      </w:r>
      <w:r>
        <w:rPr>
          <w:rFonts w:hint="eastAsia" w:ascii="宋体" w:hAnsi="宋体" w:eastAsia="宋体"/>
          <w:color w:val="000000"/>
          <w:sz w:val="24"/>
          <w:szCs w:val="24"/>
          <w:highlight w:val="none"/>
        </w:rPr>
        <w:t xml:space="preserve">  </w:t>
      </w:r>
      <w:r>
        <w:rPr>
          <w:rFonts w:hint="eastAsia" w:ascii="宋体" w:hAnsi="宋体" w:eastAsia="宋体"/>
          <w:color w:val="000000"/>
          <w:sz w:val="24"/>
          <w:szCs w:val="24"/>
          <w:highlight w:val="none"/>
          <w:lang w:eastAsia="zh-CN"/>
        </w:rPr>
        <w:t>投标供应商</w:t>
      </w:r>
      <w:r>
        <w:rPr>
          <w:rFonts w:hint="eastAsia" w:ascii="宋体" w:hAnsi="宋体" w:eastAsia="宋体"/>
          <w:color w:val="000000"/>
          <w:sz w:val="24"/>
          <w:szCs w:val="24"/>
          <w:highlight w:val="none"/>
        </w:rPr>
        <w:t>综合实力</w:t>
      </w:r>
      <w:bookmarkEnd w:id="107"/>
    </w:p>
    <w:p w14:paraId="43C94E5F">
      <w:pPr>
        <w:rPr>
          <w:color w:val="000000"/>
          <w:highlight w:val="none"/>
        </w:rPr>
      </w:pPr>
    </w:p>
    <w:p w14:paraId="6E74296C">
      <w:pPr>
        <w:snapToGrid w:val="0"/>
        <w:spacing w:line="360" w:lineRule="exact"/>
        <w:rPr>
          <w:rFonts w:ascii="Arial" w:hAnsi="宋体" w:cs="Arial"/>
          <w:b/>
          <w:color w:val="000000"/>
          <w:szCs w:val="22"/>
          <w:highlight w:val="none"/>
        </w:rPr>
      </w:pPr>
      <w:r>
        <w:rPr>
          <w:rFonts w:ascii="Arial" w:hAnsi="宋体" w:cs="Arial"/>
          <w:b/>
          <w:color w:val="000000"/>
          <w:szCs w:val="22"/>
          <w:highlight w:val="none"/>
        </w:rPr>
        <w:t>包括但不限于（</w:t>
      </w:r>
      <w:r>
        <w:rPr>
          <w:rFonts w:hint="eastAsia" w:ascii="Arial" w:hAnsi="宋体" w:cs="Arial"/>
          <w:b/>
          <w:color w:val="000000"/>
          <w:szCs w:val="22"/>
          <w:highlight w:val="none"/>
          <w:lang w:val="en-US" w:eastAsia="zh-CN"/>
        </w:rPr>
        <w:t>扫描件</w:t>
      </w:r>
      <w:r>
        <w:rPr>
          <w:rFonts w:ascii="Arial" w:hAnsi="宋体" w:cs="Arial"/>
          <w:b/>
          <w:color w:val="000000"/>
          <w:szCs w:val="22"/>
          <w:highlight w:val="none"/>
        </w:rPr>
        <w:t>均须加盖公章）：</w:t>
      </w:r>
    </w:p>
    <w:p w14:paraId="4A481068">
      <w:pPr>
        <w:numPr>
          <w:ilvl w:val="0"/>
          <w:numId w:val="19"/>
        </w:numPr>
        <w:snapToGrid w:val="0"/>
        <w:spacing w:line="400" w:lineRule="atLeast"/>
        <w:ind w:left="0" w:leftChars="0" w:firstLine="420" w:firstLineChars="200"/>
        <w:rPr>
          <w:rFonts w:hint="eastAsia" w:ascii="宋体" w:hAnsi="宋体" w:cs="宋体"/>
          <w:color w:val="auto"/>
          <w:szCs w:val="22"/>
          <w:highlight w:val="none"/>
        </w:rPr>
      </w:pPr>
      <w:bookmarkStart w:id="108" w:name="_Toc420077691"/>
      <w:r>
        <w:rPr>
          <w:rFonts w:hint="eastAsia" w:ascii="宋体" w:hAnsi="宋体" w:cs="宋体"/>
          <w:color w:val="auto"/>
          <w:szCs w:val="22"/>
          <w:highlight w:val="none"/>
        </w:rPr>
        <w:t>投标供应商有效的营业执照；</w:t>
      </w:r>
    </w:p>
    <w:p w14:paraId="6CB7EA99">
      <w:pPr>
        <w:numPr>
          <w:ilvl w:val="0"/>
          <w:numId w:val="19"/>
        </w:numPr>
        <w:snapToGrid w:val="0"/>
        <w:spacing w:line="400" w:lineRule="atLeast"/>
        <w:ind w:left="0" w:leftChars="0" w:firstLine="420" w:firstLineChars="200"/>
        <w:rPr>
          <w:rFonts w:hint="eastAsia" w:ascii="宋体" w:hAnsi="宋体" w:cs="宋体"/>
          <w:color w:val="auto"/>
          <w:szCs w:val="22"/>
          <w:highlight w:val="none"/>
        </w:rPr>
      </w:pPr>
      <w:r>
        <w:rPr>
          <w:rFonts w:hint="eastAsia" w:ascii="宋体" w:hAnsi="宋体" w:cs="宋体"/>
          <w:color w:val="auto"/>
          <w:szCs w:val="22"/>
          <w:highlight w:val="none"/>
          <w:lang w:eastAsia="zh-CN"/>
        </w:rPr>
        <w:t>投标供应商</w:t>
      </w:r>
      <w:r>
        <w:rPr>
          <w:rFonts w:hint="eastAsia" w:ascii="宋体" w:hAnsi="宋体" w:cs="宋体"/>
          <w:color w:val="auto"/>
          <w:szCs w:val="22"/>
          <w:highlight w:val="none"/>
        </w:rPr>
        <w:t>资质证书、技术力量证明、获得的荣誉证书（如有）；</w:t>
      </w:r>
    </w:p>
    <w:p w14:paraId="5DA53842">
      <w:pPr>
        <w:numPr>
          <w:ilvl w:val="0"/>
          <w:numId w:val="19"/>
        </w:numPr>
        <w:snapToGrid w:val="0"/>
        <w:spacing w:line="400" w:lineRule="atLeast"/>
        <w:ind w:left="0" w:leftChars="0" w:firstLine="420" w:firstLineChars="200"/>
        <w:rPr>
          <w:rFonts w:hint="eastAsia" w:ascii="宋体" w:hAnsi="宋体" w:cs="宋体"/>
          <w:color w:val="auto"/>
          <w:szCs w:val="22"/>
          <w:highlight w:val="none"/>
        </w:rPr>
      </w:pPr>
      <w:r>
        <w:rPr>
          <w:rFonts w:hint="eastAsia" w:ascii="宋体" w:hAnsi="宋体" w:cs="宋体"/>
          <w:color w:val="auto"/>
          <w:szCs w:val="22"/>
          <w:highlight w:val="none"/>
          <w:lang w:eastAsia="zh-CN"/>
        </w:rPr>
        <w:t>投标供应商</w:t>
      </w:r>
      <w:r>
        <w:rPr>
          <w:rFonts w:hint="eastAsia" w:ascii="宋体" w:hAnsi="宋体" w:cs="宋体"/>
          <w:color w:val="auto"/>
          <w:szCs w:val="22"/>
          <w:highlight w:val="none"/>
        </w:rPr>
        <w:t>的认证证书（如有）；</w:t>
      </w:r>
    </w:p>
    <w:p w14:paraId="191D01AA">
      <w:pPr>
        <w:numPr>
          <w:ilvl w:val="0"/>
          <w:numId w:val="19"/>
        </w:numPr>
        <w:snapToGrid w:val="0"/>
        <w:spacing w:line="400" w:lineRule="atLeast"/>
        <w:ind w:left="0" w:leftChars="0" w:firstLine="420" w:firstLineChars="200"/>
        <w:rPr>
          <w:rFonts w:hint="eastAsia" w:ascii="宋体" w:hAnsi="宋体" w:cs="宋体"/>
          <w:color w:val="auto"/>
          <w:szCs w:val="22"/>
          <w:highlight w:val="none"/>
        </w:rPr>
      </w:pPr>
      <w:r>
        <w:rPr>
          <w:rFonts w:hint="eastAsia" w:ascii="宋体" w:hAnsi="宋体" w:cs="宋体"/>
          <w:color w:val="auto"/>
          <w:szCs w:val="22"/>
          <w:highlight w:val="none"/>
        </w:rPr>
        <w:t>其他相关证明材料（如有）。</w:t>
      </w:r>
    </w:p>
    <w:p w14:paraId="7821E88A">
      <w:pPr>
        <w:snapToGrid w:val="0"/>
        <w:spacing w:line="360" w:lineRule="exact"/>
        <w:ind w:left="1415" w:leftChars="674"/>
        <w:rPr>
          <w:rFonts w:hint="eastAsia" w:ascii="Arial" w:hAnsi="宋体" w:cs="Arial"/>
          <w:bCs/>
          <w:color w:val="000000"/>
          <w:szCs w:val="22"/>
        </w:rPr>
      </w:pPr>
    </w:p>
    <w:p w14:paraId="4F1A9FB5">
      <w:pPr>
        <w:spacing w:line="380" w:lineRule="exact"/>
        <w:jc w:val="center"/>
        <w:rPr>
          <w:rFonts w:hint="eastAsia" w:ascii="宋体" w:hAnsi="宋体" w:cs="宋体"/>
          <w:b/>
          <w:bCs/>
          <w:sz w:val="22"/>
          <w:szCs w:val="22"/>
        </w:rPr>
      </w:pPr>
      <w:r>
        <w:rPr>
          <w:rFonts w:hint="eastAsia" w:ascii="宋体" w:hAnsi="宋体" w:eastAsia="宋体"/>
          <w:color w:val="000000"/>
          <w:sz w:val="24"/>
          <w:szCs w:val="24"/>
        </w:rPr>
        <w:br w:type="page"/>
      </w:r>
      <w:bookmarkEnd w:id="105"/>
      <w:bookmarkEnd w:id="106"/>
      <w:bookmarkEnd w:id="108"/>
      <w:bookmarkStart w:id="109" w:name="_Toc11032"/>
      <w:bookmarkStart w:id="110" w:name="_Toc388974312"/>
      <w:r>
        <w:rPr>
          <w:rFonts w:hint="eastAsia" w:ascii="宋体" w:hAnsi="宋体" w:eastAsia="宋体"/>
          <w:b/>
          <w:bCs w:val="0"/>
          <w:color w:val="000000"/>
          <w:sz w:val="24"/>
          <w:szCs w:val="24"/>
        </w:rPr>
        <w:t>附件</w:t>
      </w:r>
      <w:r>
        <w:rPr>
          <w:rFonts w:hint="eastAsia" w:ascii="宋体" w:hAnsi="宋体" w:eastAsia="宋体"/>
          <w:b/>
          <w:bCs w:val="0"/>
          <w:color w:val="000000"/>
          <w:sz w:val="24"/>
          <w:szCs w:val="24"/>
          <w:lang w:val="en-US" w:eastAsia="zh-CN"/>
        </w:rPr>
        <w:t>6</w:t>
      </w:r>
      <w:r>
        <w:rPr>
          <w:rFonts w:ascii="宋体" w:hAnsi="宋体" w:eastAsia="宋体"/>
          <w:b/>
          <w:bCs w:val="0"/>
          <w:color w:val="000000"/>
          <w:sz w:val="24"/>
          <w:szCs w:val="24"/>
        </w:rPr>
        <w:t xml:space="preserve"> </w:t>
      </w:r>
      <w:r>
        <w:rPr>
          <w:rFonts w:hint="eastAsia" w:ascii="宋体" w:hAnsi="宋体" w:eastAsia="宋体"/>
          <w:b/>
          <w:bCs w:val="0"/>
          <w:color w:val="000000"/>
          <w:sz w:val="24"/>
          <w:szCs w:val="24"/>
        </w:rPr>
        <w:t xml:space="preserve">  </w:t>
      </w:r>
      <w:bookmarkEnd w:id="109"/>
      <w:r>
        <w:rPr>
          <w:rFonts w:hint="eastAsia" w:ascii="宋体" w:hAnsi="宋体" w:cs="宋体"/>
          <w:b/>
          <w:bCs/>
          <w:sz w:val="22"/>
          <w:szCs w:val="22"/>
        </w:rPr>
        <w:t>同类项目业绩</w:t>
      </w:r>
    </w:p>
    <w:p w14:paraId="5823E7A6">
      <w:pPr>
        <w:pStyle w:val="19"/>
      </w:pPr>
    </w:p>
    <w:p w14:paraId="5311C30F">
      <w:pPr>
        <w:rPr>
          <w:rFonts w:ascii="宋体"/>
          <w:b/>
          <w:bCs/>
          <w:kern w:val="0"/>
          <w:sz w:val="22"/>
          <w:szCs w:val="22"/>
        </w:rPr>
      </w:pPr>
      <w:r>
        <w:rPr>
          <w:rFonts w:hint="eastAsia" w:ascii="宋体" w:hAnsi="宋体" w:cs="宋体"/>
          <w:b/>
          <w:bCs/>
          <w:sz w:val="22"/>
          <w:szCs w:val="22"/>
        </w:rPr>
        <w:t>项目名称：</w:t>
      </w:r>
      <w:r>
        <w:rPr>
          <w:rFonts w:ascii="宋体" w:hAnsi="宋体" w:cs="宋体"/>
          <w:b/>
          <w:bCs/>
          <w:sz w:val="22"/>
          <w:szCs w:val="22"/>
        </w:rPr>
        <w:t xml:space="preserve">                                         </w:t>
      </w:r>
      <w:r>
        <w:rPr>
          <w:rFonts w:hint="eastAsia" w:ascii="宋体" w:hAnsi="宋体" w:cs="宋体"/>
          <w:b/>
          <w:bCs/>
          <w:sz w:val="22"/>
          <w:szCs w:val="22"/>
        </w:rPr>
        <w:t>项目编号：</w:t>
      </w:r>
    </w:p>
    <w:tbl>
      <w:tblPr>
        <w:tblStyle w:val="49"/>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421"/>
        <w:gridCol w:w="1434"/>
        <w:gridCol w:w="1434"/>
        <w:gridCol w:w="1434"/>
        <w:gridCol w:w="1436"/>
      </w:tblGrid>
      <w:tr w14:paraId="7A6125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3421" w:type="dxa"/>
            <w:tcBorders>
              <w:top w:val="single" w:color="auto" w:sz="12" w:space="0"/>
            </w:tcBorders>
            <w:noWrap w:val="0"/>
            <w:vAlign w:val="center"/>
          </w:tcPr>
          <w:p w14:paraId="0F449FA1">
            <w:pPr>
              <w:spacing w:line="400" w:lineRule="atLeast"/>
              <w:jc w:val="center"/>
              <w:rPr>
                <w:rFonts w:ascii="宋体"/>
                <w:sz w:val="22"/>
                <w:szCs w:val="22"/>
              </w:rPr>
            </w:pPr>
            <w:r>
              <w:rPr>
                <w:rFonts w:hint="eastAsia" w:ascii="宋体" w:hAnsi="宋体" w:cs="宋体"/>
                <w:sz w:val="22"/>
                <w:szCs w:val="22"/>
              </w:rPr>
              <w:t>项目名称</w:t>
            </w:r>
          </w:p>
        </w:tc>
        <w:tc>
          <w:tcPr>
            <w:tcW w:w="1434" w:type="dxa"/>
            <w:tcBorders>
              <w:top w:val="single" w:color="auto" w:sz="12" w:space="0"/>
            </w:tcBorders>
            <w:noWrap w:val="0"/>
            <w:vAlign w:val="center"/>
          </w:tcPr>
          <w:p w14:paraId="3346A10B">
            <w:pPr>
              <w:spacing w:line="400" w:lineRule="atLeast"/>
              <w:jc w:val="center"/>
              <w:rPr>
                <w:rFonts w:ascii="宋体"/>
                <w:sz w:val="22"/>
                <w:szCs w:val="22"/>
              </w:rPr>
            </w:pPr>
            <w:r>
              <w:rPr>
                <w:rFonts w:hint="eastAsia" w:ascii="宋体" w:hAnsi="宋体" w:cs="宋体"/>
                <w:sz w:val="22"/>
                <w:szCs w:val="22"/>
              </w:rPr>
              <w:t>金额</w:t>
            </w:r>
          </w:p>
        </w:tc>
        <w:tc>
          <w:tcPr>
            <w:tcW w:w="1434" w:type="dxa"/>
            <w:tcBorders>
              <w:top w:val="single" w:color="auto" w:sz="12" w:space="0"/>
            </w:tcBorders>
            <w:noWrap w:val="0"/>
            <w:vAlign w:val="center"/>
          </w:tcPr>
          <w:p w14:paraId="7AF94231">
            <w:pPr>
              <w:spacing w:line="400" w:lineRule="atLeast"/>
              <w:jc w:val="center"/>
              <w:rPr>
                <w:rFonts w:hint="eastAsia" w:ascii="宋体" w:hAnsi="宋体" w:cs="宋体"/>
                <w:sz w:val="22"/>
                <w:szCs w:val="22"/>
              </w:rPr>
            </w:pPr>
            <w:r>
              <w:rPr>
                <w:rFonts w:hint="eastAsia" w:ascii="宋体" w:hAnsi="宋体" w:cs="宋体"/>
                <w:sz w:val="22"/>
                <w:szCs w:val="22"/>
              </w:rPr>
              <w:t>采购单位</w:t>
            </w:r>
          </w:p>
          <w:p w14:paraId="2BDAB6B7">
            <w:pPr>
              <w:spacing w:line="400" w:lineRule="atLeast"/>
              <w:jc w:val="center"/>
              <w:rPr>
                <w:rFonts w:ascii="宋体"/>
                <w:sz w:val="22"/>
                <w:szCs w:val="22"/>
              </w:rPr>
            </w:pPr>
            <w:r>
              <w:rPr>
                <w:rFonts w:hint="eastAsia" w:ascii="宋体" w:hAnsi="宋体" w:cs="宋体"/>
                <w:sz w:val="22"/>
                <w:szCs w:val="22"/>
              </w:rPr>
              <w:t>全称</w:t>
            </w:r>
          </w:p>
        </w:tc>
        <w:tc>
          <w:tcPr>
            <w:tcW w:w="1434" w:type="dxa"/>
            <w:tcBorders>
              <w:top w:val="single" w:color="auto" w:sz="12" w:space="0"/>
            </w:tcBorders>
            <w:noWrap w:val="0"/>
            <w:vAlign w:val="center"/>
          </w:tcPr>
          <w:p w14:paraId="6771C8A1">
            <w:pPr>
              <w:spacing w:line="400" w:lineRule="atLeast"/>
              <w:jc w:val="center"/>
              <w:rPr>
                <w:rFonts w:ascii="宋体"/>
                <w:sz w:val="22"/>
                <w:szCs w:val="22"/>
              </w:rPr>
            </w:pPr>
            <w:r>
              <w:rPr>
                <w:rFonts w:hint="eastAsia" w:ascii="宋体" w:hAnsi="宋体" w:cs="宋体"/>
                <w:sz w:val="22"/>
                <w:szCs w:val="22"/>
              </w:rPr>
              <w:t>采购单位联系人电话</w:t>
            </w:r>
          </w:p>
        </w:tc>
        <w:tc>
          <w:tcPr>
            <w:tcW w:w="1436" w:type="dxa"/>
            <w:tcBorders>
              <w:top w:val="single" w:color="auto" w:sz="12" w:space="0"/>
            </w:tcBorders>
            <w:noWrap w:val="0"/>
            <w:vAlign w:val="center"/>
          </w:tcPr>
          <w:p w14:paraId="0D427FA8">
            <w:pPr>
              <w:tabs>
                <w:tab w:val="left" w:pos="692"/>
              </w:tabs>
              <w:spacing w:line="400" w:lineRule="atLeast"/>
              <w:jc w:val="center"/>
              <w:rPr>
                <w:rFonts w:hint="eastAsia" w:ascii="宋体" w:hAnsi="宋体" w:cs="宋体"/>
                <w:sz w:val="22"/>
                <w:szCs w:val="22"/>
              </w:rPr>
            </w:pPr>
            <w:r>
              <w:rPr>
                <w:rFonts w:hint="eastAsia" w:ascii="宋体" w:hAnsi="宋体" w:cs="宋体"/>
                <w:sz w:val="22"/>
                <w:szCs w:val="22"/>
              </w:rPr>
              <w:t>合同签订</w:t>
            </w:r>
          </w:p>
          <w:p w14:paraId="1F43CF88">
            <w:pPr>
              <w:tabs>
                <w:tab w:val="left" w:pos="692"/>
              </w:tabs>
              <w:spacing w:line="400" w:lineRule="atLeast"/>
              <w:jc w:val="center"/>
              <w:rPr>
                <w:rFonts w:ascii="宋体"/>
                <w:b/>
                <w:bCs/>
                <w:sz w:val="22"/>
                <w:szCs w:val="22"/>
                <w:u w:val="thick"/>
              </w:rPr>
            </w:pPr>
            <w:r>
              <w:rPr>
                <w:rFonts w:hint="eastAsia" w:ascii="宋体" w:hAnsi="宋体" w:cs="宋体"/>
                <w:sz w:val="22"/>
                <w:szCs w:val="22"/>
              </w:rPr>
              <w:t>时间</w:t>
            </w:r>
          </w:p>
        </w:tc>
      </w:tr>
      <w:tr w14:paraId="7223A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3421" w:type="dxa"/>
            <w:noWrap w:val="0"/>
            <w:vAlign w:val="top"/>
          </w:tcPr>
          <w:p w14:paraId="7793922C">
            <w:pPr>
              <w:spacing w:line="400" w:lineRule="atLeast"/>
              <w:jc w:val="center"/>
              <w:rPr>
                <w:rFonts w:ascii="宋体"/>
                <w:sz w:val="22"/>
                <w:szCs w:val="22"/>
              </w:rPr>
            </w:pPr>
          </w:p>
        </w:tc>
        <w:tc>
          <w:tcPr>
            <w:tcW w:w="1434" w:type="dxa"/>
            <w:noWrap w:val="0"/>
            <w:vAlign w:val="top"/>
          </w:tcPr>
          <w:p w14:paraId="6D8DECB1">
            <w:pPr>
              <w:spacing w:line="400" w:lineRule="atLeast"/>
              <w:jc w:val="center"/>
              <w:rPr>
                <w:rFonts w:ascii="宋体"/>
                <w:sz w:val="22"/>
                <w:szCs w:val="22"/>
              </w:rPr>
            </w:pPr>
          </w:p>
        </w:tc>
        <w:tc>
          <w:tcPr>
            <w:tcW w:w="1434" w:type="dxa"/>
            <w:noWrap w:val="0"/>
            <w:vAlign w:val="top"/>
          </w:tcPr>
          <w:p w14:paraId="280DD466">
            <w:pPr>
              <w:spacing w:line="400" w:lineRule="atLeast"/>
              <w:jc w:val="center"/>
              <w:rPr>
                <w:rFonts w:ascii="宋体"/>
                <w:sz w:val="22"/>
                <w:szCs w:val="22"/>
              </w:rPr>
            </w:pPr>
          </w:p>
        </w:tc>
        <w:tc>
          <w:tcPr>
            <w:tcW w:w="1434" w:type="dxa"/>
            <w:noWrap w:val="0"/>
            <w:vAlign w:val="top"/>
          </w:tcPr>
          <w:p w14:paraId="0B6B69EE">
            <w:pPr>
              <w:spacing w:line="400" w:lineRule="atLeast"/>
              <w:jc w:val="center"/>
              <w:rPr>
                <w:rFonts w:ascii="宋体"/>
                <w:sz w:val="22"/>
                <w:szCs w:val="22"/>
              </w:rPr>
            </w:pPr>
          </w:p>
        </w:tc>
        <w:tc>
          <w:tcPr>
            <w:tcW w:w="1436" w:type="dxa"/>
            <w:noWrap w:val="0"/>
            <w:vAlign w:val="top"/>
          </w:tcPr>
          <w:p w14:paraId="3B95D85C">
            <w:pPr>
              <w:spacing w:line="400" w:lineRule="atLeast"/>
              <w:jc w:val="center"/>
              <w:rPr>
                <w:rFonts w:ascii="宋体"/>
                <w:sz w:val="22"/>
                <w:szCs w:val="22"/>
              </w:rPr>
            </w:pPr>
          </w:p>
        </w:tc>
      </w:tr>
      <w:tr w14:paraId="1D5B7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3421" w:type="dxa"/>
            <w:noWrap w:val="0"/>
            <w:vAlign w:val="top"/>
          </w:tcPr>
          <w:p w14:paraId="5C2C27AD">
            <w:pPr>
              <w:spacing w:line="400" w:lineRule="atLeast"/>
              <w:jc w:val="center"/>
              <w:rPr>
                <w:rFonts w:ascii="宋体"/>
                <w:sz w:val="22"/>
                <w:szCs w:val="22"/>
              </w:rPr>
            </w:pPr>
          </w:p>
        </w:tc>
        <w:tc>
          <w:tcPr>
            <w:tcW w:w="1434" w:type="dxa"/>
            <w:noWrap w:val="0"/>
            <w:vAlign w:val="top"/>
          </w:tcPr>
          <w:p w14:paraId="2CAD8A54">
            <w:pPr>
              <w:spacing w:line="400" w:lineRule="atLeast"/>
              <w:jc w:val="center"/>
              <w:rPr>
                <w:rFonts w:ascii="宋体"/>
                <w:sz w:val="22"/>
                <w:szCs w:val="22"/>
              </w:rPr>
            </w:pPr>
          </w:p>
        </w:tc>
        <w:tc>
          <w:tcPr>
            <w:tcW w:w="1434" w:type="dxa"/>
            <w:noWrap w:val="0"/>
            <w:vAlign w:val="top"/>
          </w:tcPr>
          <w:p w14:paraId="4EB25BD0">
            <w:pPr>
              <w:spacing w:line="400" w:lineRule="atLeast"/>
              <w:jc w:val="center"/>
              <w:rPr>
                <w:rFonts w:ascii="宋体"/>
                <w:sz w:val="22"/>
                <w:szCs w:val="22"/>
              </w:rPr>
            </w:pPr>
          </w:p>
        </w:tc>
        <w:tc>
          <w:tcPr>
            <w:tcW w:w="1434" w:type="dxa"/>
            <w:noWrap w:val="0"/>
            <w:vAlign w:val="top"/>
          </w:tcPr>
          <w:p w14:paraId="73CC6E3D">
            <w:pPr>
              <w:spacing w:line="400" w:lineRule="atLeast"/>
              <w:jc w:val="center"/>
              <w:rPr>
                <w:rFonts w:ascii="宋体"/>
                <w:sz w:val="22"/>
                <w:szCs w:val="22"/>
              </w:rPr>
            </w:pPr>
          </w:p>
        </w:tc>
        <w:tc>
          <w:tcPr>
            <w:tcW w:w="1436" w:type="dxa"/>
            <w:noWrap w:val="0"/>
            <w:vAlign w:val="top"/>
          </w:tcPr>
          <w:p w14:paraId="5ECB8034">
            <w:pPr>
              <w:spacing w:line="400" w:lineRule="atLeast"/>
              <w:jc w:val="center"/>
              <w:rPr>
                <w:rFonts w:ascii="宋体"/>
                <w:sz w:val="22"/>
                <w:szCs w:val="22"/>
              </w:rPr>
            </w:pPr>
          </w:p>
        </w:tc>
      </w:tr>
      <w:tr w14:paraId="1625FB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3421" w:type="dxa"/>
            <w:noWrap w:val="0"/>
            <w:vAlign w:val="top"/>
          </w:tcPr>
          <w:p w14:paraId="229A3AB1">
            <w:pPr>
              <w:spacing w:line="400" w:lineRule="atLeast"/>
              <w:jc w:val="center"/>
              <w:rPr>
                <w:rFonts w:ascii="宋体"/>
                <w:sz w:val="22"/>
                <w:szCs w:val="22"/>
              </w:rPr>
            </w:pPr>
          </w:p>
        </w:tc>
        <w:tc>
          <w:tcPr>
            <w:tcW w:w="1434" w:type="dxa"/>
            <w:noWrap w:val="0"/>
            <w:vAlign w:val="top"/>
          </w:tcPr>
          <w:p w14:paraId="6A0CF221">
            <w:pPr>
              <w:spacing w:line="400" w:lineRule="atLeast"/>
              <w:jc w:val="center"/>
              <w:rPr>
                <w:rFonts w:ascii="宋体"/>
                <w:sz w:val="22"/>
                <w:szCs w:val="22"/>
              </w:rPr>
            </w:pPr>
          </w:p>
        </w:tc>
        <w:tc>
          <w:tcPr>
            <w:tcW w:w="1434" w:type="dxa"/>
            <w:noWrap w:val="0"/>
            <w:vAlign w:val="top"/>
          </w:tcPr>
          <w:p w14:paraId="3CEB8BF5">
            <w:pPr>
              <w:spacing w:line="400" w:lineRule="atLeast"/>
              <w:jc w:val="center"/>
              <w:rPr>
                <w:rFonts w:ascii="宋体"/>
                <w:sz w:val="22"/>
                <w:szCs w:val="22"/>
              </w:rPr>
            </w:pPr>
          </w:p>
        </w:tc>
        <w:tc>
          <w:tcPr>
            <w:tcW w:w="1434" w:type="dxa"/>
            <w:noWrap w:val="0"/>
            <w:vAlign w:val="top"/>
          </w:tcPr>
          <w:p w14:paraId="64F1672E">
            <w:pPr>
              <w:spacing w:line="400" w:lineRule="atLeast"/>
              <w:jc w:val="center"/>
              <w:rPr>
                <w:rFonts w:ascii="宋体"/>
                <w:sz w:val="22"/>
                <w:szCs w:val="22"/>
              </w:rPr>
            </w:pPr>
          </w:p>
        </w:tc>
        <w:tc>
          <w:tcPr>
            <w:tcW w:w="1436" w:type="dxa"/>
            <w:noWrap w:val="0"/>
            <w:vAlign w:val="top"/>
          </w:tcPr>
          <w:p w14:paraId="62B82ED5">
            <w:pPr>
              <w:spacing w:line="400" w:lineRule="atLeast"/>
              <w:jc w:val="center"/>
              <w:rPr>
                <w:rFonts w:ascii="宋体"/>
                <w:sz w:val="22"/>
                <w:szCs w:val="22"/>
              </w:rPr>
            </w:pPr>
          </w:p>
        </w:tc>
      </w:tr>
      <w:tr w14:paraId="01FD4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3421" w:type="dxa"/>
            <w:noWrap w:val="0"/>
            <w:vAlign w:val="top"/>
          </w:tcPr>
          <w:p w14:paraId="4345A9F1">
            <w:pPr>
              <w:spacing w:line="400" w:lineRule="atLeast"/>
              <w:jc w:val="center"/>
              <w:rPr>
                <w:rFonts w:ascii="宋体"/>
                <w:sz w:val="22"/>
                <w:szCs w:val="22"/>
              </w:rPr>
            </w:pPr>
          </w:p>
        </w:tc>
        <w:tc>
          <w:tcPr>
            <w:tcW w:w="1434" w:type="dxa"/>
            <w:noWrap w:val="0"/>
            <w:vAlign w:val="top"/>
          </w:tcPr>
          <w:p w14:paraId="4DCA6A2B">
            <w:pPr>
              <w:spacing w:line="400" w:lineRule="atLeast"/>
              <w:jc w:val="center"/>
              <w:rPr>
                <w:rFonts w:ascii="宋体"/>
                <w:sz w:val="22"/>
                <w:szCs w:val="22"/>
              </w:rPr>
            </w:pPr>
          </w:p>
        </w:tc>
        <w:tc>
          <w:tcPr>
            <w:tcW w:w="1434" w:type="dxa"/>
            <w:noWrap w:val="0"/>
            <w:vAlign w:val="top"/>
          </w:tcPr>
          <w:p w14:paraId="364118F3">
            <w:pPr>
              <w:spacing w:line="400" w:lineRule="atLeast"/>
              <w:jc w:val="center"/>
              <w:rPr>
                <w:rFonts w:ascii="宋体"/>
                <w:sz w:val="22"/>
                <w:szCs w:val="22"/>
              </w:rPr>
            </w:pPr>
          </w:p>
        </w:tc>
        <w:tc>
          <w:tcPr>
            <w:tcW w:w="1434" w:type="dxa"/>
            <w:noWrap w:val="0"/>
            <w:vAlign w:val="top"/>
          </w:tcPr>
          <w:p w14:paraId="641D79BC">
            <w:pPr>
              <w:spacing w:line="400" w:lineRule="atLeast"/>
              <w:jc w:val="center"/>
              <w:rPr>
                <w:rFonts w:ascii="宋体"/>
                <w:sz w:val="22"/>
                <w:szCs w:val="22"/>
              </w:rPr>
            </w:pPr>
          </w:p>
        </w:tc>
        <w:tc>
          <w:tcPr>
            <w:tcW w:w="1436" w:type="dxa"/>
            <w:noWrap w:val="0"/>
            <w:vAlign w:val="top"/>
          </w:tcPr>
          <w:p w14:paraId="52CC2660">
            <w:pPr>
              <w:spacing w:line="400" w:lineRule="atLeast"/>
              <w:jc w:val="center"/>
              <w:rPr>
                <w:rFonts w:ascii="宋体"/>
                <w:sz w:val="22"/>
                <w:szCs w:val="22"/>
              </w:rPr>
            </w:pPr>
          </w:p>
        </w:tc>
      </w:tr>
      <w:tr w14:paraId="45809D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3421" w:type="dxa"/>
            <w:noWrap w:val="0"/>
            <w:vAlign w:val="top"/>
          </w:tcPr>
          <w:p w14:paraId="4FE6965C">
            <w:pPr>
              <w:spacing w:line="400" w:lineRule="atLeast"/>
              <w:jc w:val="center"/>
              <w:rPr>
                <w:rFonts w:ascii="宋体"/>
                <w:sz w:val="22"/>
                <w:szCs w:val="22"/>
              </w:rPr>
            </w:pPr>
          </w:p>
        </w:tc>
        <w:tc>
          <w:tcPr>
            <w:tcW w:w="1434" w:type="dxa"/>
            <w:noWrap w:val="0"/>
            <w:vAlign w:val="top"/>
          </w:tcPr>
          <w:p w14:paraId="18B7971E">
            <w:pPr>
              <w:spacing w:line="400" w:lineRule="atLeast"/>
              <w:jc w:val="center"/>
              <w:rPr>
                <w:rFonts w:ascii="宋体"/>
                <w:sz w:val="22"/>
                <w:szCs w:val="22"/>
              </w:rPr>
            </w:pPr>
          </w:p>
        </w:tc>
        <w:tc>
          <w:tcPr>
            <w:tcW w:w="1434" w:type="dxa"/>
            <w:noWrap w:val="0"/>
            <w:vAlign w:val="top"/>
          </w:tcPr>
          <w:p w14:paraId="2BA22830">
            <w:pPr>
              <w:spacing w:line="400" w:lineRule="atLeast"/>
              <w:jc w:val="center"/>
              <w:rPr>
                <w:rFonts w:ascii="宋体"/>
                <w:sz w:val="22"/>
                <w:szCs w:val="22"/>
              </w:rPr>
            </w:pPr>
          </w:p>
        </w:tc>
        <w:tc>
          <w:tcPr>
            <w:tcW w:w="1434" w:type="dxa"/>
            <w:noWrap w:val="0"/>
            <w:vAlign w:val="top"/>
          </w:tcPr>
          <w:p w14:paraId="3F04218A">
            <w:pPr>
              <w:spacing w:line="400" w:lineRule="atLeast"/>
              <w:jc w:val="center"/>
              <w:rPr>
                <w:rFonts w:ascii="宋体"/>
                <w:sz w:val="22"/>
                <w:szCs w:val="22"/>
              </w:rPr>
            </w:pPr>
          </w:p>
        </w:tc>
        <w:tc>
          <w:tcPr>
            <w:tcW w:w="1436" w:type="dxa"/>
            <w:noWrap w:val="0"/>
            <w:vAlign w:val="top"/>
          </w:tcPr>
          <w:p w14:paraId="630FE17A">
            <w:pPr>
              <w:spacing w:line="400" w:lineRule="atLeast"/>
              <w:jc w:val="center"/>
              <w:rPr>
                <w:rFonts w:ascii="宋体"/>
                <w:sz w:val="22"/>
                <w:szCs w:val="22"/>
              </w:rPr>
            </w:pPr>
          </w:p>
        </w:tc>
      </w:tr>
      <w:tr w14:paraId="07A0E9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3421" w:type="dxa"/>
            <w:noWrap w:val="0"/>
            <w:vAlign w:val="top"/>
          </w:tcPr>
          <w:p w14:paraId="2E1DE4F2">
            <w:pPr>
              <w:spacing w:line="400" w:lineRule="atLeast"/>
              <w:jc w:val="center"/>
              <w:rPr>
                <w:rFonts w:ascii="宋体"/>
                <w:sz w:val="22"/>
                <w:szCs w:val="22"/>
              </w:rPr>
            </w:pPr>
          </w:p>
        </w:tc>
        <w:tc>
          <w:tcPr>
            <w:tcW w:w="1434" w:type="dxa"/>
            <w:noWrap w:val="0"/>
            <w:vAlign w:val="top"/>
          </w:tcPr>
          <w:p w14:paraId="2326940D">
            <w:pPr>
              <w:spacing w:line="400" w:lineRule="atLeast"/>
              <w:jc w:val="center"/>
              <w:rPr>
                <w:rFonts w:ascii="宋体"/>
                <w:sz w:val="22"/>
                <w:szCs w:val="22"/>
              </w:rPr>
            </w:pPr>
          </w:p>
        </w:tc>
        <w:tc>
          <w:tcPr>
            <w:tcW w:w="1434" w:type="dxa"/>
            <w:noWrap w:val="0"/>
            <w:vAlign w:val="top"/>
          </w:tcPr>
          <w:p w14:paraId="38F1F43F">
            <w:pPr>
              <w:spacing w:line="400" w:lineRule="atLeast"/>
              <w:jc w:val="center"/>
              <w:rPr>
                <w:rFonts w:ascii="宋体"/>
                <w:sz w:val="22"/>
                <w:szCs w:val="22"/>
              </w:rPr>
            </w:pPr>
          </w:p>
        </w:tc>
        <w:tc>
          <w:tcPr>
            <w:tcW w:w="1434" w:type="dxa"/>
            <w:noWrap w:val="0"/>
            <w:vAlign w:val="top"/>
          </w:tcPr>
          <w:p w14:paraId="3478C64B">
            <w:pPr>
              <w:spacing w:line="400" w:lineRule="atLeast"/>
              <w:jc w:val="center"/>
              <w:rPr>
                <w:rFonts w:ascii="宋体"/>
                <w:sz w:val="22"/>
                <w:szCs w:val="22"/>
              </w:rPr>
            </w:pPr>
          </w:p>
        </w:tc>
        <w:tc>
          <w:tcPr>
            <w:tcW w:w="1436" w:type="dxa"/>
            <w:noWrap w:val="0"/>
            <w:vAlign w:val="top"/>
          </w:tcPr>
          <w:p w14:paraId="02ACA948">
            <w:pPr>
              <w:spacing w:line="400" w:lineRule="atLeast"/>
              <w:jc w:val="center"/>
              <w:rPr>
                <w:rFonts w:ascii="宋体"/>
                <w:sz w:val="22"/>
                <w:szCs w:val="22"/>
              </w:rPr>
            </w:pPr>
          </w:p>
        </w:tc>
      </w:tr>
      <w:tr w14:paraId="3EA9F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0" w:hRule="atLeast"/>
        </w:trPr>
        <w:tc>
          <w:tcPr>
            <w:tcW w:w="3421" w:type="dxa"/>
            <w:tcBorders>
              <w:bottom w:val="single" w:color="auto" w:sz="12" w:space="0"/>
            </w:tcBorders>
            <w:noWrap w:val="0"/>
            <w:vAlign w:val="top"/>
          </w:tcPr>
          <w:p w14:paraId="5EF294DE">
            <w:pPr>
              <w:spacing w:line="400" w:lineRule="atLeast"/>
              <w:jc w:val="center"/>
              <w:rPr>
                <w:rFonts w:ascii="宋体"/>
                <w:sz w:val="22"/>
                <w:szCs w:val="22"/>
              </w:rPr>
            </w:pPr>
          </w:p>
        </w:tc>
        <w:tc>
          <w:tcPr>
            <w:tcW w:w="1434" w:type="dxa"/>
            <w:tcBorders>
              <w:bottom w:val="single" w:color="auto" w:sz="12" w:space="0"/>
            </w:tcBorders>
            <w:noWrap w:val="0"/>
            <w:vAlign w:val="top"/>
          </w:tcPr>
          <w:p w14:paraId="4BC6565C">
            <w:pPr>
              <w:spacing w:line="400" w:lineRule="atLeast"/>
              <w:jc w:val="center"/>
              <w:rPr>
                <w:rFonts w:ascii="宋体"/>
                <w:sz w:val="22"/>
                <w:szCs w:val="22"/>
              </w:rPr>
            </w:pPr>
          </w:p>
        </w:tc>
        <w:tc>
          <w:tcPr>
            <w:tcW w:w="1434" w:type="dxa"/>
            <w:tcBorders>
              <w:bottom w:val="single" w:color="auto" w:sz="12" w:space="0"/>
            </w:tcBorders>
            <w:noWrap w:val="0"/>
            <w:vAlign w:val="top"/>
          </w:tcPr>
          <w:p w14:paraId="20B1336B">
            <w:pPr>
              <w:spacing w:line="400" w:lineRule="atLeast"/>
              <w:jc w:val="center"/>
              <w:rPr>
                <w:rFonts w:ascii="宋体"/>
                <w:sz w:val="22"/>
                <w:szCs w:val="22"/>
              </w:rPr>
            </w:pPr>
          </w:p>
        </w:tc>
        <w:tc>
          <w:tcPr>
            <w:tcW w:w="1434" w:type="dxa"/>
            <w:tcBorders>
              <w:bottom w:val="single" w:color="auto" w:sz="12" w:space="0"/>
            </w:tcBorders>
            <w:noWrap w:val="0"/>
            <w:vAlign w:val="top"/>
          </w:tcPr>
          <w:p w14:paraId="06E68A41">
            <w:pPr>
              <w:spacing w:line="400" w:lineRule="atLeast"/>
              <w:jc w:val="center"/>
              <w:rPr>
                <w:rFonts w:ascii="宋体"/>
                <w:sz w:val="22"/>
                <w:szCs w:val="22"/>
              </w:rPr>
            </w:pPr>
          </w:p>
        </w:tc>
        <w:tc>
          <w:tcPr>
            <w:tcW w:w="1436" w:type="dxa"/>
            <w:tcBorders>
              <w:bottom w:val="single" w:color="auto" w:sz="12" w:space="0"/>
            </w:tcBorders>
            <w:noWrap w:val="0"/>
            <w:vAlign w:val="top"/>
          </w:tcPr>
          <w:p w14:paraId="109723E6">
            <w:pPr>
              <w:spacing w:line="400" w:lineRule="atLeast"/>
              <w:jc w:val="center"/>
              <w:rPr>
                <w:rFonts w:ascii="宋体"/>
                <w:sz w:val="22"/>
                <w:szCs w:val="22"/>
              </w:rPr>
            </w:pPr>
          </w:p>
        </w:tc>
      </w:tr>
    </w:tbl>
    <w:p w14:paraId="69F668DC">
      <w:pPr>
        <w:spacing w:line="500" w:lineRule="exact"/>
        <w:rPr>
          <w:rFonts w:hint="eastAsia" w:ascii="宋体" w:hAnsi="宋体" w:cs="宋体"/>
          <w:sz w:val="22"/>
          <w:szCs w:val="22"/>
        </w:rPr>
      </w:pPr>
    </w:p>
    <w:p w14:paraId="59DB1A69">
      <w:pPr>
        <w:spacing w:line="500" w:lineRule="exact"/>
        <w:rPr>
          <w:rFonts w:hint="eastAsia" w:ascii="宋体" w:hAnsi="宋体" w:cs="宋体"/>
          <w:sz w:val="22"/>
          <w:szCs w:val="22"/>
        </w:rPr>
      </w:pPr>
    </w:p>
    <w:p w14:paraId="1C20238D">
      <w:pPr>
        <w:spacing w:line="500" w:lineRule="exact"/>
        <w:rPr>
          <w:rFonts w:hint="eastAsia" w:ascii="宋体" w:hAnsi="宋体" w:cs="宋体"/>
          <w:sz w:val="22"/>
          <w:szCs w:val="22"/>
        </w:rPr>
      </w:pPr>
    </w:p>
    <w:p w14:paraId="2CA2F436">
      <w:pPr>
        <w:spacing w:line="500" w:lineRule="exact"/>
        <w:rPr>
          <w:rFonts w:hint="eastAsia" w:ascii="宋体" w:hAnsi="宋体" w:cs="宋体"/>
          <w:sz w:val="22"/>
          <w:szCs w:val="22"/>
        </w:rPr>
      </w:pPr>
    </w:p>
    <w:p w14:paraId="5B419C72">
      <w:pPr>
        <w:spacing w:line="500" w:lineRule="exact"/>
        <w:rPr>
          <w:rFonts w:hint="eastAsia" w:ascii="宋体" w:hAnsi="宋体" w:cs="宋体"/>
          <w:sz w:val="22"/>
          <w:szCs w:val="22"/>
        </w:rPr>
      </w:pPr>
    </w:p>
    <w:p w14:paraId="36F03553">
      <w:pPr>
        <w:spacing w:line="500" w:lineRule="exact"/>
        <w:rPr>
          <w:rFonts w:hint="eastAsia" w:ascii="宋体" w:hAnsi="宋体" w:cs="宋体"/>
          <w:sz w:val="22"/>
          <w:szCs w:val="22"/>
        </w:rPr>
      </w:pPr>
    </w:p>
    <w:p w14:paraId="1F33F259">
      <w:pPr>
        <w:spacing w:line="500" w:lineRule="exact"/>
        <w:rPr>
          <w:rFonts w:hint="eastAsia" w:ascii="宋体" w:hAnsi="宋体" w:cs="宋体"/>
          <w:sz w:val="22"/>
          <w:szCs w:val="22"/>
        </w:rPr>
      </w:pPr>
    </w:p>
    <w:p w14:paraId="0A05374B">
      <w:pPr>
        <w:spacing w:line="500" w:lineRule="exact"/>
        <w:rPr>
          <w:rFonts w:hint="eastAsia" w:ascii="宋体" w:hAnsi="宋体" w:cs="宋体"/>
          <w:sz w:val="22"/>
          <w:szCs w:val="22"/>
        </w:rPr>
      </w:pPr>
    </w:p>
    <w:p w14:paraId="573E834F">
      <w:pPr>
        <w:spacing w:line="500" w:lineRule="exact"/>
        <w:rPr>
          <w:rFonts w:hint="eastAsia" w:ascii="宋体" w:hAnsi="宋体" w:cs="宋体"/>
          <w:sz w:val="22"/>
          <w:szCs w:val="22"/>
        </w:rPr>
      </w:pPr>
    </w:p>
    <w:p w14:paraId="567C4992">
      <w:pPr>
        <w:spacing w:line="500" w:lineRule="exact"/>
        <w:rPr>
          <w:rFonts w:hint="eastAsia" w:ascii="宋体" w:hAnsi="宋体" w:cs="宋体"/>
          <w:sz w:val="22"/>
          <w:szCs w:val="22"/>
        </w:rPr>
      </w:pPr>
    </w:p>
    <w:p w14:paraId="1DA4873C">
      <w:pPr>
        <w:spacing w:line="500" w:lineRule="exact"/>
        <w:rPr>
          <w:rFonts w:hint="eastAsia" w:ascii="宋体" w:hAnsi="宋体" w:cs="宋体"/>
          <w:sz w:val="22"/>
          <w:szCs w:val="22"/>
        </w:rPr>
      </w:pPr>
    </w:p>
    <w:p w14:paraId="11819044">
      <w:pPr>
        <w:spacing w:line="500" w:lineRule="exact"/>
        <w:rPr>
          <w:rFonts w:hint="eastAsia" w:ascii="宋体" w:hAnsi="宋体" w:cs="宋体"/>
          <w:sz w:val="22"/>
          <w:szCs w:val="22"/>
        </w:rPr>
      </w:pPr>
    </w:p>
    <w:p w14:paraId="1520BEDB">
      <w:pPr>
        <w:spacing w:line="500" w:lineRule="exact"/>
        <w:rPr>
          <w:rFonts w:hint="eastAsia" w:ascii="宋体" w:hAnsi="宋体" w:cs="宋体"/>
          <w:sz w:val="22"/>
          <w:szCs w:val="22"/>
        </w:rPr>
      </w:pPr>
    </w:p>
    <w:p w14:paraId="65D0EE26">
      <w:pPr>
        <w:spacing w:line="500" w:lineRule="exact"/>
        <w:rPr>
          <w:rFonts w:ascii="宋体"/>
          <w:sz w:val="22"/>
          <w:szCs w:val="22"/>
        </w:rPr>
      </w:pPr>
      <w:r>
        <w:rPr>
          <w:rFonts w:hint="eastAsia" w:ascii="宋体" w:hAnsi="宋体" w:cs="宋体"/>
          <w:sz w:val="22"/>
          <w:szCs w:val="22"/>
        </w:rPr>
        <w:t>注：</w:t>
      </w:r>
      <w:r>
        <w:rPr>
          <w:rFonts w:ascii="宋体" w:hAnsi="宋体" w:cs="宋体"/>
          <w:sz w:val="22"/>
          <w:szCs w:val="22"/>
        </w:rPr>
        <w:t xml:space="preserve">1. </w:t>
      </w:r>
      <w:r>
        <w:rPr>
          <w:rFonts w:hint="eastAsia" w:ascii="宋体" w:hAnsi="宋体" w:cs="宋体"/>
          <w:sz w:val="22"/>
          <w:szCs w:val="22"/>
        </w:rPr>
        <w:t>此表仅提供了表格形式，投标供应商应根据需要准备足够数量的表格来填写。</w:t>
      </w:r>
    </w:p>
    <w:p w14:paraId="1C965AC1">
      <w:pPr>
        <w:spacing w:line="500" w:lineRule="exact"/>
        <w:rPr>
          <w:rFonts w:ascii="宋体"/>
          <w:b/>
          <w:bCs/>
          <w:sz w:val="22"/>
          <w:szCs w:val="22"/>
        </w:rPr>
      </w:pPr>
      <w:r>
        <w:rPr>
          <w:rFonts w:ascii="宋体" w:hAnsi="宋体" w:cs="宋体"/>
          <w:b/>
          <w:bCs/>
          <w:sz w:val="22"/>
          <w:szCs w:val="22"/>
        </w:rPr>
        <w:t xml:space="preserve">2. </w:t>
      </w:r>
      <w:r>
        <w:rPr>
          <w:rFonts w:hint="eastAsia" w:ascii="宋体" w:hAnsi="宋体" w:cs="宋体"/>
          <w:b/>
          <w:bCs/>
          <w:sz w:val="22"/>
          <w:szCs w:val="22"/>
        </w:rPr>
        <w:t>有效业绩认定必须同时满足以下要求，否则视为无效业绩，不计入评分计算：</w:t>
      </w:r>
    </w:p>
    <w:p w14:paraId="4BED20F0">
      <w:pPr>
        <w:numPr>
          <w:ilvl w:val="0"/>
          <w:numId w:val="20"/>
        </w:numPr>
        <w:spacing w:line="500" w:lineRule="exact"/>
        <w:rPr>
          <w:rFonts w:ascii="宋体"/>
          <w:sz w:val="22"/>
          <w:szCs w:val="22"/>
        </w:rPr>
      </w:pPr>
      <w:r>
        <w:rPr>
          <w:rFonts w:hint="eastAsia" w:ascii="宋体" w:hAnsi="宋体" w:cs="宋体"/>
          <w:sz w:val="22"/>
          <w:szCs w:val="22"/>
        </w:rPr>
        <w:t>业绩均需另提供证明材料，以合同扫描件或复印件加盖公章为准，</w:t>
      </w:r>
      <w:r>
        <w:rPr>
          <w:rFonts w:hint="eastAsia" w:ascii="宋体" w:hAnsi="宋体" w:cs="宋体"/>
          <w:bCs/>
          <w:spacing w:val="-4"/>
          <w:sz w:val="22"/>
          <w:szCs w:val="22"/>
        </w:rPr>
        <w:t>如合同无法体现项目内容、时间等的需另附业主证明材料</w:t>
      </w:r>
      <w:r>
        <w:rPr>
          <w:rFonts w:hint="eastAsia" w:ascii="宋体" w:hAnsi="宋体" w:cs="宋体"/>
          <w:b/>
          <w:bCs/>
          <w:sz w:val="22"/>
          <w:szCs w:val="22"/>
        </w:rPr>
        <w:t>；</w:t>
      </w:r>
    </w:p>
    <w:p w14:paraId="7B74C117">
      <w:pPr>
        <w:spacing w:line="380" w:lineRule="exact"/>
        <w:ind w:left="663" w:hanging="663" w:hangingChars="300"/>
        <w:rPr>
          <w:rFonts w:ascii="宋体"/>
          <w:b/>
          <w:bCs/>
          <w:sz w:val="22"/>
          <w:szCs w:val="22"/>
        </w:rPr>
      </w:pPr>
      <w:r>
        <w:rPr>
          <w:rFonts w:ascii="宋体" w:hAnsi="宋体" w:cs="宋体"/>
          <w:b/>
          <w:bCs/>
          <w:sz w:val="22"/>
          <w:szCs w:val="22"/>
          <w:u w:val="thick"/>
        </w:rPr>
        <w:t xml:space="preserve">3. </w:t>
      </w:r>
      <w:r>
        <w:rPr>
          <w:rFonts w:hint="eastAsia" w:ascii="宋体" w:hAnsi="宋体" w:cs="宋体"/>
          <w:b/>
          <w:bCs/>
          <w:sz w:val="22"/>
          <w:szCs w:val="22"/>
          <w:u w:val="thick"/>
        </w:rPr>
        <w:t>投标供应商不按此要求填写此项内容或未提供业绩证明材料将视为无业绩。</w:t>
      </w:r>
    </w:p>
    <w:p w14:paraId="541812B7">
      <w:pPr>
        <w:tabs>
          <w:tab w:val="left" w:pos="5355"/>
        </w:tabs>
        <w:spacing w:line="430" w:lineRule="exact"/>
        <w:rPr>
          <w:rFonts w:ascii="宋体"/>
          <w:sz w:val="22"/>
          <w:szCs w:val="22"/>
        </w:rPr>
      </w:pPr>
    </w:p>
    <w:p w14:paraId="72ED0876">
      <w:pPr>
        <w:spacing w:line="360" w:lineRule="auto"/>
        <w:rPr>
          <w:rFonts w:hint="eastAsia" w:ascii="宋体" w:hAnsi="宋体" w:cs="宋体"/>
          <w:sz w:val="22"/>
          <w:szCs w:val="22"/>
        </w:rPr>
      </w:pPr>
    </w:p>
    <w:p w14:paraId="33721D58">
      <w:pPr>
        <w:spacing w:line="360" w:lineRule="auto"/>
        <w:ind w:firstLine="3080" w:firstLineChars="1400"/>
        <w:rPr>
          <w:rFonts w:ascii="宋体"/>
          <w:sz w:val="22"/>
          <w:szCs w:val="22"/>
        </w:rPr>
      </w:pPr>
      <w:r>
        <w:rPr>
          <w:rFonts w:hint="eastAsia" w:ascii="宋体" w:hAnsi="宋体" w:cs="宋体"/>
          <w:sz w:val="22"/>
          <w:szCs w:val="22"/>
        </w:rPr>
        <w:t>投标供应商全称（盖章）：</w:t>
      </w:r>
    </w:p>
    <w:p w14:paraId="3370C8EE">
      <w:pPr>
        <w:spacing w:line="360" w:lineRule="auto"/>
        <w:ind w:firstLine="3080" w:firstLineChars="1400"/>
        <w:rPr>
          <w:rFonts w:ascii="宋体"/>
          <w:sz w:val="22"/>
          <w:szCs w:val="22"/>
        </w:rPr>
      </w:pPr>
      <w:r>
        <w:rPr>
          <w:rFonts w:hint="eastAsia" w:ascii="宋体" w:hAnsi="宋体" w:cs="宋体"/>
          <w:sz w:val="22"/>
          <w:szCs w:val="22"/>
        </w:rPr>
        <w:t>法定代表人（或单位负责人）或授权代表（签字或盖章）：</w:t>
      </w:r>
    </w:p>
    <w:p w14:paraId="4B632141">
      <w:pPr>
        <w:spacing w:line="360" w:lineRule="auto"/>
        <w:ind w:firstLine="3080" w:firstLineChars="1400"/>
        <w:rPr>
          <w:rFonts w:ascii="宋体"/>
          <w:b/>
          <w:bCs/>
          <w:sz w:val="22"/>
          <w:szCs w:val="22"/>
        </w:rPr>
      </w:pPr>
      <w:r>
        <w:rPr>
          <w:rFonts w:hint="eastAsia" w:ascii="宋体" w:hAnsi="宋体" w:cs="宋体"/>
          <w:sz w:val="22"/>
          <w:szCs w:val="22"/>
        </w:rPr>
        <w:t>日期：</w:t>
      </w:r>
      <w:r>
        <w:rPr>
          <w:rFonts w:ascii="宋体" w:hAnsi="宋体" w:cs="宋体"/>
          <w:sz w:val="22"/>
          <w:szCs w:val="22"/>
        </w:rPr>
        <w:t xml:space="preserve">  </w:t>
      </w: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月</w:t>
      </w:r>
      <w:r>
        <w:rPr>
          <w:rFonts w:ascii="宋体" w:hAnsi="宋体" w:cs="宋体"/>
          <w:sz w:val="22"/>
          <w:szCs w:val="22"/>
        </w:rPr>
        <w:t xml:space="preserve">  </w:t>
      </w:r>
      <w:r>
        <w:rPr>
          <w:rFonts w:hint="eastAsia" w:ascii="宋体" w:hAnsi="宋体" w:cs="宋体"/>
          <w:sz w:val="22"/>
          <w:szCs w:val="22"/>
        </w:rPr>
        <w:t>日</w:t>
      </w:r>
      <w:r>
        <w:rPr>
          <w:rFonts w:ascii="宋体" w:hAnsi="宋体" w:cs="宋体"/>
          <w:sz w:val="22"/>
          <w:szCs w:val="22"/>
        </w:rPr>
        <w:t xml:space="preserve">  </w:t>
      </w:r>
    </w:p>
    <w:p w14:paraId="1DCF854B">
      <w:pPr>
        <w:spacing w:line="400" w:lineRule="exact"/>
        <w:ind w:firstLine="4353" w:firstLineChars="2073"/>
        <w:rPr>
          <w:rFonts w:hint="eastAsia" w:ascii="Arial" w:hAnsi="宋体" w:cs="Arial"/>
          <w:color w:val="000000"/>
          <w:kern w:val="0"/>
          <w:szCs w:val="21"/>
        </w:rPr>
      </w:pPr>
    </w:p>
    <w:p w14:paraId="42A95AC5">
      <w:pPr>
        <w:pStyle w:val="3"/>
        <w:jc w:val="center"/>
        <w:rPr>
          <w:rFonts w:hint="eastAsia" w:ascii="宋体" w:hAnsi="宋体" w:eastAsia="宋体"/>
          <w:color w:val="000000"/>
          <w:sz w:val="24"/>
          <w:szCs w:val="24"/>
        </w:rPr>
      </w:pPr>
      <w:bookmarkStart w:id="111" w:name="_Toc1716"/>
      <w:r>
        <w:rPr>
          <w:rFonts w:hint="eastAsia" w:ascii="宋体" w:hAnsi="宋体" w:eastAsia="宋体"/>
          <w:color w:val="000000"/>
          <w:sz w:val="24"/>
          <w:szCs w:val="24"/>
        </w:rPr>
        <w:br w:type="page"/>
      </w:r>
      <w:bookmarkEnd w:id="111"/>
      <w:bookmarkStart w:id="112" w:name="_Toc28142"/>
      <w:bookmarkStart w:id="113" w:name="_Toc388974306"/>
      <w:bookmarkStart w:id="114" w:name="_Toc15511"/>
      <w:bookmarkStart w:id="115" w:name="_Toc412788178"/>
      <w:r>
        <w:rPr>
          <w:rFonts w:hint="eastAsia" w:ascii="宋体" w:hAnsi="宋体" w:eastAsia="宋体"/>
          <w:b/>
          <w:bCs w:val="0"/>
          <w:color w:val="000000"/>
          <w:sz w:val="24"/>
          <w:szCs w:val="24"/>
        </w:rPr>
        <w:t>附件</w:t>
      </w:r>
      <w:r>
        <w:rPr>
          <w:rFonts w:hint="eastAsia" w:ascii="宋体" w:hAnsi="宋体" w:eastAsia="宋体"/>
          <w:b/>
          <w:bCs w:val="0"/>
          <w:color w:val="000000"/>
          <w:sz w:val="24"/>
          <w:szCs w:val="24"/>
          <w:lang w:val="en-US" w:eastAsia="zh-CN"/>
        </w:rPr>
        <w:t>7</w:t>
      </w:r>
      <w:r>
        <w:rPr>
          <w:rFonts w:ascii="宋体" w:hAnsi="宋体" w:eastAsia="宋体"/>
          <w:b/>
          <w:bCs w:val="0"/>
          <w:color w:val="000000"/>
          <w:sz w:val="24"/>
          <w:szCs w:val="24"/>
        </w:rPr>
        <w:t xml:space="preserve"> </w:t>
      </w:r>
      <w:r>
        <w:rPr>
          <w:rFonts w:hint="eastAsia" w:ascii="宋体" w:hAnsi="宋体" w:eastAsia="宋体"/>
          <w:b/>
          <w:bCs w:val="0"/>
          <w:color w:val="000000"/>
          <w:sz w:val="24"/>
          <w:szCs w:val="24"/>
        </w:rPr>
        <w:t xml:space="preserve"> </w:t>
      </w:r>
      <w:r>
        <w:rPr>
          <w:rFonts w:ascii="宋体" w:hAnsi="宋体" w:eastAsia="宋体"/>
          <w:b/>
          <w:bCs w:val="0"/>
          <w:color w:val="000000"/>
          <w:sz w:val="24"/>
          <w:szCs w:val="24"/>
        </w:rPr>
        <w:t xml:space="preserve"> 技术（或商务）偏离表</w:t>
      </w:r>
      <w:bookmarkEnd w:id="112"/>
      <w:bookmarkEnd w:id="113"/>
      <w:bookmarkEnd w:id="114"/>
      <w:bookmarkEnd w:id="115"/>
    </w:p>
    <w:p w14:paraId="17726BC6">
      <w:pPr>
        <w:jc w:val="center"/>
        <w:rPr>
          <w:color w:val="000000"/>
        </w:rPr>
      </w:pPr>
      <w:r>
        <w:rPr>
          <w:color w:val="000000"/>
        </w:rPr>
        <w:t>（商务和技术须分别填写）</w:t>
      </w:r>
    </w:p>
    <w:p w14:paraId="20A6555E">
      <w:pPr>
        <w:bidi w:val="0"/>
        <w:rPr>
          <w:rFonts w:hint="default" w:eastAsia="宋体"/>
          <w:color w:val="000000"/>
          <w:lang w:val="en-US" w:eastAsia="zh-CN"/>
        </w:rPr>
      </w:pPr>
      <w:r>
        <w:rPr>
          <w:rFonts w:hint="eastAsia"/>
          <w:color w:val="000000"/>
          <w:lang w:val="en-US" w:eastAsia="zh-CN"/>
        </w:rPr>
        <w:t xml:space="preserve">项目名称：   </w:t>
      </w:r>
    </w:p>
    <w:tbl>
      <w:tblPr>
        <w:tblStyle w:val="49"/>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14:paraId="39347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3" w:type="dxa"/>
            <w:noWrap w:val="0"/>
            <w:vAlign w:val="center"/>
          </w:tcPr>
          <w:p w14:paraId="4D400AC1">
            <w:pPr>
              <w:jc w:val="center"/>
              <w:rPr>
                <w:rFonts w:ascii="Arial" w:hAnsi="Arial" w:cs="Arial"/>
                <w:b/>
                <w:bCs/>
                <w:color w:val="000000"/>
              </w:rPr>
            </w:pPr>
            <w:r>
              <w:rPr>
                <w:rFonts w:ascii="Arial" w:hAnsi="宋体" w:cs="Arial"/>
                <w:b/>
                <w:bCs/>
                <w:color w:val="000000"/>
              </w:rPr>
              <w:t>序号</w:t>
            </w:r>
          </w:p>
        </w:tc>
        <w:tc>
          <w:tcPr>
            <w:tcW w:w="4181" w:type="dxa"/>
            <w:noWrap w:val="0"/>
            <w:vAlign w:val="center"/>
          </w:tcPr>
          <w:p w14:paraId="5EE3C6FE">
            <w:pPr>
              <w:jc w:val="center"/>
              <w:rPr>
                <w:rFonts w:ascii="Arial" w:hAnsi="Arial" w:cs="Arial"/>
                <w:b/>
                <w:bCs/>
                <w:color w:val="000000"/>
              </w:rPr>
            </w:pPr>
            <w:r>
              <w:rPr>
                <w:rFonts w:ascii="Arial" w:hAnsi="宋体" w:cs="Arial"/>
                <w:b/>
                <w:bCs/>
                <w:color w:val="000000"/>
              </w:rPr>
              <w:t>招标文件重述</w:t>
            </w:r>
          </w:p>
        </w:tc>
        <w:tc>
          <w:tcPr>
            <w:tcW w:w="4182" w:type="dxa"/>
            <w:noWrap w:val="0"/>
            <w:vAlign w:val="center"/>
          </w:tcPr>
          <w:p w14:paraId="2102DB96">
            <w:pPr>
              <w:jc w:val="center"/>
              <w:rPr>
                <w:rFonts w:ascii="Arial" w:hAnsi="Arial" w:cs="Arial"/>
                <w:b/>
                <w:bCs/>
                <w:color w:val="000000"/>
              </w:rPr>
            </w:pPr>
            <w:r>
              <w:rPr>
                <w:rFonts w:ascii="Arial" w:hAnsi="宋体" w:cs="Arial"/>
                <w:b/>
                <w:bCs/>
                <w:color w:val="000000"/>
              </w:rPr>
              <w:t>投标供应商偏离</w:t>
            </w:r>
          </w:p>
        </w:tc>
      </w:tr>
      <w:tr w14:paraId="4D44B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993" w:type="dxa"/>
            <w:noWrap w:val="0"/>
            <w:vAlign w:val="top"/>
          </w:tcPr>
          <w:p w14:paraId="6C305B7A">
            <w:pPr>
              <w:ind w:firstLine="592"/>
              <w:jc w:val="left"/>
              <w:rPr>
                <w:rFonts w:ascii="Arial" w:hAnsi="Arial" w:cs="Arial"/>
                <w:color w:val="000000"/>
              </w:rPr>
            </w:pPr>
          </w:p>
        </w:tc>
        <w:tc>
          <w:tcPr>
            <w:tcW w:w="4181" w:type="dxa"/>
            <w:noWrap w:val="0"/>
            <w:vAlign w:val="top"/>
          </w:tcPr>
          <w:p w14:paraId="7602972B">
            <w:pPr>
              <w:ind w:firstLine="592"/>
              <w:jc w:val="left"/>
              <w:rPr>
                <w:rFonts w:ascii="Arial" w:hAnsi="Arial" w:cs="Arial"/>
                <w:color w:val="000000"/>
              </w:rPr>
            </w:pPr>
          </w:p>
        </w:tc>
        <w:tc>
          <w:tcPr>
            <w:tcW w:w="4182" w:type="dxa"/>
            <w:noWrap w:val="0"/>
            <w:vAlign w:val="top"/>
          </w:tcPr>
          <w:p w14:paraId="6CC56EBA">
            <w:pPr>
              <w:ind w:firstLine="592"/>
              <w:jc w:val="left"/>
              <w:rPr>
                <w:rFonts w:ascii="Arial" w:hAnsi="Arial" w:cs="Arial"/>
                <w:color w:val="000000"/>
              </w:rPr>
            </w:pPr>
          </w:p>
        </w:tc>
      </w:tr>
    </w:tbl>
    <w:p w14:paraId="69D42448">
      <w:pPr>
        <w:spacing w:before="468" w:beforeLines="150" w:after="156" w:afterLines="50" w:line="360" w:lineRule="auto"/>
        <w:rPr>
          <w:rFonts w:ascii="Arial" w:hAnsi="Arial" w:cs="Arial"/>
          <w:color w:val="000000"/>
        </w:rPr>
      </w:pPr>
      <w:r>
        <w:rPr>
          <w:rFonts w:ascii="Arial" w:hAnsi="宋体" w:cs="Arial"/>
          <w:snapToGrid w:val="0"/>
          <w:color w:val="000000"/>
          <w:kern w:val="0"/>
        </w:rPr>
        <w:t>注：如不填写，则视为完全响应招标文件的技术及商务要求</w:t>
      </w:r>
      <w:r>
        <w:rPr>
          <w:rFonts w:ascii="Arial" w:hAnsi="宋体" w:cs="Arial"/>
          <w:color w:val="000000"/>
        </w:rPr>
        <w:t>。</w:t>
      </w:r>
    </w:p>
    <w:p w14:paraId="63EB7F98">
      <w:pPr>
        <w:spacing w:line="400" w:lineRule="exact"/>
        <w:ind w:firstLine="4353" w:firstLineChars="2073"/>
        <w:rPr>
          <w:rFonts w:ascii="Arial" w:hAnsi="Arial" w:cs="Arial"/>
          <w:color w:val="000000"/>
          <w:kern w:val="0"/>
          <w:szCs w:val="21"/>
        </w:rPr>
      </w:pPr>
      <w:r>
        <w:rPr>
          <w:rFonts w:ascii="Arial" w:hAnsi="宋体" w:cs="Arial"/>
          <w:color w:val="000000"/>
          <w:kern w:val="0"/>
          <w:szCs w:val="21"/>
        </w:rPr>
        <w:t>投标供应商（公章）：</w:t>
      </w:r>
    </w:p>
    <w:p w14:paraId="60E1BE89">
      <w:pPr>
        <w:spacing w:line="400" w:lineRule="exact"/>
        <w:ind w:firstLine="4353" w:firstLineChars="2073"/>
        <w:rPr>
          <w:rFonts w:ascii="Arial" w:hAnsi="Arial" w:cs="Arial"/>
          <w:color w:val="000000"/>
          <w:kern w:val="0"/>
          <w:szCs w:val="21"/>
        </w:rPr>
      </w:pPr>
      <w:r>
        <w:rPr>
          <w:rFonts w:ascii="Arial" w:hAnsi="宋体" w:cs="Arial"/>
          <w:color w:val="000000"/>
          <w:kern w:val="0"/>
          <w:szCs w:val="21"/>
        </w:rPr>
        <w:t>法定代表人或授权代表（签字或盖章）：</w:t>
      </w:r>
    </w:p>
    <w:p w14:paraId="2D1B0856">
      <w:pPr>
        <w:spacing w:line="400" w:lineRule="exact"/>
        <w:ind w:firstLine="4353" w:firstLineChars="2073"/>
        <w:rPr>
          <w:rFonts w:hint="eastAsia" w:ascii="Arial" w:hAnsi="宋体" w:cs="Arial"/>
          <w:color w:val="000000"/>
          <w:kern w:val="0"/>
          <w:szCs w:val="21"/>
        </w:rPr>
      </w:pPr>
      <w:r>
        <w:rPr>
          <w:rFonts w:ascii="Arial" w:hAnsi="宋体" w:cs="Arial"/>
          <w:color w:val="000000"/>
          <w:kern w:val="0"/>
          <w:szCs w:val="21"/>
        </w:rPr>
        <w:t>日期：</w:t>
      </w:r>
    </w:p>
    <w:p w14:paraId="591D2D10">
      <w:pPr>
        <w:pStyle w:val="3"/>
        <w:jc w:val="center"/>
        <w:rPr>
          <w:rFonts w:hint="eastAsia" w:ascii="宋体" w:hAnsi="宋体" w:eastAsia="宋体"/>
          <w:color w:val="000000"/>
          <w:sz w:val="24"/>
          <w:szCs w:val="24"/>
        </w:rPr>
      </w:pPr>
      <w:bookmarkStart w:id="116" w:name="_Toc420077694"/>
      <w:bookmarkStart w:id="117" w:name="_Toc15687"/>
      <w:r>
        <w:rPr>
          <w:rFonts w:hint="eastAsia" w:ascii="宋体" w:hAnsi="宋体" w:eastAsia="宋体"/>
          <w:color w:val="000000"/>
          <w:sz w:val="24"/>
          <w:szCs w:val="24"/>
        </w:rPr>
        <w:br w:type="page"/>
      </w:r>
      <w:bookmarkStart w:id="118" w:name="_Toc21062"/>
      <w:bookmarkStart w:id="119" w:name="_Toc94001207"/>
      <w:r>
        <w:rPr>
          <w:rFonts w:hint="eastAsia" w:ascii="宋体" w:hAnsi="宋体" w:eastAsia="宋体"/>
          <w:b/>
          <w:bCs w:val="0"/>
          <w:color w:val="000000"/>
          <w:sz w:val="32"/>
          <w:szCs w:val="32"/>
        </w:rPr>
        <w:t>附件</w:t>
      </w:r>
      <w:r>
        <w:rPr>
          <w:rFonts w:hint="eastAsia" w:ascii="宋体" w:hAnsi="宋体" w:eastAsia="宋体"/>
          <w:b/>
          <w:bCs w:val="0"/>
          <w:color w:val="000000"/>
          <w:sz w:val="32"/>
          <w:szCs w:val="32"/>
          <w:lang w:val="en-US" w:eastAsia="zh-CN"/>
        </w:rPr>
        <w:t>8</w:t>
      </w:r>
      <w:r>
        <w:rPr>
          <w:rFonts w:hint="eastAsia" w:ascii="宋体" w:hAnsi="宋体" w:eastAsia="宋体"/>
          <w:b/>
          <w:bCs w:val="0"/>
          <w:color w:val="000000"/>
          <w:sz w:val="32"/>
          <w:szCs w:val="32"/>
        </w:rPr>
        <w:t xml:space="preserve">   人员配置一览表</w:t>
      </w:r>
      <w:bookmarkEnd w:id="118"/>
    </w:p>
    <w:p w14:paraId="3F632F8C">
      <w:pPr>
        <w:spacing w:before="156" w:beforeLines="50" w:line="400" w:lineRule="exact"/>
        <w:rPr>
          <w:rFonts w:hint="eastAsia"/>
          <w:b/>
          <w:bCs/>
          <w:color w:val="000000"/>
          <w:sz w:val="30"/>
        </w:rPr>
      </w:pPr>
      <w:r>
        <w:rPr>
          <w:rFonts w:hint="eastAsia"/>
          <w:color w:val="000000"/>
        </w:rPr>
        <w:t>项目名称：</w:t>
      </w:r>
      <w:r>
        <w:rPr>
          <w:rFonts w:hint="eastAsia"/>
          <w:color w:val="000000"/>
          <w:lang w:val="en-US" w:eastAsia="zh-CN"/>
        </w:rPr>
        <w:t xml:space="preserve">                                        </w:t>
      </w:r>
      <w:r>
        <w:rPr>
          <w:rFonts w:hint="eastAsia" w:ascii="宋体" w:hAnsi="宋体" w:cs="宋体"/>
          <w:b/>
          <w:color w:val="000000"/>
          <w:szCs w:val="21"/>
        </w:rPr>
        <w:t>项目编号：</w:t>
      </w:r>
    </w:p>
    <w:tbl>
      <w:tblPr>
        <w:tblStyle w:val="49"/>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70"/>
        <w:gridCol w:w="1130"/>
        <w:gridCol w:w="1390"/>
        <w:gridCol w:w="1026"/>
        <w:gridCol w:w="1354"/>
        <w:gridCol w:w="1920"/>
        <w:gridCol w:w="1099"/>
      </w:tblGrid>
      <w:tr w14:paraId="4546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991" w:type="dxa"/>
            <w:noWrap w:val="0"/>
            <w:vAlign w:val="center"/>
          </w:tcPr>
          <w:p w14:paraId="5D1651CD">
            <w:pPr>
              <w:spacing w:line="360" w:lineRule="exact"/>
              <w:jc w:val="center"/>
              <w:rPr>
                <w:rFonts w:ascii="宋体" w:cs="Arial"/>
                <w:b/>
                <w:color w:val="auto"/>
                <w:sz w:val="22"/>
                <w:szCs w:val="22"/>
                <w:highlight w:val="none"/>
              </w:rPr>
            </w:pPr>
            <w:r>
              <w:rPr>
                <w:rFonts w:hint="eastAsia" w:ascii="宋体" w:cs="Arial"/>
                <w:b/>
                <w:color w:val="auto"/>
                <w:sz w:val="22"/>
                <w:szCs w:val="22"/>
                <w:highlight w:val="none"/>
              </w:rPr>
              <w:t>序号</w:t>
            </w:r>
          </w:p>
        </w:tc>
        <w:tc>
          <w:tcPr>
            <w:tcW w:w="970" w:type="dxa"/>
            <w:noWrap w:val="0"/>
            <w:vAlign w:val="center"/>
          </w:tcPr>
          <w:p w14:paraId="72D57A9C">
            <w:pPr>
              <w:spacing w:line="360" w:lineRule="exact"/>
              <w:jc w:val="center"/>
              <w:rPr>
                <w:rFonts w:ascii="宋体" w:cs="Arial"/>
                <w:b/>
                <w:color w:val="auto"/>
                <w:sz w:val="22"/>
                <w:szCs w:val="22"/>
                <w:highlight w:val="none"/>
              </w:rPr>
            </w:pPr>
            <w:r>
              <w:rPr>
                <w:rFonts w:ascii="宋体" w:cs="Arial"/>
                <w:b/>
                <w:color w:val="auto"/>
                <w:sz w:val="22"/>
                <w:szCs w:val="22"/>
                <w:highlight w:val="none"/>
              </w:rPr>
              <w:t>姓名</w:t>
            </w:r>
          </w:p>
        </w:tc>
        <w:tc>
          <w:tcPr>
            <w:tcW w:w="1130" w:type="dxa"/>
            <w:noWrap w:val="0"/>
            <w:vAlign w:val="center"/>
          </w:tcPr>
          <w:p w14:paraId="60483D02">
            <w:pPr>
              <w:spacing w:line="360" w:lineRule="exact"/>
              <w:jc w:val="center"/>
              <w:rPr>
                <w:rFonts w:ascii="宋体" w:cs="Arial"/>
                <w:b/>
                <w:color w:val="auto"/>
                <w:sz w:val="22"/>
                <w:szCs w:val="22"/>
                <w:highlight w:val="none"/>
              </w:rPr>
            </w:pPr>
            <w:r>
              <w:rPr>
                <w:rFonts w:ascii="宋体" w:cs="Arial"/>
                <w:b/>
                <w:color w:val="auto"/>
                <w:sz w:val="22"/>
                <w:szCs w:val="22"/>
                <w:highlight w:val="none"/>
              </w:rPr>
              <w:t>性别</w:t>
            </w:r>
          </w:p>
        </w:tc>
        <w:tc>
          <w:tcPr>
            <w:tcW w:w="1390" w:type="dxa"/>
            <w:noWrap w:val="0"/>
            <w:vAlign w:val="center"/>
          </w:tcPr>
          <w:p w14:paraId="4724C989">
            <w:pPr>
              <w:spacing w:line="360" w:lineRule="exact"/>
              <w:jc w:val="center"/>
              <w:rPr>
                <w:rFonts w:ascii="宋体" w:cs="Arial"/>
                <w:b/>
                <w:color w:val="auto"/>
                <w:sz w:val="22"/>
                <w:szCs w:val="22"/>
                <w:highlight w:val="none"/>
              </w:rPr>
            </w:pPr>
            <w:r>
              <w:rPr>
                <w:rFonts w:hint="eastAsia" w:ascii="宋体" w:cs="Arial"/>
                <w:b/>
                <w:color w:val="auto"/>
                <w:sz w:val="22"/>
                <w:szCs w:val="22"/>
                <w:highlight w:val="none"/>
              </w:rPr>
              <w:t>专业、学历</w:t>
            </w:r>
          </w:p>
        </w:tc>
        <w:tc>
          <w:tcPr>
            <w:tcW w:w="1026" w:type="dxa"/>
            <w:noWrap w:val="0"/>
            <w:vAlign w:val="center"/>
          </w:tcPr>
          <w:p w14:paraId="7F0E5C05">
            <w:pPr>
              <w:spacing w:line="360" w:lineRule="exact"/>
              <w:jc w:val="center"/>
              <w:rPr>
                <w:rFonts w:ascii="宋体" w:cs="Arial"/>
                <w:b/>
                <w:color w:val="auto"/>
                <w:sz w:val="22"/>
                <w:szCs w:val="22"/>
                <w:highlight w:val="none"/>
              </w:rPr>
            </w:pPr>
            <w:r>
              <w:rPr>
                <w:rFonts w:ascii="宋体" w:cs="Arial"/>
                <w:b/>
                <w:color w:val="auto"/>
                <w:sz w:val="22"/>
                <w:szCs w:val="22"/>
                <w:highlight w:val="none"/>
              </w:rPr>
              <w:t>职称</w:t>
            </w:r>
          </w:p>
        </w:tc>
        <w:tc>
          <w:tcPr>
            <w:tcW w:w="1354" w:type="dxa"/>
            <w:noWrap w:val="0"/>
            <w:vAlign w:val="center"/>
          </w:tcPr>
          <w:p w14:paraId="38F2C411">
            <w:pPr>
              <w:adjustRightInd w:val="0"/>
              <w:snapToGrid w:val="0"/>
              <w:jc w:val="center"/>
              <w:rPr>
                <w:rFonts w:ascii="宋体" w:cs="Arial"/>
                <w:b/>
                <w:color w:val="auto"/>
                <w:sz w:val="22"/>
                <w:szCs w:val="22"/>
                <w:highlight w:val="none"/>
              </w:rPr>
            </w:pPr>
            <w:r>
              <w:rPr>
                <w:rFonts w:hint="eastAsia" w:ascii="宋体"/>
                <w:b/>
                <w:color w:val="auto"/>
                <w:sz w:val="22"/>
                <w:szCs w:val="22"/>
                <w:highlight w:val="none"/>
              </w:rPr>
              <w:t>执业资格</w:t>
            </w:r>
          </w:p>
        </w:tc>
        <w:tc>
          <w:tcPr>
            <w:tcW w:w="1920" w:type="dxa"/>
            <w:noWrap w:val="0"/>
            <w:vAlign w:val="center"/>
          </w:tcPr>
          <w:p w14:paraId="13E9AC8C">
            <w:pPr>
              <w:spacing w:line="360" w:lineRule="exact"/>
              <w:jc w:val="center"/>
              <w:rPr>
                <w:rFonts w:ascii="宋体" w:cs="Arial"/>
                <w:b/>
                <w:color w:val="auto"/>
                <w:sz w:val="22"/>
                <w:szCs w:val="22"/>
                <w:highlight w:val="none"/>
              </w:rPr>
            </w:pPr>
            <w:r>
              <w:rPr>
                <w:rFonts w:hint="eastAsia" w:ascii="宋体" w:cs="Arial"/>
                <w:b/>
                <w:color w:val="auto"/>
                <w:sz w:val="22"/>
                <w:szCs w:val="22"/>
                <w:highlight w:val="none"/>
              </w:rPr>
              <w:t>工作年限</w:t>
            </w:r>
          </w:p>
        </w:tc>
        <w:tc>
          <w:tcPr>
            <w:tcW w:w="1099" w:type="dxa"/>
            <w:noWrap w:val="0"/>
            <w:vAlign w:val="center"/>
          </w:tcPr>
          <w:p w14:paraId="20B0C095">
            <w:pPr>
              <w:spacing w:line="360" w:lineRule="exact"/>
              <w:jc w:val="center"/>
              <w:rPr>
                <w:rFonts w:ascii="宋体" w:cs="Arial"/>
                <w:b/>
                <w:color w:val="auto"/>
                <w:sz w:val="22"/>
                <w:szCs w:val="22"/>
                <w:highlight w:val="none"/>
              </w:rPr>
            </w:pPr>
            <w:r>
              <w:rPr>
                <w:rFonts w:hint="eastAsia" w:ascii="宋体" w:cs="Arial"/>
                <w:b/>
                <w:color w:val="auto"/>
                <w:sz w:val="22"/>
                <w:szCs w:val="22"/>
                <w:highlight w:val="none"/>
              </w:rPr>
              <w:t>备注</w:t>
            </w:r>
          </w:p>
        </w:tc>
      </w:tr>
      <w:tr w14:paraId="7FD6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6961ACC4">
            <w:pPr>
              <w:spacing w:line="360" w:lineRule="exact"/>
              <w:jc w:val="center"/>
              <w:rPr>
                <w:rFonts w:ascii="宋体" w:cs="Arial"/>
                <w:b/>
                <w:color w:val="auto"/>
                <w:sz w:val="22"/>
                <w:szCs w:val="22"/>
                <w:highlight w:val="none"/>
              </w:rPr>
            </w:pPr>
          </w:p>
        </w:tc>
        <w:tc>
          <w:tcPr>
            <w:tcW w:w="970" w:type="dxa"/>
            <w:noWrap w:val="0"/>
            <w:vAlign w:val="center"/>
          </w:tcPr>
          <w:p w14:paraId="51FAD43B">
            <w:pPr>
              <w:spacing w:line="360" w:lineRule="exact"/>
              <w:jc w:val="center"/>
              <w:rPr>
                <w:rFonts w:ascii="宋体" w:cs="Arial"/>
                <w:b/>
                <w:color w:val="auto"/>
                <w:sz w:val="22"/>
                <w:szCs w:val="22"/>
                <w:highlight w:val="none"/>
              </w:rPr>
            </w:pPr>
          </w:p>
        </w:tc>
        <w:tc>
          <w:tcPr>
            <w:tcW w:w="1130" w:type="dxa"/>
            <w:noWrap w:val="0"/>
            <w:vAlign w:val="center"/>
          </w:tcPr>
          <w:p w14:paraId="32035041">
            <w:pPr>
              <w:spacing w:line="360" w:lineRule="exact"/>
              <w:jc w:val="center"/>
              <w:rPr>
                <w:rFonts w:ascii="宋体" w:cs="Arial"/>
                <w:b/>
                <w:color w:val="auto"/>
                <w:sz w:val="22"/>
                <w:szCs w:val="22"/>
                <w:highlight w:val="none"/>
              </w:rPr>
            </w:pPr>
          </w:p>
        </w:tc>
        <w:tc>
          <w:tcPr>
            <w:tcW w:w="1390" w:type="dxa"/>
            <w:noWrap w:val="0"/>
            <w:vAlign w:val="center"/>
          </w:tcPr>
          <w:p w14:paraId="406B8F82">
            <w:pPr>
              <w:spacing w:line="360" w:lineRule="exact"/>
              <w:jc w:val="center"/>
              <w:rPr>
                <w:rFonts w:ascii="宋体" w:cs="Arial"/>
                <w:b/>
                <w:color w:val="auto"/>
                <w:sz w:val="22"/>
                <w:szCs w:val="22"/>
                <w:highlight w:val="none"/>
              </w:rPr>
            </w:pPr>
          </w:p>
        </w:tc>
        <w:tc>
          <w:tcPr>
            <w:tcW w:w="1026" w:type="dxa"/>
            <w:noWrap w:val="0"/>
            <w:vAlign w:val="center"/>
          </w:tcPr>
          <w:p w14:paraId="630807FA">
            <w:pPr>
              <w:spacing w:line="360" w:lineRule="exact"/>
              <w:jc w:val="center"/>
              <w:rPr>
                <w:rFonts w:ascii="宋体" w:cs="Arial"/>
                <w:b/>
                <w:color w:val="auto"/>
                <w:sz w:val="22"/>
                <w:szCs w:val="22"/>
                <w:highlight w:val="none"/>
              </w:rPr>
            </w:pPr>
          </w:p>
        </w:tc>
        <w:tc>
          <w:tcPr>
            <w:tcW w:w="1354" w:type="dxa"/>
            <w:noWrap w:val="0"/>
            <w:vAlign w:val="center"/>
          </w:tcPr>
          <w:p w14:paraId="4517B5FE">
            <w:pPr>
              <w:spacing w:line="360" w:lineRule="exact"/>
              <w:jc w:val="center"/>
              <w:rPr>
                <w:rFonts w:ascii="宋体" w:cs="Arial"/>
                <w:b/>
                <w:color w:val="auto"/>
                <w:sz w:val="22"/>
                <w:szCs w:val="22"/>
                <w:highlight w:val="none"/>
              </w:rPr>
            </w:pPr>
          </w:p>
        </w:tc>
        <w:tc>
          <w:tcPr>
            <w:tcW w:w="1920" w:type="dxa"/>
            <w:noWrap w:val="0"/>
            <w:vAlign w:val="top"/>
          </w:tcPr>
          <w:p w14:paraId="560DB929">
            <w:pPr>
              <w:spacing w:line="360" w:lineRule="exact"/>
              <w:jc w:val="center"/>
              <w:rPr>
                <w:rFonts w:ascii="宋体" w:cs="Arial"/>
                <w:b/>
                <w:color w:val="auto"/>
                <w:sz w:val="22"/>
                <w:szCs w:val="22"/>
                <w:highlight w:val="none"/>
              </w:rPr>
            </w:pPr>
          </w:p>
        </w:tc>
        <w:tc>
          <w:tcPr>
            <w:tcW w:w="1099" w:type="dxa"/>
            <w:noWrap w:val="0"/>
            <w:vAlign w:val="center"/>
          </w:tcPr>
          <w:p w14:paraId="6FC9EA7C">
            <w:pPr>
              <w:spacing w:line="360" w:lineRule="exact"/>
              <w:jc w:val="center"/>
              <w:rPr>
                <w:rFonts w:ascii="宋体" w:cs="Arial"/>
                <w:b/>
                <w:color w:val="auto"/>
                <w:sz w:val="22"/>
                <w:szCs w:val="22"/>
                <w:highlight w:val="none"/>
              </w:rPr>
            </w:pPr>
          </w:p>
        </w:tc>
      </w:tr>
      <w:tr w14:paraId="7D06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23EC5146">
            <w:pPr>
              <w:spacing w:line="360" w:lineRule="exact"/>
              <w:jc w:val="center"/>
              <w:rPr>
                <w:rFonts w:ascii="宋体" w:cs="Arial"/>
                <w:b/>
                <w:color w:val="auto"/>
                <w:sz w:val="22"/>
                <w:szCs w:val="22"/>
                <w:highlight w:val="none"/>
              </w:rPr>
            </w:pPr>
          </w:p>
        </w:tc>
        <w:tc>
          <w:tcPr>
            <w:tcW w:w="970" w:type="dxa"/>
            <w:noWrap w:val="0"/>
            <w:vAlign w:val="center"/>
          </w:tcPr>
          <w:p w14:paraId="73CF5518">
            <w:pPr>
              <w:spacing w:line="360" w:lineRule="exact"/>
              <w:jc w:val="center"/>
              <w:rPr>
                <w:rFonts w:ascii="宋体" w:cs="Arial"/>
                <w:b/>
                <w:color w:val="auto"/>
                <w:sz w:val="22"/>
                <w:szCs w:val="22"/>
                <w:highlight w:val="none"/>
              </w:rPr>
            </w:pPr>
          </w:p>
        </w:tc>
        <w:tc>
          <w:tcPr>
            <w:tcW w:w="1130" w:type="dxa"/>
            <w:noWrap w:val="0"/>
            <w:vAlign w:val="center"/>
          </w:tcPr>
          <w:p w14:paraId="37A48DF3">
            <w:pPr>
              <w:spacing w:line="360" w:lineRule="exact"/>
              <w:jc w:val="center"/>
              <w:rPr>
                <w:rFonts w:ascii="宋体" w:cs="Arial"/>
                <w:b/>
                <w:color w:val="auto"/>
                <w:sz w:val="22"/>
                <w:szCs w:val="22"/>
                <w:highlight w:val="none"/>
              </w:rPr>
            </w:pPr>
          </w:p>
        </w:tc>
        <w:tc>
          <w:tcPr>
            <w:tcW w:w="1390" w:type="dxa"/>
            <w:noWrap w:val="0"/>
            <w:vAlign w:val="center"/>
          </w:tcPr>
          <w:p w14:paraId="5D7BEB96">
            <w:pPr>
              <w:spacing w:line="360" w:lineRule="exact"/>
              <w:jc w:val="center"/>
              <w:rPr>
                <w:rFonts w:ascii="宋体" w:cs="Arial"/>
                <w:b/>
                <w:color w:val="auto"/>
                <w:sz w:val="22"/>
                <w:szCs w:val="22"/>
                <w:highlight w:val="none"/>
              </w:rPr>
            </w:pPr>
          </w:p>
        </w:tc>
        <w:tc>
          <w:tcPr>
            <w:tcW w:w="1026" w:type="dxa"/>
            <w:noWrap w:val="0"/>
            <w:vAlign w:val="center"/>
          </w:tcPr>
          <w:p w14:paraId="17C0CB3C">
            <w:pPr>
              <w:spacing w:line="360" w:lineRule="exact"/>
              <w:jc w:val="center"/>
              <w:rPr>
                <w:rFonts w:ascii="宋体" w:cs="Arial"/>
                <w:b/>
                <w:color w:val="auto"/>
                <w:sz w:val="22"/>
                <w:szCs w:val="22"/>
                <w:highlight w:val="none"/>
              </w:rPr>
            </w:pPr>
          </w:p>
        </w:tc>
        <w:tc>
          <w:tcPr>
            <w:tcW w:w="1354" w:type="dxa"/>
            <w:noWrap w:val="0"/>
            <w:vAlign w:val="center"/>
          </w:tcPr>
          <w:p w14:paraId="5588D023">
            <w:pPr>
              <w:spacing w:line="360" w:lineRule="exact"/>
              <w:jc w:val="center"/>
              <w:rPr>
                <w:rFonts w:ascii="宋体" w:cs="Arial"/>
                <w:b/>
                <w:color w:val="auto"/>
                <w:sz w:val="22"/>
                <w:szCs w:val="22"/>
                <w:highlight w:val="none"/>
              </w:rPr>
            </w:pPr>
          </w:p>
        </w:tc>
        <w:tc>
          <w:tcPr>
            <w:tcW w:w="1920" w:type="dxa"/>
            <w:noWrap w:val="0"/>
            <w:vAlign w:val="top"/>
          </w:tcPr>
          <w:p w14:paraId="491BABE3">
            <w:pPr>
              <w:spacing w:line="360" w:lineRule="exact"/>
              <w:jc w:val="center"/>
              <w:rPr>
                <w:rFonts w:ascii="宋体" w:cs="Arial"/>
                <w:b/>
                <w:color w:val="auto"/>
                <w:sz w:val="22"/>
                <w:szCs w:val="22"/>
                <w:highlight w:val="none"/>
              </w:rPr>
            </w:pPr>
          </w:p>
        </w:tc>
        <w:tc>
          <w:tcPr>
            <w:tcW w:w="1099" w:type="dxa"/>
            <w:noWrap w:val="0"/>
            <w:vAlign w:val="center"/>
          </w:tcPr>
          <w:p w14:paraId="5CC9BFE9">
            <w:pPr>
              <w:spacing w:line="360" w:lineRule="exact"/>
              <w:jc w:val="center"/>
              <w:rPr>
                <w:rFonts w:ascii="宋体" w:cs="Arial"/>
                <w:b/>
                <w:color w:val="auto"/>
                <w:sz w:val="22"/>
                <w:szCs w:val="22"/>
                <w:highlight w:val="none"/>
              </w:rPr>
            </w:pPr>
          </w:p>
        </w:tc>
      </w:tr>
      <w:tr w14:paraId="1272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31127800">
            <w:pPr>
              <w:spacing w:line="360" w:lineRule="exact"/>
              <w:jc w:val="center"/>
              <w:rPr>
                <w:rFonts w:ascii="宋体" w:cs="Arial"/>
                <w:b/>
                <w:color w:val="auto"/>
                <w:sz w:val="22"/>
                <w:szCs w:val="22"/>
                <w:highlight w:val="none"/>
              </w:rPr>
            </w:pPr>
          </w:p>
        </w:tc>
        <w:tc>
          <w:tcPr>
            <w:tcW w:w="970" w:type="dxa"/>
            <w:noWrap w:val="0"/>
            <w:vAlign w:val="center"/>
          </w:tcPr>
          <w:p w14:paraId="623CE8D9">
            <w:pPr>
              <w:spacing w:line="360" w:lineRule="exact"/>
              <w:jc w:val="center"/>
              <w:rPr>
                <w:rFonts w:ascii="宋体" w:cs="Arial"/>
                <w:b/>
                <w:color w:val="auto"/>
                <w:sz w:val="22"/>
                <w:szCs w:val="22"/>
                <w:highlight w:val="none"/>
              </w:rPr>
            </w:pPr>
          </w:p>
        </w:tc>
        <w:tc>
          <w:tcPr>
            <w:tcW w:w="1130" w:type="dxa"/>
            <w:noWrap w:val="0"/>
            <w:vAlign w:val="center"/>
          </w:tcPr>
          <w:p w14:paraId="2561E55F">
            <w:pPr>
              <w:spacing w:line="360" w:lineRule="exact"/>
              <w:jc w:val="center"/>
              <w:rPr>
                <w:rFonts w:ascii="宋体" w:cs="Arial"/>
                <w:b/>
                <w:color w:val="auto"/>
                <w:sz w:val="22"/>
                <w:szCs w:val="22"/>
                <w:highlight w:val="none"/>
              </w:rPr>
            </w:pPr>
          </w:p>
        </w:tc>
        <w:tc>
          <w:tcPr>
            <w:tcW w:w="1390" w:type="dxa"/>
            <w:noWrap w:val="0"/>
            <w:vAlign w:val="center"/>
          </w:tcPr>
          <w:p w14:paraId="1E6FC3CA">
            <w:pPr>
              <w:spacing w:line="360" w:lineRule="exact"/>
              <w:jc w:val="center"/>
              <w:rPr>
                <w:rFonts w:ascii="宋体" w:cs="Arial"/>
                <w:b/>
                <w:color w:val="auto"/>
                <w:sz w:val="22"/>
                <w:szCs w:val="22"/>
                <w:highlight w:val="none"/>
              </w:rPr>
            </w:pPr>
          </w:p>
        </w:tc>
        <w:tc>
          <w:tcPr>
            <w:tcW w:w="1026" w:type="dxa"/>
            <w:noWrap w:val="0"/>
            <w:vAlign w:val="center"/>
          </w:tcPr>
          <w:p w14:paraId="6EAF1340">
            <w:pPr>
              <w:spacing w:line="360" w:lineRule="exact"/>
              <w:jc w:val="center"/>
              <w:rPr>
                <w:rFonts w:ascii="宋体" w:cs="Arial"/>
                <w:b/>
                <w:color w:val="auto"/>
                <w:sz w:val="22"/>
                <w:szCs w:val="22"/>
                <w:highlight w:val="none"/>
              </w:rPr>
            </w:pPr>
          </w:p>
        </w:tc>
        <w:tc>
          <w:tcPr>
            <w:tcW w:w="1354" w:type="dxa"/>
            <w:noWrap w:val="0"/>
            <w:vAlign w:val="center"/>
          </w:tcPr>
          <w:p w14:paraId="26C61FC6">
            <w:pPr>
              <w:spacing w:line="360" w:lineRule="exact"/>
              <w:jc w:val="center"/>
              <w:rPr>
                <w:rFonts w:ascii="宋体" w:cs="Arial"/>
                <w:b/>
                <w:color w:val="auto"/>
                <w:sz w:val="22"/>
                <w:szCs w:val="22"/>
                <w:highlight w:val="none"/>
              </w:rPr>
            </w:pPr>
          </w:p>
        </w:tc>
        <w:tc>
          <w:tcPr>
            <w:tcW w:w="1920" w:type="dxa"/>
            <w:noWrap w:val="0"/>
            <w:vAlign w:val="top"/>
          </w:tcPr>
          <w:p w14:paraId="5CB9A06B">
            <w:pPr>
              <w:spacing w:line="360" w:lineRule="exact"/>
              <w:jc w:val="center"/>
              <w:rPr>
                <w:rFonts w:ascii="宋体" w:cs="Arial"/>
                <w:b/>
                <w:color w:val="auto"/>
                <w:sz w:val="22"/>
                <w:szCs w:val="22"/>
                <w:highlight w:val="none"/>
              </w:rPr>
            </w:pPr>
          </w:p>
        </w:tc>
        <w:tc>
          <w:tcPr>
            <w:tcW w:w="1099" w:type="dxa"/>
            <w:noWrap w:val="0"/>
            <w:vAlign w:val="center"/>
          </w:tcPr>
          <w:p w14:paraId="50898B6B">
            <w:pPr>
              <w:spacing w:line="360" w:lineRule="exact"/>
              <w:jc w:val="center"/>
              <w:rPr>
                <w:rFonts w:ascii="宋体" w:cs="Arial"/>
                <w:b/>
                <w:color w:val="auto"/>
                <w:sz w:val="22"/>
                <w:szCs w:val="22"/>
                <w:highlight w:val="none"/>
              </w:rPr>
            </w:pPr>
          </w:p>
        </w:tc>
      </w:tr>
      <w:tr w14:paraId="197D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27206F09">
            <w:pPr>
              <w:spacing w:line="360" w:lineRule="exact"/>
              <w:jc w:val="center"/>
              <w:rPr>
                <w:rFonts w:ascii="宋体" w:cs="Arial"/>
                <w:b/>
                <w:color w:val="auto"/>
                <w:sz w:val="22"/>
                <w:szCs w:val="22"/>
                <w:highlight w:val="none"/>
              </w:rPr>
            </w:pPr>
          </w:p>
        </w:tc>
        <w:tc>
          <w:tcPr>
            <w:tcW w:w="970" w:type="dxa"/>
            <w:noWrap w:val="0"/>
            <w:vAlign w:val="center"/>
          </w:tcPr>
          <w:p w14:paraId="0B652A29">
            <w:pPr>
              <w:spacing w:line="360" w:lineRule="exact"/>
              <w:jc w:val="center"/>
              <w:rPr>
                <w:rFonts w:ascii="宋体" w:cs="Arial"/>
                <w:b/>
                <w:color w:val="auto"/>
                <w:sz w:val="22"/>
                <w:szCs w:val="22"/>
                <w:highlight w:val="none"/>
              </w:rPr>
            </w:pPr>
          </w:p>
        </w:tc>
        <w:tc>
          <w:tcPr>
            <w:tcW w:w="1130" w:type="dxa"/>
            <w:noWrap w:val="0"/>
            <w:vAlign w:val="center"/>
          </w:tcPr>
          <w:p w14:paraId="2FC91843">
            <w:pPr>
              <w:spacing w:line="360" w:lineRule="exact"/>
              <w:jc w:val="center"/>
              <w:rPr>
                <w:rFonts w:ascii="宋体" w:cs="Arial"/>
                <w:b/>
                <w:color w:val="auto"/>
                <w:sz w:val="22"/>
                <w:szCs w:val="22"/>
                <w:highlight w:val="none"/>
              </w:rPr>
            </w:pPr>
          </w:p>
        </w:tc>
        <w:tc>
          <w:tcPr>
            <w:tcW w:w="1390" w:type="dxa"/>
            <w:noWrap w:val="0"/>
            <w:vAlign w:val="center"/>
          </w:tcPr>
          <w:p w14:paraId="031B1AB5">
            <w:pPr>
              <w:spacing w:line="360" w:lineRule="exact"/>
              <w:jc w:val="center"/>
              <w:rPr>
                <w:rFonts w:ascii="宋体" w:cs="Arial"/>
                <w:b/>
                <w:color w:val="auto"/>
                <w:sz w:val="22"/>
                <w:szCs w:val="22"/>
                <w:highlight w:val="none"/>
              </w:rPr>
            </w:pPr>
          </w:p>
        </w:tc>
        <w:tc>
          <w:tcPr>
            <w:tcW w:w="1026" w:type="dxa"/>
            <w:noWrap w:val="0"/>
            <w:vAlign w:val="center"/>
          </w:tcPr>
          <w:p w14:paraId="18F3EA6E">
            <w:pPr>
              <w:spacing w:line="360" w:lineRule="exact"/>
              <w:jc w:val="center"/>
              <w:rPr>
                <w:rFonts w:ascii="宋体" w:cs="Arial"/>
                <w:b/>
                <w:color w:val="auto"/>
                <w:sz w:val="22"/>
                <w:szCs w:val="22"/>
                <w:highlight w:val="none"/>
              </w:rPr>
            </w:pPr>
          </w:p>
        </w:tc>
        <w:tc>
          <w:tcPr>
            <w:tcW w:w="1354" w:type="dxa"/>
            <w:noWrap w:val="0"/>
            <w:vAlign w:val="center"/>
          </w:tcPr>
          <w:p w14:paraId="5EFBFDC3">
            <w:pPr>
              <w:spacing w:line="360" w:lineRule="exact"/>
              <w:jc w:val="center"/>
              <w:rPr>
                <w:rFonts w:ascii="宋体" w:cs="Arial"/>
                <w:b/>
                <w:color w:val="auto"/>
                <w:sz w:val="22"/>
                <w:szCs w:val="22"/>
                <w:highlight w:val="none"/>
              </w:rPr>
            </w:pPr>
          </w:p>
        </w:tc>
        <w:tc>
          <w:tcPr>
            <w:tcW w:w="1920" w:type="dxa"/>
            <w:noWrap w:val="0"/>
            <w:vAlign w:val="top"/>
          </w:tcPr>
          <w:p w14:paraId="0A6A088E">
            <w:pPr>
              <w:spacing w:line="360" w:lineRule="exact"/>
              <w:jc w:val="center"/>
              <w:rPr>
                <w:rFonts w:ascii="宋体" w:cs="Arial"/>
                <w:b/>
                <w:color w:val="auto"/>
                <w:sz w:val="22"/>
                <w:szCs w:val="22"/>
                <w:highlight w:val="none"/>
              </w:rPr>
            </w:pPr>
          </w:p>
        </w:tc>
        <w:tc>
          <w:tcPr>
            <w:tcW w:w="1099" w:type="dxa"/>
            <w:noWrap w:val="0"/>
            <w:vAlign w:val="center"/>
          </w:tcPr>
          <w:p w14:paraId="509258D0">
            <w:pPr>
              <w:spacing w:line="360" w:lineRule="exact"/>
              <w:jc w:val="center"/>
              <w:rPr>
                <w:rFonts w:ascii="宋体" w:cs="Arial"/>
                <w:b/>
                <w:color w:val="auto"/>
                <w:sz w:val="22"/>
                <w:szCs w:val="22"/>
                <w:highlight w:val="none"/>
              </w:rPr>
            </w:pPr>
          </w:p>
        </w:tc>
      </w:tr>
      <w:tr w14:paraId="4F7E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61D7D086">
            <w:pPr>
              <w:spacing w:line="360" w:lineRule="exact"/>
              <w:jc w:val="center"/>
              <w:rPr>
                <w:rFonts w:ascii="宋体" w:cs="Arial"/>
                <w:b/>
                <w:color w:val="auto"/>
                <w:sz w:val="22"/>
                <w:szCs w:val="22"/>
                <w:highlight w:val="none"/>
              </w:rPr>
            </w:pPr>
          </w:p>
        </w:tc>
        <w:tc>
          <w:tcPr>
            <w:tcW w:w="970" w:type="dxa"/>
            <w:noWrap w:val="0"/>
            <w:vAlign w:val="center"/>
          </w:tcPr>
          <w:p w14:paraId="60E82B66">
            <w:pPr>
              <w:spacing w:line="360" w:lineRule="exact"/>
              <w:jc w:val="center"/>
              <w:rPr>
                <w:rFonts w:ascii="宋体" w:cs="Arial"/>
                <w:b/>
                <w:color w:val="auto"/>
                <w:sz w:val="22"/>
                <w:szCs w:val="22"/>
                <w:highlight w:val="none"/>
              </w:rPr>
            </w:pPr>
          </w:p>
        </w:tc>
        <w:tc>
          <w:tcPr>
            <w:tcW w:w="1130" w:type="dxa"/>
            <w:noWrap w:val="0"/>
            <w:vAlign w:val="center"/>
          </w:tcPr>
          <w:p w14:paraId="31BF3D2F">
            <w:pPr>
              <w:spacing w:line="360" w:lineRule="exact"/>
              <w:jc w:val="center"/>
              <w:rPr>
                <w:rFonts w:ascii="宋体" w:cs="Arial"/>
                <w:b/>
                <w:color w:val="auto"/>
                <w:sz w:val="22"/>
                <w:szCs w:val="22"/>
                <w:highlight w:val="none"/>
              </w:rPr>
            </w:pPr>
          </w:p>
        </w:tc>
        <w:tc>
          <w:tcPr>
            <w:tcW w:w="1390" w:type="dxa"/>
            <w:noWrap w:val="0"/>
            <w:vAlign w:val="center"/>
          </w:tcPr>
          <w:p w14:paraId="658AD8F6">
            <w:pPr>
              <w:spacing w:line="360" w:lineRule="exact"/>
              <w:jc w:val="center"/>
              <w:rPr>
                <w:rFonts w:ascii="宋体" w:cs="Arial"/>
                <w:b/>
                <w:color w:val="auto"/>
                <w:sz w:val="22"/>
                <w:szCs w:val="22"/>
                <w:highlight w:val="none"/>
              </w:rPr>
            </w:pPr>
          </w:p>
        </w:tc>
        <w:tc>
          <w:tcPr>
            <w:tcW w:w="1026" w:type="dxa"/>
            <w:noWrap w:val="0"/>
            <w:vAlign w:val="center"/>
          </w:tcPr>
          <w:p w14:paraId="5CC2BC7D">
            <w:pPr>
              <w:spacing w:line="360" w:lineRule="exact"/>
              <w:jc w:val="center"/>
              <w:rPr>
                <w:rFonts w:ascii="宋体" w:cs="Arial"/>
                <w:b/>
                <w:color w:val="auto"/>
                <w:sz w:val="22"/>
                <w:szCs w:val="22"/>
                <w:highlight w:val="none"/>
              </w:rPr>
            </w:pPr>
          </w:p>
        </w:tc>
        <w:tc>
          <w:tcPr>
            <w:tcW w:w="1354" w:type="dxa"/>
            <w:noWrap w:val="0"/>
            <w:vAlign w:val="center"/>
          </w:tcPr>
          <w:p w14:paraId="48088D41">
            <w:pPr>
              <w:spacing w:line="360" w:lineRule="exact"/>
              <w:jc w:val="center"/>
              <w:rPr>
                <w:rFonts w:ascii="宋体" w:cs="Arial"/>
                <w:b/>
                <w:color w:val="auto"/>
                <w:sz w:val="22"/>
                <w:szCs w:val="22"/>
                <w:highlight w:val="none"/>
              </w:rPr>
            </w:pPr>
          </w:p>
        </w:tc>
        <w:tc>
          <w:tcPr>
            <w:tcW w:w="1920" w:type="dxa"/>
            <w:noWrap w:val="0"/>
            <w:vAlign w:val="top"/>
          </w:tcPr>
          <w:p w14:paraId="5B038139">
            <w:pPr>
              <w:spacing w:line="360" w:lineRule="exact"/>
              <w:jc w:val="center"/>
              <w:rPr>
                <w:rFonts w:ascii="宋体" w:cs="Arial"/>
                <w:b/>
                <w:color w:val="auto"/>
                <w:sz w:val="22"/>
                <w:szCs w:val="22"/>
                <w:highlight w:val="none"/>
              </w:rPr>
            </w:pPr>
          </w:p>
        </w:tc>
        <w:tc>
          <w:tcPr>
            <w:tcW w:w="1099" w:type="dxa"/>
            <w:noWrap w:val="0"/>
            <w:vAlign w:val="center"/>
          </w:tcPr>
          <w:p w14:paraId="2FE3505C">
            <w:pPr>
              <w:spacing w:line="360" w:lineRule="exact"/>
              <w:jc w:val="center"/>
              <w:rPr>
                <w:rFonts w:ascii="宋体" w:cs="Arial"/>
                <w:b/>
                <w:color w:val="auto"/>
                <w:sz w:val="22"/>
                <w:szCs w:val="22"/>
                <w:highlight w:val="none"/>
              </w:rPr>
            </w:pPr>
          </w:p>
        </w:tc>
      </w:tr>
      <w:tr w14:paraId="3C09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45D87FC1">
            <w:pPr>
              <w:spacing w:line="360" w:lineRule="exact"/>
              <w:jc w:val="center"/>
              <w:rPr>
                <w:rFonts w:ascii="宋体" w:cs="Arial"/>
                <w:b/>
                <w:color w:val="auto"/>
                <w:sz w:val="22"/>
                <w:szCs w:val="22"/>
                <w:highlight w:val="none"/>
              </w:rPr>
            </w:pPr>
          </w:p>
        </w:tc>
        <w:tc>
          <w:tcPr>
            <w:tcW w:w="970" w:type="dxa"/>
            <w:noWrap w:val="0"/>
            <w:vAlign w:val="center"/>
          </w:tcPr>
          <w:p w14:paraId="3FB8BF97">
            <w:pPr>
              <w:spacing w:line="360" w:lineRule="exact"/>
              <w:jc w:val="center"/>
              <w:rPr>
                <w:rFonts w:ascii="宋体" w:cs="Arial"/>
                <w:b/>
                <w:color w:val="auto"/>
                <w:sz w:val="22"/>
                <w:szCs w:val="22"/>
                <w:highlight w:val="none"/>
              </w:rPr>
            </w:pPr>
          </w:p>
        </w:tc>
        <w:tc>
          <w:tcPr>
            <w:tcW w:w="1130" w:type="dxa"/>
            <w:noWrap w:val="0"/>
            <w:vAlign w:val="center"/>
          </w:tcPr>
          <w:p w14:paraId="3D62A40E">
            <w:pPr>
              <w:spacing w:line="360" w:lineRule="exact"/>
              <w:jc w:val="center"/>
              <w:rPr>
                <w:rFonts w:ascii="宋体" w:cs="Arial"/>
                <w:b/>
                <w:color w:val="auto"/>
                <w:sz w:val="22"/>
                <w:szCs w:val="22"/>
                <w:highlight w:val="none"/>
              </w:rPr>
            </w:pPr>
          </w:p>
        </w:tc>
        <w:tc>
          <w:tcPr>
            <w:tcW w:w="1390" w:type="dxa"/>
            <w:noWrap w:val="0"/>
            <w:vAlign w:val="center"/>
          </w:tcPr>
          <w:p w14:paraId="238DE2B1">
            <w:pPr>
              <w:spacing w:line="360" w:lineRule="exact"/>
              <w:jc w:val="center"/>
              <w:rPr>
                <w:rFonts w:ascii="宋体" w:cs="Arial"/>
                <w:b/>
                <w:color w:val="auto"/>
                <w:sz w:val="22"/>
                <w:szCs w:val="22"/>
                <w:highlight w:val="none"/>
              </w:rPr>
            </w:pPr>
          </w:p>
        </w:tc>
        <w:tc>
          <w:tcPr>
            <w:tcW w:w="1026" w:type="dxa"/>
            <w:noWrap w:val="0"/>
            <w:vAlign w:val="center"/>
          </w:tcPr>
          <w:p w14:paraId="16B4B7F1">
            <w:pPr>
              <w:spacing w:line="360" w:lineRule="exact"/>
              <w:jc w:val="center"/>
              <w:rPr>
                <w:rFonts w:ascii="宋体" w:cs="Arial"/>
                <w:b/>
                <w:color w:val="auto"/>
                <w:sz w:val="22"/>
                <w:szCs w:val="22"/>
                <w:highlight w:val="none"/>
              </w:rPr>
            </w:pPr>
          </w:p>
        </w:tc>
        <w:tc>
          <w:tcPr>
            <w:tcW w:w="1354" w:type="dxa"/>
            <w:noWrap w:val="0"/>
            <w:vAlign w:val="center"/>
          </w:tcPr>
          <w:p w14:paraId="1E02742E">
            <w:pPr>
              <w:spacing w:line="360" w:lineRule="exact"/>
              <w:jc w:val="center"/>
              <w:rPr>
                <w:rFonts w:ascii="宋体" w:cs="Arial"/>
                <w:b/>
                <w:color w:val="auto"/>
                <w:sz w:val="22"/>
                <w:szCs w:val="22"/>
                <w:highlight w:val="none"/>
              </w:rPr>
            </w:pPr>
          </w:p>
        </w:tc>
        <w:tc>
          <w:tcPr>
            <w:tcW w:w="1920" w:type="dxa"/>
            <w:noWrap w:val="0"/>
            <w:vAlign w:val="top"/>
          </w:tcPr>
          <w:p w14:paraId="4A770BA7">
            <w:pPr>
              <w:spacing w:line="360" w:lineRule="exact"/>
              <w:jc w:val="center"/>
              <w:rPr>
                <w:rFonts w:ascii="宋体" w:cs="Arial"/>
                <w:b/>
                <w:color w:val="auto"/>
                <w:sz w:val="22"/>
                <w:szCs w:val="22"/>
                <w:highlight w:val="none"/>
              </w:rPr>
            </w:pPr>
          </w:p>
        </w:tc>
        <w:tc>
          <w:tcPr>
            <w:tcW w:w="1099" w:type="dxa"/>
            <w:noWrap w:val="0"/>
            <w:vAlign w:val="center"/>
          </w:tcPr>
          <w:p w14:paraId="535CAED8">
            <w:pPr>
              <w:spacing w:line="360" w:lineRule="exact"/>
              <w:jc w:val="center"/>
              <w:rPr>
                <w:rFonts w:ascii="宋体" w:cs="Arial"/>
                <w:b/>
                <w:color w:val="auto"/>
                <w:sz w:val="22"/>
                <w:szCs w:val="22"/>
                <w:highlight w:val="none"/>
              </w:rPr>
            </w:pPr>
          </w:p>
        </w:tc>
      </w:tr>
      <w:tr w14:paraId="5D48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12082B0D">
            <w:pPr>
              <w:spacing w:line="360" w:lineRule="exact"/>
              <w:jc w:val="center"/>
              <w:rPr>
                <w:rFonts w:ascii="宋体" w:cs="Arial"/>
                <w:b/>
                <w:color w:val="auto"/>
                <w:sz w:val="22"/>
                <w:szCs w:val="22"/>
                <w:highlight w:val="none"/>
              </w:rPr>
            </w:pPr>
          </w:p>
        </w:tc>
        <w:tc>
          <w:tcPr>
            <w:tcW w:w="970" w:type="dxa"/>
            <w:noWrap w:val="0"/>
            <w:vAlign w:val="center"/>
          </w:tcPr>
          <w:p w14:paraId="7A946559">
            <w:pPr>
              <w:spacing w:line="360" w:lineRule="exact"/>
              <w:jc w:val="center"/>
              <w:rPr>
                <w:rFonts w:ascii="宋体" w:cs="Arial"/>
                <w:b/>
                <w:color w:val="auto"/>
                <w:sz w:val="22"/>
                <w:szCs w:val="22"/>
                <w:highlight w:val="none"/>
              </w:rPr>
            </w:pPr>
          </w:p>
        </w:tc>
        <w:tc>
          <w:tcPr>
            <w:tcW w:w="1130" w:type="dxa"/>
            <w:noWrap w:val="0"/>
            <w:vAlign w:val="center"/>
          </w:tcPr>
          <w:p w14:paraId="104C80A7">
            <w:pPr>
              <w:spacing w:line="360" w:lineRule="exact"/>
              <w:jc w:val="center"/>
              <w:rPr>
                <w:rFonts w:ascii="宋体" w:cs="Arial"/>
                <w:b/>
                <w:color w:val="auto"/>
                <w:sz w:val="22"/>
                <w:szCs w:val="22"/>
                <w:highlight w:val="none"/>
              </w:rPr>
            </w:pPr>
          </w:p>
        </w:tc>
        <w:tc>
          <w:tcPr>
            <w:tcW w:w="1390" w:type="dxa"/>
            <w:noWrap w:val="0"/>
            <w:vAlign w:val="center"/>
          </w:tcPr>
          <w:p w14:paraId="43CE0D70">
            <w:pPr>
              <w:spacing w:line="360" w:lineRule="exact"/>
              <w:jc w:val="center"/>
              <w:rPr>
                <w:rFonts w:ascii="宋体" w:cs="Arial"/>
                <w:b/>
                <w:color w:val="auto"/>
                <w:sz w:val="22"/>
                <w:szCs w:val="22"/>
                <w:highlight w:val="none"/>
              </w:rPr>
            </w:pPr>
          </w:p>
        </w:tc>
        <w:tc>
          <w:tcPr>
            <w:tcW w:w="1026" w:type="dxa"/>
            <w:noWrap w:val="0"/>
            <w:vAlign w:val="center"/>
          </w:tcPr>
          <w:p w14:paraId="0EF80472">
            <w:pPr>
              <w:spacing w:line="360" w:lineRule="exact"/>
              <w:jc w:val="center"/>
              <w:rPr>
                <w:rFonts w:ascii="宋体" w:cs="Arial"/>
                <w:b/>
                <w:color w:val="auto"/>
                <w:sz w:val="22"/>
                <w:szCs w:val="22"/>
                <w:highlight w:val="none"/>
              </w:rPr>
            </w:pPr>
          </w:p>
        </w:tc>
        <w:tc>
          <w:tcPr>
            <w:tcW w:w="1354" w:type="dxa"/>
            <w:noWrap w:val="0"/>
            <w:vAlign w:val="center"/>
          </w:tcPr>
          <w:p w14:paraId="77288FA0">
            <w:pPr>
              <w:spacing w:line="360" w:lineRule="exact"/>
              <w:jc w:val="center"/>
              <w:rPr>
                <w:rFonts w:ascii="宋体" w:cs="Arial"/>
                <w:b/>
                <w:color w:val="auto"/>
                <w:sz w:val="22"/>
                <w:szCs w:val="22"/>
                <w:highlight w:val="none"/>
              </w:rPr>
            </w:pPr>
          </w:p>
        </w:tc>
        <w:tc>
          <w:tcPr>
            <w:tcW w:w="1920" w:type="dxa"/>
            <w:noWrap w:val="0"/>
            <w:vAlign w:val="top"/>
          </w:tcPr>
          <w:p w14:paraId="7F5408AC">
            <w:pPr>
              <w:spacing w:line="360" w:lineRule="exact"/>
              <w:jc w:val="center"/>
              <w:rPr>
                <w:rFonts w:ascii="宋体" w:cs="Arial"/>
                <w:b/>
                <w:color w:val="auto"/>
                <w:sz w:val="22"/>
                <w:szCs w:val="22"/>
                <w:highlight w:val="none"/>
              </w:rPr>
            </w:pPr>
          </w:p>
        </w:tc>
        <w:tc>
          <w:tcPr>
            <w:tcW w:w="1099" w:type="dxa"/>
            <w:noWrap w:val="0"/>
            <w:vAlign w:val="center"/>
          </w:tcPr>
          <w:p w14:paraId="5F65D0A2">
            <w:pPr>
              <w:spacing w:line="360" w:lineRule="exact"/>
              <w:jc w:val="center"/>
              <w:rPr>
                <w:rFonts w:ascii="宋体" w:cs="Arial"/>
                <w:b/>
                <w:color w:val="auto"/>
                <w:sz w:val="22"/>
                <w:szCs w:val="22"/>
                <w:highlight w:val="none"/>
              </w:rPr>
            </w:pPr>
          </w:p>
        </w:tc>
      </w:tr>
      <w:tr w14:paraId="1318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66A06C62">
            <w:pPr>
              <w:spacing w:line="360" w:lineRule="exact"/>
              <w:jc w:val="center"/>
              <w:rPr>
                <w:rFonts w:ascii="宋体" w:cs="Arial"/>
                <w:b/>
                <w:color w:val="auto"/>
                <w:sz w:val="22"/>
                <w:szCs w:val="22"/>
                <w:highlight w:val="none"/>
              </w:rPr>
            </w:pPr>
          </w:p>
        </w:tc>
        <w:tc>
          <w:tcPr>
            <w:tcW w:w="970" w:type="dxa"/>
            <w:noWrap w:val="0"/>
            <w:vAlign w:val="center"/>
          </w:tcPr>
          <w:p w14:paraId="0F033AFC">
            <w:pPr>
              <w:spacing w:line="360" w:lineRule="exact"/>
              <w:jc w:val="center"/>
              <w:rPr>
                <w:rFonts w:ascii="宋体" w:cs="Arial"/>
                <w:b/>
                <w:color w:val="auto"/>
                <w:sz w:val="22"/>
                <w:szCs w:val="22"/>
                <w:highlight w:val="none"/>
              </w:rPr>
            </w:pPr>
          </w:p>
        </w:tc>
        <w:tc>
          <w:tcPr>
            <w:tcW w:w="1130" w:type="dxa"/>
            <w:noWrap w:val="0"/>
            <w:vAlign w:val="center"/>
          </w:tcPr>
          <w:p w14:paraId="44A164EC">
            <w:pPr>
              <w:spacing w:line="360" w:lineRule="exact"/>
              <w:jc w:val="center"/>
              <w:rPr>
                <w:rFonts w:ascii="宋体" w:cs="Arial"/>
                <w:b/>
                <w:color w:val="auto"/>
                <w:sz w:val="22"/>
                <w:szCs w:val="22"/>
                <w:highlight w:val="none"/>
              </w:rPr>
            </w:pPr>
          </w:p>
        </w:tc>
        <w:tc>
          <w:tcPr>
            <w:tcW w:w="1390" w:type="dxa"/>
            <w:noWrap w:val="0"/>
            <w:vAlign w:val="center"/>
          </w:tcPr>
          <w:p w14:paraId="46BD220A">
            <w:pPr>
              <w:spacing w:line="360" w:lineRule="exact"/>
              <w:jc w:val="center"/>
              <w:rPr>
                <w:rFonts w:ascii="宋体" w:cs="Arial"/>
                <w:b/>
                <w:color w:val="auto"/>
                <w:sz w:val="22"/>
                <w:szCs w:val="22"/>
                <w:highlight w:val="none"/>
              </w:rPr>
            </w:pPr>
          </w:p>
        </w:tc>
        <w:tc>
          <w:tcPr>
            <w:tcW w:w="1026" w:type="dxa"/>
            <w:noWrap w:val="0"/>
            <w:vAlign w:val="center"/>
          </w:tcPr>
          <w:p w14:paraId="69C2D388">
            <w:pPr>
              <w:spacing w:line="360" w:lineRule="exact"/>
              <w:jc w:val="center"/>
              <w:rPr>
                <w:rFonts w:ascii="宋体" w:cs="Arial"/>
                <w:b/>
                <w:color w:val="auto"/>
                <w:sz w:val="22"/>
                <w:szCs w:val="22"/>
                <w:highlight w:val="none"/>
              </w:rPr>
            </w:pPr>
          </w:p>
        </w:tc>
        <w:tc>
          <w:tcPr>
            <w:tcW w:w="1354" w:type="dxa"/>
            <w:noWrap w:val="0"/>
            <w:vAlign w:val="center"/>
          </w:tcPr>
          <w:p w14:paraId="62F6992A">
            <w:pPr>
              <w:spacing w:line="360" w:lineRule="exact"/>
              <w:jc w:val="center"/>
              <w:rPr>
                <w:rFonts w:ascii="宋体" w:cs="Arial"/>
                <w:b/>
                <w:color w:val="auto"/>
                <w:sz w:val="22"/>
                <w:szCs w:val="22"/>
                <w:highlight w:val="none"/>
              </w:rPr>
            </w:pPr>
          </w:p>
        </w:tc>
        <w:tc>
          <w:tcPr>
            <w:tcW w:w="1920" w:type="dxa"/>
            <w:noWrap w:val="0"/>
            <w:vAlign w:val="top"/>
          </w:tcPr>
          <w:p w14:paraId="650AAFF4">
            <w:pPr>
              <w:spacing w:line="360" w:lineRule="exact"/>
              <w:jc w:val="center"/>
              <w:rPr>
                <w:rFonts w:ascii="宋体" w:cs="Arial"/>
                <w:b/>
                <w:color w:val="auto"/>
                <w:sz w:val="22"/>
                <w:szCs w:val="22"/>
                <w:highlight w:val="none"/>
              </w:rPr>
            </w:pPr>
          </w:p>
        </w:tc>
        <w:tc>
          <w:tcPr>
            <w:tcW w:w="1099" w:type="dxa"/>
            <w:noWrap w:val="0"/>
            <w:vAlign w:val="center"/>
          </w:tcPr>
          <w:p w14:paraId="7F6AFD1B">
            <w:pPr>
              <w:spacing w:line="360" w:lineRule="exact"/>
              <w:jc w:val="center"/>
              <w:rPr>
                <w:rFonts w:ascii="宋体" w:cs="Arial"/>
                <w:b/>
                <w:color w:val="auto"/>
                <w:sz w:val="22"/>
                <w:szCs w:val="22"/>
                <w:highlight w:val="none"/>
              </w:rPr>
            </w:pPr>
          </w:p>
        </w:tc>
      </w:tr>
      <w:tr w14:paraId="6627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7486091E">
            <w:pPr>
              <w:spacing w:line="360" w:lineRule="exact"/>
              <w:jc w:val="center"/>
              <w:rPr>
                <w:rFonts w:ascii="宋体" w:cs="Arial"/>
                <w:b/>
                <w:color w:val="auto"/>
                <w:sz w:val="22"/>
                <w:szCs w:val="22"/>
                <w:highlight w:val="none"/>
              </w:rPr>
            </w:pPr>
          </w:p>
        </w:tc>
        <w:tc>
          <w:tcPr>
            <w:tcW w:w="970" w:type="dxa"/>
            <w:noWrap w:val="0"/>
            <w:vAlign w:val="center"/>
          </w:tcPr>
          <w:p w14:paraId="5C7B706A">
            <w:pPr>
              <w:spacing w:line="360" w:lineRule="exact"/>
              <w:jc w:val="center"/>
              <w:rPr>
                <w:rFonts w:ascii="宋体" w:cs="Arial"/>
                <w:b/>
                <w:color w:val="auto"/>
                <w:sz w:val="22"/>
                <w:szCs w:val="22"/>
                <w:highlight w:val="none"/>
              </w:rPr>
            </w:pPr>
          </w:p>
        </w:tc>
        <w:tc>
          <w:tcPr>
            <w:tcW w:w="1130" w:type="dxa"/>
            <w:noWrap w:val="0"/>
            <w:vAlign w:val="center"/>
          </w:tcPr>
          <w:p w14:paraId="007B924F">
            <w:pPr>
              <w:spacing w:line="360" w:lineRule="exact"/>
              <w:jc w:val="center"/>
              <w:rPr>
                <w:rFonts w:ascii="宋体" w:cs="Arial"/>
                <w:b/>
                <w:color w:val="auto"/>
                <w:sz w:val="22"/>
                <w:szCs w:val="22"/>
                <w:highlight w:val="none"/>
              </w:rPr>
            </w:pPr>
          </w:p>
        </w:tc>
        <w:tc>
          <w:tcPr>
            <w:tcW w:w="1390" w:type="dxa"/>
            <w:noWrap w:val="0"/>
            <w:vAlign w:val="center"/>
          </w:tcPr>
          <w:p w14:paraId="36330082">
            <w:pPr>
              <w:spacing w:line="360" w:lineRule="exact"/>
              <w:jc w:val="center"/>
              <w:rPr>
                <w:rFonts w:ascii="宋体" w:cs="Arial"/>
                <w:b/>
                <w:color w:val="auto"/>
                <w:sz w:val="22"/>
                <w:szCs w:val="22"/>
                <w:highlight w:val="none"/>
              </w:rPr>
            </w:pPr>
          </w:p>
        </w:tc>
        <w:tc>
          <w:tcPr>
            <w:tcW w:w="1026" w:type="dxa"/>
            <w:noWrap w:val="0"/>
            <w:vAlign w:val="center"/>
          </w:tcPr>
          <w:p w14:paraId="226944CD">
            <w:pPr>
              <w:spacing w:line="360" w:lineRule="exact"/>
              <w:jc w:val="center"/>
              <w:rPr>
                <w:rFonts w:ascii="宋体" w:cs="Arial"/>
                <w:b/>
                <w:color w:val="auto"/>
                <w:sz w:val="22"/>
                <w:szCs w:val="22"/>
                <w:highlight w:val="none"/>
              </w:rPr>
            </w:pPr>
          </w:p>
        </w:tc>
        <w:tc>
          <w:tcPr>
            <w:tcW w:w="1354" w:type="dxa"/>
            <w:noWrap w:val="0"/>
            <w:vAlign w:val="center"/>
          </w:tcPr>
          <w:p w14:paraId="0B70585C">
            <w:pPr>
              <w:spacing w:line="360" w:lineRule="exact"/>
              <w:jc w:val="center"/>
              <w:rPr>
                <w:rFonts w:ascii="宋体" w:cs="Arial"/>
                <w:b/>
                <w:color w:val="auto"/>
                <w:sz w:val="22"/>
                <w:szCs w:val="22"/>
                <w:highlight w:val="none"/>
              </w:rPr>
            </w:pPr>
          </w:p>
        </w:tc>
        <w:tc>
          <w:tcPr>
            <w:tcW w:w="1920" w:type="dxa"/>
            <w:noWrap w:val="0"/>
            <w:vAlign w:val="top"/>
          </w:tcPr>
          <w:p w14:paraId="3547307B">
            <w:pPr>
              <w:spacing w:line="360" w:lineRule="exact"/>
              <w:jc w:val="center"/>
              <w:rPr>
                <w:rFonts w:ascii="宋体" w:cs="Arial"/>
                <w:b/>
                <w:color w:val="auto"/>
                <w:sz w:val="22"/>
                <w:szCs w:val="22"/>
                <w:highlight w:val="none"/>
              </w:rPr>
            </w:pPr>
          </w:p>
        </w:tc>
        <w:tc>
          <w:tcPr>
            <w:tcW w:w="1099" w:type="dxa"/>
            <w:noWrap w:val="0"/>
            <w:vAlign w:val="center"/>
          </w:tcPr>
          <w:p w14:paraId="6CD5A692">
            <w:pPr>
              <w:spacing w:line="360" w:lineRule="exact"/>
              <w:jc w:val="center"/>
              <w:rPr>
                <w:rFonts w:ascii="宋体" w:cs="Arial"/>
                <w:b/>
                <w:color w:val="auto"/>
                <w:sz w:val="22"/>
                <w:szCs w:val="22"/>
                <w:highlight w:val="none"/>
              </w:rPr>
            </w:pPr>
          </w:p>
        </w:tc>
      </w:tr>
      <w:tr w14:paraId="0F61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4FFED1EE">
            <w:pPr>
              <w:spacing w:line="360" w:lineRule="exact"/>
              <w:jc w:val="center"/>
              <w:rPr>
                <w:rFonts w:ascii="宋体" w:cs="Arial"/>
                <w:b/>
                <w:color w:val="auto"/>
                <w:sz w:val="22"/>
                <w:szCs w:val="22"/>
                <w:highlight w:val="none"/>
              </w:rPr>
            </w:pPr>
          </w:p>
        </w:tc>
        <w:tc>
          <w:tcPr>
            <w:tcW w:w="970" w:type="dxa"/>
            <w:noWrap w:val="0"/>
            <w:vAlign w:val="center"/>
          </w:tcPr>
          <w:p w14:paraId="1DA3CBC8">
            <w:pPr>
              <w:spacing w:line="360" w:lineRule="exact"/>
              <w:jc w:val="center"/>
              <w:rPr>
                <w:rFonts w:ascii="宋体" w:cs="Arial"/>
                <w:b/>
                <w:color w:val="auto"/>
                <w:sz w:val="22"/>
                <w:szCs w:val="22"/>
                <w:highlight w:val="none"/>
              </w:rPr>
            </w:pPr>
          </w:p>
        </w:tc>
        <w:tc>
          <w:tcPr>
            <w:tcW w:w="1130" w:type="dxa"/>
            <w:noWrap w:val="0"/>
            <w:vAlign w:val="center"/>
          </w:tcPr>
          <w:p w14:paraId="4F448726">
            <w:pPr>
              <w:spacing w:line="360" w:lineRule="exact"/>
              <w:jc w:val="center"/>
              <w:rPr>
                <w:rFonts w:ascii="宋体" w:cs="Arial"/>
                <w:b/>
                <w:color w:val="auto"/>
                <w:sz w:val="22"/>
                <w:szCs w:val="22"/>
                <w:highlight w:val="none"/>
              </w:rPr>
            </w:pPr>
          </w:p>
        </w:tc>
        <w:tc>
          <w:tcPr>
            <w:tcW w:w="1390" w:type="dxa"/>
            <w:noWrap w:val="0"/>
            <w:vAlign w:val="center"/>
          </w:tcPr>
          <w:p w14:paraId="7A603CB2">
            <w:pPr>
              <w:spacing w:line="360" w:lineRule="exact"/>
              <w:jc w:val="center"/>
              <w:rPr>
                <w:rFonts w:ascii="宋体" w:cs="Arial"/>
                <w:b/>
                <w:color w:val="auto"/>
                <w:sz w:val="22"/>
                <w:szCs w:val="22"/>
                <w:highlight w:val="none"/>
              </w:rPr>
            </w:pPr>
          </w:p>
        </w:tc>
        <w:tc>
          <w:tcPr>
            <w:tcW w:w="1026" w:type="dxa"/>
            <w:noWrap w:val="0"/>
            <w:vAlign w:val="center"/>
          </w:tcPr>
          <w:p w14:paraId="595B432E">
            <w:pPr>
              <w:spacing w:line="360" w:lineRule="exact"/>
              <w:jc w:val="center"/>
              <w:rPr>
                <w:rFonts w:ascii="宋体" w:cs="Arial"/>
                <w:b/>
                <w:color w:val="auto"/>
                <w:sz w:val="22"/>
                <w:szCs w:val="22"/>
                <w:highlight w:val="none"/>
              </w:rPr>
            </w:pPr>
          </w:p>
        </w:tc>
        <w:tc>
          <w:tcPr>
            <w:tcW w:w="1354" w:type="dxa"/>
            <w:noWrap w:val="0"/>
            <w:vAlign w:val="center"/>
          </w:tcPr>
          <w:p w14:paraId="7A2D0A40">
            <w:pPr>
              <w:spacing w:line="360" w:lineRule="exact"/>
              <w:jc w:val="center"/>
              <w:rPr>
                <w:rFonts w:ascii="宋体" w:cs="Arial"/>
                <w:b/>
                <w:color w:val="auto"/>
                <w:sz w:val="22"/>
                <w:szCs w:val="22"/>
                <w:highlight w:val="none"/>
              </w:rPr>
            </w:pPr>
          </w:p>
        </w:tc>
        <w:tc>
          <w:tcPr>
            <w:tcW w:w="1920" w:type="dxa"/>
            <w:noWrap w:val="0"/>
            <w:vAlign w:val="top"/>
          </w:tcPr>
          <w:p w14:paraId="09E473D3">
            <w:pPr>
              <w:spacing w:line="360" w:lineRule="exact"/>
              <w:jc w:val="center"/>
              <w:rPr>
                <w:rFonts w:ascii="宋体" w:cs="Arial"/>
                <w:b/>
                <w:color w:val="auto"/>
                <w:sz w:val="22"/>
                <w:szCs w:val="22"/>
                <w:highlight w:val="none"/>
              </w:rPr>
            </w:pPr>
          </w:p>
        </w:tc>
        <w:tc>
          <w:tcPr>
            <w:tcW w:w="1099" w:type="dxa"/>
            <w:noWrap w:val="0"/>
            <w:vAlign w:val="center"/>
          </w:tcPr>
          <w:p w14:paraId="54661A9F">
            <w:pPr>
              <w:spacing w:line="360" w:lineRule="exact"/>
              <w:jc w:val="center"/>
              <w:rPr>
                <w:rFonts w:ascii="宋体" w:cs="Arial"/>
                <w:b/>
                <w:color w:val="auto"/>
                <w:sz w:val="22"/>
                <w:szCs w:val="22"/>
                <w:highlight w:val="none"/>
              </w:rPr>
            </w:pPr>
          </w:p>
        </w:tc>
      </w:tr>
      <w:tr w14:paraId="7AA0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noWrap w:val="0"/>
            <w:vAlign w:val="center"/>
          </w:tcPr>
          <w:p w14:paraId="65008637">
            <w:pPr>
              <w:spacing w:line="360" w:lineRule="exact"/>
              <w:jc w:val="center"/>
              <w:rPr>
                <w:rFonts w:ascii="宋体" w:cs="Arial"/>
                <w:b/>
                <w:color w:val="auto"/>
                <w:sz w:val="22"/>
                <w:szCs w:val="22"/>
                <w:highlight w:val="none"/>
              </w:rPr>
            </w:pPr>
          </w:p>
        </w:tc>
        <w:tc>
          <w:tcPr>
            <w:tcW w:w="970" w:type="dxa"/>
            <w:noWrap w:val="0"/>
            <w:vAlign w:val="center"/>
          </w:tcPr>
          <w:p w14:paraId="2FC58DB4">
            <w:pPr>
              <w:spacing w:line="360" w:lineRule="exact"/>
              <w:jc w:val="center"/>
              <w:rPr>
                <w:rFonts w:ascii="宋体" w:cs="Arial"/>
                <w:b/>
                <w:color w:val="auto"/>
                <w:sz w:val="22"/>
                <w:szCs w:val="22"/>
                <w:highlight w:val="none"/>
              </w:rPr>
            </w:pPr>
          </w:p>
        </w:tc>
        <w:tc>
          <w:tcPr>
            <w:tcW w:w="1130" w:type="dxa"/>
            <w:noWrap w:val="0"/>
            <w:vAlign w:val="center"/>
          </w:tcPr>
          <w:p w14:paraId="7F0C8A3E">
            <w:pPr>
              <w:spacing w:line="360" w:lineRule="exact"/>
              <w:jc w:val="center"/>
              <w:rPr>
                <w:rFonts w:ascii="宋体" w:cs="Arial"/>
                <w:b/>
                <w:color w:val="auto"/>
                <w:sz w:val="22"/>
                <w:szCs w:val="22"/>
                <w:highlight w:val="none"/>
              </w:rPr>
            </w:pPr>
          </w:p>
        </w:tc>
        <w:tc>
          <w:tcPr>
            <w:tcW w:w="1390" w:type="dxa"/>
            <w:noWrap w:val="0"/>
            <w:vAlign w:val="center"/>
          </w:tcPr>
          <w:p w14:paraId="02958789">
            <w:pPr>
              <w:spacing w:line="360" w:lineRule="exact"/>
              <w:jc w:val="center"/>
              <w:rPr>
                <w:rFonts w:ascii="宋体" w:cs="Arial"/>
                <w:b/>
                <w:color w:val="auto"/>
                <w:sz w:val="22"/>
                <w:szCs w:val="22"/>
                <w:highlight w:val="none"/>
              </w:rPr>
            </w:pPr>
          </w:p>
        </w:tc>
        <w:tc>
          <w:tcPr>
            <w:tcW w:w="1026" w:type="dxa"/>
            <w:noWrap w:val="0"/>
            <w:vAlign w:val="center"/>
          </w:tcPr>
          <w:p w14:paraId="7D1AE99D">
            <w:pPr>
              <w:spacing w:line="360" w:lineRule="exact"/>
              <w:jc w:val="center"/>
              <w:rPr>
                <w:rFonts w:ascii="宋体" w:cs="Arial"/>
                <w:b/>
                <w:color w:val="auto"/>
                <w:sz w:val="22"/>
                <w:szCs w:val="22"/>
                <w:highlight w:val="none"/>
              </w:rPr>
            </w:pPr>
          </w:p>
        </w:tc>
        <w:tc>
          <w:tcPr>
            <w:tcW w:w="1354" w:type="dxa"/>
            <w:noWrap w:val="0"/>
            <w:vAlign w:val="center"/>
          </w:tcPr>
          <w:p w14:paraId="674EFB22">
            <w:pPr>
              <w:spacing w:line="360" w:lineRule="exact"/>
              <w:jc w:val="center"/>
              <w:rPr>
                <w:rFonts w:ascii="宋体" w:cs="Arial"/>
                <w:b/>
                <w:color w:val="auto"/>
                <w:sz w:val="22"/>
                <w:szCs w:val="22"/>
                <w:highlight w:val="none"/>
              </w:rPr>
            </w:pPr>
          </w:p>
        </w:tc>
        <w:tc>
          <w:tcPr>
            <w:tcW w:w="1920" w:type="dxa"/>
            <w:noWrap w:val="0"/>
            <w:vAlign w:val="top"/>
          </w:tcPr>
          <w:p w14:paraId="5E1A9D7F">
            <w:pPr>
              <w:spacing w:line="360" w:lineRule="exact"/>
              <w:jc w:val="center"/>
              <w:rPr>
                <w:rFonts w:ascii="宋体" w:cs="Arial"/>
                <w:b/>
                <w:color w:val="auto"/>
                <w:sz w:val="22"/>
                <w:szCs w:val="22"/>
                <w:highlight w:val="none"/>
              </w:rPr>
            </w:pPr>
          </w:p>
        </w:tc>
        <w:tc>
          <w:tcPr>
            <w:tcW w:w="1099" w:type="dxa"/>
            <w:noWrap w:val="0"/>
            <w:vAlign w:val="center"/>
          </w:tcPr>
          <w:p w14:paraId="6879FD20">
            <w:pPr>
              <w:spacing w:line="360" w:lineRule="exact"/>
              <w:jc w:val="center"/>
              <w:rPr>
                <w:rFonts w:ascii="宋体" w:cs="Arial"/>
                <w:b/>
                <w:color w:val="auto"/>
                <w:sz w:val="22"/>
                <w:szCs w:val="22"/>
                <w:highlight w:val="none"/>
              </w:rPr>
            </w:pPr>
          </w:p>
        </w:tc>
      </w:tr>
      <w:tr w14:paraId="70A4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1" w:type="dxa"/>
            <w:tcBorders>
              <w:bottom w:val="single" w:color="auto" w:sz="4" w:space="0"/>
            </w:tcBorders>
            <w:noWrap w:val="0"/>
            <w:vAlign w:val="center"/>
          </w:tcPr>
          <w:p w14:paraId="742F19CA">
            <w:pPr>
              <w:spacing w:line="360" w:lineRule="exact"/>
              <w:jc w:val="center"/>
              <w:rPr>
                <w:rFonts w:ascii="宋体" w:cs="Arial"/>
                <w:b/>
                <w:color w:val="auto"/>
                <w:sz w:val="22"/>
                <w:szCs w:val="22"/>
                <w:highlight w:val="none"/>
              </w:rPr>
            </w:pPr>
          </w:p>
        </w:tc>
        <w:tc>
          <w:tcPr>
            <w:tcW w:w="970" w:type="dxa"/>
            <w:tcBorders>
              <w:bottom w:val="single" w:color="auto" w:sz="4" w:space="0"/>
            </w:tcBorders>
            <w:noWrap w:val="0"/>
            <w:vAlign w:val="center"/>
          </w:tcPr>
          <w:p w14:paraId="6D86252E">
            <w:pPr>
              <w:spacing w:line="360" w:lineRule="exact"/>
              <w:jc w:val="center"/>
              <w:rPr>
                <w:rFonts w:ascii="宋体" w:cs="Arial"/>
                <w:b/>
                <w:color w:val="auto"/>
                <w:sz w:val="22"/>
                <w:szCs w:val="22"/>
                <w:highlight w:val="none"/>
              </w:rPr>
            </w:pPr>
          </w:p>
        </w:tc>
        <w:tc>
          <w:tcPr>
            <w:tcW w:w="1130" w:type="dxa"/>
            <w:tcBorders>
              <w:bottom w:val="single" w:color="auto" w:sz="4" w:space="0"/>
            </w:tcBorders>
            <w:noWrap w:val="0"/>
            <w:vAlign w:val="center"/>
          </w:tcPr>
          <w:p w14:paraId="24EA7F92">
            <w:pPr>
              <w:spacing w:line="360" w:lineRule="exact"/>
              <w:jc w:val="center"/>
              <w:rPr>
                <w:rFonts w:ascii="宋体" w:cs="Arial"/>
                <w:b/>
                <w:color w:val="auto"/>
                <w:sz w:val="22"/>
                <w:szCs w:val="22"/>
                <w:highlight w:val="none"/>
              </w:rPr>
            </w:pPr>
          </w:p>
        </w:tc>
        <w:tc>
          <w:tcPr>
            <w:tcW w:w="1390" w:type="dxa"/>
            <w:tcBorders>
              <w:bottom w:val="single" w:color="auto" w:sz="4" w:space="0"/>
            </w:tcBorders>
            <w:noWrap w:val="0"/>
            <w:vAlign w:val="center"/>
          </w:tcPr>
          <w:p w14:paraId="6550AA13">
            <w:pPr>
              <w:spacing w:line="360" w:lineRule="exact"/>
              <w:jc w:val="center"/>
              <w:rPr>
                <w:rFonts w:ascii="宋体" w:cs="Arial"/>
                <w:b/>
                <w:color w:val="auto"/>
                <w:sz w:val="22"/>
                <w:szCs w:val="22"/>
                <w:highlight w:val="none"/>
              </w:rPr>
            </w:pPr>
          </w:p>
        </w:tc>
        <w:tc>
          <w:tcPr>
            <w:tcW w:w="1026" w:type="dxa"/>
            <w:tcBorders>
              <w:bottom w:val="single" w:color="auto" w:sz="4" w:space="0"/>
            </w:tcBorders>
            <w:noWrap w:val="0"/>
            <w:vAlign w:val="center"/>
          </w:tcPr>
          <w:p w14:paraId="6DD01235">
            <w:pPr>
              <w:spacing w:line="360" w:lineRule="exact"/>
              <w:jc w:val="center"/>
              <w:rPr>
                <w:rFonts w:ascii="宋体" w:cs="Arial"/>
                <w:b/>
                <w:color w:val="auto"/>
                <w:sz w:val="22"/>
                <w:szCs w:val="22"/>
                <w:highlight w:val="none"/>
              </w:rPr>
            </w:pPr>
          </w:p>
        </w:tc>
        <w:tc>
          <w:tcPr>
            <w:tcW w:w="1354" w:type="dxa"/>
            <w:tcBorders>
              <w:bottom w:val="single" w:color="auto" w:sz="4" w:space="0"/>
            </w:tcBorders>
            <w:noWrap w:val="0"/>
            <w:vAlign w:val="center"/>
          </w:tcPr>
          <w:p w14:paraId="03C05F75">
            <w:pPr>
              <w:spacing w:line="360" w:lineRule="exact"/>
              <w:jc w:val="center"/>
              <w:rPr>
                <w:rFonts w:ascii="宋体" w:cs="Arial"/>
                <w:b/>
                <w:color w:val="auto"/>
                <w:sz w:val="22"/>
                <w:szCs w:val="22"/>
                <w:highlight w:val="none"/>
              </w:rPr>
            </w:pPr>
          </w:p>
        </w:tc>
        <w:tc>
          <w:tcPr>
            <w:tcW w:w="1920" w:type="dxa"/>
            <w:tcBorders>
              <w:bottom w:val="single" w:color="auto" w:sz="4" w:space="0"/>
            </w:tcBorders>
            <w:noWrap w:val="0"/>
            <w:vAlign w:val="top"/>
          </w:tcPr>
          <w:p w14:paraId="2D102BDC">
            <w:pPr>
              <w:spacing w:line="360" w:lineRule="exact"/>
              <w:jc w:val="center"/>
              <w:rPr>
                <w:rFonts w:ascii="宋体" w:cs="Arial"/>
                <w:b/>
                <w:color w:val="auto"/>
                <w:sz w:val="22"/>
                <w:szCs w:val="22"/>
                <w:highlight w:val="none"/>
              </w:rPr>
            </w:pPr>
          </w:p>
        </w:tc>
        <w:tc>
          <w:tcPr>
            <w:tcW w:w="1099" w:type="dxa"/>
            <w:tcBorders>
              <w:bottom w:val="single" w:color="auto" w:sz="4" w:space="0"/>
            </w:tcBorders>
            <w:noWrap w:val="0"/>
            <w:vAlign w:val="center"/>
          </w:tcPr>
          <w:p w14:paraId="3220EAD5">
            <w:pPr>
              <w:spacing w:line="360" w:lineRule="exact"/>
              <w:jc w:val="center"/>
              <w:rPr>
                <w:rFonts w:ascii="宋体" w:cs="Arial"/>
                <w:b/>
                <w:color w:val="auto"/>
                <w:sz w:val="22"/>
                <w:szCs w:val="22"/>
                <w:highlight w:val="none"/>
              </w:rPr>
            </w:pPr>
          </w:p>
        </w:tc>
      </w:tr>
    </w:tbl>
    <w:p w14:paraId="7E56744B">
      <w:pPr>
        <w:pStyle w:val="36"/>
        <w:tabs>
          <w:tab w:val="right" w:leader="middleDot" w:pos="8948"/>
        </w:tabs>
        <w:spacing w:line="360" w:lineRule="exact"/>
        <w:rPr>
          <w:rFonts w:hint="eastAsia" w:ascii="宋体" w:hAnsi="宋体" w:cs="宋体"/>
          <w:bCs w:val="0"/>
          <w:color w:val="auto"/>
          <w:szCs w:val="21"/>
          <w:highlight w:val="none"/>
        </w:rPr>
      </w:pPr>
      <w:r>
        <w:rPr>
          <w:rFonts w:hint="eastAsia" w:ascii="宋体" w:hAnsi="宋体" w:cs="宋体"/>
          <w:color w:val="auto"/>
          <w:szCs w:val="21"/>
          <w:highlight w:val="none"/>
        </w:rPr>
        <w:t>注：</w:t>
      </w:r>
      <w:r>
        <w:rPr>
          <w:rFonts w:hint="eastAsia" w:ascii="宋体" w:hAnsi="宋体" w:cs="宋体"/>
          <w:bCs w:val="0"/>
          <w:color w:val="auto"/>
          <w:szCs w:val="21"/>
          <w:highlight w:val="none"/>
        </w:rPr>
        <w:t>1、本表人员有资格证书的应随表提交职称、资格证书</w:t>
      </w:r>
      <w:r>
        <w:rPr>
          <w:rFonts w:hint="eastAsia" w:ascii="宋体" w:hAnsi="宋体" w:cs="宋体"/>
          <w:bCs w:val="0"/>
          <w:color w:val="auto"/>
          <w:szCs w:val="21"/>
          <w:highlight w:val="none"/>
          <w:lang w:val="en-US" w:eastAsia="zh-CN"/>
        </w:rPr>
        <w:t>扫描件或（</w:t>
      </w:r>
      <w:r>
        <w:rPr>
          <w:rFonts w:hint="eastAsia" w:ascii="宋体" w:hAnsi="宋体" w:cs="宋体"/>
          <w:bCs w:val="0"/>
          <w:color w:val="auto"/>
          <w:szCs w:val="21"/>
          <w:highlight w:val="none"/>
        </w:rPr>
        <w:t>复印件</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并加盖电子签章或（公章）</w:t>
      </w:r>
      <w:r>
        <w:rPr>
          <w:rFonts w:hint="eastAsia" w:ascii="宋体" w:hAnsi="宋体" w:cs="宋体"/>
          <w:bCs w:val="0"/>
          <w:color w:val="auto"/>
          <w:szCs w:val="21"/>
          <w:highlight w:val="none"/>
        </w:rPr>
        <w:t>。</w:t>
      </w:r>
    </w:p>
    <w:p w14:paraId="23AAAF17">
      <w:pPr>
        <w:spacing w:before="156" w:beforeLines="50" w:after="156" w:afterLines="50" w:line="360" w:lineRule="exact"/>
        <w:ind w:right="-21" w:rightChars="-10" w:firstLine="4410" w:firstLineChars="2100"/>
        <w:rPr>
          <w:rFonts w:hint="eastAsia" w:ascii="宋体" w:hAnsi="宋体" w:cs="宋体"/>
          <w:color w:val="auto"/>
          <w:szCs w:val="21"/>
          <w:highlight w:val="none"/>
        </w:rPr>
      </w:pPr>
      <w:r>
        <w:rPr>
          <w:rFonts w:hint="eastAsia" w:ascii="宋体" w:hAnsi="宋体" w:cs="宋体"/>
          <w:color w:val="auto"/>
          <w:szCs w:val="21"/>
          <w:highlight w:val="none"/>
        </w:rPr>
        <w:t>投标供应商全称（公章）：</w:t>
      </w:r>
    </w:p>
    <w:p w14:paraId="0B62BEE0">
      <w:pPr>
        <w:spacing w:before="156" w:beforeLines="50" w:after="156" w:afterLines="50" w:line="360" w:lineRule="exact"/>
        <w:ind w:right="-10" w:firstLine="4410" w:firstLineChars="2100"/>
        <w:rPr>
          <w:rFonts w:hint="eastAsia"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08EF8CCE">
      <w:pPr>
        <w:bidi w:val="0"/>
        <w:ind w:firstLine="4410" w:firstLineChars="2100"/>
        <w:rPr>
          <w:rFonts w:hint="eastAsia"/>
          <w:lang w:val="en-US" w:eastAsia="zh-CN"/>
        </w:rPr>
      </w:pPr>
      <w:r>
        <w:rPr>
          <w:rFonts w:hint="eastAsia"/>
          <w:lang w:val="en-US" w:eastAsia="zh-CN"/>
        </w:rPr>
        <w:t>日期：</w:t>
      </w:r>
    </w:p>
    <w:bookmarkEnd w:id="110"/>
    <w:bookmarkEnd w:id="116"/>
    <w:bookmarkEnd w:id="117"/>
    <w:bookmarkEnd w:id="119"/>
    <w:p w14:paraId="2514874C">
      <w:pPr>
        <w:spacing w:line="400" w:lineRule="exact"/>
        <w:jc w:val="center"/>
        <w:rPr>
          <w:rFonts w:ascii="宋体" w:hAnsi="宋体" w:cs="宋体"/>
          <w:b/>
          <w:bCs/>
          <w:sz w:val="36"/>
          <w:szCs w:val="36"/>
        </w:rPr>
      </w:pPr>
      <w:bookmarkStart w:id="120" w:name="_Toc412788168"/>
      <w:bookmarkStart w:id="121" w:name="_Toc7715"/>
      <w:bookmarkStart w:id="122" w:name="_Toc388974304"/>
      <w:r>
        <w:rPr>
          <w:rFonts w:hint="eastAsia" w:ascii="Arial" w:hAnsi="Arial" w:eastAsia="宋体" w:cs="Times New Roman"/>
          <w:b w:val="0"/>
          <w:bCs/>
          <w:color w:val="000000"/>
          <w:lang w:eastAsia="zh-CN"/>
        </w:rPr>
        <w:br w:type="page"/>
      </w:r>
      <w:r>
        <w:rPr>
          <w:rFonts w:hint="eastAsia" w:ascii="Arial" w:hAnsi="Arial" w:eastAsia="宋体" w:cs="Times New Roman"/>
          <w:b w:val="0"/>
          <w:bCs/>
          <w:color w:val="000000"/>
          <w:lang w:eastAsia="zh-CN"/>
        </w:rPr>
        <w:t>附件9</w:t>
      </w:r>
      <w:r>
        <w:rPr>
          <w:rFonts w:hint="eastAsia" w:ascii="Arial" w:hAnsi="Arial" w:cs="Times New Roman"/>
          <w:b w:val="0"/>
          <w:bCs/>
          <w:color w:val="000000"/>
        </w:rPr>
        <w:t xml:space="preserve"> </w:t>
      </w:r>
      <w:r>
        <w:rPr>
          <w:rFonts w:ascii="宋体" w:hAnsi="宋体" w:eastAsia="宋体"/>
          <w:color w:val="000000"/>
          <w:sz w:val="24"/>
          <w:szCs w:val="24"/>
        </w:rPr>
        <w:t xml:space="preserve">  </w:t>
      </w:r>
      <w:bookmarkEnd w:id="120"/>
      <w:bookmarkEnd w:id="121"/>
      <w:bookmarkEnd w:id="122"/>
      <w:r>
        <w:rPr>
          <w:rFonts w:hint="eastAsia" w:ascii="宋体" w:hAnsi="宋体" w:cs="宋体"/>
          <w:b/>
          <w:bCs/>
          <w:sz w:val="36"/>
          <w:szCs w:val="36"/>
        </w:rPr>
        <w:t>开标一览表</w:t>
      </w:r>
    </w:p>
    <w:p w14:paraId="19A43266">
      <w:pPr>
        <w:spacing w:line="380" w:lineRule="exact"/>
        <w:jc w:val="center"/>
        <w:rPr>
          <w:rFonts w:ascii="宋体" w:hAnsi="宋体" w:cs="宋体"/>
          <w:b/>
          <w:bCs/>
          <w:sz w:val="22"/>
          <w:szCs w:val="22"/>
        </w:rPr>
      </w:pPr>
    </w:p>
    <w:p w14:paraId="0BC99EBD">
      <w:pPr>
        <w:spacing w:line="380" w:lineRule="exact"/>
        <w:rPr>
          <w:rFonts w:ascii="宋体"/>
          <w:sz w:val="22"/>
          <w:szCs w:val="22"/>
        </w:rPr>
      </w:pPr>
      <w:r>
        <w:rPr>
          <w:rFonts w:hint="eastAsia" w:ascii="宋体" w:hAnsi="宋体" w:cs="宋体"/>
          <w:sz w:val="22"/>
          <w:szCs w:val="22"/>
        </w:rPr>
        <w:t>项目名称：</w:t>
      </w:r>
      <w:r>
        <w:rPr>
          <w:rFonts w:ascii="宋体" w:hAnsi="宋体" w:cs="宋体"/>
          <w:sz w:val="22"/>
          <w:szCs w:val="22"/>
        </w:rPr>
        <w:t xml:space="preserve">                        </w:t>
      </w: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项目编号：</w:t>
      </w:r>
      <w:r>
        <w:rPr>
          <w:rFonts w:ascii="宋体" w:hAnsi="宋体" w:cs="宋体"/>
          <w:sz w:val="22"/>
          <w:szCs w:val="22"/>
        </w:rPr>
        <w:t xml:space="preserve">                    </w:t>
      </w:r>
    </w:p>
    <w:tbl>
      <w:tblPr>
        <w:tblStyle w:val="49"/>
        <w:tblW w:w="0" w:type="auto"/>
        <w:tblInd w:w="11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4551"/>
        <w:gridCol w:w="1104"/>
      </w:tblGrid>
      <w:tr w14:paraId="5920E4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735" w:type="dxa"/>
            <w:tcBorders>
              <w:top w:val="double" w:color="auto" w:sz="4" w:space="0"/>
            </w:tcBorders>
            <w:noWrap w:val="0"/>
            <w:vAlign w:val="center"/>
          </w:tcPr>
          <w:p w14:paraId="41168BCD">
            <w:pPr>
              <w:pStyle w:val="27"/>
              <w:spacing w:line="400" w:lineRule="exact"/>
              <w:jc w:val="center"/>
              <w:rPr>
                <w:rFonts w:hAnsi="宋体"/>
                <w:sz w:val="22"/>
                <w:szCs w:val="22"/>
              </w:rPr>
            </w:pPr>
            <w:r>
              <w:rPr>
                <w:rFonts w:hint="eastAsia" w:hAnsi="宋体" w:cs="宋体"/>
                <w:sz w:val="22"/>
                <w:szCs w:val="22"/>
              </w:rPr>
              <w:t>报价内容</w:t>
            </w:r>
          </w:p>
        </w:tc>
        <w:tc>
          <w:tcPr>
            <w:tcW w:w="4551" w:type="dxa"/>
            <w:tcBorders>
              <w:top w:val="double" w:color="auto" w:sz="4" w:space="0"/>
            </w:tcBorders>
            <w:noWrap w:val="0"/>
            <w:vAlign w:val="center"/>
          </w:tcPr>
          <w:p w14:paraId="10A69FA9">
            <w:pPr>
              <w:pStyle w:val="27"/>
              <w:spacing w:line="400" w:lineRule="exact"/>
              <w:jc w:val="center"/>
              <w:rPr>
                <w:rFonts w:hint="eastAsia" w:hAnsi="宋体"/>
                <w:sz w:val="22"/>
                <w:szCs w:val="22"/>
              </w:rPr>
            </w:pPr>
            <w:r>
              <w:rPr>
                <w:rFonts w:hint="eastAsia" w:hAnsi="宋体" w:cs="宋体"/>
                <w:sz w:val="22"/>
                <w:szCs w:val="22"/>
              </w:rPr>
              <w:t>投标报价（元）</w:t>
            </w:r>
          </w:p>
        </w:tc>
        <w:tc>
          <w:tcPr>
            <w:tcW w:w="1104" w:type="dxa"/>
            <w:tcBorders>
              <w:top w:val="double" w:color="auto" w:sz="4" w:space="0"/>
            </w:tcBorders>
            <w:noWrap w:val="0"/>
            <w:vAlign w:val="center"/>
          </w:tcPr>
          <w:p w14:paraId="236390C3">
            <w:pPr>
              <w:pStyle w:val="27"/>
              <w:spacing w:line="400" w:lineRule="exact"/>
              <w:jc w:val="center"/>
              <w:rPr>
                <w:rFonts w:hAnsi="宋体" w:cs="宋体"/>
                <w:sz w:val="22"/>
                <w:szCs w:val="22"/>
              </w:rPr>
            </w:pPr>
            <w:r>
              <w:rPr>
                <w:rFonts w:hint="eastAsia" w:hAnsi="宋体" w:cs="宋体"/>
                <w:sz w:val="22"/>
                <w:szCs w:val="22"/>
              </w:rPr>
              <w:t>备注</w:t>
            </w:r>
          </w:p>
        </w:tc>
      </w:tr>
      <w:tr w14:paraId="240B2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trPr>
        <w:tc>
          <w:tcPr>
            <w:tcW w:w="3735" w:type="dxa"/>
            <w:tcBorders>
              <w:bottom w:val="double" w:color="auto" w:sz="4" w:space="0"/>
            </w:tcBorders>
            <w:noWrap w:val="0"/>
            <w:vAlign w:val="center"/>
          </w:tcPr>
          <w:p w14:paraId="4279AA7E">
            <w:pPr>
              <w:pStyle w:val="27"/>
              <w:spacing w:line="400" w:lineRule="exact"/>
              <w:jc w:val="center"/>
              <w:rPr>
                <w:rFonts w:hint="eastAsia" w:hAnsi="宋体" w:eastAsia="宋体"/>
                <w:sz w:val="22"/>
                <w:szCs w:val="22"/>
                <w:lang w:eastAsia="zh-CN"/>
              </w:rPr>
            </w:pPr>
            <w:r>
              <w:rPr>
                <w:rFonts w:hint="eastAsia" w:hAnsi="宋体" w:cs="宋体"/>
                <w:sz w:val="22"/>
                <w:szCs w:val="22"/>
                <w:lang w:eastAsia="zh-CN"/>
              </w:rPr>
              <w:t>文成县龙船垟城中村改造（二期）项目配套幼儿园装修工程-课桌椅采购及安装项目</w:t>
            </w:r>
          </w:p>
        </w:tc>
        <w:tc>
          <w:tcPr>
            <w:tcW w:w="4551" w:type="dxa"/>
            <w:tcBorders>
              <w:bottom w:val="double" w:color="auto" w:sz="4" w:space="0"/>
            </w:tcBorders>
            <w:noWrap w:val="0"/>
            <w:vAlign w:val="center"/>
          </w:tcPr>
          <w:p w14:paraId="6995806B">
            <w:pPr>
              <w:pStyle w:val="27"/>
              <w:spacing w:line="400" w:lineRule="exact"/>
              <w:jc w:val="left"/>
              <w:rPr>
                <w:rFonts w:hAnsi="宋体"/>
                <w:sz w:val="22"/>
                <w:szCs w:val="22"/>
              </w:rPr>
            </w:pPr>
            <w:r>
              <w:rPr>
                <w:rFonts w:hint="eastAsia" w:hAnsi="宋体" w:cs="宋体"/>
                <w:sz w:val="22"/>
                <w:szCs w:val="22"/>
              </w:rPr>
              <w:t>大写：</w:t>
            </w:r>
          </w:p>
          <w:p w14:paraId="67E8D296">
            <w:pPr>
              <w:pStyle w:val="27"/>
              <w:spacing w:line="400" w:lineRule="exact"/>
              <w:rPr>
                <w:rFonts w:hAnsi="宋体"/>
                <w:sz w:val="22"/>
                <w:szCs w:val="22"/>
              </w:rPr>
            </w:pPr>
            <w:r>
              <w:rPr>
                <w:rFonts w:hint="eastAsia" w:hAnsi="宋体" w:cs="宋体"/>
                <w:sz w:val="22"/>
                <w:szCs w:val="22"/>
              </w:rPr>
              <w:t>小写：</w:t>
            </w:r>
          </w:p>
        </w:tc>
        <w:tc>
          <w:tcPr>
            <w:tcW w:w="1104" w:type="dxa"/>
            <w:tcBorders>
              <w:bottom w:val="double" w:color="auto" w:sz="4" w:space="0"/>
            </w:tcBorders>
            <w:noWrap w:val="0"/>
            <w:vAlign w:val="center"/>
          </w:tcPr>
          <w:p w14:paraId="02E2CD4A">
            <w:pPr>
              <w:pStyle w:val="27"/>
              <w:spacing w:line="400" w:lineRule="exact"/>
              <w:jc w:val="center"/>
              <w:rPr>
                <w:rFonts w:hAnsi="宋体"/>
                <w:sz w:val="22"/>
                <w:szCs w:val="22"/>
              </w:rPr>
            </w:pPr>
          </w:p>
        </w:tc>
      </w:tr>
    </w:tbl>
    <w:p w14:paraId="2AC37D26">
      <w:pPr>
        <w:spacing w:line="380" w:lineRule="exact"/>
        <w:rPr>
          <w:rFonts w:ascii="宋体"/>
          <w:sz w:val="22"/>
          <w:szCs w:val="22"/>
        </w:rPr>
      </w:pPr>
    </w:p>
    <w:p w14:paraId="3189E634">
      <w:pPr>
        <w:spacing w:line="460" w:lineRule="exact"/>
        <w:ind w:firstLine="442" w:firstLineChars="200"/>
        <w:rPr>
          <w:rFonts w:ascii="宋体" w:hAnsi="宋体"/>
          <w:b/>
          <w:bCs/>
          <w:sz w:val="22"/>
          <w:szCs w:val="22"/>
          <w:highlight w:val="none"/>
        </w:rPr>
      </w:pPr>
      <w:r>
        <w:rPr>
          <w:rFonts w:hint="eastAsia" w:ascii="宋体" w:hAnsi="宋体" w:cs="宋体"/>
          <w:b/>
          <w:sz w:val="22"/>
          <w:szCs w:val="22"/>
        </w:rPr>
        <w:t>注：</w:t>
      </w:r>
      <w:r>
        <w:rPr>
          <w:rFonts w:hint="eastAsia" w:ascii="宋体" w:hAnsi="宋体"/>
          <w:b/>
          <w:bCs/>
          <w:sz w:val="22"/>
          <w:szCs w:val="22"/>
          <w:highlight w:val="none"/>
        </w:rPr>
        <w:t>开标一览表中的报价为提供该项目的总费用：</w:t>
      </w:r>
      <w:r>
        <w:rPr>
          <w:rFonts w:hint="eastAsia" w:ascii="宋体" w:hAnsi="宋体"/>
          <w:b/>
          <w:bCs/>
          <w:sz w:val="22"/>
          <w:szCs w:val="22"/>
          <w:highlight w:val="none"/>
          <w:u w:val="single"/>
        </w:rPr>
        <w:t>设备总价（含税、运保、安装、随机工具、随机附件等费用），同时包括设备技术服务费、材料费、</w:t>
      </w:r>
      <w:r>
        <w:rPr>
          <w:rFonts w:hint="eastAsia" w:ascii="宋体" w:hAnsi="宋体"/>
          <w:b/>
          <w:bCs/>
          <w:sz w:val="22"/>
          <w:szCs w:val="22"/>
          <w:highlight w:val="none"/>
          <w:u w:val="single"/>
          <w:lang w:val="en-US" w:eastAsia="zh-CN"/>
        </w:rPr>
        <w:t>安装费、辅材、</w:t>
      </w:r>
      <w:r>
        <w:rPr>
          <w:rFonts w:hint="eastAsia" w:ascii="宋体" w:hAnsi="宋体"/>
          <w:b/>
          <w:bCs/>
          <w:sz w:val="22"/>
          <w:szCs w:val="22"/>
          <w:highlight w:val="none"/>
          <w:u w:val="single"/>
        </w:rPr>
        <w:t>税金、人工费、技术培训费、</w:t>
      </w:r>
      <w:r>
        <w:rPr>
          <w:rFonts w:hint="eastAsia" w:ascii="宋体" w:hAnsi="宋体" w:cs="宋体"/>
          <w:b/>
          <w:bCs/>
          <w:sz w:val="22"/>
          <w:szCs w:val="22"/>
          <w:highlight w:val="none"/>
          <w:u w:val="single"/>
        </w:rPr>
        <w:t>招标代理服务费、完成合同所需的一切本身和不可或缺的所有工作开支、政策性文件规定及合同包含的所有风险、责任等各项全部费用，投标供应商应根据上述因素自行考虑含入投标报价内</w:t>
      </w:r>
      <w:r>
        <w:rPr>
          <w:rFonts w:hint="eastAsia" w:ascii="宋体" w:hAnsi="宋体" w:cs="宋体"/>
          <w:bCs/>
          <w:sz w:val="22"/>
          <w:szCs w:val="22"/>
          <w:highlight w:val="none"/>
          <w:u w:val="single"/>
        </w:rPr>
        <w:t>。</w:t>
      </w:r>
    </w:p>
    <w:p w14:paraId="499D07F5">
      <w:pPr>
        <w:spacing w:line="460" w:lineRule="exact"/>
        <w:jc w:val="center"/>
        <w:rPr>
          <w:rFonts w:ascii="宋体" w:hAnsi="宋体" w:cs="宋体"/>
          <w:b/>
          <w:sz w:val="22"/>
        </w:rPr>
      </w:pPr>
      <w:r>
        <w:rPr>
          <w:rFonts w:hint="eastAsia" w:ascii="宋体" w:hAnsi="宋体" w:cs="宋体"/>
          <w:b/>
          <w:sz w:val="22"/>
          <w:szCs w:val="22"/>
          <w:u w:val="single"/>
        </w:rPr>
        <w:t>▲此表不得自行增减内容，不提供此表格将被视为没有实质性响应采购文件,其投标文件</w:t>
      </w:r>
      <w:r>
        <w:rPr>
          <w:rFonts w:hint="eastAsia" w:ascii="宋体" w:hAnsi="宋体" w:cs="宋体"/>
          <w:b/>
          <w:sz w:val="22"/>
          <w:u w:val="single"/>
        </w:rPr>
        <w:t>将被拒绝</w:t>
      </w:r>
      <w:r>
        <w:rPr>
          <w:rFonts w:hint="eastAsia" w:ascii="宋体" w:hAnsi="宋体" w:cs="宋体"/>
          <w:b/>
          <w:sz w:val="22"/>
        </w:rPr>
        <w:t>。</w:t>
      </w:r>
    </w:p>
    <w:p w14:paraId="4B0100EE">
      <w:pPr>
        <w:spacing w:line="380" w:lineRule="exact"/>
        <w:rPr>
          <w:rFonts w:ascii="宋体"/>
          <w:sz w:val="22"/>
          <w:szCs w:val="22"/>
        </w:rPr>
      </w:pPr>
    </w:p>
    <w:p w14:paraId="42DF11C2">
      <w:pPr>
        <w:spacing w:line="360" w:lineRule="exact"/>
        <w:ind w:firstLine="433" w:firstLineChars="196"/>
        <w:rPr>
          <w:rFonts w:ascii="宋体"/>
          <w:b/>
          <w:bCs/>
          <w:sz w:val="22"/>
          <w:szCs w:val="22"/>
          <w:u w:val="single"/>
        </w:rPr>
      </w:pPr>
    </w:p>
    <w:p w14:paraId="785F6310">
      <w:pPr>
        <w:spacing w:line="380" w:lineRule="exact"/>
        <w:ind w:firstLine="4400" w:firstLineChars="2000"/>
        <w:rPr>
          <w:rFonts w:ascii="宋体"/>
          <w:sz w:val="22"/>
          <w:szCs w:val="22"/>
        </w:rPr>
      </w:pPr>
    </w:p>
    <w:p w14:paraId="4A935698">
      <w:pPr>
        <w:spacing w:line="380" w:lineRule="exact"/>
        <w:ind w:firstLine="4400" w:firstLineChars="2000"/>
        <w:rPr>
          <w:rFonts w:ascii="宋体"/>
          <w:sz w:val="22"/>
          <w:szCs w:val="22"/>
        </w:rPr>
      </w:pPr>
    </w:p>
    <w:p w14:paraId="69EB0CD1">
      <w:pPr>
        <w:spacing w:line="380" w:lineRule="exact"/>
        <w:ind w:firstLine="4400" w:firstLineChars="2000"/>
        <w:rPr>
          <w:rFonts w:ascii="宋体"/>
          <w:sz w:val="22"/>
          <w:szCs w:val="22"/>
        </w:rPr>
      </w:pPr>
    </w:p>
    <w:p w14:paraId="7953BE2C">
      <w:pPr>
        <w:spacing w:line="380" w:lineRule="exact"/>
        <w:ind w:firstLine="4400" w:firstLineChars="2000"/>
        <w:rPr>
          <w:rFonts w:ascii="宋体"/>
          <w:sz w:val="22"/>
          <w:szCs w:val="22"/>
        </w:rPr>
      </w:pPr>
    </w:p>
    <w:p w14:paraId="1B8C84CC">
      <w:pPr>
        <w:tabs>
          <w:tab w:val="left" w:pos="3780"/>
          <w:tab w:val="left" w:pos="6480"/>
        </w:tabs>
        <w:spacing w:line="360" w:lineRule="auto"/>
        <w:ind w:right="69" w:rightChars="33" w:firstLine="4125" w:firstLineChars="1875"/>
        <w:rPr>
          <w:rFonts w:ascii="宋体"/>
          <w:sz w:val="22"/>
          <w:szCs w:val="22"/>
        </w:rPr>
      </w:pPr>
      <w:r>
        <w:rPr>
          <w:rFonts w:hint="eastAsia" w:ascii="宋体" w:hAnsi="宋体" w:cs="宋体"/>
          <w:sz w:val="22"/>
          <w:szCs w:val="22"/>
        </w:rPr>
        <w:t>投标供应商全称（盖章）：</w:t>
      </w:r>
    </w:p>
    <w:p w14:paraId="775C6119">
      <w:pPr>
        <w:tabs>
          <w:tab w:val="left" w:pos="6480"/>
        </w:tabs>
        <w:spacing w:line="360" w:lineRule="auto"/>
        <w:ind w:right="69" w:rightChars="33" w:firstLine="4125" w:firstLineChars="1875"/>
        <w:rPr>
          <w:rFonts w:ascii="宋体"/>
          <w:sz w:val="22"/>
          <w:szCs w:val="22"/>
        </w:rPr>
      </w:pPr>
      <w:r>
        <w:rPr>
          <w:rFonts w:hint="eastAsia" w:ascii="宋体" w:hAnsi="宋体" w:cs="宋体"/>
          <w:sz w:val="22"/>
          <w:szCs w:val="22"/>
        </w:rPr>
        <w:t>法定代表人（或单位负责人）或授权代表（签字或盖章）：</w:t>
      </w:r>
    </w:p>
    <w:p w14:paraId="07C4FB28">
      <w:pPr>
        <w:tabs>
          <w:tab w:val="left" w:pos="6480"/>
        </w:tabs>
        <w:spacing w:line="360" w:lineRule="auto"/>
        <w:ind w:right="69" w:rightChars="33" w:firstLine="4125" w:firstLineChars="1875"/>
        <w:rPr>
          <w:rFonts w:hint="eastAsia" w:ascii="宋体" w:hAnsi="宋体" w:cs="宋体"/>
          <w:sz w:val="22"/>
          <w:szCs w:val="22"/>
        </w:rPr>
      </w:pPr>
      <w:r>
        <w:rPr>
          <w:rFonts w:hint="eastAsia" w:ascii="宋体" w:hAnsi="宋体" w:cs="宋体"/>
          <w:sz w:val="22"/>
          <w:szCs w:val="22"/>
        </w:rPr>
        <w:t>日</w:t>
      </w:r>
      <w:r>
        <w:rPr>
          <w:rFonts w:ascii="宋体" w:hAnsi="宋体" w:cs="宋体"/>
          <w:sz w:val="22"/>
          <w:szCs w:val="22"/>
        </w:rPr>
        <w:t xml:space="preserve"> </w:t>
      </w:r>
      <w:r>
        <w:rPr>
          <w:rFonts w:hint="eastAsia" w:ascii="宋体" w:hAnsi="宋体" w:cs="宋体"/>
          <w:sz w:val="22"/>
          <w:szCs w:val="22"/>
        </w:rPr>
        <w:t>期：</w:t>
      </w:r>
      <w:r>
        <w:rPr>
          <w:rFonts w:ascii="宋体" w:hAnsi="宋体" w:cs="宋体"/>
          <w:sz w:val="22"/>
          <w:szCs w:val="22"/>
        </w:rPr>
        <w:t xml:space="preserve">  </w:t>
      </w: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月   日</w:t>
      </w:r>
    </w:p>
    <w:p w14:paraId="62B0727B">
      <w:pPr>
        <w:autoSpaceDE w:val="0"/>
        <w:autoSpaceDN w:val="0"/>
        <w:adjustRightInd w:val="0"/>
        <w:spacing w:line="500" w:lineRule="atLeast"/>
        <w:jc w:val="center"/>
        <w:rPr>
          <w:rFonts w:ascii="宋体" w:eastAsia="宋体" w:cs="仿宋_GB2312"/>
          <w:b/>
          <w:bCs w:val="0"/>
          <w:color w:val="auto"/>
          <w:sz w:val="36"/>
          <w:szCs w:val="36"/>
          <w:highlight w:val="yellow"/>
          <w:lang w:val="zh-CN"/>
        </w:rPr>
      </w:pPr>
      <w:r>
        <w:rPr>
          <w:rFonts w:hint="eastAsia" w:ascii="宋体" w:hAnsi="宋体" w:cs="宋体"/>
          <w:sz w:val="22"/>
          <w:szCs w:val="22"/>
        </w:rPr>
        <w:br w:type="page"/>
      </w:r>
      <w:r>
        <w:rPr>
          <w:rFonts w:hint="eastAsia" w:ascii="宋体" w:eastAsia="宋体" w:cs="仿宋_GB2312"/>
          <w:b/>
          <w:bCs w:val="0"/>
          <w:color w:val="auto"/>
          <w:sz w:val="36"/>
          <w:szCs w:val="36"/>
          <w:highlight w:val="none"/>
          <w:lang w:val="zh-CN" w:eastAsia="zh-CN"/>
        </w:rPr>
        <w:t>已标价文成龙船垟幼儿园教室及功能室清单</w:t>
      </w:r>
    </w:p>
    <w:p w14:paraId="3E63721F">
      <w:pPr>
        <w:pStyle w:val="27"/>
        <w:spacing w:line="460" w:lineRule="atLeast"/>
        <w:rPr>
          <w:rFonts w:hint="eastAsia" w:hAnsi="宋体" w:eastAsia="宋体"/>
          <w:b w:val="0"/>
          <w:color w:val="auto"/>
          <w:sz w:val="22"/>
          <w:szCs w:val="22"/>
          <w:highlight w:val="none"/>
        </w:rPr>
      </w:pPr>
    </w:p>
    <w:p w14:paraId="74AD0374">
      <w:pPr>
        <w:pStyle w:val="27"/>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说明：1、表格</w:t>
      </w:r>
      <w:r>
        <w:rPr>
          <w:rFonts w:hint="eastAsia" w:hAnsi="宋体" w:eastAsia="宋体"/>
          <w:b w:val="0"/>
          <w:color w:val="auto"/>
          <w:sz w:val="22"/>
          <w:szCs w:val="22"/>
          <w:highlight w:val="none"/>
          <w:lang w:val="en-US" w:eastAsia="zh-CN"/>
        </w:rPr>
        <w:t>格式按照附件</w:t>
      </w:r>
      <w:r>
        <w:rPr>
          <w:rFonts w:hint="default" w:hAnsi="宋体" w:eastAsia="宋体"/>
          <w:b w:val="0"/>
          <w:color w:val="auto"/>
          <w:sz w:val="22"/>
          <w:szCs w:val="22"/>
          <w:highlight w:val="none"/>
          <w:lang w:eastAsia="zh-CN"/>
        </w:rPr>
        <w:t>：</w:t>
      </w:r>
      <w:r>
        <w:rPr>
          <w:rFonts w:hint="eastAsia" w:hAnsi="宋体" w:eastAsia="宋体"/>
          <w:b w:val="0"/>
          <w:color w:val="auto"/>
          <w:sz w:val="22"/>
          <w:szCs w:val="22"/>
          <w:highlight w:val="none"/>
          <w:lang w:val="en-US" w:eastAsia="zh-CN"/>
        </w:rPr>
        <w:t>文成龙船垟幼儿园教室及功能室清单为准</w:t>
      </w:r>
      <w:r>
        <w:rPr>
          <w:rFonts w:hint="eastAsia" w:hAnsi="宋体" w:eastAsia="宋体"/>
          <w:b w:val="0"/>
          <w:color w:val="auto"/>
          <w:sz w:val="22"/>
          <w:szCs w:val="22"/>
          <w:highlight w:val="none"/>
        </w:rPr>
        <w:t>；</w:t>
      </w:r>
    </w:p>
    <w:p w14:paraId="1668D46C">
      <w:pPr>
        <w:pStyle w:val="27"/>
        <w:spacing w:line="460" w:lineRule="atLeast"/>
        <w:ind w:firstLine="442" w:firstLineChars="200"/>
        <w:rPr>
          <w:rFonts w:hint="eastAsia" w:ascii="宋体" w:hAnsi="宋体"/>
          <w:b/>
          <w:bCs/>
          <w:sz w:val="22"/>
          <w:szCs w:val="22"/>
          <w:highlight w:val="none"/>
        </w:rPr>
      </w:pPr>
    </w:p>
    <w:p w14:paraId="24C598EE">
      <w:pPr>
        <w:pStyle w:val="27"/>
        <w:spacing w:line="460" w:lineRule="atLeast"/>
        <w:ind w:firstLine="442" w:firstLineChars="200"/>
        <w:rPr>
          <w:rFonts w:hint="eastAsia" w:ascii="宋体" w:hAnsi="宋体" w:cs="宋体"/>
          <w:bCs/>
          <w:sz w:val="22"/>
          <w:szCs w:val="22"/>
          <w:highlight w:val="none"/>
          <w:u w:val="single"/>
        </w:rPr>
      </w:pPr>
      <w:r>
        <w:rPr>
          <w:rFonts w:hint="eastAsia" w:ascii="宋体" w:hAnsi="宋体"/>
          <w:b/>
          <w:bCs/>
          <w:sz w:val="22"/>
          <w:szCs w:val="22"/>
          <w:highlight w:val="none"/>
        </w:rPr>
        <w:t>开标一览表中的报价为提供该项目的总费用：</w:t>
      </w:r>
      <w:r>
        <w:rPr>
          <w:rFonts w:hint="eastAsia" w:ascii="宋体" w:hAnsi="宋体"/>
          <w:b/>
          <w:bCs/>
          <w:sz w:val="22"/>
          <w:szCs w:val="22"/>
          <w:highlight w:val="none"/>
          <w:u w:val="single"/>
        </w:rPr>
        <w:t>设备总价（含税、运保、安装、随机工具、随机附件等费用），同时包括设备技术服务费、材料费、</w:t>
      </w:r>
      <w:r>
        <w:rPr>
          <w:rFonts w:hint="eastAsia" w:ascii="宋体" w:hAnsi="宋体"/>
          <w:b/>
          <w:bCs/>
          <w:sz w:val="22"/>
          <w:szCs w:val="22"/>
          <w:highlight w:val="none"/>
          <w:u w:val="single"/>
          <w:lang w:val="en-US" w:eastAsia="zh-CN"/>
        </w:rPr>
        <w:t>安装费、辅材、</w:t>
      </w:r>
      <w:r>
        <w:rPr>
          <w:rFonts w:hint="eastAsia" w:ascii="宋体" w:hAnsi="宋体"/>
          <w:b/>
          <w:bCs/>
          <w:sz w:val="22"/>
          <w:szCs w:val="22"/>
          <w:highlight w:val="none"/>
          <w:u w:val="single"/>
        </w:rPr>
        <w:t>税金、人工费、技术培训费、</w:t>
      </w:r>
      <w:r>
        <w:rPr>
          <w:rFonts w:hint="eastAsia" w:ascii="宋体" w:hAnsi="宋体" w:cs="宋体"/>
          <w:b/>
          <w:bCs/>
          <w:sz w:val="22"/>
          <w:szCs w:val="22"/>
          <w:highlight w:val="none"/>
          <w:u w:val="single"/>
        </w:rPr>
        <w:t>招标代理服务费、完成合同所需的一切本身和不可或缺的所有工作开支、政策性文件规定及合同包含的所有风险、责任等各项全部费用，投标供应商应根据上述因素自行考虑含入投标报价内</w:t>
      </w:r>
      <w:r>
        <w:rPr>
          <w:rFonts w:hint="eastAsia" w:ascii="宋体" w:hAnsi="宋体" w:cs="宋体"/>
          <w:bCs/>
          <w:sz w:val="22"/>
          <w:szCs w:val="22"/>
          <w:highlight w:val="none"/>
          <w:u w:val="single"/>
        </w:rPr>
        <w:t>。</w:t>
      </w:r>
    </w:p>
    <w:p w14:paraId="7C335B67">
      <w:pPr>
        <w:pStyle w:val="27"/>
        <w:spacing w:line="460" w:lineRule="atLeast"/>
        <w:ind w:firstLine="442" w:firstLineChars="200"/>
        <w:rPr>
          <w:rFonts w:hint="eastAsia" w:ascii="宋体" w:hAnsi="宋体" w:eastAsia="宋体" w:cs="Times New Roman"/>
          <w:b/>
          <w:bCs/>
          <w:sz w:val="22"/>
          <w:szCs w:val="22"/>
          <w:highlight w:val="none"/>
          <w:u w:val="single"/>
        </w:rPr>
      </w:pPr>
      <w:r>
        <w:rPr>
          <w:rFonts w:hint="eastAsia" w:ascii="宋体" w:hAnsi="宋体" w:cs="宋体"/>
          <w:b/>
          <w:sz w:val="22"/>
          <w:szCs w:val="22"/>
          <w:u w:val="single"/>
        </w:rPr>
        <w:t>▲</w:t>
      </w:r>
      <w:r>
        <w:rPr>
          <w:rFonts w:hint="eastAsia" w:ascii="宋体" w:hAnsi="宋体" w:eastAsia="宋体" w:cs="Times New Roman"/>
          <w:b/>
          <w:bCs/>
          <w:sz w:val="22"/>
          <w:szCs w:val="22"/>
          <w:highlight w:val="none"/>
          <w:u w:val="single"/>
        </w:rPr>
        <w:t>不提供此表格的将视为没有实质性响应招标文件。</w:t>
      </w:r>
    </w:p>
    <w:p w14:paraId="25081D31">
      <w:pPr>
        <w:tabs>
          <w:tab w:val="left" w:pos="6480"/>
        </w:tabs>
        <w:spacing w:line="360" w:lineRule="auto"/>
        <w:ind w:right="69" w:rightChars="33" w:firstLine="4125" w:firstLineChars="1875"/>
        <w:rPr>
          <w:rFonts w:ascii="宋体"/>
          <w:sz w:val="22"/>
          <w:szCs w:val="22"/>
        </w:rPr>
      </w:pPr>
    </w:p>
    <w:p w14:paraId="7F575588">
      <w:pPr>
        <w:pStyle w:val="22"/>
        <w:rPr>
          <w:rFonts w:ascii="宋体"/>
          <w:sz w:val="22"/>
          <w:szCs w:val="22"/>
        </w:rPr>
      </w:pPr>
    </w:p>
    <w:p w14:paraId="3B82A17D">
      <w:pPr>
        <w:pStyle w:val="22"/>
        <w:rPr>
          <w:rFonts w:ascii="宋体"/>
          <w:sz w:val="22"/>
          <w:szCs w:val="22"/>
        </w:rPr>
      </w:pPr>
    </w:p>
    <w:p w14:paraId="302BD73C">
      <w:pPr>
        <w:tabs>
          <w:tab w:val="left" w:pos="3780"/>
          <w:tab w:val="left" w:pos="6480"/>
        </w:tabs>
        <w:spacing w:line="360" w:lineRule="auto"/>
        <w:ind w:right="69" w:rightChars="33" w:firstLine="4125" w:firstLineChars="1875"/>
        <w:rPr>
          <w:rFonts w:ascii="宋体"/>
          <w:sz w:val="22"/>
          <w:szCs w:val="22"/>
        </w:rPr>
      </w:pPr>
      <w:r>
        <w:rPr>
          <w:rFonts w:hint="eastAsia" w:ascii="宋体" w:hAnsi="宋体" w:cs="宋体"/>
          <w:sz w:val="22"/>
          <w:szCs w:val="22"/>
        </w:rPr>
        <w:t>投标供应商全称（盖章）：</w:t>
      </w:r>
    </w:p>
    <w:p w14:paraId="5BC37F52">
      <w:pPr>
        <w:tabs>
          <w:tab w:val="left" w:pos="6480"/>
        </w:tabs>
        <w:spacing w:line="360" w:lineRule="auto"/>
        <w:ind w:right="69" w:rightChars="33" w:firstLine="4125" w:firstLineChars="1875"/>
        <w:rPr>
          <w:rFonts w:ascii="宋体"/>
          <w:sz w:val="22"/>
          <w:szCs w:val="22"/>
        </w:rPr>
      </w:pPr>
      <w:r>
        <w:rPr>
          <w:rFonts w:hint="eastAsia" w:ascii="宋体" w:hAnsi="宋体" w:cs="宋体"/>
          <w:sz w:val="22"/>
          <w:szCs w:val="22"/>
        </w:rPr>
        <w:t>法定代表人（或单位负责人）或授权代表（签字或盖章）：</w:t>
      </w:r>
    </w:p>
    <w:p w14:paraId="5B71B148">
      <w:pPr>
        <w:tabs>
          <w:tab w:val="left" w:pos="6480"/>
        </w:tabs>
        <w:spacing w:line="360" w:lineRule="auto"/>
        <w:ind w:right="69" w:rightChars="33" w:firstLine="4125" w:firstLineChars="1875"/>
        <w:rPr>
          <w:rFonts w:hint="eastAsia" w:ascii="宋体" w:hAnsi="宋体" w:cs="宋体"/>
          <w:sz w:val="22"/>
          <w:szCs w:val="22"/>
        </w:rPr>
      </w:pPr>
      <w:r>
        <w:rPr>
          <w:rFonts w:hint="eastAsia" w:ascii="宋体" w:hAnsi="宋体" w:cs="宋体"/>
          <w:sz w:val="22"/>
          <w:szCs w:val="22"/>
        </w:rPr>
        <w:t>日</w:t>
      </w:r>
      <w:r>
        <w:rPr>
          <w:rFonts w:ascii="宋体" w:hAnsi="宋体" w:cs="宋体"/>
          <w:sz w:val="22"/>
          <w:szCs w:val="22"/>
        </w:rPr>
        <w:t xml:space="preserve"> </w:t>
      </w:r>
      <w:r>
        <w:rPr>
          <w:rFonts w:hint="eastAsia" w:ascii="宋体" w:hAnsi="宋体" w:cs="宋体"/>
          <w:sz w:val="22"/>
          <w:szCs w:val="22"/>
        </w:rPr>
        <w:t>期：</w:t>
      </w:r>
      <w:r>
        <w:rPr>
          <w:rFonts w:ascii="宋体" w:hAnsi="宋体" w:cs="宋体"/>
          <w:sz w:val="22"/>
          <w:szCs w:val="22"/>
        </w:rPr>
        <w:t xml:space="preserve">  </w:t>
      </w: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月   日</w:t>
      </w:r>
    </w:p>
    <w:p w14:paraId="390CBA4B">
      <w:pPr>
        <w:pStyle w:val="22"/>
        <w:rPr>
          <w:rFonts w:ascii="宋体"/>
          <w:sz w:val="22"/>
          <w:szCs w:val="22"/>
        </w:rPr>
      </w:pPr>
    </w:p>
    <w:p w14:paraId="0BC730A4">
      <w:pPr>
        <w:pStyle w:val="22"/>
        <w:rPr>
          <w:rFonts w:ascii="宋体"/>
          <w:sz w:val="22"/>
          <w:szCs w:val="22"/>
        </w:rPr>
      </w:pPr>
    </w:p>
    <w:p w14:paraId="13564BE1">
      <w:pPr>
        <w:pStyle w:val="22"/>
        <w:rPr>
          <w:rFonts w:ascii="宋体"/>
          <w:sz w:val="22"/>
          <w:szCs w:val="22"/>
        </w:rPr>
      </w:pPr>
    </w:p>
    <w:p w14:paraId="2E3F6335">
      <w:pPr>
        <w:pStyle w:val="22"/>
        <w:rPr>
          <w:rFonts w:ascii="宋体"/>
          <w:sz w:val="22"/>
          <w:szCs w:val="22"/>
        </w:rPr>
      </w:pPr>
    </w:p>
    <w:p w14:paraId="297B2B08">
      <w:pPr>
        <w:pStyle w:val="22"/>
        <w:rPr>
          <w:rFonts w:ascii="宋体"/>
          <w:sz w:val="22"/>
          <w:szCs w:val="22"/>
        </w:rPr>
      </w:pPr>
    </w:p>
    <w:p w14:paraId="661681F0">
      <w:pPr>
        <w:pStyle w:val="22"/>
        <w:rPr>
          <w:rFonts w:ascii="宋体"/>
          <w:sz w:val="22"/>
          <w:szCs w:val="22"/>
        </w:rPr>
      </w:pPr>
    </w:p>
    <w:p w14:paraId="05EFBA4D">
      <w:pPr>
        <w:pStyle w:val="22"/>
        <w:rPr>
          <w:rFonts w:ascii="宋体"/>
          <w:sz w:val="22"/>
          <w:szCs w:val="22"/>
        </w:rPr>
      </w:pPr>
    </w:p>
    <w:p w14:paraId="42E30900">
      <w:pPr>
        <w:pStyle w:val="22"/>
        <w:rPr>
          <w:rFonts w:ascii="宋体"/>
          <w:sz w:val="22"/>
          <w:szCs w:val="22"/>
        </w:rPr>
      </w:pPr>
    </w:p>
    <w:p w14:paraId="0AE7E1B5">
      <w:pPr>
        <w:pStyle w:val="22"/>
        <w:rPr>
          <w:rFonts w:ascii="宋体"/>
          <w:sz w:val="22"/>
          <w:szCs w:val="22"/>
        </w:rPr>
      </w:pPr>
    </w:p>
    <w:p w14:paraId="0E5F6AFA">
      <w:pPr>
        <w:pStyle w:val="22"/>
        <w:rPr>
          <w:rFonts w:ascii="宋体"/>
          <w:sz w:val="22"/>
          <w:szCs w:val="22"/>
        </w:rPr>
      </w:pPr>
    </w:p>
    <w:p w14:paraId="44C20CDA">
      <w:pPr>
        <w:pStyle w:val="22"/>
        <w:rPr>
          <w:rFonts w:ascii="宋体"/>
          <w:sz w:val="22"/>
          <w:szCs w:val="22"/>
        </w:rPr>
      </w:pPr>
    </w:p>
    <w:p w14:paraId="42890159">
      <w:pPr>
        <w:pStyle w:val="22"/>
        <w:rPr>
          <w:rFonts w:ascii="宋体"/>
          <w:sz w:val="22"/>
          <w:szCs w:val="22"/>
        </w:rPr>
      </w:pPr>
    </w:p>
    <w:p w14:paraId="78BE4E00">
      <w:pPr>
        <w:pStyle w:val="22"/>
        <w:rPr>
          <w:rFonts w:ascii="宋体"/>
          <w:sz w:val="22"/>
          <w:szCs w:val="22"/>
        </w:rPr>
      </w:pPr>
    </w:p>
    <w:p w14:paraId="30E98F55">
      <w:pPr>
        <w:pStyle w:val="22"/>
        <w:rPr>
          <w:rFonts w:ascii="宋体"/>
          <w:sz w:val="22"/>
          <w:szCs w:val="22"/>
        </w:rPr>
      </w:pPr>
    </w:p>
    <w:p w14:paraId="4C1B97BD">
      <w:pPr>
        <w:pStyle w:val="22"/>
        <w:rPr>
          <w:rFonts w:ascii="宋体"/>
          <w:sz w:val="22"/>
          <w:szCs w:val="22"/>
        </w:rPr>
      </w:pPr>
    </w:p>
    <w:p w14:paraId="540F3422">
      <w:pPr>
        <w:pStyle w:val="22"/>
        <w:rPr>
          <w:rFonts w:ascii="宋体"/>
          <w:sz w:val="22"/>
          <w:szCs w:val="22"/>
        </w:rPr>
      </w:pPr>
    </w:p>
    <w:p w14:paraId="6C9A70BB">
      <w:pPr>
        <w:pStyle w:val="22"/>
        <w:rPr>
          <w:rFonts w:ascii="宋体"/>
          <w:sz w:val="22"/>
          <w:szCs w:val="22"/>
        </w:rPr>
      </w:pPr>
    </w:p>
    <w:p w14:paraId="3818B439">
      <w:pPr>
        <w:pStyle w:val="22"/>
        <w:rPr>
          <w:rFonts w:ascii="宋体"/>
          <w:sz w:val="22"/>
          <w:szCs w:val="22"/>
        </w:rPr>
      </w:pPr>
    </w:p>
    <w:p w14:paraId="0E226825">
      <w:pPr>
        <w:pStyle w:val="22"/>
        <w:rPr>
          <w:rFonts w:ascii="宋体"/>
          <w:sz w:val="22"/>
          <w:szCs w:val="22"/>
        </w:rPr>
      </w:pPr>
    </w:p>
    <w:p w14:paraId="44BFDA5F">
      <w:pPr>
        <w:pStyle w:val="22"/>
        <w:rPr>
          <w:rFonts w:ascii="宋体"/>
          <w:sz w:val="22"/>
          <w:szCs w:val="22"/>
        </w:rPr>
      </w:pPr>
    </w:p>
    <w:p w14:paraId="65295F03">
      <w:pPr>
        <w:pStyle w:val="22"/>
        <w:rPr>
          <w:rFonts w:ascii="宋体"/>
          <w:sz w:val="22"/>
          <w:szCs w:val="22"/>
        </w:rPr>
      </w:pPr>
    </w:p>
    <w:p w14:paraId="61A54099">
      <w:pPr>
        <w:pStyle w:val="22"/>
        <w:rPr>
          <w:rFonts w:ascii="宋体"/>
          <w:sz w:val="22"/>
          <w:szCs w:val="22"/>
        </w:rPr>
      </w:pPr>
    </w:p>
    <w:p w14:paraId="7E15AB9B">
      <w:pPr>
        <w:pStyle w:val="22"/>
        <w:rPr>
          <w:rFonts w:ascii="宋体"/>
          <w:sz w:val="22"/>
          <w:szCs w:val="22"/>
        </w:rPr>
      </w:pPr>
    </w:p>
    <w:p w14:paraId="33AE4E40">
      <w:pPr>
        <w:pStyle w:val="22"/>
        <w:rPr>
          <w:rFonts w:ascii="宋体"/>
          <w:sz w:val="22"/>
          <w:szCs w:val="22"/>
        </w:rPr>
      </w:pPr>
    </w:p>
    <w:p w14:paraId="5F18D8F4">
      <w:pPr>
        <w:pStyle w:val="22"/>
        <w:rPr>
          <w:rFonts w:ascii="宋体"/>
          <w:sz w:val="22"/>
          <w:szCs w:val="22"/>
        </w:rPr>
      </w:pPr>
    </w:p>
    <w:p w14:paraId="7E1F0632">
      <w:pPr>
        <w:pStyle w:val="22"/>
        <w:rPr>
          <w:rFonts w:ascii="宋体"/>
          <w:sz w:val="22"/>
          <w:szCs w:val="22"/>
        </w:rPr>
      </w:pPr>
    </w:p>
    <w:p w14:paraId="2D71A083">
      <w:pPr>
        <w:pStyle w:val="22"/>
        <w:rPr>
          <w:rFonts w:ascii="宋体"/>
          <w:sz w:val="22"/>
          <w:szCs w:val="22"/>
        </w:rPr>
      </w:pPr>
    </w:p>
    <w:p w14:paraId="1664E583">
      <w:pPr>
        <w:spacing w:line="400" w:lineRule="exact"/>
        <w:jc w:val="center"/>
        <w:rPr>
          <w:rFonts w:ascii="宋体" w:hAnsi="宋体" w:cs="宋体"/>
          <w:b/>
          <w:bCs/>
          <w:sz w:val="36"/>
          <w:szCs w:val="36"/>
        </w:rPr>
      </w:pPr>
      <w:r>
        <w:rPr>
          <w:rFonts w:hint="eastAsia" w:ascii="宋体" w:hAnsi="宋体" w:cs="宋体"/>
          <w:b/>
          <w:bCs/>
          <w:sz w:val="36"/>
          <w:szCs w:val="36"/>
          <w:lang w:eastAsia="zh-CN"/>
        </w:rPr>
        <w:t>备品备件</w:t>
      </w:r>
      <w:r>
        <w:rPr>
          <w:rFonts w:hint="eastAsia" w:ascii="宋体" w:hAnsi="宋体" w:cs="宋体"/>
          <w:b/>
          <w:bCs/>
          <w:sz w:val="36"/>
          <w:szCs w:val="36"/>
        </w:rPr>
        <w:t>表</w:t>
      </w:r>
    </w:p>
    <w:p w14:paraId="14679CB4">
      <w:pPr>
        <w:spacing w:line="380" w:lineRule="exact"/>
        <w:jc w:val="center"/>
        <w:rPr>
          <w:rFonts w:ascii="宋体" w:hAnsi="宋体" w:cs="宋体"/>
          <w:b/>
          <w:bCs/>
          <w:sz w:val="22"/>
          <w:szCs w:val="22"/>
        </w:rPr>
      </w:pPr>
    </w:p>
    <w:p w14:paraId="28D13D1E">
      <w:pPr>
        <w:spacing w:line="380" w:lineRule="exact"/>
        <w:rPr>
          <w:rFonts w:ascii="宋体"/>
          <w:sz w:val="22"/>
          <w:szCs w:val="22"/>
        </w:rPr>
      </w:pPr>
      <w:r>
        <w:rPr>
          <w:rFonts w:hint="eastAsia" w:ascii="宋体" w:hAnsi="宋体" w:cs="宋体"/>
          <w:sz w:val="22"/>
          <w:szCs w:val="22"/>
        </w:rPr>
        <w:t>项目名称：</w:t>
      </w:r>
      <w:r>
        <w:rPr>
          <w:rFonts w:ascii="宋体" w:hAnsi="宋体" w:cs="宋体"/>
          <w:sz w:val="22"/>
          <w:szCs w:val="22"/>
        </w:rPr>
        <w:t xml:space="preserve">                        </w:t>
      </w: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项目编号：</w:t>
      </w:r>
      <w:r>
        <w:rPr>
          <w:rFonts w:ascii="宋体" w:hAnsi="宋体" w:cs="宋体"/>
          <w:sz w:val="22"/>
          <w:szCs w:val="22"/>
        </w:rPr>
        <w:t xml:space="preserve">                    </w:t>
      </w:r>
    </w:p>
    <w:tbl>
      <w:tblPr>
        <w:tblStyle w:val="49"/>
        <w:tblW w:w="0" w:type="auto"/>
        <w:tblInd w:w="11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4551"/>
        <w:gridCol w:w="1104"/>
      </w:tblGrid>
      <w:tr w14:paraId="1EA65E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735" w:type="dxa"/>
            <w:tcBorders>
              <w:top w:val="double" w:color="auto" w:sz="4" w:space="0"/>
            </w:tcBorders>
            <w:noWrap w:val="0"/>
            <w:vAlign w:val="center"/>
          </w:tcPr>
          <w:p w14:paraId="3F228324">
            <w:pPr>
              <w:pStyle w:val="27"/>
              <w:spacing w:line="400" w:lineRule="exact"/>
              <w:jc w:val="center"/>
              <w:rPr>
                <w:rFonts w:hAnsi="宋体"/>
                <w:sz w:val="22"/>
                <w:szCs w:val="22"/>
              </w:rPr>
            </w:pPr>
            <w:r>
              <w:rPr>
                <w:rFonts w:hint="eastAsia" w:hAnsi="宋体" w:cs="宋体"/>
                <w:sz w:val="22"/>
                <w:szCs w:val="22"/>
              </w:rPr>
              <w:t>报价内容</w:t>
            </w:r>
          </w:p>
        </w:tc>
        <w:tc>
          <w:tcPr>
            <w:tcW w:w="4551" w:type="dxa"/>
            <w:tcBorders>
              <w:top w:val="double" w:color="auto" w:sz="4" w:space="0"/>
            </w:tcBorders>
            <w:noWrap w:val="0"/>
            <w:vAlign w:val="center"/>
          </w:tcPr>
          <w:p w14:paraId="3AF2F480">
            <w:pPr>
              <w:pStyle w:val="27"/>
              <w:spacing w:line="400" w:lineRule="exact"/>
              <w:jc w:val="center"/>
              <w:rPr>
                <w:rFonts w:hint="eastAsia" w:hAnsi="宋体"/>
                <w:sz w:val="22"/>
                <w:szCs w:val="22"/>
              </w:rPr>
            </w:pPr>
            <w:r>
              <w:rPr>
                <w:rFonts w:hint="eastAsia" w:hAnsi="宋体" w:cs="宋体"/>
                <w:sz w:val="22"/>
                <w:szCs w:val="22"/>
              </w:rPr>
              <w:t>报价</w:t>
            </w:r>
            <w:r>
              <w:rPr>
                <w:rFonts w:hint="eastAsia" w:hAnsi="宋体" w:cs="宋体"/>
                <w:sz w:val="22"/>
                <w:szCs w:val="22"/>
                <w:lang w:eastAsia="zh-CN"/>
              </w:rPr>
              <w:t>单价</w:t>
            </w:r>
            <w:r>
              <w:rPr>
                <w:rFonts w:hint="eastAsia" w:hAnsi="宋体" w:cs="宋体"/>
                <w:sz w:val="22"/>
                <w:szCs w:val="22"/>
              </w:rPr>
              <w:t>（元）</w:t>
            </w:r>
          </w:p>
        </w:tc>
        <w:tc>
          <w:tcPr>
            <w:tcW w:w="1104" w:type="dxa"/>
            <w:tcBorders>
              <w:top w:val="double" w:color="auto" w:sz="4" w:space="0"/>
            </w:tcBorders>
            <w:noWrap w:val="0"/>
            <w:vAlign w:val="center"/>
          </w:tcPr>
          <w:p w14:paraId="35ED3121">
            <w:pPr>
              <w:pStyle w:val="27"/>
              <w:spacing w:line="400" w:lineRule="exact"/>
              <w:jc w:val="center"/>
              <w:rPr>
                <w:rFonts w:hAnsi="宋体" w:cs="宋体"/>
                <w:sz w:val="22"/>
                <w:szCs w:val="22"/>
              </w:rPr>
            </w:pPr>
            <w:r>
              <w:rPr>
                <w:rFonts w:hint="eastAsia" w:hAnsi="宋体" w:cs="宋体"/>
                <w:sz w:val="22"/>
                <w:szCs w:val="22"/>
              </w:rPr>
              <w:t>备注</w:t>
            </w:r>
          </w:p>
        </w:tc>
      </w:tr>
      <w:tr w14:paraId="60FB5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627" w:hRule="atLeast"/>
        </w:trPr>
        <w:tc>
          <w:tcPr>
            <w:tcW w:w="3735" w:type="dxa"/>
            <w:noWrap w:val="0"/>
            <w:vAlign w:val="center"/>
          </w:tcPr>
          <w:p w14:paraId="6AC79BBC">
            <w:pPr>
              <w:pStyle w:val="27"/>
              <w:spacing w:line="400" w:lineRule="exact"/>
              <w:jc w:val="center"/>
              <w:rPr>
                <w:rFonts w:hint="eastAsia" w:hAnsi="宋体" w:eastAsia="宋体"/>
                <w:sz w:val="22"/>
                <w:szCs w:val="22"/>
                <w:lang w:eastAsia="zh-CN"/>
              </w:rPr>
            </w:pPr>
            <w:r>
              <w:rPr>
                <w:rFonts w:hint="eastAsia" w:hAnsi="宋体" w:cs="宋体"/>
                <w:sz w:val="22"/>
                <w:szCs w:val="22"/>
                <w:lang w:eastAsia="zh-CN"/>
              </w:rPr>
              <w:t>备品备件</w:t>
            </w:r>
          </w:p>
        </w:tc>
        <w:tc>
          <w:tcPr>
            <w:tcW w:w="4551" w:type="dxa"/>
            <w:noWrap w:val="0"/>
            <w:vAlign w:val="center"/>
          </w:tcPr>
          <w:p w14:paraId="4C000B3C">
            <w:pPr>
              <w:pStyle w:val="27"/>
              <w:spacing w:line="400" w:lineRule="exact"/>
              <w:rPr>
                <w:rFonts w:hAnsi="宋体"/>
                <w:sz w:val="22"/>
                <w:szCs w:val="22"/>
              </w:rPr>
            </w:pPr>
          </w:p>
        </w:tc>
        <w:tc>
          <w:tcPr>
            <w:tcW w:w="1104" w:type="dxa"/>
            <w:noWrap w:val="0"/>
            <w:vAlign w:val="center"/>
          </w:tcPr>
          <w:p w14:paraId="46CEDADE">
            <w:pPr>
              <w:pStyle w:val="27"/>
              <w:spacing w:line="400" w:lineRule="exact"/>
              <w:jc w:val="center"/>
              <w:rPr>
                <w:rFonts w:hAnsi="宋体"/>
                <w:sz w:val="22"/>
                <w:szCs w:val="22"/>
              </w:rPr>
            </w:pPr>
          </w:p>
        </w:tc>
      </w:tr>
      <w:tr w14:paraId="68BD45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trPr>
        <w:tc>
          <w:tcPr>
            <w:tcW w:w="3735" w:type="dxa"/>
            <w:noWrap w:val="0"/>
            <w:vAlign w:val="center"/>
          </w:tcPr>
          <w:p w14:paraId="2FE5E2F5">
            <w:pPr>
              <w:spacing w:line="400" w:lineRule="exact"/>
              <w:jc w:val="center"/>
              <w:rPr>
                <w:rFonts w:hint="eastAsia" w:hAnsi="宋体" w:cs="宋体"/>
                <w:sz w:val="22"/>
                <w:szCs w:val="22"/>
                <w:lang w:eastAsia="zh-CN"/>
              </w:rPr>
            </w:pPr>
            <w:r>
              <w:rPr>
                <w:rFonts w:hint="eastAsia" w:hAnsi="宋体" w:cs="宋体"/>
                <w:sz w:val="22"/>
                <w:szCs w:val="22"/>
                <w:lang w:eastAsia="zh-CN"/>
              </w:rPr>
              <w:t>备品备件</w:t>
            </w:r>
          </w:p>
        </w:tc>
        <w:tc>
          <w:tcPr>
            <w:tcW w:w="4551" w:type="dxa"/>
            <w:noWrap w:val="0"/>
            <w:vAlign w:val="center"/>
          </w:tcPr>
          <w:p w14:paraId="5E3FA25F">
            <w:pPr>
              <w:pStyle w:val="27"/>
              <w:spacing w:line="400" w:lineRule="exact"/>
              <w:rPr>
                <w:rFonts w:hAnsi="宋体"/>
                <w:sz w:val="22"/>
                <w:szCs w:val="22"/>
              </w:rPr>
            </w:pPr>
          </w:p>
        </w:tc>
        <w:tc>
          <w:tcPr>
            <w:tcW w:w="1104" w:type="dxa"/>
            <w:noWrap w:val="0"/>
            <w:vAlign w:val="center"/>
          </w:tcPr>
          <w:p w14:paraId="259A748E">
            <w:pPr>
              <w:pStyle w:val="27"/>
              <w:spacing w:line="400" w:lineRule="exact"/>
              <w:jc w:val="center"/>
              <w:rPr>
                <w:rFonts w:hAnsi="宋体"/>
                <w:sz w:val="22"/>
                <w:szCs w:val="22"/>
              </w:rPr>
            </w:pPr>
          </w:p>
        </w:tc>
      </w:tr>
      <w:tr w14:paraId="300DA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trPr>
        <w:tc>
          <w:tcPr>
            <w:tcW w:w="3735" w:type="dxa"/>
            <w:tcBorders>
              <w:bottom w:val="double" w:color="auto" w:sz="4" w:space="0"/>
            </w:tcBorders>
            <w:noWrap w:val="0"/>
            <w:vAlign w:val="center"/>
          </w:tcPr>
          <w:p w14:paraId="0B07EA27">
            <w:pPr>
              <w:spacing w:line="400" w:lineRule="exact"/>
              <w:jc w:val="center"/>
              <w:rPr>
                <w:rFonts w:hint="eastAsia" w:hAnsi="宋体" w:cs="宋体"/>
                <w:sz w:val="22"/>
                <w:szCs w:val="22"/>
                <w:lang w:eastAsia="zh-CN"/>
              </w:rPr>
            </w:pPr>
            <w:r>
              <w:rPr>
                <w:rFonts w:hint="eastAsia" w:hAnsi="宋体" w:cs="宋体"/>
                <w:sz w:val="22"/>
                <w:szCs w:val="22"/>
                <w:lang w:eastAsia="zh-CN"/>
              </w:rPr>
              <w:t>备品备件</w:t>
            </w:r>
          </w:p>
        </w:tc>
        <w:tc>
          <w:tcPr>
            <w:tcW w:w="4551" w:type="dxa"/>
            <w:tcBorders>
              <w:bottom w:val="double" w:color="auto" w:sz="4" w:space="0"/>
            </w:tcBorders>
            <w:noWrap w:val="0"/>
            <w:vAlign w:val="center"/>
          </w:tcPr>
          <w:p w14:paraId="31F5ABC5">
            <w:pPr>
              <w:pStyle w:val="27"/>
              <w:spacing w:line="400" w:lineRule="exact"/>
              <w:rPr>
                <w:rFonts w:hAnsi="宋体"/>
                <w:sz w:val="22"/>
                <w:szCs w:val="22"/>
              </w:rPr>
            </w:pPr>
          </w:p>
        </w:tc>
        <w:tc>
          <w:tcPr>
            <w:tcW w:w="1104" w:type="dxa"/>
            <w:tcBorders>
              <w:bottom w:val="double" w:color="auto" w:sz="4" w:space="0"/>
            </w:tcBorders>
            <w:noWrap w:val="0"/>
            <w:vAlign w:val="center"/>
          </w:tcPr>
          <w:p w14:paraId="05ACDACD">
            <w:pPr>
              <w:pStyle w:val="27"/>
              <w:spacing w:line="400" w:lineRule="exact"/>
              <w:jc w:val="center"/>
              <w:rPr>
                <w:rFonts w:hAnsi="宋体"/>
                <w:sz w:val="22"/>
                <w:szCs w:val="22"/>
              </w:rPr>
            </w:pPr>
          </w:p>
        </w:tc>
      </w:tr>
    </w:tbl>
    <w:p w14:paraId="6D30C34E">
      <w:pPr>
        <w:pStyle w:val="22"/>
        <w:rPr>
          <w:rFonts w:ascii="宋体"/>
          <w:sz w:val="22"/>
          <w:szCs w:val="22"/>
        </w:rPr>
      </w:pPr>
    </w:p>
    <w:p w14:paraId="5001336A">
      <w:pPr>
        <w:pStyle w:val="22"/>
        <w:rPr>
          <w:rFonts w:ascii="宋体"/>
          <w:sz w:val="22"/>
          <w:szCs w:val="22"/>
        </w:rPr>
      </w:pPr>
    </w:p>
    <w:p w14:paraId="7C4EA27B">
      <w:pPr>
        <w:pStyle w:val="22"/>
        <w:rPr>
          <w:rFonts w:ascii="宋体"/>
          <w:sz w:val="22"/>
          <w:szCs w:val="22"/>
        </w:rPr>
      </w:pPr>
    </w:p>
    <w:p w14:paraId="751462CF">
      <w:pPr>
        <w:pStyle w:val="22"/>
        <w:rPr>
          <w:rFonts w:ascii="宋体"/>
          <w:sz w:val="22"/>
          <w:szCs w:val="22"/>
        </w:rPr>
      </w:pPr>
    </w:p>
    <w:p w14:paraId="5ED507E6">
      <w:pPr>
        <w:pStyle w:val="22"/>
        <w:spacing w:line="360" w:lineRule="auto"/>
        <w:rPr>
          <w:rFonts w:hint="eastAsia" w:ascii="宋体" w:eastAsia="宋体"/>
          <w:b/>
          <w:bCs/>
          <w:sz w:val="22"/>
          <w:szCs w:val="22"/>
          <w:lang w:eastAsia="zh-CN"/>
        </w:rPr>
      </w:pPr>
      <w:r>
        <w:rPr>
          <w:rFonts w:hint="eastAsia" w:ascii="宋体"/>
          <w:b/>
          <w:bCs/>
          <w:sz w:val="22"/>
          <w:szCs w:val="22"/>
          <w:lang w:eastAsia="zh-CN"/>
        </w:rPr>
        <w:t>注：</w:t>
      </w:r>
      <w:r>
        <w:rPr>
          <w:rFonts w:hint="eastAsia" w:ascii="宋体"/>
          <w:b/>
          <w:bCs/>
          <w:sz w:val="22"/>
          <w:szCs w:val="22"/>
          <w:lang w:val="en-US" w:eastAsia="zh-CN"/>
        </w:rPr>
        <w:t>格式自拟；</w:t>
      </w:r>
      <w:r>
        <w:rPr>
          <w:rFonts w:hint="eastAsia" w:ascii="宋体"/>
          <w:b/>
          <w:bCs/>
          <w:sz w:val="22"/>
          <w:szCs w:val="22"/>
          <w:lang w:eastAsia="zh-CN"/>
        </w:rPr>
        <w:t>常规维修的备品备件报价，该单价不列入本次采购</w:t>
      </w:r>
      <w:r>
        <w:rPr>
          <w:rFonts w:hint="eastAsia" w:ascii="宋体"/>
          <w:b/>
          <w:bCs/>
          <w:sz w:val="22"/>
          <w:szCs w:val="22"/>
          <w:lang w:val="en-US" w:eastAsia="zh-CN"/>
        </w:rPr>
        <w:t>投标报价</w:t>
      </w:r>
      <w:r>
        <w:rPr>
          <w:rFonts w:hint="eastAsia" w:ascii="宋体"/>
          <w:b/>
          <w:bCs/>
          <w:sz w:val="22"/>
          <w:szCs w:val="22"/>
          <w:lang w:eastAsia="zh-CN"/>
        </w:rPr>
        <w:t>的总价范围，</w:t>
      </w:r>
      <w:r>
        <w:rPr>
          <w:rFonts w:hint="eastAsia" w:ascii="宋体"/>
          <w:b/>
          <w:bCs/>
          <w:sz w:val="22"/>
          <w:szCs w:val="22"/>
          <w:lang w:val="en-US" w:eastAsia="zh-CN"/>
        </w:rPr>
        <w:t>且</w:t>
      </w:r>
      <w:r>
        <w:rPr>
          <w:rFonts w:hint="eastAsia" w:ascii="宋体"/>
          <w:b/>
          <w:bCs/>
          <w:sz w:val="22"/>
          <w:szCs w:val="22"/>
          <w:lang w:eastAsia="zh-CN"/>
        </w:rPr>
        <w:t>不得高于</w:t>
      </w:r>
      <w:r>
        <w:rPr>
          <w:rFonts w:hint="eastAsia" w:ascii="宋体"/>
          <w:b/>
          <w:bCs/>
          <w:sz w:val="22"/>
          <w:szCs w:val="22"/>
          <w:lang w:val="en-US" w:eastAsia="zh-CN"/>
        </w:rPr>
        <w:t>本次招标</w:t>
      </w:r>
      <w:r>
        <w:rPr>
          <w:rFonts w:hint="eastAsia" w:ascii="宋体"/>
          <w:b/>
          <w:bCs/>
          <w:sz w:val="22"/>
          <w:szCs w:val="22"/>
          <w:lang w:eastAsia="zh-CN"/>
        </w:rPr>
        <w:t>清单的单价。</w:t>
      </w:r>
    </w:p>
    <w:p w14:paraId="156B4CF7">
      <w:pPr>
        <w:pStyle w:val="22"/>
        <w:rPr>
          <w:rFonts w:ascii="宋体"/>
          <w:sz w:val="22"/>
          <w:szCs w:val="22"/>
        </w:rPr>
      </w:pPr>
    </w:p>
    <w:p w14:paraId="58B7B49E">
      <w:pPr>
        <w:pStyle w:val="22"/>
        <w:rPr>
          <w:rFonts w:ascii="宋体"/>
          <w:sz w:val="22"/>
          <w:szCs w:val="22"/>
        </w:rPr>
      </w:pPr>
    </w:p>
    <w:p w14:paraId="74835B87">
      <w:pPr>
        <w:pStyle w:val="22"/>
        <w:rPr>
          <w:rFonts w:ascii="宋体"/>
          <w:sz w:val="22"/>
          <w:szCs w:val="22"/>
        </w:rPr>
      </w:pPr>
    </w:p>
    <w:p w14:paraId="70EA7358">
      <w:pPr>
        <w:pStyle w:val="22"/>
        <w:rPr>
          <w:rFonts w:ascii="宋体"/>
          <w:sz w:val="22"/>
          <w:szCs w:val="22"/>
        </w:rPr>
      </w:pPr>
    </w:p>
    <w:p w14:paraId="72159A95">
      <w:pPr>
        <w:pStyle w:val="22"/>
        <w:rPr>
          <w:rFonts w:ascii="宋体"/>
          <w:sz w:val="22"/>
          <w:szCs w:val="22"/>
        </w:rPr>
      </w:pPr>
    </w:p>
    <w:p w14:paraId="319D313A">
      <w:pPr>
        <w:pStyle w:val="22"/>
        <w:rPr>
          <w:rFonts w:ascii="宋体"/>
          <w:sz w:val="22"/>
          <w:szCs w:val="22"/>
        </w:rPr>
      </w:pPr>
    </w:p>
    <w:p w14:paraId="10595F31">
      <w:pPr>
        <w:tabs>
          <w:tab w:val="left" w:pos="3780"/>
          <w:tab w:val="left" w:pos="6480"/>
        </w:tabs>
        <w:spacing w:line="360" w:lineRule="auto"/>
        <w:ind w:right="69" w:rightChars="33" w:firstLine="4125" w:firstLineChars="1875"/>
        <w:rPr>
          <w:rFonts w:ascii="宋体"/>
          <w:sz w:val="22"/>
          <w:szCs w:val="22"/>
        </w:rPr>
      </w:pPr>
      <w:r>
        <w:rPr>
          <w:rFonts w:hint="eastAsia" w:ascii="宋体" w:hAnsi="宋体" w:cs="宋体"/>
          <w:sz w:val="22"/>
          <w:szCs w:val="22"/>
        </w:rPr>
        <w:t>投标供应商全称（盖章）：</w:t>
      </w:r>
    </w:p>
    <w:p w14:paraId="3E1C5D59">
      <w:pPr>
        <w:tabs>
          <w:tab w:val="left" w:pos="6480"/>
        </w:tabs>
        <w:spacing w:line="360" w:lineRule="auto"/>
        <w:ind w:right="69" w:rightChars="33" w:firstLine="4125" w:firstLineChars="1875"/>
        <w:rPr>
          <w:rFonts w:ascii="宋体"/>
          <w:sz w:val="22"/>
          <w:szCs w:val="22"/>
        </w:rPr>
      </w:pPr>
      <w:r>
        <w:rPr>
          <w:rFonts w:hint="eastAsia" w:ascii="宋体" w:hAnsi="宋体" w:cs="宋体"/>
          <w:sz w:val="22"/>
          <w:szCs w:val="22"/>
        </w:rPr>
        <w:t>法定代表人（或单位负责人）或授权代表（签字或盖章）：</w:t>
      </w:r>
    </w:p>
    <w:p w14:paraId="52AEDD24">
      <w:pPr>
        <w:tabs>
          <w:tab w:val="left" w:pos="6480"/>
        </w:tabs>
        <w:spacing w:line="360" w:lineRule="auto"/>
        <w:ind w:right="69" w:rightChars="33" w:firstLine="4125" w:firstLineChars="1875"/>
        <w:rPr>
          <w:rFonts w:hint="eastAsia" w:ascii="宋体" w:hAnsi="宋体" w:cs="宋体"/>
          <w:sz w:val="22"/>
          <w:szCs w:val="22"/>
        </w:rPr>
      </w:pPr>
      <w:r>
        <w:rPr>
          <w:rFonts w:hint="eastAsia" w:ascii="宋体" w:hAnsi="宋体" w:cs="宋体"/>
          <w:sz w:val="22"/>
          <w:szCs w:val="22"/>
        </w:rPr>
        <w:t>日</w:t>
      </w:r>
      <w:r>
        <w:rPr>
          <w:rFonts w:ascii="宋体" w:hAnsi="宋体" w:cs="宋体"/>
          <w:sz w:val="22"/>
          <w:szCs w:val="22"/>
        </w:rPr>
        <w:t xml:space="preserve"> </w:t>
      </w:r>
      <w:r>
        <w:rPr>
          <w:rFonts w:hint="eastAsia" w:ascii="宋体" w:hAnsi="宋体" w:cs="宋体"/>
          <w:sz w:val="22"/>
          <w:szCs w:val="22"/>
        </w:rPr>
        <w:t>期：</w:t>
      </w:r>
      <w:r>
        <w:rPr>
          <w:rFonts w:ascii="宋体" w:hAnsi="宋体" w:cs="宋体"/>
          <w:sz w:val="22"/>
          <w:szCs w:val="22"/>
        </w:rPr>
        <w:t xml:space="preserve">  </w:t>
      </w: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月   日</w:t>
      </w:r>
    </w:p>
    <w:p w14:paraId="6C22A893">
      <w:pPr>
        <w:pStyle w:val="22"/>
        <w:rPr>
          <w:rFonts w:ascii="宋体"/>
          <w:sz w:val="22"/>
          <w:szCs w:val="22"/>
        </w:rPr>
      </w:pPr>
    </w:p>
    <w:p w14:paraId="1BD803E0">
      <w:pPr>
        <w:pStyle w:val="22"/>
        <w:jc w:val="both"/>
        <w:rPr>
          <w:rFonts w:ascii="宋体"/>
          <w:sz w:val="22"/>
          <w:szCs w:val="22"/>
        </w:rPr>
        <w:sectPr>
          <w:headerReference r:id="rId4" w:type="default"/>
          <w:footerReference r:id="rId5" w:type="default"/>
          <w:pgSz w:w="11906" w:h="16838"/>
          <w:pgMar w:top="1440" w:right="1080" w:bottom="1440" w:left="1080" w:header="851" w:footer="851" w:gutter="0"/>
          <w:cols w:space="720" w:num="1"/>
          <w:titlePg/>
          <w:docGrid w:linePitch="326" w:charSpace="0"/>
        </w:sectPr>
      </w:pPr>
    </w:p>
    <w:p w14:paraId="6E70F196">
      <w:pPr>
        <w:spacing w:line="360" w:lineRule="auto"/>
        <w:jc w:val="center"/>
        <w:outlineLvl w:val="0"/>
        <w:rPr>
          <w:rFonts w:ascii="宋体" w:hAnsi="宋体" w:cs="宋体"/>
          <w:b/>
          <w:bCs/>
          <w:sz w:val="36"/>
          <w:szCs w:val="36"/>
        </w:rPr>
      </w:pPr>
      <w:bookmarkStart w:id="123" w:name="_Toc11579"/>
      <w:bookmarkStart w:id="124" w:name="_Toc14299"/>
      <w:r>
        <w:rPr>
          <w:rFonts w:ascii="Arial" w:hAnsi="宋体" w:cs="Arial"/>
          <w:b/>
          <w:bCs/>
          <w:color w:val="000000"/>
          <w:szCs w:val="28"/>
        </w:rPr>
        <w:t xml:space="preserve">第六部分  </w:t>
      </w:r>
      <w:bookmarkEnd w:id="86"/>
      <w:bookmarkEnd w:id="87"/>
      <w:bookmarkEnd w:id="123"/>
      <w:r>
        <w:rPr>
          <w:rFonts w:hint="eastAsia" w:ascii="宋体" w:hAnsi="宋体" w:cs="宋体"/>
          <w:b/>
          <w:bCs/>
          <w:sz w:val="36"/>
          <w:szCs w:val="36"/>
        </w:rPr>
        <w:t>评标原则及方法</w:t>
      </w:r>
      <w:bookmarkEnd w:id="124"/>
    </w:p>
    <w:p w14:paraId="00B49264">
      <w:pPr>
        <w:spacing w:line="240" w:lineRule="atLeast"/>
        <w:jc w:val="center"/>
        <w:rPr>
          <w:rFonts w:ascii="宋体" w:hAnsi="宋体" w:cs="宋体"/>
          <w:b/>
          <w:szCs w:val="21"/>
        </w:rPr>
      </w:pPr>
    </w:p>
    <w:p w14:paraId="57F1793E">
      <w:pPr>
        <w:spacing w:line="420" w:lineRule="exact"/>
        <w:jc w:val="center"/>
        <w:outlineLvl w:val="0"/>
        <w:rPr>
          <w:rFonts w:ascii="宋体" w:hAnsi="宋体" w:cs="宋体"/>
          <w:sz w:val="22"/>
          <w:szCs w:val="22"/>
        </w:rPr>
      </w:pPr>
      <w:bookmarkStart w:id="125" w:name="_Toc14502"/>
      <w:r>
        <w:rPr>
          <w:rFonts w:hint="eastAsia" w:ascii="宋体" w:hAnsi="宋体" w:cs="宋体"/>
          <w:sz w:val="22"/>
          <w:szCs w:val="22"/>
        </w:rPr>
        <w:t>根据《温州市市属国有企业采购管理办法》等相关法律、法规特制定以下评标办法。</w:t>
      </w:r>
      <w:bookmarkEnd w:id="125"/>
    </w:p>
    <w:p w14:paraId="53A81B6D">
      <w:pPr>
        <w:spacing w:line="420" w:lineRule="exact"/>
        <w:outlineLvl w:val="0"/>
        <w:rPr>
          <w:rFonts w:ascii="宋体" w:hAnsi="宋体" w:cs="宋体"/>
          <w:sz w:val="22"/>
          <w:szCs w:val="22"/>
        </w:rPr>
      </w:pPr>
      <w:bookmarkStart w:id="126" w:name="_Toc20000"/>
      <w:r>
        <w:rPr>
          <w:rFonts w:hint="eastAsia" w:ascii="宋体" w:hAnsi="宋体" w:cs="宋体"/>
          <w:sz w:val="22"/>
          <w:szCs w:val="22"/>
        </w:rPr>
        <w:t>一. 总  则</w:t>
      </w:r>
      <w:bookmarkEnd w:id="126"/>
    </w:p>
    <w:p w14:paraId="5981C1C3">
      <w:pPr>
        <w:spacing w:line="420" w:lineRule="exact"/>
        <w:ind w:firstLine="440" w:firstLineChars="200"/>
        <w:rPr>
          <w:rFonts w:ascii="宋体" w:hAnsi="宋体" w:cs="宋体"/>
          <w:sz w:val="22"/>
          <w:szCs w:val="22"/>
        </w:rPr>
      </w:pPr>
      <w:r>
        <w:rPr>
          <w:rFonts w:hint="eastAsia" w:ascii="宋体" w:hAnsi="宋体" w:cs="宋体"/>
          <w:sz w:val="22"/>
          <w:szCs w:val="22"/>
        </w:rPr>
        <w:t>评标工作遵循公平、公正、科学、择优原则和诚实、信誉、效率的服务原则。本着科学、严谨的态度，认真进行评标。择优选用，推进技术进步，确保工程质量、交货时间，节约投资，最大限度的保护当事人权益，严格按照采购文件的商务、技术要求，对投标文件进行综合评定，提出优选方案，编写评标报告。对落标单位，评委会不作任何落标解释。投标供应商不得以任何方式干扰招投标工作的进行，一经发现其投标文件将被拒绝。</w:t>
      </w:r>
    </w:p>
    <w:p w14:paraId="2BB9912B">
      <w:pPr>
        <w:spacing w:line="420" w:lineRule="exact"/>
        <w:outlineLvl w:val="0"/>
        <w:rPr>
          <w:rFonts w:ascii="宋体" w:hAnsi="宋体" w:cs="宋体"/>
          <w:sz w:val="22"/>
          <w:szCs w:val="22"/>
        </w:rPr>
      </w:pPr>
      <w:bookmarkStart w:id="127" w:name="_Toc2451"/>
      <w:r>
        <w:rPr>
          <w:rFonts w:hint="eastAsia" w:ascii="宋体" w:hAnsi="宋体" w:cs="宋体"/>
          <w:sz w:val="22"/>
          <w:szCs w:val="22"/>
        </w:rPr>
        <w:t>二. 评标组织</w:t>
      </w:r>
      <w:bookmarkEnd w:id="127"/>
    </w:p>
    <w:p w14:paraId="61373910">
      <w:pPr>
        <w:spacing w:line="420" w:lineRule="exact"/>
        <w:ind w:firstLine="440" w:firstLineChars="200"/>
        <w:rPr>
          <w:rFonts w:ascii="宋体" w:hAnsi="宋体" w:cs="宋体"/>
          <w:sz w:val="22"/>
          <w:szCs w:val="22"/>
        </w:rPr>
      </w:pPr>
      <w:r>
        <w:rPr>
          <w:rFonts w:hint="eastAsia" w:ascii="宋体" w:hAnsi="宋体" w:cs="宋体"/>
          <w:sz w:val="22"/>
          <w:szCs w:val="22"/>
        </w:rPr>
        <w:t>评标工作由采购人依法组建的评标委员会负责，评标全过程由有关部门指导监督。</w:t>
      </w:r>
    </w:p>
    <w:p w14:paraId="50A27E97">
      <w:pPr>
        <w:spacing w:line="420" w:lineRule="exact"/>
        <w:outlineLvl w:val="0"/>
        <w:rPr>
          <w:rFonts w:ascii="宋体" w:hAnsi="宋体" w:cs="宋体"/>
          <w:sz w:val="22"/>
          <w:szCs w:val="22"/>
        </w:rPr>
      </w:pPr>
      <w:bookmarkStart w:id="128" w:name="_Toc22854"/>
      <w:r>
        <w:rPr>
          <w:rFonts w:hint="eastAsia" w:ascii="宋体" w:hAnsi="宋体" w:cs="宋体"/>
          <w:sz w:val="22"/>
          <w:szCs w:val="22"/>
        </w:rPr>
        <w:t>三. 评标程序</w:t>
      </w:r>
      <w:bookmarkEnd w:id="128"/>
    </w:p>
    <w:p w14:paraId="67100F04">
      <w:pPr>
        <w:spacing w:line="420" w:lineRule="exact"/>
        <w:ind w:firstLine="440" w:firstLineChars="200"/>
        <w:outlineLvl w:val="0"/>
        <w:rPr>
          <w:rFonts w:hint="eastAsia" w:ascii="宋体" w:hAnsi="宋体" w:cs="宋体"/>
          <w:sz w:val="22"/>
          <w:szCs w:val="22"/>
        </w:rPr>
      </w:pPr>
      <w:bookmarkStart w:id="129" w:name="_Toc17148"/>
      <w:r>
        <w:rPr>
          <w:rFonts w:hint="eastAsia" w:ascii="宋体" w:hAnsi="宋体" w:cs="宋体"/>
          <w:sz w:val="22"/>
          <w:szCs w:val="22"/>
        </w:rPr>
        <w:t>开标后，采购人或采购代理机构对各投标供应商的资格进行审查；然后评标委员会对合格投标供应商的进行符合性审查，按照采购文件中规定的评标方法和标准，对初审合格的投标文件进行技术资信标评审，技术资信标评审结束后，再对各有效标进行商务（报价）评审，根据综合评审结果，提交评审报告。</w:t>
      </w:r>
      <w:bookmarkEnd w:id="129"/>
    </w:p>
    <w:p w14:paraId="5CF913D7">
      <w:pPr>
        <w:spacing w:line="420" w:lineRule="exact"/>
        <w:ind w:firstLine="442" w:firstLineChars="200"/>
        <w:outlineLvl w:val="0"/>
        <w:rPr>
          <w:rFonts w:hint="eastAsia" w:ascii="宋体" w:hAnsi="宋体" w:cs="宋体"/>
          <w:b/>
          <w:bCs/>
          <w:sz w:val="22"/>
          <w:szCs w:val="22"/>
        </w:rPr>
      </w:pPr>
      <w:bookmarkStart w:id="130" w:name="_Toc7836"/>
      <w:r>
        <w:rPr>
          <w:rFonts w:hint="eastAsia" w:ascii="宋体" w:hAnsi="宋体" w:cs="宋体"/>
          <w:b/>
          <w:bCs/>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bookmarkEnd w:id="130"/>
    </w:p>
    <w:p w14:paraId="756F8E2A">
      <w:pPr>
        <w:spacing w:line="420" w:lineRule="exact"/>
        <w:ind w:firstLine="442" w:firstLineChars="200"/>
        <w:outlineLvl w:val="0"/>
        <w:rPr>
          <w:rFonts w:hint="eastAsia" w:ascii="宋体" w:hAnsi="宋体" w:cs="宋体"/>
          <w:b/>
          <w:bCs/>
          <w:sz w:val="22"/>
          <w:szCs w:val="22"/>
        </w:rPr>
      </w:pPr>
      <w:bookmarkStart w:id="131" w:name="_Toc6115"/>
      <w:r>
        <w:rPr>
          <w:rFonts w:hint="eastAsia" w:ascii="宋体" w:hAnsi="宋体" w:cs="宋体"/>
          <w:b/>
          <w:bCs/>
          <w:sz w:val="22"/>
          <w:szCs w:val="22"/>
        </w:rPr>
        <w:t>评标委员会决定投标的实质性要求只根据投标文件本身的内容，而不寻求外部的证据。投标供应商不得通过修正或撤销不合要求的偏离或保留从而使其投标成为实质上响应的投标。</w:t>
      </w:r>
      <w:bookmarkEnd w:id="131"/>
    </w:p>
    <w:p w14:paraId="36280B01">
      <w:pPr>
        <w:spacing w:line="420" w:lineRule="exact"/>
        <w:outlineLvl w:val="0"/>
        <w:rPr>
          <w:rFonts w:ascii="宋体" w:hAnsi="宋体" w:cs="宋体"/>
          <w:sz w:val="22"/>
          <w:szCs w:val="22"/>
        </w:rPr>
      </w:pPr>
      <w:bookmarkStart w:id="132" w:name="_Toc17480"/>
      <w:r>
        <w:rPr>
          <w:rFonts w:hint="eastAsia" w:ascii="宋体" w:hAnsi="宋体" w:cs="宋体"/>
          <w:sz w:val="22"/>
          <w:szCs w:val="22"/>
        </w:rPr>
        <w:t>四. 评标办法</w:t>
      </w:r>
      <w:bookmarkEnd w:id="132"/>
    </w:p>
    <w:p w14:paraId="2F0A5EFD">
      <w:pPr>
        <w:spacing w:line="420" w:lineRule="exact"/>
        <w:ind w:firstLine="440" w:firstLineChars="200"/>
        <w:outlineLvl w:val="0"/>
        <w:rPr>
          <w:rFonts w:ascii="宋体" w:hAnsi="宋体" w:cs="宋体"/>
          <w:sz w:val="22"/>
          <w:szCs w:val="22"/>
        </w:rPr>
      </w:pPr>
      <w:bookmarkStart w:id="133" w:name="_Toc92"/>
      <w:r>
        <w:rPr>
          <w:rFonts w:hint="eastAsia" w:ascii="宋体" w:hAnsi="宋体" w:cs="宋体"/>
          <w:sz w:val="22"/>
          <w:szCs w:val="22"/>
        </w:rPr>
        <w:t>本评标办法采用百分制综合评估法，技术资信</w:t>
      </w:r>
      <w:r>
        <w:rPr>
          <w:rFonts w:hint="eastAsia" w:ascii="宋体" w:hAnsi="宋体" w:cs="宋体"/>
          <w:sz w:val="22"/>
          <w:szCs w:val="22"/>
          <w:lang w:val="en-US" w:eastAsia="zh-CN"/>
        </w:rPr>
        <w:t>7</w:t>
      </w:r>
      <w:r>
        <w:rPr>
          <w:rFonts w:hint="eastAsia" w:ascii="宋体" w:hAnsi="宋体" w:cs="宋体"/>
          <w:sz w:val="22"/>
          <w:szCs w:val="22"/>
        </w:rPr>
        <w:t>0分（技术权值</w:t>
      </w:r>
      <w:r>
        <w:rPr>
          <w:rFonts w:hint="eastAsia" w:ascii="宋体" w:hAnsi="宋体" w:cs="宋体"/>
          <w:sz w:val="22"/>
          <w:szCs w:val="22"/>
          <w:lang w:val="en-US" w:eastAsia="zh-CN"/>
        </w:rPr>
        <w:t>70</w:t>
      </w:r>
      <w:r>
        <w:rPr>
          <w:rFonts w:hint="eastAsia" w:ascii="宋体" w:hAnsi="宋体" w:cs="宋体"/>
          <w:sz w:val="22"/>
          <w:szCs w:val="22"/>
        </w:rPr>
        <w:t>%），商务</w:t>
      </w:r>
      <w:r>
        <w:rPr>
          <w:rFonts w:hint="eastAsia" w:ascii="宋体" w:hAnsi="宋体" w:cs="宋体"/>
          <w:sz w:val="22"/>
          <w:szCs w:val="22"/>
          <w:lang w:val="en-US" w:eastAsia="zh-CN"/>
        </w:rPr>
        <w:t>3</w:t>
      </w:r>
      <w:r>
        <w:rPr>
          <w:rFonts w:hint="eastAsia" w:ascii="宋体" w:hAnsi="宋体" w:cs="宋体"/>
          <w:sz w:val="22"/>
          <w:szCs w:val="22"/>
        </w:rPr>
        <w:t>0分（价格权值</w:t>
      </w:r>
      <w:r>
        <w:rPr>
          <w:rFonts w:hint="eastAsia" w:ascii="宋体" w:hAnsi="宋体" w:cs="宋体"/>
          <w:sz w:val="22"/>
          <w:szCs w:val="22"/>
          <w:lang w:val="en-US" w:eastAsia="zh-CN"/>
        </w:rPr>
        <w:t>3</w:t>
      </w:r>
      <w:r>
        <w:rPr>
          <w:rFonts w:hint="eastAsia" w:ascii="宋体" w:hAnsi="宋体" w:cs="宋体"/>
          <w:sz w:val="22"/>
          <w:szCs w:val="22"/>
        </w:rPr>
        <w:t>0%）。最大限度地满足采购文件中规定的各项综合评价标准且综合得分最高和次高的投标供应商，将依次被推荐为第一中标候选人和第二中标候选人。</w:t>
      </w:r>
      <w:bookmarkEnd w:id="133"/>
    </w:p>
    <w:p w14:paraId="5BF288A3">
      <w:pPr>
        <w:spacing w:line="420" w:lineRule="exact"/>
        <w:outlineLvl w:val="0"/>
        <w:rPr>
          <w:rFonts w:ascii="宋体" w:hAnsi="宋体" w:cs="宋体"/>
          <w:sz w:val="22"/>
          <w:szCs w:val="22"/>
        </w:rPr>
      </w:pPr>
      <w:bookmarkStart w:id="134" w:name="_Toc10888"/>
      <w:r>
        <w:rPr>
          <w:rFonts w:hint="eastAsia" w:ascii="宋体" w:hAnsi="宋体" w:cs="宋体"/>
          <w:sz w:val="22"/>
          <w:szCs w:val="22"/>
        </w:rPr>
        <w:t>五. 评分细则</w:t>
      </w:r>
      <w:bookmarkEnd w:id="134"/>
    </w:p>
    <w:p w14:paraId="73D30937">
      <w:pPr>
        <w:spacing w:line="420" w:lineRule="exact"/>
        <w:rPr>
          <w:rFonts w:ascii="宋体" w:hAnsi="宋体" w:cs="宋体"/>
          <w:sz w:val="22"/>
          <w:szCs w:val="22"/>
        </w:rPr>
      </w:pPr>
      <w:r>
        <w:rPr>
          <w:rFonts w:hint="eastAsia" w:ascii="宋体" w:hAnsi="宋体" w:cs="宋体"/>
          <w:sz w:val="22"/>
          <w:szCs w:val="22"/>
        </w:rPr>
        <w:t>1.  技术资信分的评定（</w:t>
      </w:r>
      <w:r>
        <w:rPr>
          <w:rFonts w:hint="eastAsia" w:ascii="宋体" w:hAnsi="宋体" w:cs="宋体"/>
          <w:sz w:val="22"/>
          <w:szCs w:val="22"/>
          <w:lang w:val="en-US" w:eastAsia="zh-CN"/>
        </w:rPr>
        <w:t>7</w:t>
      </w:r>
      <w:r>
        <w:rPr>
          <w:rFonts w:hint="eastAsia" w:ascii="宋体" w:hAnsi="宋体" w:cs="宋体"/>
          <w:sz w:val="22"/>
          <w:szCs w:val="22"/>
        </w:rPr>
        <w:t>0分）</w:t>
      </w:r>
    </w:p>
    <w:p w14:paraId="33478D23">
      <w:pPr>
        <w:spacing w:line="420" w:lineRule="exact"/>
        <w:ind w:firstLine="440" w:firstLineChars="200"/>
        <w:rPr>
          <w:rFonts w:hint="eastAsia" w:ascii="宋体" w:hAnsi="宋体" w:cs="宋体"/>
          <w:sz w:val="22"/>
          <w:szCs w:val="22"/>
        </w:rPr>
      </w:pPr>
      <w:r>
        <w:rPr>
          <w:rFonts w:hint="eastAsia" w:ascii="宋体" w:hAnsi="宋体" w:cs="宋体"/>
          <w:sz w:val="22"/>
          <w:szCs w:val="22"/>
        </w:rPr>
        <w:t>各评委成员按下列评分项目进行评判，每人一张评分计算票，并记名。投标文件各项评分内容由评标委员会成员各自评分，如某张票的一个因素项目超过规定的范围，则该张票无效。各评标委员会成员对各投标供应商的各项评分内容评分的合计的算术平均值为各投标供应商技术资信分得分（小数点后按四舍五入保留2位）。</w:t>
      </w:r>
    </w:p>
    <w:p w14:paraId="35957532">
      <w:pPr>
        <w:pStyle w:val="96"/>
        <w:rPr>
          <w:rFonts w:hint="eastAsia" w:ascii="宋体" w:hAnsi="宋体" w:cs="宋体"/>
          <w:sz w:val="22"/>
          <w:szCs w:val="22"/>
        </w:rPr>
      </w:pPr>
    </w:p>
    <w:p w14:paraId="36D1D73D">
      <w:pPr>
        <w:pStyle w:val="96"/>
        <w:rPr>
          <w:rFonts w:hint="eastAsia" w:ascii="宋体" w:hAnsi="宋体" w:cs="宋体"/>
          <w:sz w:val="22"/>
          <w:szCs w:val="22"/>
        </w:rPr>
      </w:pPr>
    </w:p>
    <w:tbl>
      <w:tblPr>
        <w:tblStyle w:val="49"/>
        <w:tblW w:w="970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05"/>
        <w:gridCol w:w="5795"/>
        <w:gridCol w:w="1240"/>
      </w:tblGrid>
      <w:tr w14:paraId="2209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noWrap w:val="0"/>
            <w:vAlign w:val="center"/>
          </w:tcPr>
          <w:p w14:paraId="25C48304">
            <w:pPr>
              <w:spacing w:line="360" w:lineRule="exact"/>
              <w:jc w:val="center"/>
              <w:rPr>
                <w:rFonts w:ascii="宋体" w:hAnsi="宋体" w:cs="宋体"/>
                <w:b/>
                <w:bCs/>
              </w:rPr>
            </w:pPr>
            <w:r>
              <w:rPr>
                <w:rFonts w:hint="eastAsia" w:ascii="宋体" w:hAnsi="宋体" w:cs="宋体"/>
                <w:b/>
                <w:bCs/>
              </w:rPr>
              <w:t>序号</w:t>
            </w:r>
          </w:p>
        </w:tc>
        <w:tc>
          <w:tcPr>
            <w:tcW w:w="1905" w:type="dxa"/>
            <w:noWrap w:val="0"/>
            <w:vAlign w:val="center"/>
          </w:tcPr>
          <w:p w14:paraId="16A08247">
            <w:pPr>
              <w:spacing w:line="360" w:lineRule="exact"/>
              <w:jc w:val="center"/>
              <w:rPr>
                <w:rFonts w:ascii="宋体" w:hAnsi="宋体" w:cs="宋体"/>
                <w:b/>
                <w:bCs/>
              </w:rPr>
            </w:pPr>
            <w:r>
              <w:rPr>
                <w:rFonts w:hint="eastAsia" w:ascii="宋体" w:hAnsi="宋体" w:cs="宋体"/>
                <w:b/>
                <w:bCs/>
              </w:rPr>
              <w:t>评审内容</w:t>
            </w:r>
          </w:p>
        </w:tc>
        <w:tc>
          <w:tcPr>
            <w:tcW w:w="5795" w:type="dxa"/>
            <w:noWrap w:val="0"/>
            <w:vAlign w:val="center"/>
          </w:tcPr>
          <w:p w14:paraId="6D1314AC">
            <w:pPr>
              <w:spacing w:line="360" w:lineRule="exact"/>
              <w:jc w:val="center"/>
              <w:rPr>
                <w:rFonts w:hint="eastAsia" w:ascii="宋体" w:hAnsi="宋体" w:eastAsia="宋体" w:cs="宋体"/>
                <w:b/>
                <w:bCs/>
                <w:lang w:eastAsia="zh-CN"/>
              </w:rPr>
            </w:pPr>
            <w:r>
              <w:rPr>
                <w:rFonts w:hint="eastAsia" w:ascii="宋体" w:hAnsi="宋体" w:cs="宋体"/>
                <w:b/>
                <w:bCs/>
              </w:rPr>
              <w:t>评审</w:t>
            </w:r>
            <w:r>
              <w:rPr>
                <w:rFonts w:hint="eastAsia" w:ascii="宋体" w:hAnsi="宋体" w:cs="宋体"/>
                <w:b/>
                <w:bCs/>
                <w:lang w:val="en-US" w:eastAsia="zh-CN"/>
              </w:rPr>
              <w:t>细则</w:t>
            </w:r>
          </w:p>
        </w:tc>
        <w:tc>
          <w:tcPr>
            <w:tcW w:w="1240" w:type="dxa"/>
            <w:noWrap w:val="0"/>
            <w:vAlign w:val="center"/>
          </w:tcPr>
          <w:p w14:paraId="3C946EA4">
            <w:pPr>
              <w:spacing w:line="360" w:lineRule="exact"/>
              <w:jc w:val="center"/>
              <w:rPr>
                <w:rFonts w:ascii="宋体" w:hAnsi="宋体" w:cs="宋体"/>
                <w:b/>
                <w:bCs/>
              </w:rPr>
            </w:pPr>
            <w:r>
              <w:rPr>
                <w:rFonts w:hint="eastAsia" w:ascii="宋体" w:hAnsi="宋体" w:cs="宋体"/>
                <w:b/>
                <w:bCs/>
                <w:highlight w:val="none"/>
              </w:rPr>
              <w:t>分值</w:t>
            </w:r>
          </w:p>
        </w:tc>
      </w:tr>
      <w:tr w14:paraId="527E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14:paraId="2443D7F0">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1</w:t>
            </w:r>
          </w:p>
        </w:tc>
        <w:tc>
          <w:tcPr>
            <w:tcW w:w="1905" w:type="dxa"/>
            <w:noWrap w:val="0"/>
            <w:vAlign w:val="center"/>
          </w:tcPr>
          <w:p w14:paraId="78A8A310">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3"/>
                <w:sz w:val="22"/>
                <w:szCs w:val="22"/>
              </w:rPr>
              <w:t>企业综合实</w:t>
            </w:r>
            <w:r>
              <w:rPr>
                <w:rFonts w:hint="eastAsia" w:ascii="宋体" w:hAnsi="宋体" w:eastAsia="宋体" w:cs="宋体"/>
                <w:b w:val="0"/>
                <w:bCs w:val="0"/>
                <w:sz w:val="22"/>
                <w:szCs w:val="22"/>
              </w:rPr>
              <w:t>力</w:t>
            </w:r>
          </w:p>
        </w:tc>
        <w:tc>
          <w:tcPr>
            <w:tcW w:w="5795" w:type="dxa"/>
            <w:noWrap w:val="0"/>
            <w:vAlign w:val="center"/>
          </w:tcPr>
          <w:p w14:paraId="041CA829">
            <w:pPr>
              <w:pStyle w:val="305"/>
              <w:widowControl w:val="0"/>
              <w:spacing w:before="18" w:line="240" w:lineRule="auto"/>
              <w:ind w:left="12" w:leftChars="0"/>
              <w:jc w:val="both"/>
              <w:rPr>
                <w:rFonts w:hint="eastAsia" w:ascii="宋体" w:hAnsi="宋体" w:eastAsia="宋体" w:cs="宋体"/>
                <w:b w:val="0"/>
                <w:bCs w:val="0"/>
                <w:snapToGrid w:val="0"/>
                <w:color w:val="000000"/>
                <w:kern w:val="0"/>
                <w:sz w:val="22"/>
                <w:szCs w:val="22"/>
                <w:lang w:val="en-US" w:eastAsia="en-US" w:bidi="ar-SA"/>
              </w:rPr>
            </w:pPr>
            <w:r>
              <w:rPr>
                <w:rFonts w:hint="eastAsia" w:cs="宋体"/>
                <w:b w:val="0"/>
                <w:bCs w:val="0"/>
                <w:snapToGrid w:val="0"/>
                <w:color w:val="000000"/>
                <w:kern w:val="0"/>
                <w:sz w:val="22"/>
                <w:szCs w:val="22"/>
                <w:lang w:val="en-US" w:eastAsia="zh-CN" w:bidi="ar-SA"/>
              </w:rPr>
              <w:t>1、</w:t>
            </w:r>
            <w:r>
              <w:rPr>
                <w:rFonts w:hint="eastAsia" w:ascii="宋体" w:hAnsi="宋体" w:eastAsia="宋体" w:cs="宋体"/>
                <w:b w:val="0"/>
                <w:bCs w:val="0"/>
                <w:snapToGrid w:val="0"/>
                <w:color w:val="000000"/>
                <w:kern w:val="0"/>
                <w:sz w:val="22"/>
                <w:szCs w:val="22"/>
                <w:lang w:val="en-US" w:eastAsia="en-US" w:bidi="ar-SA"/>
              </w:rPr>
              <w:t>投标人或所投产品的制造商具有有效期内的ISO9001质量管理体系认证证书、ISO14001环境管理体系认证证书、ISO45001职业健康安全管理体系认证证书，认证范围包含幼儿桌、椅、床、实木家具的设计、生产、销售，应完全满足，每项</w:t>
            </w:r>
            <w:r>
              <w:rPr>
                <w:rFonts w:hint="eastAsia" w:cs="宋体"/>
                <w:b w:val="0"/>
                <w:bCs w:val="0"/>
                <w:snapToGrid w:val="0"/>
                <w:color w:val="000000"/>
                <w:kern w:val="0"/>
                <w:sz w:val="22"/>
                <w:szCs w:val="22"/>
                <w:lang w:val="en-US" w:eastAsia="zh-CN" w:bidi="ar-SA"/>
              </w:rPr>
              <w:t>得</w:t>
            </w:r>
            <w:r>
              <w:rPr>
                <w:rFonts w:hint="eastAsia" w:ascii="宋体" w:hAnsi="宋体" w:eastAsia="宋体" w:cs="宋体"/>
                <w:b w:val="0"/>
                <w:bCs w:val="0"/>
                <w:snapToGrid w:val="0"/>
                <w:color w:val="000000"/>
                <w:kern w:val="0"/>
                <w:sz w:val="22"/>
                <w:szCs w:val="22"/>
                <w:lang w:val="en-US" w:eastAsia="en-US" w:bidi="ar-SA"/>
              </w:rPr>
              <w:t>1分，最高得3分，</w:t>
            </w:r>
            <w:r>
              <w:rPr>
                <w:rFonts w:hint="eastAsia" w:cs="宋体"/>
                <w:b w:val="0"/>
                <w:bCs w:val="0"/>
                <w:snapToGrid w:val="0"/>
                <w:color w:val="000000"/>
                <w:kern w:val="0"/>
                <w:sz w:val="22"/>
                <w:szCs w:val="22"/>
                <w:lang w:val="en-US" w:eastAsia="zh-CN" w:bidi="ar-SA"/>
              </w:rPr>
              <w:t>缺项</w:t>
            </w:r>
            <w:r>
              <w:rPr>
                <w:rFonts w:hint="eastAsia" w:ascii="宋体" w:hAnsi="宋体" w:eastAsia="宋体" w:cs="宋体"/>
                <w:b w:val="0"/>
                <w:bCs w:val="0"/>
                <w:snapToGrid w:val="0"/>
                <w:color w:val="000000"/>
                <w:kern w:val="0"/>
                <w:sz w:val="22"/>
                <w:szCs w:val="22"/>
                <w:lang w:val="en-US" w:eastAsia="en-US" w:bidi="ar-SA"/>
              </w:rPr>
              <w:t>不得分；</w:t>
            </w:r>
          </w:p>
          <w:p w14:paraId="79C84CDC">
            <w:pPr>
              <w:pStyle w:val="305"/>
              <w:widowControl w:val="0"/>
              <w:spacing w:before="18" w:line="240" w:lineRule="auto"/>
              <w:ind w:left="12" w:leftChars="0"/>
              <w:jc w:val="both"/>
              <w:rPr>
                <w:rFonts w:hint="eastAsia" w:ascii="宋体" w:hAnsi="宋体" w:eastAsia="宋体" w:cs="宋体"/>
                <w:b w:val="0"/>
                <w:bCs w:val="0"/>
                <w:snapToGrid w:val="0"/>
                <w:color w:val="000000"/>
                <w:kern w:val="0"/>
                <w:sz w:val="22"/>
                <w:szCs w:val="22"/>
                <w:lang w:val="en-US" w:eastAsia="en-US" w:bidi="ar-SA"/>
              </w:rPr>
            </w:pPr>
            <w:r>
              <w:rPr>
                <w:rFonts w:hint="eastAsia" w:cs="宋体"/>
                <w:b w:val="0"/>
                <w:bCs w:val="0"/>
                <w:snapToGrid w:val="0"/>
                <w:color w:val="000000"/>
                <w:kern w:val="0"/>
                <w:sz w:val="22"/>
                <w:szCs w:val="22"/>
                <w:lang w:val="en-US" w:eastAsia="zh-CN" w:bidi="ar-SA"/>
              </w:rPr>
              <w:t>2</w:t>
            </w:r>
            <w:r>
              <w:rPr>
                <w:rFonts w:hint="eastAsia" w:ascii="宋体" w:hAnsi="宋体" w:eastAsia="宋体" w:cs="宋体"/>
                <w:b w:val="0"/>
                <w:bCs w:val="0"/>
                <w:snapToGrid w:val="0"/>
                <w:color w:val="000000"/>
                <w:kern w:val="0"/>
                <w:sz w:val="22"/>
                <w:szCs w:val="22"/>
                <w:lang w:val="en-US" w:eastAsia="en-US" w:bidi="ar-SA"/>
              </w:rPr>
              <w:t>、投标人或所投产品的制造商具有效期内的中国绿色产品认证证书，认证单元包含木家具，完全符合得1分，缺项或者不提供不得分；</w:t>
            </w:r>
          </w:p>
          <w:p w14:paraId="4C154C29">
            <w:pPr>
              <w:pStyle w:val="305"/>
              <w:widowControl w:val="0"/>
              <w:spacing w:before="18" w:line="240" w:lineRule="auto"/>
              <w:ind w:left="12" w:leftChars="0"/>
              <w:jc w:val="both"/>
              <w:rPr>
                <w:rFonts w:hint="eastAsia" w:ascii="宋体" w:hAnsi="宋体" w:eastAsia="宋体" w:cs="宋体"/>
                <w:b w:val="0"/>
                <w:bCs w:val="0"/>
                <w:snapToGrid w:val="0"/>
                <w:color w:val="000000"/>
                <w:kern w:val="0"/>
                <w:sz w:val="22"/>
                <w:szCs w:val="22"/>
                <w:lang w:val="en-US" w:eastAsia="en-US" w:bidi="ar-SA"/>
              </w:rPr>
            </w:pPr>
            <w:r>
              <w:rPr>
                <w:rFonts w:hint="eastAsia" w:cs="宋体"/>
                <w:b w:val="0"/>
                <w:bCs w:val="0"/>
                <w:snapToGrid w:val="0"/>
                <w:color w:val="000000"/>
                <w:kern w:val="0"/>
                <w:sz w:val="22"/>
                <w:szCs w:val="22"/>
                <w:lang w:val="en-US" w:eastAsia="zh-CN" w:bidi="ar-SA"/>
              </w:rPr>
              <w:t>3</w:t>
            </w:r>
            <w:r>
              <w:rPr>
                <w:rFonts w:hint="eastAsia" w:ascii="宋体" w:hAnsi="宋体" w:eastAsia="宋体" w:cs="宋体"/>
                <w:b w:val="0"/>
                <w:bCs w:val="0"/>
                <w:snapToGrid w:val="0"/>
                <w:color w:val="000000"/>
                <w:kern w:val="0"/>
                <w:sz w:val="22"/>
                <w:szCs w:val="22"/>
                <w:lang w:val="en-US" w:eastAsia="en-US" w:bidi="ar-SA"/>
              </w:rPr>
              <w:t>、投标人或所投产品的制造商具有效期内的家具中有害物质限量认证证书，认证单元包含木家具，完全符合得1分，缺项或者不提供不得分；</w:t>
            </w:r>
          </w:p>
          <w:p w14:paraId="16DB21DB">
            <w:pPr>
              <w:pStyle w:val="305"/>
              <w:widowControl w:val="0"/>
              <w:spacing w:before="18" w:line="240" w:lineRule="auto"/>
              <w:ind w:left="12" w:leftChars="0"/>
              <w:jc w:val="both"/>
              <w:rPr>
                <w:rFonts w:hint="eastAsia" w:ascii="宋体" w:hAnsi="宋体" w:eastAsia="宋体" w:cs="宋体"/>
                <w:b w:val="0"/>
                <w:bCs w:val="0"/>
                <w:snapToGrid w:val="0"/>
                <w:color w:val="000000"/>
                <w:kern w:val="0"/>
                <w:sz w:val="22"/>
                <w:szCs w:val="22"/>
                <w:lang w:val="en-US" w:eastAsia="en-US" w:bidi="ar-SA"/>
              </w:rPr>
            </w:pPr>
            <w:r>
              <w:rPr>
                <w:rFonts w:hint="eastAsia" w:ascii="宋体" w:hAnsi="宋体" w:eastAsia="宋体" w:cs="宋体"/>
                <w:b w:val="0"/>
                <w:bCs w:val="0"/>
                <w:snapToGrid w:val="0"/>
                <w:color w:val="000000"/>
                <w:kern w:val="0"/>
                <w:sz w:val="22"/>
                <w:szCs w:val="22"/>
                <w:lang w:val="en-US" w:eastAsia="en-US" w:bidi="ar-SA"/>
              </w:rPr>
              <w:t>注：须提供以上有效证书原件扫描件及证书在全国认证认可信息公共服务平台</w:t>
            </w:r>
          </w:p>
          <w:p w14:paraId="52F6A589">
            <w:pPr>
              <w:pStyle w:val="305"/>
              <w:widowControl w:val="0"/>
              <w:spacing w:before="18" w:line="240" w:lineRule="auto"/>
              <w:ind w:left="12" w:leftChars="0"/>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napToGrid w:val="0"/>
                <w:color w:val="000000"/>
                <w:kern w:val="0"/>
                <w:sz w:val="22"/>
                <w:szCs w:val="22"/>
                <w:lang w:val="en-US" w:eastAsia="en-US" w:bidi="ar-SA"/>
              </w:rPr>
              <w:t>(http://cx.cnca.cn/CertECloud/result/skipResultList?certItemOne=A)上证书状态为“有效”的查询结果网页截图打印件，否则不得分。</w:t>
            </w:r>
          </w:p>
        </w:tc>
        <w:tc>
          <w:tcPr>
            <w:tcW w:w="1240" w:type="dxa"/>
            <w:noWrap w:val="0"/>
            <w:vAlign w:val="center"/>
          </w:tcPr>
          <w:p w14:paraId="36D50A0E">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5</w:t>
            </w:r>
          </w:p>
        </w:tc>
      </w:tr>
      <w:tr w14:paraId="1E10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14:paraId="44818070">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2</w:t>
            </w:r>
          </w:p>
        </w:tc>
        <w:tc>
          <w:tcPr>
            <w:tcW w:w="1905" w:type="dxa"/>
            <w:noWrap w:val="0"/>
            <w:vAlign w:val="center"/>
          </w:tcPr>
          <w:p w14:paraId="44D99891">
            <w:pPr>
              <w:pStyle w:val="305"/>
              <w:widowControl w:val="0"/>
              <w:spacing w:before="68" w:line="219" w:lineRule="auto"/>
              <w:jc w:val="center"/>
              <w:rPr>
                <w:rFonts w:hint="default" w:ascii="宋体" w:hAnsi="宋体" w:eastAsia="宋体" w:cs="宋体"/>
                <w:b w:val="0"/>
                <w:bCs w:val="0"/>
                <w:color w:val="auto"/>
                <w:sz w:val="22"/>
                <w:szCs w:val="22"/>
                <w:lang w:val="en-US" w:eastAsia="zh-CN" w:bidi="ar-SA"/>
              </w:rPr>
            </w:pPr>
            <w:r>
              <w:rPr>
                <w:rFonts w:hint="eastAsia" w:cs="宋体"/>
                <w:b w:val="0"/>
                <w:bCs w:val="0"/>
                <w:color w:val="auto"/>
                <w:sz w:val="22"/>
                <w:szCs w:val="22"/>
                <w:lang w:val="en-US" w:eastAsia="zh-CN" w:bidi="ar-SA"/>
              </w:rPr>
              <w:t>类似业绩</w:t>
            </w:r>
          </w:p>
        </w:tc>
        <w:tc>
          <w:tcPr>
            <w:tcW w:w="5795" w:type="dxa"/>
            <w:noWrap w:val="0"/>
            <w:vAlign w:val="center"/>
          </w:tcPr>
          <w:p w14:paraId="100409FC">
            <w:pPr>
              <w:pStyle w:val="305"/>
              <w:widowControl w:val="0"/>
              <w:spacing w:before="32" w:line="240" w:lineRule="auto"/>
              <w:ind w:left="12" w:leftChars="0"/>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bidi="ar-SA"/>
              </w:rPr>
              <w:t>投标人提供2021年1月1日以来类似项目的业绩，每提供一份得1分；本项最多可得</w:t>
            </w:r>
            <w:r>
              <w:rPr>
                <w:rFonts w:hint="eastAsia" w:cs="宋体"/>
                <w:b w:val="0"/>
                <w:bCs w:val="0"/>
                <w:color w:val="auto"/>
                <w:sz w:val="22"/>
                <w:szCs w:val="22"/>
                <w:lang w:val="en-US" w:eastAsia="zh-CN" w:bidi="ar-SA"/>
              </w:rPr>
              <w:t>2</w:t>
            </w:r>
            <w:r>
              <w:rPr>
                <w:rFonts w:hint="eastAsia" w:ascii="宋体" w:hAnsi="宋体" w:eastAsia="宋体" w:cs="宋体"/>
                <w:b w:val="0"/>
                <w:bCs w:val="0"/>
                <w:color w:val="auto"/>
                <w:sz w:val="22"/>
                <w:szCs w:val="22"/>
                <w:lang w:val="en-US" w:eastAsia="zh-CN" w:bidi="ar-SA"/>
              </w:rPr>
              <w:t>分</w:t>
            </w:r>
            <w:r>
              <w:rPr>
                <w:rFonts w:hint="eastAsia" w:cs="宋体"/>
                <w:b w:val="0"/>
                <w:bCs w:val="0"/>
                <w:color w:val="auto"/>
                <w:sz w:val="22"/>
                <w:szCs w:val="22"/>
                <w:lang w:val="en-US" w:eastAsia="zh-CN" w:bidi="ar-SA"/>
              </w:rPr>
              <w:t>。</w:t>
            </w:r>
          </w:p>
          <w:p w14:paraId="6AE8A775">
            <w:pPr>
              <w:pStyle w:val="305"/>
              <w:widowControl w:val="0"/>
              <w:spacing w:before="32" w:line="240" w:lineRule="auto"/>
              <w:ind w:left="12" w:leftChars="0"/>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bidi="ar-SA"/>
              </w:rPr>
              <w:t>注：同一个合同算一项，须提供合同、验收报告复印件，以合同签订时间为准，不提供或提供资料不齐的不得分。</w:t>
            </w:r>
          </w:p>
        </w:tc>
        <w:tc>
          <w:tcPr>
            <w:tcW w:w="1240" w:type="dxa"/>
            <w:noWrap w:val="0"/>
            <w:vAlign w:val="center"/>
          </w:tcPr>
          <w:p w14:paraId="477C6F97">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cs="宋体"/>
                <w:b w:val="0"/>
                <w:bCs w:val="0"/>
                <w:spacing w:val="-1"/>
                <w:sz w:val="22"/>
                <w:szCs w:val="22"/>
                <w:vertAlign w:val="baseline"/>
                <w:lang w:val="en-US" w:eastAsia="zh-CN"/>
              </w:rPr>
              <w:t>2</w:t>
            </w:r>
          </w:p>
        </w:tc>
      </w:tr>
      <w:tr w14:paraId="4FD4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14:paraId="749F80D2">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3</w:t>
            </w:r>
          </w:p>
        </w:tc>
        <w:tc>
          <w:tcPr>
            <w:tcW w:w="1905" w:type="dxa"/>
            <w:noWrap w:val="0"/>
            <w:vAlign w:val="center"/>
          </w:tcPr>
          <w:p w14:paraId="44AF5F28">
            <w:pPr>
              <w:pStyle w:val="305"/>
              <w:widowControl w:val="0"/>
              <w:spacing w:before="97" w:line="220" w:lineRule="auto"/>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4"/>
                <w:sz w:val="22"/>
                <w:szCs w:val="22"/>
              </w:rPr>
              <w:t>质保期</w:t>
            </w:r>
          </w:p>
        </w:tc>
        <w:tc>
          <w:tcPr>
            <w:tcW w:w="5795" w:type="dxa"/>
            <w:noWrap w:val="0"/>
            <w:vAlign w:val="center"/>
          </w:tcPr>
          <w:p w14:paraId="6D1FB943">
            <w:pPr>
              <w:pStyle w:val="305"/>
              <w:widowControl w:val="0"/>
              <w:spacing w:before="14" w:line="240" w:lineRule="auto"/>
              <w:ind w:left="12" w:leftChars="0"/>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2"/>
                <w:sz w:val="22"/>
                <w:szCs w:val="22"/>
              </w:rPr>
              <w:t>投标人对产品质量质保期的承诺：每增加</w:t>
            </w:r>
            <w:r>
              <w:rPr>
                <w:rFonts w:hint="eastAsia" w:cs="宋体"/>
                <w:b w:val="0"/>
                <w:bCs w:val="0"/>
                <w:spacing w:val="2"/>
                <w:sz w:val="22"/>
                <w:szCs w:val="22"/>
                <w:lang w:val="en-US" w:eastAsia="zh-CN"/>
              </w:rPr>
              <w:t>一</w:t>
            </w:r>
            <w:r>
              <w:rPr>
                <w:rFonts w:hint="eastAsia" w:ascii="宋体" w:hAnsi="宋体" w:eastAsia="宋体" w:cs="宋体"/>
                <w:b w:val="0"/>
                <w:bCs w:val="0"/>
                <w:spacing w:val="2"/>
                <w:sz w:val="22"/>
                <w:szCs w:val="22"/>
              </w:rPr>
              <w:t>年得</w:t>
            </w:r>
            <w:r>
              <w:rPr>
                <w:rFonts w:hint="eastAsia" w:cs="宋体"/>
                <w:b w:val="0"/>
                <w:bCs w:val="0"/>
                <w:spacing w:val="2"/>
                <w:sz w:val="22"/>
                <w:szCs w:val="22"/>
                <w:lang w:val="en-US" w:eastAsia="zh-CN"/>
              </w:rPr>
              <w:t>1</w:t>
            </w:r>
            <w:r>
              <w:rPr>
                <w:rFonts w:hint="eastAsia" w:ascii="宋体" w:hAnsi="宋体" w:eastAsia="宋体" w:cs="宋体"/>
                <w:b w:val="0"/>
                <w:bCs w:val="0"/>
                <w:spacing w:val="2"/>
                <w:sz w:val="22"/>
                <w:szCs w:val="22"/>
              </w:rPr>
              <w:t>分，最</w:t>
            </w:r>
            <w:r>
              <w:rPr>
                <w:rFonts w:hint="eastAsia" w:ascii="宋体" w:hAnsi="宋体" w:eastAsia="宋体" w:cs="宋体"/>
                <w:b w:val="0"/>
                <w:bCs w:val="0"/>
                <w:spacing w:val="7"/>
                <w:sz w:val="22"/>
                <w:szCs w:val="22"/>
              </w:rPr>
              <w:t>高得</w:t>
            </w:r>
            <w:r>
              <w:rPr>
                <w:rFonts w:hint="eastAsia" w:cs="宋体"/>
                <w:b w:val="0"/>
                <w:bCs w:val="0"/>
                <w:spacing w:val="7"/>
                <w:sz w:val="22"/>
                <w:szCs w:val="22"/>
                <w:lang w:val="en-US" w:eastAsia="zh-CN"/>
              </w:rPr>
              <w:t>3</w:t>
            </w:r>
            <w:r>
              <w:rPr>
                <w:rFonts w:hint="eastAsia" w:ascii="宋体" w:hAnsi="宋体" w:eastAsia="宋体" w:cs="宋体"/>
                <w:b w:val="0"/>
                <w:bCs w:val="0"/>
                <w:spacing w:val="7"/>
                <w:sz w:val="22"/>
                <w:szCs w:val="22"/>
              </w:rPr>
              <w:t>分。</w:t>
            </w:r>
          </w:p>
        </w:tc>
        <w:tc>
          <w:tcPr>
            <w:tcW w:w="1240" w:type="dxa"/>
            <w:noWrap w:val="0"/>
            <w:vAlign w:val="center"/>
          </w:tcPr>
          <w:p w14:paraId="03346DA3">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3</w:t>
            </w:r>
          </w:p>
        </w:tc>
      </w:tr>
      <w:tr w14:paraId="043C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14:paraId="3AF66E05">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4</w:t>
            </w:r>
          </w:p>
        </w:tc>
        <w:tc>
          <w:tcPr>
            <w:tcW w:w="1905" w:type="dxa"/>
            <w:noWrap w:val="0"/>
            <w:vAlign w:val="center"/>
          </w:tcPr>
          <w:p w14:paraId="55E7EAB7">
            <w:pPr>
              <w:pStyle w:val="305"/>
              <w:widowControl w:val="0"/>
              <w:spacing w:before="68" w:line="219" w:lineRule="auto"/>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z w:val="24"/>
                <w:szCs w:val="24"/>
              </w:rPr>
              <w:t>履约能力</w:t>
            </w:r>
          </w:p>
        </w:tc>
        <w:tc>
          <w:tcPr>
            <w:tcW w:w="5795" w:type="dxa"/>
            <w:noWrap w:val="0"/>
            <w:vAlign w:val="center"/>
          </w:tcPr>
          <w:p w14:paraId="1CBF755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pacing w:val="9"/>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家具生产设备</w:t>
            </w:r>
            <w:r>
              <w:rPr>
                <w:rFonts w:hint="eastAsia" w:ascii="宋体" w:hAnsi="宋体" w:eastAsia="宋体" w:cs="宋体"/>
                <w:b w:val="0"/>
                <w:bCs w:val="0"/>
                <w:color w:val="auto"/>
                <w:sz w:val="24"/>
                <w:szCs w:val="24"/>
                <w:highlight w:val="none"/>
                <w:lang w:val="en-US" w:eastAsia="zh-CN"/>
              </w:rPr>
              <w:t>配置情况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评审专家根据设备先进性、完整性等因素，进行横向对比打分</w:t>
            </w:r>
            <w:r>
              <w:rPr>
                <w:rFonts w:hint="eastAsia" w:ascii="宋体" w:hAnsi="宋体" w:eastAsia="宋体" w:cs="宋体"/>
                <w:b w:val="0"/>
                <w:bCs w:val="0"/>
                <w:color w:val="auto"/>
                <w:spacing w:val="9"/>
                <w:sz w:val="24"/>
                <w:szCs w:val="24"/>
                <w:highlight w:val="none"/>
              </w:rPr>
              <w:t>。</w:t>
            </w:r>
            <w:r>
              <w:rPr>
                <w:rFonts w:hint="eastAsia" w:ascii="宋体" w:hAnsi="宋体" w:eastAsia="宋体" w:cs="宋体"/>
                <w:b w:val="0"/>
                <w:bCs w:val="0"/>
                <w:color w:val="auto"/>
                <w:spacing w:val="9"/>
                <w:sz w:val="24"/>
                <w:szCs w:val="24"/>
                <w:highlight w:val="none"/>
                <w:lang w:eastAsia="zh-CN"/>
              </w:rPr>
              <w:t>（</w:t>
            </w:r>
            <w:r>
              <w:rPr>
                <w:rFonts w:hint="eastAsia" w:ascii="宋体" w:hAnsi="宋体" w:eastAsia="宋体" w:cs="宋体"/>
                <w:b w:val="0"/>
                <w:bCs w:val="0"/>
                <w:color w:val="auto"/>
                <w:spacing w:val="9"/>
                <w:sz w:val="24"/>
                <w:szCs w:val="24"/>
                <w:highlight w:val="none"/>
                <w:lang w:val="en-US" w:eastAsia="zh-CN"/>
              </w:rPr>
              <w:t>0-5分）</w:t>
            </w:r>
          </w:p>
          <w:p w14:paraId="2F059A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
              </w:rPr>
              <w:t>注：</w:t>
            </w:r>
            <w:r>
              <w:rPr>
                <w:rFonts w:hint="eastAsia" w:ascii="宋体" w:hAnsi="宋体" w:eastAsia="宋体" w:cs="宋体"/>
                <w:b w:val="0"/>
                <w:bCs w:val="0"/>
                <w:color w:val="auto"/>
                <w:sz w:val="24"/>
                <w:szCs w:val="24"/>
                <w:highlight w:val="none"/>
              </w:rPr>
              <w:t>提供车间生产设备（使用中）实拍图等证明材料</w:t>
            </w:r>
            <w:r>
              <w:rPr>
                <w:rFonts w:hint="eastAsia" w:ascii="宋体" w:eastAsia="宋体" w:cs="宋体"/>
                <w:b w:val="0"/>
                <w:bCs w:val="0"/>
                <w:color w:val="auto"/>
                <w:sz w:val="24"/>
                <w:szCs w:val="24"/>
                <w:highlight w:val="none"/>
                <w:lang w:eastAsia="zh-CN"/>
              </w:rPr>
              <w:t>，</w:t>
            </w:r>
            <w:r>
              <w:rPr>
                <w:rFonts w:hint="eastAsia" w:ascii="宋体" w:eastAsia="宋体" w:cs="宋体"/>
                <w:b w:val="0"/>
                <w:bCs w:val="0"/>
                <w:color w:val="auto"/>
                <w:sz w:val="24"/>
                <w:szCs w:val="24"/>
                <w:highlight w:val="none"/>
                <w:lang w:val="en-US" w:eastAsia="zh-CN"/>
              </w:rPr>
              <w:t>须使用水印相机拍摄，要求照片上显示时间、地点等基础信息，缺项不得分</w:t>
            </w:r>
            <w:r>
              <w:rPr>
                <w:rFonts w:hint="eastAsia" w:ascii="宋体" w:hAnsi="宋体" w:eastAsia="宋体" w:cs="宋体"/>
                <w:b w:val="0"/>
                <w:bCs w:val="0"/>
                <w:color w:val="auto"/>
                <w:sz w:val="24"/>
                <w:szCs w:val="24"/>
                <w:highlight w:val="none"/>
                <w:lang w:val="zh-CN"/>
              </w:rPr>
              <w:t>。提供设备生产设备厂家的购买清单及发票。</w:t>
            </w:r>
          </w:p>
        </w:tc>
        <w:tc>
          <w:tcPr>
            <w:tcW w:w="1240" w:type="dxa"/>
            <w:noWrap w:val="0"/>
            <w:vAlign w:val="center"/>
          </w:tcPr>
          <w:p w14:paraId="7893F491">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5</w:t>
            </w:r>
          </w:p>
        </w:tc>
      </w:tr>
      <w:tr w14:paraId="087F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765" w:type="dxa"/>
            <w:noWrap w:val="0"/>
            <w:vAlign w:val="center"/>
          </w:tcPr>
          <w:p w14:paraId="1526758D">
            <w:pPr>
              <w:widowControl w:val="0"/>
              <w:numPr>
                <w:ilvl w:val="0"/>
                <w:numId w:val="0"/>
              </w:numPr>
              <w:spacing w:before="45" w:line="179" w:lineRule="auto"/>
              <w:ind w:left="0" w:leftChars="0" w:firstLine="0" w:firstLineChars="0"/>
              <w:jc w:val="center"/>
              <w:rPr>
                <w:rFonts w:hint="default"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5</w:t>
            </w:r>
          </w:p>
        </w:tc>
        <w:tc>
          <w:tcPr>
            <w:tcW w:w="1905" w:type="dxa"/>
            <w:noWrap w:val="0"/>
            <w:vAlign w:val="center"/>
          </w:tcPr>
          <w:p w14:paraId="0D749A9F">
            <w:pPr>
              <w:pStyle w:val="305"/>
              <w:widowControl w:val="0"/>
              <w:spacing w:before="75" w:line="218" w:lineRule="auto"/>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4"/>
                <w:szCs w:val="24"/>
              </w:rPr>
              <w:t>原材料检测报告</w:t>
            </w:r>
          </w:p>
        </w:tc>
        <w:tc>
          <w:tcPr>
            <w:tcW w:w="5795" w:type="dxa"/>
            <w:noWrap w:val="0"/>
            <w:vAlign w:val="center"/>
          </w:tcPr>
          <w:p w14:paraId="4C296AB7">
            <w:pPr>
              <w:keepNext w:val="0"/>
              <w:keepLines w:val="0"/>
              <w:pageBreakBefore w:val="0"/>
              <w:kinsoku/>
              <w:wordWrap/>
              <w:overflowPunct/>
              <w:topLinePunct w:val="0"/>
              <w:bidi w:val="0"/>
              <w:adjustRightInd/>
              <w:snapToGrid w:val="0"/>
              <w:spacing w:line="360" w:lineRule="exact"/>
              <w:textAlignment w:val="auto"/>
              <w:rPr>
                <w:rFonts w:hint="default" w:ascii="宋体" w:hAnsi="宋体" w:eastAsia="宋体" w:cs="宋体"/>
                <w:b w:val="0"/>
                <w:bCs w:val="0"/>
                <w:snapToGrid w:val="0"/>
                <w:color w:val="000000"/>
                <w:kern w:val="0"/>
                <w:sz w:val="22"/>
                <w:szCs w:val="22"/>
                <w:lang w:val="en-US" w:eastAsia="en-US" w:bidi="ar-SA"/>
              </w:rPr>
            </w:pPr>
            <w:r>
              <w:rPr>
                <w:rFonts w:hint="eastAsia" w:ascii="宋体" w:hAnsi="宋体" w:eastAsia="宋体" w:cs="宋体"/>
                <w:b w:val="0"/>
                <w:bCs w:val="0"/>
                <w:snapToGrid w:val="0"/>
                <w:color w:val="000000"/>
                <w:kern w:val="0"/>
                <w:sz w:val="22"/>
                <w:szCs w:val="22"/>
                <w:lang w:val="en-US" w:eastAsia="zh-CN" w:bidi="ar-SA"/>
              </w:rPr>
              <w:t>供应商</w:t>
            </w:r>
            <w:r>
              <w:rPr>
                <w:rFonts w:hint="eastAsia" w:ascii="宋体" w:hAnsi="宋体" w:eastAsia="宋体" w:cs="宋体"/>
                <w:b w:val="0"/>
                <w:bCs w:val="0"/>
                <w:snapToGrid w:val="0"/>
                <w:color w:val="000000"/>
                <w:kern w:val="0"/>
                <w:sz w:val="22"/>
                <w:szCs w:val="22"/>
                <w:lang w:val="en-US" w:eastAsia="en-US" w:bidi="ar-SA"/>
              </w:rPr>
              <w:t>需提供</w:t>
            </w:r>
            <w:r>
              <w:rPr>
                <w:rFonts w:hint="eastAsia" w:ascii="宋体" w:hAnsi="宋体" w:eastAsia="宋体" w:cs="宋体"/>
                <w:b w:val="0"/>
                <w:bCs w:val="0"/>
                <w:snapToGrid w:val="0"/>
                <w:color w:val="000000"/>
                <w:kern w:val="0"/>
                <w:sz w:val="22"/>
                <w:szCs w:val="22"/>
                <w:lang w:val="en-US" w:eastAsia="zh-CN" w:bidi="ar-SA"/>
              </w:rPr>
              <w:t>拟投入本项目</w:t>
            </w:r>
            <w:r>
              <w:rPr>
                <w:rFonts w:hint="eastAsia" w:ascii="宋体" w:hAnsi="宋体" w:eastAsia="宋体" w:cs="宋体"/>
                <w:b w:val="0"/>
                <w:bCs w:val="0"/>
                <w:snapToGrid w:val="0"/>
                <w:color w:val="000000"/>
                <w:kern w:val="0"/>
                <w:sz w:val="22"/>
                <w:szCs w:val="22"/>
                <w:lang w:val="en-US" w:eastAsia="en-US" w:bidi="ar-SA"/>
              </w:rPr>
              <w:t>的原材料检测报告，符合</w:t>
            </w:r>
            <w:r>
              <w:rPr>
                <w:rFonts w:hint="eastAsia" w:ascii="宋体" w:hAnsi="宋体" w:eastAsia="宋体" w:cs="宋体"/>
                <w:b w:val="0"/>
                <w:bCs w:val="0"/>
                <w:snapToGrid w:val="0"/>
                <w:color w:val="000000"/>
                <w:kern w:val="0"/>
                <w:sz w:val="22"/>
                <w:szCs w:val="22"/>
                <w:lang w:val="en-US" w:eastAsia="zh-CN" w:bidi="ar-SA"/>
              </w:rPr>
              <w:t>本采购文件技术参数要求</w:t>
            </w:r>
            <w:r>
              <w:rPr>
                <w:rFonts w:hint="eastAsia" w:ascii="宋体" w:hAnsi="宋体" w:eastAsia="宋体" w:cs="宋体"/>
                <w:b w:val="0"/>
                <w:bCs w:val="0"/>
                <w:snapToGrid w:val="0"/>
                <w:color w:val="000000"/>
                <w:kern w:val="0"/>
                <w:sz w:val="22"/>
                <w:szCs w:val="22"/>
                <w:lang w:val="en-US" w:eastAsia="en-US" w:bidi="ar-SA"/>
              </w:rPr>
              <w:t>中“质量要求”</w:t>
            </w:r>
            <w:r>
              <w:rPr>
                <w:rFonts w:hint="eastAsia" w:ascii="宋体" w:hAnsi="宋体" w:eastAsia="宋体" w:cs="宋体"/>
                <w:b w:val="0"/>
                <w:bCs w:val="0"/>
                <w:snapToGrid w:val="0"/>
                <w:color w:val="000000"/>
                <w:kern w:val="0"/>
                <w:sz w:val="22"/>
                <w:szCs w:val="22"/>
                <w:lang w:val="en-US" w:eastAsia="zh-CN" w:bidi="ar-SA"/>
              </w:rPr>
              <w:t>，</w:t>
            </w:r>
            <w:r>
              <w:rPr>
                <w:rFonts w:hint="eastAsia" w:ascii="宋体" w:hAnsi="宋体" w:eastAsia="宋体" w:cs="宋体"/>
                <w:b w:val="0"/>
                <w:bCs w:val="0"/>
                <w:snapToGrid w:val="0"/>
                <w:color w:val="000000"/>
                <w:kern w:val="0"/>
                <w:sz w:val="22"/>
                <w:szCs w:val="22"/>
                <w:lang w:val="en-US" w:eastAsia="en-US" w:bidi="ar-SA"/>
              </w:rPr>
              <w:t>每提供一</w:t>
            </w:r>
            <w:r>
              <w:rPr>
                <w:rFonts w:hint="eastAsia" w:ascii="宋体" w:hAnsi="宋体" w:eastAsia="宋体" w:cs="宋体"/>
                <w:b w:val="0"/>
                <w:bCs w:val="0"/>
                <w:snapToGrid w:val="0"/>
                <w:color w:val="000000"/>
                <w:kern w:val="0"/>
                <w:sz w:val="22"/>
                <w:szCs w:val="22"/>
                <w:lang w:val="en-US" w:eastAsia="zh-CN" w:bidi="ar-SA"/>
              </w:rPr>
              <w:t>种</w:t>
            </w:r>
            <w:r>
              <w:rPr>
                <w:rFonts w:hint="eastAsia" w:ascii="宋体" w:hAnsi="宋体" w:eastAsia="宋体" w:cs="宋体"/>
                <w:b w:val="0"/>
                <w:bCs w:val="0"/>
                <w:snapToGrid w:val="0"/>
                <w:color w:val="000000"/>
                <w:kern w:val="0"/>
                <w:sz w:val="22"/>
                <w:szCs w:val="22"/>
                <w:lang w:val="en-US" w:eastAsia="en-US" w:bidi="ar-SA"/>
              </w:rPr>
              <w:t>（类）符合要求的检测报告得</w:t>
            </w:r>
            <w:r>
              <w:rPr>
                <w:rFonts w:hint="eastAsia" w:ascii="宋体" w:hAnsi="宋体" w:cs="宋体"/>
                <w:b w:val="0"/>
                <w:bCs w:val="0"/>
                <w:snapToGrid w:val="0"/>
                <w:color w:val="000000"/>
                <w:kern w:val="0"/>
                <w:sz w:val="22"/>
                <w:szCs w:val="22"/>
                <w:lang w:val="en-US" w:eastAsia="zh-CN" w:bidi="ar-SA"/>
              </w:rPr>
              <w:t>1</w:t>
            </w:r>
            <w:r>
              <w:rPr>
                <w:rFonts w:hint="eastAsia" w:ascii="宋体" w:hAnsi="宋体" w:eastAsia="宋体" w:cs="宋体"/>
                <w:b w:val="0"/>
                <w:bCs w:val="0"/>
                <w:snapToGrid w:val="0"/>
                <w:color w:val="000000"/>
                <w:kern w:val="0"/>
                <w:sz w:val="22"/>
                <w:szCs w:val="22"/>
                <w:lang w:val="en-US" w:eastAsia="en-US" w:bidi="ar-SA"/>
              </w:rPr>
              <w:t>分，此项最高得</w:t>
            </w:r>
            <w:r>
              <w:rPr>
                <w:rFonts w:hint="eastAsia" w:ascii="宋体" w:hAnsi="宋体" w:cs="宋体"/>
                <w:b w:val="0"/>
                <w:bCs w:val="0"/>
                <w:snapToGrid w:val="0"/>
                <w:color w:val="000000"/>
                <w:kern w:val="0"/>
                <w:sz w:val="22"/>
                <w:szCs w:val="22"/>
                <w:lang w:val="en-US" w:eastAsia="zh-CN" w:bidi="ar-SA"/>
              </w:rPr>
              <w:t>14</w:t>
            </w:r>
            <w:r>
              <w:rPr>
                <w:rFonts w:hint="eastAsia" w:ascii="宋体" w:hAnsi="宋体" w:eastAsia="宋体" w:cs="宋体"/>
                <w:b w:val="0"/>
                <w:bCs w:val="0"/>
                <w:snapToGrid w:val="0"/>
                <w:color w:val="000000"/>
                <w:kern w:val="0"/>
                <w:sz w:val="22"/>
                <w:szCs w:val="22"/>
                <w:lang w:val="en-US" w:eastAsia="en-US" w:bidi="ar-SA"/>
              </w:rPr>
              <w:t>分：（1）</w:t>
            </w:r>
            <w:r>
              <w:rPr>
                <w:rFonts w:hint="eastAsia" w:ascii="宋体" w:hAnsi="宋体" w:eastAsia="宋体" w:cs="宋体"/>
                <w:b w:val="0"/>
                <w:bCs w:val="0"/>
                <w:snapToGrid w:val="0"/>
                <w:color w:val="000000"/>
                <w:kern w:val="0"/>
                <w:sz w:val="22"/>
                <w:szCs w:val="22"/>
                <w:lang w:val="en-US" w:eastAsia="zh-CN" w:bidi="ar-SA"/>
              </w:rPr>
              <w:t>板材</w:t>
            </w:r>
            <w:r>
              <w:rPr>
                <w:rFonts w:hint="eastAsia" w:ascii="宋体" w:hAnsi="宋体" w:eastAsia="宋体" w:cs="宋体"/>
                <w:b w:val="0"/>
                <w:bCs w:val="0"/>
                <w:snapToGrid w:val="0"/>
                <w:color w:val="000000"/>
                <w:kern w:val="0"/>
                <w:sz w:val="22"/>
                <w:szCs w:val="22"/>
                <w:lang w:val="en-US" w:eastAsia="en-US" w:bidi="ar-SA"/>
              </w:rPr>
              <w:t>、（2）</w:t>
            </w:r>
            <w:r>
              <w:rPr>
                <w:rFonts w:hint="eastAsia" w:ascii="宋体" w:hAnsi="宋体" w:eastAsia="宋体" w:cs="宋体"/>
                <w:b w:val="0"/>
                <w:bCs w:val="0"/>
                <w:snapToGrid w:val="0"/>
                <w:color w:val="000000"/>
                <w:kern w:val="0"/>
                <w:sz w:val="22"/>
                <w:szCs w:val="22"/>
                <w:lang w:val="en-US" w:eastAsia="zh-CN" w:bidi="ar-SA"/>
              </w:rPr>
              <w:t>底漆</w:t>
            </w:r>
            <w:r>
              <w:rPr>
                <w:rFonts w:hint="eastAsia" w:ascii="宋体" w:hAnsi="宋体" w:eastAsia="宋体" w:cs="宋体"/>
                <w:b w:val="0"/>
                <w:bCs w:val="0"/>
                <w:snapToGrid w:val="0"/>
                <w:color w:val="000000"/>
                <w:kern w:val="0"/>
                <w:sz w:val="22"/>
                <w:szCs w:val="22"/>
                <w:lang w:val="en-US" w:eastAsia="en-US" w:bidi="ar-SA"/>
              </w:rPr>
              <w:t>、（3）</w:t>
            </w:r>
            <w:r>
              <w:rPr>
                <w:rFonts w:hint="eastAsia" w:ascii="宋体" w:hAnsi="宋体" w:eastAsia="宋体" w:cs="宋体"/>
                <w:b w:val="0"/>
                <w:bCs w:val="0"/>
                <w:snapToGrid w:val="0"/>
                <w:color w:val="000000"/>
                <w:kern w:val="0"/>
                <w:sz w:val="22"/>
                <w:szCs w:val="22"/>
                <w:lang w:val="en-US" w:eastAsia="zh-CN" w:bidi="ar-SA"/>
              </w:rPr>
              <w:t>油漆</w:t>
            </w:r>
            <w:r>
              <w:rPr>
                <w:rFonts w:hint="eastAsia" w:ascii="宋体" w:hAnsi="宋体" w:eastAsia="宋体" w:cs="宋体"/>
                <w:b w:val="0"/>
                <w:bCs w:val="0"/>
                <w:snapToGrid w:val="0"/>
                <w:color w:val="000000"/>
                <w:kern w:val="0"/>
                <w:sz w:val="22"/>
                <w:szCs w:val="22"/>
                <w:lang w:val="en-US" w:eastAsia="en-US" w:bidi="ar-SA"/>
              </w:rPr>
              <w:t>、（4）</w:t>
            </w:r>
            <w:r>
              <w:rPr>
                <w:rFonts w:hint="eastAsia" w:ascii="宋体" w:hAnsi="宋体" w:eastAsia="宋体" w:cs="宋体"/>
                <w:b w:val="0"/>
                <w:bCs w:val="0"/>
                <w:snapToGrid w:val="0"/>
                <w:color w:val="000000"/>
                <w:kern w:val="0"/>
                <w:sz w:val="22"/>
                <w:szCs w:val="22"/>
                <w:lang w:val="en-US" w:eastAsia="zh-CN" w:bidi="ar-SA"/>
              </w:rPr>
              <w:t>涂料、（5）</w:t>
            </w:r>
            <w:r>
              <w:rPr>
                <w:rFonts w:hint="eastAsia" w:ascii="宋体" w:hAnsi="宋体" w:cs="宋体"/>
                <w:b w:val="0"/>
                <w:bCs w:val="0"/>
                <w:snapToGrid w:val="0"/>
                <w:color w:val="000000"/>
                <w:kern w:val="0"/>
                <w:sz w:val="22"/>
                <w:szCs w:val="22"/>
                <w:lang w:val="en-US" w:eastAsia="zh-CN" w:bidi="ar-SA"/>
              </w:rPr>
              <w:t>白</w:t>
            </w:r>
            <w:r>
              <w:rPr>
                <w:rFonts w:hint="eastAsia" w:ascii="宋体" w:hAnsi="宋体" w:eastAsia="宋体" w:cs="宋体"/>
                <w:b w:val="0"/>
                <w:bCs w:val="0"/>
                <w:snapToGrid w:val="0"/>
                <w:color w:val="000000"/>
                <w:kern w:val="0"/>
                <w:sz w:val="22"/>
                <w:szCs w:val="22"/>
                <w:lang w:val="en-US" w:eastAsia="zh-CN" w:bidi="ar-SA"/>
              </w:rPr>
              <w:t>乳胶、（6）五金件、（7）表面木蜡油、</w:t>
            </w:r>
            <w:r>
              <w:rPr>
                <w:rFonts w:hint="eastAsia" w:ascii="宋体" w:hAnsi="宋体" w:eastAsia="宋体" w:cs="宋体"/>
                <w:b w:val="0"/>
                <w:bCs w:val="0"/>
                <w:snapToGrid w:val="0"/>
                <w:color w:val="000000"/>
                <w:kern w:val="0"/>
                <w:sz w:val="22"/>
                <w:szCs w:val="22"/>
                <w:highlight w:val="none"/>
                <w:lang w:val="en-US" w:eastAsia="zh-CN" w:bidi="ar-SA"/>
              </w:rPr>
              <w:t>（8）塑料件、滑道、</w:t>
            </w:r>
            <w:r>
              <w:rPr>
                <w:rFonts w:hint="eastAsia" w:ascii="宋体" w:hAnsi="宋体" w:eastAsia="宋体" w:cs="宋体"/>
                <w:b w:val="0"/>
                <w:bCs w:val="0"/>
                <w:snapToGrid w:val="0"/>
                <w:color w:val="auto"/>
                <w:kern w:val="0"/>
                <w:sz w:val="22"/>
                <w:szCs w:val="22"/>
                <w:highlight w:val="none"/>
                <w:lang w:val="en-US" w:eastAsia="zh-CN" w:bidi="ar-SA"/>
              </w:rPr>
              <w:t>（9）防腐芬兰木 （10）五金</w:t>
            </w:r>
            <w:r>
              <w:rPr>
                <w:rFonts w:hint="eastAsia" w:ascii="宋体" w:hAnsi="宋体" w:eastAsia="宋体" w:cs="宋体"/>
                <w:b w:val="0"/>
                <w:bCs w:val="0"/>
                <w:color w:val="auto"/>
                <w:spacing w:val="0"/>
                <w:sz w:val="24"/>
                <w:szCs w:val="24"/>
                <w:highlight w:val="none"/>
                <w:lang w:val="en-US" w:eastAsia="zh-CN" w:bidi="ar-SA"/>
              </w:rPr>
              <w:t>（螺栓、螺母）</w:t>
            </w:r>
            <w:r>
              <w:rPr>
                <w:rFonts w:hint="eastAsia" w:ascii="宋体" w:hAnsi="宋体" w:eastAsia="宋体" w:cs="宋体"/>
                <w:b w:val="0"/>
                <w:bCs w:val="0"/>
                <w:snapToGrid w:val="0"/>
                <w:color w:val="auto"/>
                <w:kern w:val="0"/>
                <w:sz w:val="22"/>
                <w:szCs w:val="22"/>
                <w:highlight w:val="none"/>
                <w:lang w:val="en-US" w:eastAsia="zh-CN" w:bidi="ar-SA"/>
              </w:rPr>
              <w:t>、（11）PC板、（12）网通（焊接件）、（13）六股钢丝绳、（14）皮革</w:t>
            </w:r>
            <w:r>
              <w:rPr>
                <w:rFonts w:hint="eastAsia" w:ascii="宋体" w:hAnsi="宋体" w:cs="宋体"/>
                <w:b w:val="0"/>
                <w:bCs w:val="0"/>
                <w:snapToGrid w:val="0"/>
                <w:color w:val="auto"/>
                <w:kern w:val="0"/>
                <w:sz w:val="22"/>
                <w:szCs w:val="22"/>
                <w:highlight w:val="none"/>
                <w:lang w:val="en-US" w:eastAsia="zh-CN" w:bidi="ar-SA"/>
              </w:rPr>
              <w:t>。</w:t>
            </w:r>
          </w:p>
          <w:p w14:paraId="44F16BA1">
            <w:pPr>
              <w:widowControl w:val="0"/>
              <w:numPr>
                <w:ilvl w:val="0"/>
                <w:numId w:val="0"/>
              </w:numPr>
              <w:spacing w:before="45" w:line="240" w:lineRule="auto"/>
              <w:ind w:left="0" w:leftChars="0" w:firstLine="0" w:firstLineChars="0"/>
              <w:jc w:val="both"/>
              <w:rPr>
                <w:rFonts w:hint="default" w:ascii="宋体" w:hAnsi="宋体" w:eastAsia="宋体" w:cs="宋体"/>
                <w:b w:val="0"/>
                <w:bCs w:val="0"/>
                <w:color w:val="auto"/>
                <w:sz w:val="22"/>
                <w:szCs w:val="22"/>
                <w:lang w:val="en-US" w:eastAsia="zh-CN" w:bidi="ar-SA"/>
              </w:rPr>
            </w:pPr>
            <w:r>
              <w:rPr>
                <w:rFonts w:hint="eastAsia" w:ascii="宋体" w:hAnsi="宋体" w:eastAsia="宋体" w:cs="宋体"/>
                <w:b w:val="0"/>
                <w:bCs w:val="0"/>
                <w:snapToGrid w:val="0"/>
                <w:color w:val="000000"/>
                <w:kern w:val="0"/>
                <w:sz w:val="22"/>
                <w:szCs w:val="22"/>
                <w:lang w:val="en-US" w:eastAsia="en-US" w:bidi="ar-SA"/>
              </w:rPr>
              <w:t>注：</w:t>
            </w:r>
            <w:r>
              <w:rPr>
                <w:rFonts w:hint="eastAsia" w:ascii="宋体" w:hAnsi="宋体" w:eastAsia="宋体" w:cs="宋体"/>
                <w:b w:val="0"/>
                <w:bCs w:val="0"/>
                <w:snapToGrid w:val="0"/>
                <w:color w:val="000000"/>
                <w:kern w:val="0"/>
                <w:sz w:val="22"/>
                <w:szCs w:val="22"/>
                <w:lang w:val="en-US" w:eastAsia="zh-CN" w:bidi="ar-SA"/>
              </w:rPr>
              <w:t>须提供符合相关国家标准要求的主要原材料的检测报告</w:t>
            </w:r>
            <w:r>
              <w:rPr>
                <w:rFonts w:hint="eastAsia" w:ascii="宋体" w:hAnsi="宋体" w:eastAsia="宋体" w:cs="宋体"/>
                <w:b w:val="0"/>
                <w:bCs w:val="0"/>
                <w:snapToGrid w:val="0"/>
                <w:color w:val="000000"/>
                <w:kern w:val="0"/>
                <w:sz w:val="22"/>
                <w:szCs w:val="22"/>
                <w:lang w:val="en-US" w:eastAsia="en-US" w:bidi="ar-SA"/>
              </w:rPr>
              <w:t>复印件（具备CNAS或CMA资质</w:t>
            </w:r>
            <w:r>
              <w:rPr>
                <w:rFonts w:hint="eastAsia" w:ascii="宋体" w:hAnsi="宋体" w:eastAsia="宋体" w:cs="宋体"/>
                <w:b w:val="0"/>
                <w:bCs w:val="0"/>
                <w:snapToGrid w:val="0"/>
                <w:color w:val="000000"/>
                <w:kern w:val="0"/>
                <w:sz w:val="22"/>
                <w:szCs w:val="22"/>
                <w:lang w:val="en-US" w:eastAsia="zh-CN" w:bidi="ar-SA"/>
              </w:rPr>
              <w:t>，须在有效期内</w:t>
            </w:r>
            <w:r>
              <w:rPr>
                <w:rFonts w:hint="eastAsia" w:ascii="宋体" w:hAnsi="宋体" w:eastAsia="宋体" w:cs="宋体"/>
                <w:b w:val="0"/>
                <w:bCs w:val="0"/>
                <w:snapToGrid w:val="0"/>
                <w:color w:val="000000"/>
                <w:kern w:val="0"/>
                <w:sz w:val="22"/>
                <w:szCs w:val="22"/>
                <w:lang w:val="en-US" w:eastAsia="en-US" w:bidi="ar-SA"/>
              </w:rPr>
              <w:t>），且同时提供该报告在全国认证认可信息公共服务平台查询</w:t>
            </w:r>
            <w:r>
              <w:rPr>
                <w:rFonts w:hint="eastAsia" w:ascii="宋体" w:hAnsi="宋体" w:eastAsia="宋体" w:cs="宋体"/>
                <w:b w:val="0"/>
                <w:bCs w:val="0"/>
                <w:snapToGrid w:val="0"/>
                <w:color w:val="000000"/>
                <w:kern w:val="0"/>
                <w:sz w:val="22"/>
                <w:szCs w:val="22"/>
                <w:lang w:val="en-US" w:eastAsia="zh-CN" w:bidi="ar-SA"/>
              </w:rPr>
              <w:t>的网页</w:t>
            </w:r>
            <w:r>
              <w:rPr>
                <w:rFonts w:hint="eastAsia" w:ascii="宋体" w:hAnsi="宋体" w:eastAsia="宋体" w:cs="宋体"/>
                <w:b w:val="0"/>
                <w:bCs w:val="0"/>
                <w:snapToGrid w:val="0"/>
                <w:color w:val="000000"/>
                <w:kern w:val="0"/>
                <w:sz w:val="22"/>
                <w:szCs w:val="22"/>
                <w:lang w:val="en-US" w:eastAsia="en-US" w:bidi="ar-SA"/>
              </w:rPr>
              <w:t>截图打印件</w:t>
            </w:r>
            <w:r>
              <w:rPr>
                <w:rFonts w:hint="eastAsia" w:ascii="宋体" w:hAnsi="宋体" w:eastAsia="宋体" w:cs="宋体"/>
                <w:b w:val="0"/>
                <w:bCs w:val="0"/>
                <w:snapToGrid w:val="0"/>
                <w:color w:val="000000"/>
                <w:kern w:val="0"/>
                <w:sz w:val="22"/>
                <w:szCs w:val="22"/>
                <w:lang w:val="en-US" w:eastAsia="zh-CN" w:bidi="ar-SA"/>
              </w:rPr>
              <w:t>，并加盖公章</w:t>
            </w:r>
            <w:r>
              <w:rPr>
                <w:rFonts w:hint="eastAsia" w:ascii="宋体" w:hAnsi="宋体" w:eastAsia="宋体" w:cs="宋体"/>
                <w:b w:val="0"/>
                <w:bCs w:val="0"/>
                <w:snapToGrid w:val="0"/>
                <w:color w:val="000000"/>
                <w:kern w:val="0"/>
                <w:sz w:val="22"/>
                <w:szCs w:val="22"/>
                <w:lang w:val="en-US" w:eastAsia="en-US" w:bidi="ar-SA"/>
              </w:rPr>
              <w:t>。</w:t>
            </w:r>
          </w:p>
        </w:tc>
        <w:tc>
          <w:tcPr>
            <w:tcW w:w="1240" w:type="dxa"/>
            <w:noWrap w:val="0"/>
            <w:vAlign w:val="center"/>
          </w:tcPr>
          <w:p w14:paraId="6E582985">
            <w:pPr>
              <w:widowControl w:val="0"/>
              <w:numPr>
                <w:ilvl w:val="0"/>
                <w:numId w:val="0"/>
              </w:numPr>
              <w:spacing w:before="45" w:line="179" w:lineRule="auto"/>
              <w:ind w:left="0" w:leftChars="0" w:firstLine="0" w:firstLineChars="0"/>
              <w:jc w:val="center"/>
              <w:rPr>
                <w:rFonts w:hint="default" w:ascii="宋体" w:hAnsi="宋体" w:eastAsia="宋体" w:cs="宋体"/>
                <w:b w:val="0"/>
                <w:bCs w:val="0"/>
                <w:color w:val="auto"/>
                <w:sz w:val="22"/>
                <w:szCs w:val="22"/>
                <w:lang w:val="en-US" w:eastAsia="zh-CN" w:bidi="ar-SA"/>
              </w:rPr>
            </w:pPr>
            <w:r>
              <w:rPr>
                <w:rFonts w:hint="eastAsia" w:ascii="宋体" w:hAnsi="宋体" w:cs="宋体"/>
                <w:b w:val="0"/>
                <w:bCs w:val="0"/>
                <w:spacing w:val="-1"/>
                <w:sz w:val="22"/>
                <w:szCs w:val="22"/>
                <w:vertAlign w:val="baseline"/>
                <w:lang w:val="en-US" w:eastAsia="zh-CN"/>
              </w:rPr>
              <w:t>14</w:t>
            </w:r>
          </w:p>
        </w:tc>
      </w:tr>
      <w:tr w14:paraId="0188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restart"/>
            <w:noWrap w:val="0"/>
            <w:vAlign w:val="center"/>
          </w:tcPr>
          <w:p w14:paraId="1B02FEC1">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6</w:t>
            </w:r>
          </w:p>
        </w:tc>
        <w:tc>
          <w:tcPr>
            <w:tcW w:w="1905" w:type="dxa"/>
            <w:vMerge w:val="restart"/>
            <w:noWrap w:val="0"/>
            <w:vAlign w:val="center"/>
          </w:tcPr>
          <w:p w14:paraId="1FD7486F">
            <w:pPr>
              <w:pStyle w:val="305"/>
              <w:widowControl w:val="0"/>
              <w:spacing w:before="75" w:line="220" w:lineRule="auto"/>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rPr>
              <w:t>项目实施方</w:t>
            </w:r>
            <w:r>
              <w:rPr>
                <w:rFonts w:hint="eastAsia" w:ascii="宋体" w:hAnsi="宋体" w:eastAsia="宋体" w:cs="宋体"/>
                <w:b w:val="0"/>
                <w:bCs w:val="0"/>
                <w:sz w:val="22"/>
                <w:szCs w:val="22"/>
              </w:rPr>
              <w:t>案</w:t>
            </w:r>
          </w:p>
        </w:tc>
        <w:tc>
          <w:tcPr>
            <w:tcW w:w="5795" w:type="dxa"/>
            <w:noWrap w:val="0"/>
            <w:vAlign w:val="center"/>
          </w:tcPr>
          <w:p w14:paraId="4A225A24">
            <w:pPr>
              <w:widowControl w:val="0"/>
              <w:numPr>
                <w:ilvl w:val="0"/>
                <w:numId w:val="0"/>
              </w:numPr>
              <w:spacing w:before="45" w:line="240" w:lineRule="auto"/>
              <w:ind w:left="0" w:leftChars="0" w:firstLine="0" w:firstLineChars="0"/>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4"/>
                <w:sz w:val="22"/>
                <w:szCs w:val="22"/>
              </w:rPr>
              <w:t>投标人提供项目实施计划方案，提出合理的项目整体实施</w:t>
            </w:r>
            <w:r>
              <w:rPr>
                <w:rFonts w:hint="eastAsia" w:ascii="宋体" w:hAnsi="宋体" w:eastAsia="宋体" w:cs="宋体"/>
                <w:b w:val="0"/>
                <w:bCs w:val="0"/>
                <w:spacing w:val="-3"/>
                <w:sz w:val="22"/>
                <w:szCs w:val="22"/>
              </w:rPr>
              <w:t>方案，能按照项目分解节点，并可跟踪实施</w:t>
            </w:r>
            <w:r>
              <w:rPr>
                <w:rFonts w:hint="eastAsia" w:ascii="宋体" w:hAnsi="宋体" w:eastAsia="宋体" w:cs="宋体"/>
                <w:b w:val="0"/>
                <w:bCs w:val="0"/>
                <w:spacing w:val="-4"/>
                <w:sz w:val="22"/>
                <w:szCs w:val="22"/>
              </w:rPr>
              <w:t>。根据供应商提供的方案能否满足采购需求，由评审小组对响应方案评</w:t>
            </w:r>
            <w:r>
              <w:rPr>
                <w:rFonts w:hint="eastAsia" w:ascii="宋体" w:hAnsi="宋体" w:eastAsia="宋体" w:cs="宋体"/>
                <w:b w:val="0"/>
                <w:bCs w:val="0"/>
                <w:spacing w:val="1"/>
                <w:sz w:val="22"/>
                <w:szCs w:val="22"/>
              </w:rPr>
              <w:t>审后评分，方案阐述详细、完整、合理可行的得</w:t>
            </w:r>
            <w:r>
              <w:rPr>
                <w:rFonts w:hint="eastAsia" w:ascii="宋体" w:hAnsi="宋体" w:cs="宋体"/>
                <w:b w:val="0"/>
                <w:bCs w:val="0"/>
                <w:spacing w:val="1"/>
                <w:sz w:val="22"/>
                <w:szCs w:val="22"/>
                <w:lang w:val="en-US" w:eastAsia="zh-CN"/>
              </w:rPr>
              <w:t>4</w:t>
            </w:r>
            <w:r>
              <w:rPr>
                <w:rFonts w:hint="eastAsia" w:ascii="宋体" w:hAnsi="宋体" w:eastAsia="宋体" w:cs="宋体"/>
                <w:b w:val="0"/>
                <w:bCs w:val="0"/>
                <w:spacing w:val="1"/>
                <w:sz w:val="22"/>
                <w:szCs w:val="22"/>
                <w:lang w:val="en-US" w:eastAsia="zh-CN"/>
              </w:rPr>
              <w:t>-</w:t>
            </w:r>
            <w:r>
              <w:rPr>
                <w:rFonts w:hint="eastAsia" w:ascii="宋体" w:hAnsi="宋体" w:cs="宋体"/>
                <w:b w:val="0"/>
                <w:bCs w:val="0"/>
                <w:spacing w:val="1"/>
                <w:sz w:val="22"/>
                <w:szCs w:val="22"/>
                <w:lang w:val="en-US" w:eastAsia="zh-CN"/>
              </w:rPr>
              <w:t>6</w:t>
            </w:r>
            <w:r>
              <w:rPr>
                <w:rFonts w:hint="eastAsia" w:ascii="宋体" w:hAnsi="宋体" w:eastAsia="宋体" w:cs="宋体"/>
                <w:b w:val="0"/>
                <w:bCs w:val="0"/>
                <w:spacing w:val="1"/>
                <w:sz w:val="22"/>
                <w:szCs w:val="22"/>
              </w:rPr>
              <w:t>分，</w:t>
            </w:r>
            <w:r>
              <w:rPr>
                <w:rFonts w:hint="eastAsia" w:ascii="宋体" w:hAnsi="宋体" w:eastAsia="宋体" w:cs="宋体"/>
                <w:b w:val="0"/>
                <w:bCs w:val="0"/>
                <w:spacing w:val="-1"/>
                <w:sz w:val="22"/>
                <w:szCs w:val="22"/>
              </w:rPr>
              <w:t>阐述较详细、较完整、较合理可行的得2-</w:t>
            </w:r>
            <w:r>
              <w:rPr>
                <w:rFonts w:hint="eastAsia" w:ascii="宋体" w:hAnsi="宋体" w:cs="宋体"/>
                <w:b w:val="0"/>
                <w:bCs w:val="0"/>
                <w:spacing w:val="-1"/>
                <w:sz w:val="22"/>
                <w:szCs w:val="22"/>
                <w:lang w:val="en-US" w:eastAsia="zh-CN"/>
              </w:rPr>
              <w:t>4</w:t>
            </w:r>
            <w:r>
              <w:rPr>
                <w:rFonts w:hint="eastAsia" w:ascii="宋体" w:hAnsi="宋体" w:eastAsia="宋体" w:cs="宋体"/>
                <w:b w:val="0"/>
                <w:bCs w:val="0"/>
                <w:spacing w:val="-1"/>
                <w:sz w:val="22"/>
                <w:szCs w:val="22"/>
              </w:rPr>
              <w:t>分，阐述一般</w:t>
            </w:r>
            <w:r>
              <w:rPr>
                <w:rFonts w:hint="eastAsia" w:ascii="宋体" w:hAnsi="宋体" w:eastAsia="宋体" w:cs="宋体"/>
                <w:b w:val="0"/>
                <w:bCs w:val="0"/>
                <w:spacing w:val="15"/>
                <w:sz w:val="22"/>
                <w:szCs w:val="22"/>
              </w:rPr>
              <w:t xml:space="preserve"> </w:t>
            </w:r>
            <w:r>
              <w:rPr>
                <w:rFonts w:hint="eastAsia" w:ascii="宋体" w:hAnsi="宋体" w:eastAsia="宋体" w:cs="宋体"/>
                <w:b w:val="0"/>
                <w:bCs w:val="0"/>
                <w:sz w:val="22"/>
                <w:szCs w:val="22"/>
              </w:rPr>
              <w:t>、不合理或未提供的的得0-2分。</w:t>
            </w:r>
          </w:p>
        </w:tc>
        <w:tc>
          <w:tcPr>
            <w:tcW w:w="1240" w:type="dxa"/>
            <w:noWrap w:val="0"/>
            <w:vAlign w:val="center"/>
          </w:tcPr>
          <w:p w14:paraId="387CB4B8">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cs="宋体"/>
                <w:b w:val="0"/>
                <w:bCs w:val="0"/>
                <w:spacing w:val="-1"/>
                <w:sz w:val="22"/>
                <w:szCs w:val="22"/>
                <w:vertAlign w:val="baseline"/>
                <w:lang w:val="en-US" w:eastAsia="zh-CN"/>
              </w:rPr>
              <w:t>6</w:t>
            </w:r>
          </w:p>
        </w:tc>
      </w:tr>
      <w:tr w14:paraId="735E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14:paraId="502AB203">
            <w:pPr>
              <w:widowControl w:val="0"/>
              <w:spacing w:before="45" w:line="179" w:lineRule="auto"/>
              <w:jc w:val="both"/>
              <w:rPr>
                <w:rFonts w:hint="eastAsia" w:ascii="宋体" w:hAnsi="宋体" w:eastAsia="宋体" w:cs="宋体"/>
                <w:b w:val="0"/>
                <w:bCs w:val="0"/>
                <w:color w:val="auto"/>
                <w:sz w:val="22"/>
                <w:szCs w:val="22"/>
                <w:lang w:val="en-US" w:eastAsia="zh-CN" w:bidi="ar-SA"/>
              </w:rPr>
            </w:pPr>
          </w:p>
        </w:tc>
        <w:tc>
          <w:tcPr>
            <w:tcW w:w="1905" w:type="dxa"/>
            <w:vMerge w:val="continue"/>
            <w:noWrap w:val="0"/>
            <w:vAlign w:val="center"/>
          </w:tcPr>
          <w:p w14:paraId="35637E2F">
            <w:pPr>
              <w:widowControl w:val="0"/>
              <w:spacing w:before="45" w:line="179" w:lineRule="auto"/>
              <w:jc w:val="both"/>
              <w:rPr>
                <w:rFonts w:hint="eastAsia" w:ascii="宋体" w:hAnsi="宋体" w:eastAsia="宋体" w:cs="宋体"/>
                <w:b w:val="0"/>
                <w:bCs w:val="0"/>
                <w:color w:val="auto"/>
                <w:sz w:val="22"/>
                <w:szCs w:val="22"/>
                <w:lang w:val="en-US" w:eastAsia="zh-CN" w:bidi="ar-SA"/>
              </w:rPr>
            </w:pPr>
          </w:p>
        </w:tc>
        <w:tc>
          <w:tcPr>
            <w:tcW w:w="5795" w:type="dxa"/>
            <w:noWrap w:val="0"/>
            <w:vAlign w:val="center"/>
          </w:tcPr>
          <w:p w14:paraId="58270B7A">
            <w:pPr>
              <w:widowControl w:val="0"/>
              <w:numPr>
                <w:ilvl w:val="0"/>
                <w:numId w:val="0"/>
              </w:numPr>
              <w:spacing w:before="45" w:line="240" w:lineRule="auto"/>
              <w:ind w:left="0" w:leftChars="0" w:firstLine="0" w:firstLineChars="0"/>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rPr>
              <w:t>投标人提供确保产品如期交付的保障措施方案，根据货物交付时间节点，落实送货安装时间确保按期交付使用。由评审小组对响应方案评审后评分，方案阐述详细、完整、合理可行的得</w:t>
            </w:r>
            <w:r>
              <w:rPr>
                <w:rFonts w:hint="eastAsia" w:ascii="宋体" w:hAnsi="宋体" w:cs="宋体"/>
                <w:b w:val="0"/>
                <w:bCs w:val="0"/>
                <w:spacing w:val="-1"/>
                <w:sz w:val="22"/>
                <w:szCs w:val="22"/>
                <w:lang w:val="en-US" w:eastAsia="zh-CN"/>
              </w:rPr>
              <w:t>4</w:t>
            </w:r>
            <w:r>
              <w:rPr>
                <w:rFonts w:hint="eastAsia" w:ascii="宋体" w:hAnsi="宋体" w:eastAsia="宋体" w:cs="宋体"/>
                <w:b w:val="0"/>
                <w:bCs w:val="0"/>
                <w:spacing w:val="-1"/>
                <w:sz w:val="22"/>
                <w:szCs w:val="22"/>
                <w:lang w:val="en-US" w:eastAsia="zh-CN"/>
              </w:rPr>
              <w:t>-</w:t>
            </w:r>
            <w:r>
              <w:rPr>
                <w:rFonts w:hint="eastAsia" w:ascii="宋体" w:hAnsi="宋体" w:cs="宋体"/>
                <w:b w:val="0"/>
                <w:bCs w:val="0"/>
                <w:spacing w:val="-1"/>
                <w:sz w:val="22"/>
                <w:szCs w:val="22"/>
                <w:lang w:val="en-US" w:eastAsia="zh-CN"/>
              </w:rPr>
              <w:t>6</w:t>
            </w:r>
            <w:r>
              <w:rPr>
                <w:rFonts w:hint="eastAsia" w:ascii="宋体" w:hAnsi="宋体" w:eastAsia="宋体" w:cs="宋体"/>
                <w:b w:val="0"/>
                <w:bCs w:val="0"/>
                <w:spacing w:val="-1"/>
                <w:sz w:val="22"/>
                <w:szCs w:val="22"/>
              </w:rPr>
              <w:t>分，阐述较详细、较完整、较合理可行的得2-</w:t>
            </w:r>
            <w:r>
              <w:rPr>
                <w:rFonts w:hint="eastAsia" w:ascii="宋体" w:hAnsi="宋体" w:cs="宋体"/>
                <w:b w:val="0"/>
                <w:bCs w:val="0"/>
                <w:spacing w:val="-1"/>
                <w:sz w:val="22"/>
                <w:szCs w:val="22"/>
                <w:lang w:val="en-US" w:eastAsia="zh-CN"/>
              </w:rPr>
              <w:t>4</w:t>
            </w:r>
            <w:r>
              <w:rPr>
                <w:rFonts w:hint="eastAsia" w:ascii="宋体" w:hAnsi="宋体" w:eastAsia="宋体" w:cs="宋体"/>
                <w:b w:val="0"/>
                <w:bCs w:val="0"/>
                <w:spacing w:val="-1"/>
                <w:sz w:val="22"/>
                <w:szCs w:val="22"/>
              </w:rPr>
              <w:t>分，阐述一般、不合理或未提供的的得0-2分。</w:t>
            </w:r>
          </w:p>
        </w:tc>
        <w:tc>
          <w:tcPr>
            <w:tcW w:w="1240" w:type="dxa"/>
            <w:noWrap w:val="0"/>
            <w:vAlign w:val="center"/>
          </w:tcPr>
          <w:p w14:paraId="0C66F6C2">
            <w:pPr>
              <w:widowControl w:val="0"/>
              <w:spacing w:before="45" w:line="179" w:lineRule="auto"/>
              <w:jc w:val="center"/>
              <w:rPr>
                <w:rFonts w:hint="eastAsia" w:ascii="宋体" w:hAnsi="宋体" w:eastAsia="宋体" w:cs="宋体"/>
                <w:b w:val="0"/>
                <w:bCs w:val="0"/>
                <w:color w:val="auto"/>
                <w:sz w:val="22"/>
                <w:szCs w:val="22"/>
                <w:lang w:val="en-US" w:eastAsia="zh-CN" w:bidi="ar-SA"/>
              </w:rPr>
            </w:pPr>
            <w:r>
              <w:rPr>
                <w:rFonts w:hint="eastAsia" w:ascii="宋体" w:hAnsi="宋体" w:cs="宋体"/>
                <w:b w:val="0"/>
                <w:bCs w:val="0"/>
                <w:spacing w:val="-1"/>
                <w:sz w:val="22"/>
                <w:szCs w:val="22"/>
                <w:vertAlign w:val="baseline"/>
                <w:lang w:val="en-US" w:eastAsia="zh-CN"/>
              </w:rPr>
              <w:t>6</w:t>
            </w:r>
          </w:p>
        </w:tc>
      </w:tr>
      <w:tr w14:paraId="0AB7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14:paraId="4E55D6D7">
            <w:pPr>
              <w:widowControl w:val="0"/>
              <w:spacing w:before="45" w:line="179" w:lineRule="auto"/>
              <w:jc w:val="both"/>
              <w:rPr>
                <w:rFonts w:hint="eastAsia" w:ascii="宋体" w:hAnsi="宋体" w:eastAsia="宋体" w:cs="宋体"/>
                <w:b w:val="0"/>
                <w:bCs w:val="0"/>
                <w:color w:val="auto"/>
                <w:sz w:val="22"/>
                <w:szCs w:val="22"/>
                <w:lang w:val="en-US" w:eastAsia="zh-CN" w:bidi="ar-SA"/>
              </w:rPr>
            </w:pPr>
          </w:p>
        </w:tc>
        <w:tc>
          <w:tcPr>
            <w:tcW w:w="1905" w:type="dxa"/>
            <w:vMerge w:val="continue"/>
            <w:noWrap w:val="0"/>
            <w:vAlign w:val="center"/>
          </w:tcPr>
          <w:p w14:paraId="395CE134">
            <w:pPr>
              <w:widowControl w:val="0"/>
              <w:spacing w:before="45" w:line="179" w:lineRule="auto"/>
              <w:jc w:val="both"/>
              <w:rPr>
                <w:rFonts w:hint="eastAsia" w:ascii="宋体" w:hAnsi="宋体" w:eastAsia="宋体" w:cs="宋体"/>
                <w:b w:val="0"/>
                <w:bCs w:val="0"/>
                <w:color w:val="auto"/>
                <w:sz w:val="22"/>
                <w:szCs w:val="22"/>
                <w:lang w:val="en-US" w:eastAsia="zh-CN" w:bidi="ar-SA"/>
              </w:rPr>
            </w:pPr>
          </w:p>
        </w:tc>
        <w:tc>
          <w:tcPr>
            <w:tcW w:w="5795" w:type="dxa"/>
            <w:noWrap w:val="0"/>
            <w:vAlign w:val="center"/>
          </w:tcPr>
          <w:p w14:paraId="3DC89069">
            <w:pPr>
              <w:widowControl w:val="0"/>
              <w:numPr>
                <w:ilvl w:val="0"/>
                <w:numId w:val="0"/>
              </w:numPr>
              <w:spacing w:before="45" w:line="240" w:lineRule="auto"/>
              <w:ind w:left="0" w:leftChars="0" w:firstLine="0" w:firstLineChars="0"/>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4"/>
                <w:sz w:val="22"/>
                <w:szCs w:val="22"/>
              </w:rPr>
              <w:t>投标人提供维护保养方案、培训计划、验收方案，根据货</w:t>
            </w:r>
            <w:r>
              <w:rPr>
                <w:rFonts w:hint="eastAsia" w:ascii="宋体" w:hAnsi="宋体" w:eastAsia="宋体" w:cs="宋体"/>
                <w:b w:val="0"/>
                <w:bCs w:val="0"/>
                <w:spacing w:val="-3"/>
                <w:sz w:val="22"/>
                <w:szCs w:val="22"/>
              </w:rPr>
              <w:t>物交付后后续的跟进程度及相应服务提供计</w:t>
            </w:r>
            <w:r>
              <w:rPr>
                <w:rFonts w:hint="eastAsia" w:ascii="宋体" w:hAnsi="宋体" w:eastAsia="宋体" w:cs="宋体"/>
                <w:b w:val="0"/>
                <w:bCs w:val="0"/>
                <w:spacing w:val="-4"/>
                <w:sz w:val="22"/>
                <w:szCs w:val="22"/>
              </w:rPr>
              <w:t>划，由评审小组对响应方案评审后评分，方案阐述详细、完整、合理可</w:t>
            </w:r>
            <w:r>
              <w:rPr>
                <w:rFonts w:hint="eastAsia" w:ascii="宋体" w:hAnsi="宋体" w:eastAsia="宋体" w:cs="宋体"/>
                <w:b w:val="0"/>
                <w:bCs w:val="0"/>
                <w:spacing w:val="-1"/>
                <w:sz w:val="22"/>
                <w:szCs w:val="22"/>
              </w:rPr>
              <w:t>行的得</w:t>
            </w:r>
            <w:r>
              <w:rPr>
                <w:rFonts w:hint="eastAsia" w:ascii="宋体" w:hAnsi="宋体" w:cs="宋体"/>
                <w:b w:val="0"/>
                <w:bCs w:val="0"/>
                <w:spacing w:val="1"/>
                <w:sz w:val="22"/>
                <w:szCs w:val="22"/>
                <w:lang w:val="en-US" w:eastAsia="zh-CN"/>
              </w:rPr>
              <w:t>4</w:t>
            </w:r>
            <w:r>
              <w:rPr>
                <w:rFonts w:hint="eastAsia" w:ascii="宋体" w:hAnsi="宋体" w:eastAsia="宋体" w:cs="宋体"/>
                <w:b w:val="0"/>
                <w:bCs w:val="0"/>
                <w:spacing w:val="1"/>
                <w:sz w:val="22"/>
                <w:szCs w:val="22"/>
                <w:lang w:val="en-US" w:eastAsia="zh-CN"/>
              </w:rPr>
              <w:t>-</w:t>
            </w:r>
            <w:r>
              <w:rPr>
                <w:rFonts w:hint="eastAsia" w:ascii="宋体" w:hAnsi="宋体" w:cs="宋体"/>
                <w:b w:val="0"/>
                <w:bCs w:val="0"/>
                <w:spacing w:val="1"/>
                <w:sz w:val="22"/>
                <w:szCs w:val="22"/>
                <w:lang w:val="en-US" w:eastAsia="zh-CN"/>
              </w:rPr>
              <w:t>6</w:t>
            </w:r>
            <w:r>
              <w:rPr>
                <w:rFonts w:hint="eastAsia" w:ascii="宋体" w:hAnsi="宋体" w:eastAsia="宋体" w:cs="宋体"/>
                <w:b w:val="0"/>
                <w:bCs w:val="0"/>
                <w:spacing w:val="-1"/>
                <w:sz w:val="22"/>
                <w:szCs w:val="22"/>
              </w:rPr>
              <w:t>分，阐述较详细、较完整、较合理</w:t>
            </w:r>
            <w:r>
              <w:rPr>
                <w:rFonts w:hint="eastAsia" w:ascii="宋体" w:hAnsi="宋体" w:eastAsia="宋体" w:cs="宋体"/>
                <w:b w:val="0"/>
                <w:bCs w:val="0"/>
                <w:spacing w:val="-2"/>
                <w:sz w:val="22"/>
                <w:szCs w:val="22"/>
              </w:rPr>
              <w:t>可行的得2-</w:t>
            </w:r>
            <w:r>
              <w:rPr>
                <w:rFonts w:hint="eastAsia" w:ascii="宋体" w:hAnsi="宋体" w:cs="宋体"/>
                <w:b w:val="0"/>
                <w:bCs w:val="0"/>
                <w:sz w:val="22"/>
                <w:szCs w:val="22"/>
                <w:lang w:val="en-US" w:eastAsia="zh-CN"/>
              </w:rPr>
              <w:t>4</w:t>
            </w:r>
            <w:r>
              <w:rPr>
                <w:rFonts w:hint="eastAsia" w:ascii="宋体" w:hAnsi="宋体" w:eastAsia="宋体" w:cs="宋体"/>
                <w:b w:val="0"/>
                <w:bCs w:val="0"/>
                <w:spacing w:val="-1"/>
                <w:sz w:val="22"/>
                <w:szCs w:val="22"/>
              </w:rPr>
              <w:t>分，阐述一般、不合理或未提供的的得0-2分。</w:t>
            </w:r>
          </w:p>
        </w:tc>
        <w:tc>
          <w:tcPr>
            <w:tcW w:w="1240" w:type="dxa"/>
            <w:noWrap w:val="0"/>
            <w:vAlign w:val="center"/>
          </w:tcPr>
          <w:p w14:paraId="16DB675F">
            <w:pPr>
              <w:widowControl w:val="0"/>
              <w:spacing w:before="45" w:line="179" w:lineRule="auto"/>
              <w:jc w:val="center"/>
              <w:rPr>
                <w:rFonts w:hint="eastAsia" w:ascii="宋体" w:hAnsi="宋体" w:eastAsia="宋体" w:cs="宋体"/>
                <w:b w:val="0"/>
                <w:bCs w:val="0"/>
                <w:color w:val="auto"/>
                <w:sz w:val="22"/>
                <w:szCs w:val="22"/>
                <w:lang w:val="en-US" w:eastAsia="zh-CN" w:bidi="ar-SA"/>
              </w:rPr>
            </w:pPr>
            <w:r>
              <w:rPr>
                <w:rFonts w:hint="eastAsia" w:ascii="宋体" w:hAnsi="宋体" w:cs="宋体"/>
                <w:b w:val="0"/>
                <w:bCs w:val="0"/>
                <w:spacing w:val="-1"/>
                <w:sz w:val="22"/>
                <w:szCs w:val="22"/>
                <w:vertAlign w:val="baseline"/>
                <w:lang w:val="en-US" w:eastAsia="zh-CN"/>
              </w:rPr>
              <w:t>6</w:t>
            </w:r>
          </w:p>
        </w:tc>
      </w:tr>
      <w:tr w14:paraId="7726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65" w:type="dxa"/>
            <w:noWrap w:val="0"/>
            <w:vAlign w:val="center"/>
          </w:tcPr>
          <w:p w14:paraId="755AB087">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7</w:t>
            </w:r>
          </w:p>
        </w:tc>
        <w:tc>
          <w:tcPr>
            <w:tcW w:w="1905" w:type="dxa"/>
            <w:noWrap w:val="0"/>
            <w:vAlign w:val="center"/>
          </w:tcPr>
          <w:p w14:paraId="03D3D5D0">
            <w:pPr>
              <w:pStyle w:val="305"/>
              <w:widowControl w:val="0"/>
              <w:spacing w:before="74" w:line="219" w:lineRule="auto"/>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2"/>
                <w:sz w:val="22"/>
                <w:szCs w:val="22"/>
              </w:rPr>
              <w:t>售后服务方</w:t>
            </w:r>
            <w:r>
              <w:rPr>
                <w:rFonts w:hint="eastAsia" w:ascii="宋体" w:hAnsi="宋体" w:eastAsia="宋体" w:cs="宋体"/>
                <w:b w:val="0"/>
                <w:bCs w:val="0"/>
                <w:sz w:val="22"/>
                <w:szCs w:val="22"/>
              </w:rPr>
              <w:t>案</w:t>
            </w:r>
          </w:p>
        </w:tc>
        <w:tc>
          <w:tcPr>
            <w:tcW w:w="5795" w:type="dxa"/>
            <w:noWrap w:val="0"/>
            <w:vAlign w:val="center"/>
          </w:tcPr>
          <w:p w14:paraId="7967B739">
            <w:pPr>
              <w:widowControl w:val="0"/>
              <w:numPr>
                <w:ilvl w:val="0"/>
                <w:numId w:val="0"/>
              </w:numPr>
              <w:spacing w:before="45" w:line="240" w:lineRule="auto"/>
              <w:ind w:left="0" w:leftChars="0" w:firstLine="0" w:firstLineChars="0"/>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3"/>
                <w:sz w:val="22"/>
                <w:szCs w:val="22"/>
              </w:rPr>
              <w:t>根据投标人提供的“三包”措施的详细度和</w:t>
            </w:r>
            <w:r>
              <w:rPr>
                <w:rFonts w:hint="eastAsia" w:ascii="宋体" w:hAnsi="宋体" w:eastAsia="宋体" w:cs="宋体"/>
                <w:b w:val="0"/>
                <w:bCs w:val="0"/>
                <w:spacing w:val="-4"/>
                <w:sz w:val="22"/>
                <w:szCs w:val="22"/>
              </w:rPr>
              <w:t>售后服务方案</w:t>
            </w:r>
            <w:r>
              <w:rPr>
                <w:rFonts w:hint="eastAsia" w:ascii="宋体" w:hAnsi="宋体" w:eastAsia="宋体" w:cs="宋体"/>
                <w:b w:val="0"/>
                <w:bCs w:val="0"/>
                <w:spacing w:val="1"/>
                <w:sz w:val="22"/>
                <w:szCs w:val="22"/>
              </w:rPr>
              <w:t>的完整度。方案阐述详细、完整、合理可行的得4-</w:t>
            </w:r>
            <w:r>
              <w:rPr>
                <w:rFonts w:hint="eastAsia" w:ascii="宋体" w:hAnsi="宋体" w:eastAsia="宋体" w:cs="宋体"/>
                <w:b w:val="0"/>
                <w:bCs w:val="0"/>
                <w:spacing w:val="1"/>
                <w:sz w:val="22"/>
                <w:szCs w:val="22"/>
                <w:lang w:val="en-US" w:eastAsia="zh-CN"/>
              </w:rPr>
              <w:t>7</w:t>
            </w:r>
            <w:r>
              <w:rPr>
                <w:rFonts w:hint="eastAsia" w:ascii="宋体" w:hAnsi="宋体" w:eastAsia="宋体" w:cs="宋体"/>
                <w:b w:val="0"/>
                <w:bCs w:val="0"/>
                <w:spacing w:val="1"/>
                <w:sz w:val="22"/>
                <w:szCs w:val="22"/>
              </w:rPr>
              <w:t>分，</w:t>
            </w:r>
            <w:r>
              <w:rPr>
                <w:rFonts w:hint="eastAsia" w:ascii="宋体" w:hAnsi="宋体" w:eastAsia="宋体" w:cs="宋体"/>
                <w:b w:val="0"/>
                <w:bCs w:val="0"/>
                <w:spacing w:val="-1"/>
                <w:sz w:val="22"/>
                <w:szCs w:val="22"/>
              </w:rPr>
              <w:t>阐述较详细、较完整、较合理可行的得2-4分，阐述一般</w:t>
            </w:r>
            <w:r>
              <w:rPr>
                <w:rFonts w:hint="eastAsia" w:ascii="宋体" w:hAnsi="宋体" w:eastAsia="宋体" w:cs="宋体"/>
                <w:b w:val="0"/>
                <w:bCs w:val="0"/>
                <w:spacing w:val="18"/>
                <w:sz w:val="22"/>
                <w:szCs w:val="22"/>
              </w:rPr>
              <w:t xml:space="preserve"> </w:t>
            </w:r>
            <w:r>
              <w:rPr>
                <w:rFonts w:hint="eastAsia" w:ascii="宋体" w:hAnsi="宋体" w:eastAsia="宋体" w:cs="宋体"/>
                <w:b w:val="0"/>
                <w:bCs w:val="0"/>
                <w:sz w:val="22"/>
                <w:szCs w:val="22"/>
              </w:rPr>
              <w:t>、不合理或未提供的的得0-2分。</w:t>
            </w:r>
          </w:p>
        </w:tc>
        <w:tc>
          <w:tcPr>
            <w:tcW w:w="1240" w:type="dxa"/>
            <w:noWrap w:val="0"/>
            <w:vAlign w:val="center"/>
          </w:tcPr>
          <w:p w14:paraId="3E02A64B">
            <w:pPr>
              <w:widowControl w:val="0"/>
              <w:numPr>
                <w:ilvl w:val="0"/>
                <w:numId w:val="0"/>
              </w:numPr>
              <w:spacing w:before="45" w:line="179" w:lineRule="auto"/>
              <w:ind w:left="0" w:leftChars="0" w:firstLine="0" w:firstLineChars="0"/>
              <w:jc w:val="center"/>
              <w:rPr>
                <w:rFonts w:hint="default" w:ascii="宋体" w:hAnsi="宋体" w:eastAsia="宋体" w:cs="宋体"/>
                <w:b w:val="0"/>
                <w:bCs w:val="0"/>
                <w:color w:val="auto"/>
                <w:sz w:val="22"/>
                <w:szCs w:val="22"/>
                <w:lang w:val="en-US" w:eastAsia="zh-CN" w:bidi="ar-SA"/>
              </w:rPr>
            </w:pPr>
            <w:r>
              <w:rPr>
                <w:rFonts w:hint="eastAsia" w:ascii="宋体" w:hAnsi="宋体" w:cs="宋体"/>
                <w:b w:val="0"/>
                <w:bCs w:val="0"/>
                <w:color w:val="auto"/>
                <w:sz w:val="22"/>
                <w:szCs w:val="22"/>
                <w:lang w:val="en-US" w:eastAsia="zh-CN" w:bidi="ar-SA"/>
              </w:rPr>
              <w:t>7</w:t>
            </w:r>
          </w:p>
        </w:tc>
      </w:tr>
      <w:tr w14:paraId="286C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65" w:type="dxa"/>
            <w:noWrap w:val="0"/>
            <w:vAlign w:val="center"/>
          </w:tcPr>
          <w:p w14:paraId="4E085F47">
            <w:pPr>
              <w:widowControl w:val="0"/>
              <w:numPr>
                <w:ilvl w:val="0"/>
                <w:numId w:val="0"/>
              </w:numPr>
              <w:spacing w:before="45" w:line="179" w:lineRule="auto"/>
              <w:ind w:left="0" w:leftChars="0" w:firstLine="0" w:firstLineChars="0"/>
              <w:jc w:val="center"/>
              <w:rPr>
                <w:rFonts w:hint="default" w:ascii="宋体" w:hAnsi="宋体" w:eastAsia="宋体" w:cs="宋体"/>
                <w:b w:val="0"/>
                <w:bCs w:val="0"/>
                <w:spacing w:val="-1"/>
                <w:sz w:val="22"/>
                <w:szCs w:val="22"/>
                <w:vertAlign w:val="baseline"/>
                <w:lang w:val="en-US" w:eastAsia="zh-CN"/>
              </w:rPr>
            </w:pPr>
            <w:r>
              <w:rPr>
                <w:rFonts w:hint="eastAsia" w:ascii="宋体" w:hAnsi="宋体" w:cs="宋体"/>
                <w:b w:val="0"/>
                <w:bCs w:val="0"/>
                <w:spacing w:val="-1"/>
                <w:sz w:val="22"/>
                <w:szCs w:val="22"/>
                <w:vertAlign w:val="baseline"/>
                <w:lang w:val="en-US" w:eastAsia="zh-CN"/>
              </w:rPr>
              <w:t>8</w:t>
            </w:r>
          </w:p>
        </w:tc>
        <w:tc>
          <w:tcPr>
            <w:tcW w:w="1905" w:type="dxa"/>
            <w:noWrap w:val="0"/>
            <w:vAlign w:val="center"/>
          </w:tcPr>
          <w:p w14:paraId="6252EEB3">
            <w:pPr>
              <w:pStyle w:val="305"/>
              <w:widowControl w:val="0"/>
              <w:spacing w:before="74" w:line="219" w:lineRule="auto"/>
              <w:jc w:val="center"/>
              <w:rPr>
                <w:rFonts w:hint="eastAsia" w:ascii="宋体" w:hAnsi="宋体" w:eastAsia="宋体" w:cs="宋体"/>
                <w:b w:val="0"/>
                <w:bCs w:val="0"/>
                <w:spacing w:val="-2"/>
                <w:sz w:val="22"/>
                <w:szCs w:val="22"/>
              </w:rPr>
            </w:pPr>
            <w:r>
              <w:rPr>
                <w:rFonts w:hint="eastAsia" w:ascii="宋体" w:hAnsi="宋体" w:eastAsia="宋体" w:cs="宋体"/>
                <w:b w:val="0"/>
                <w:bCs w:val="0"/>
                <w:spacing w:val="-2"/>
                <w:sz w:val="22"/>
                <w:szCs w:val="22"/>
                <w:lang w:val="en-US" w:eastAsia="zh-CN"/>
              </w:rPr>
              <w:t>投标文件制作质量</w:t>
            </w:r>
          </w:p>
        </w:tc>
        <w:tc>
          <w:tcPr>
            <w:tcW w:w="5795" w:type="dxa"/>
            <w:noWrap w:val="0"/>
            <w:vAlign w:val="center"/>
          </w:tcPr>
          <w:p w14:paraId="3746BBAA">
            <w:pPr>
              <w:widowControl w:val="0"/>
              <w:numPr>
                <w:ilvl w:val="0"/>
                <w:numId w:val="0"/>
              </w:numPr>
              <w:spacing w:before="45" w:line="240" w:lineRule="auto"/>
              <w:ind w:left="0" w:leftChars="0" w:firstLine="0" w:firstLineChars="0"/>
              <w:jc w:val="both"/>
              <w:rPr>
                <w:rFonts w:hint="eastAsia" w:ascii="宋体" w:hAnsi="宋体" w:eastAsia="宋体" w:cs="宋体"/>
                <w:b w:val="0"/>
                <w:bCs w:val="0"/>
                <w:spacing w:val="-3"/>
                <w:sz w:val="22"/>
                <w:szCs w:val="22"/>
                <w:lang w:val="en-US" w:eastAsia="zh-CN"/>
              </w:rPr>
            </w:pPr>
            <w:r>
              <w:rPr>
                <w:rFonts w:hint="eastAsia" w:ascii="宋体" w:hAnsi="宋体" w:eastAsia="宋体" w:cs="宋体"/>
                <w:b w:val="0"/>
                <w:bCs w:val="0"/>
                <w:spacing w:val="-3"/>
                <w:sz w:val="22"/>
                <w:szCs w:val="22"/>
                <w:lang w:val="en-US" w:eastAsia="zh-CN"/>
              </w:rPr>
              <w:t>根据投标文件编制完整，内容清晰、格式规范、装订整齐、符合招标文件要求的情况横向比较，酌情计分</w:t>
            </w:r>
            <w:r>
              <w:rPr>
                <w:rFonts w:hint="eastAsia" w:ascii="宋体" w:hAnsi="宋体" w:cs="宋体"/>
                <w:b w:val="0"/>
                <w:bCs w:val="0"/>
                <w:spacing w:val="-3"/>
                <w:sz w:val="22"/>
                <w:szCs w:val="22"/>
                <w:lang w:val="en-US" w:eastAsia="zh-CN"/>
              </w:rPr>
              <w:t>（0-4分）</w:t>
            </w:r>
            <w:r>
              <w:rPr>
                <w:rFonts w:hint="eastAsia" w:ascii="宋体" w:hAnsi="宋体" w:eastAsia="宋体" w:cs="宋体"/>
                <w:b w:val="0"/>
                <w:bCs w:val="0"/>
                <w:spacing w:val="-3"/>
                <w:sz w:val="22"/>
                <w:szCs w:val="22"/>
                <w:lang w:val="en-US" w:eastAsia="zh-CN"/>
              </w:rPr>
              <w:t>。</w:t>
            </w:r>
          </w:p>
          <w:p w14:paraId="633FEBA1">
            <w:pPr>
              <w:widowControl w:val="0"/>
              <w:numPr>
                <w:ilvl w:val="0"/>
                <w:numId w:val="0"/>
              </w:numPr>
              <w:spacing w:before="45" w:line="240" w:lineRule="auto"/>
              <w:ind w:left="0" w:leftChars="0" w:firstLine="0" w:firstLineChars="0"/>
              <w:jc w:val="both"/>
              <w:rPr>
                <w:rFonts w:hint="eastAsia" w:ascii="宋体" w:hAnsi="宋体" w:cs="宋体"/>
                <w:b w:val="0"/>
                <w:bCs w:val="0"/>
                <w:spacing w:val="-3"/>
                <w:sz w:val="22"/>
                <w:szCs w:val="22"/>
                <w:lang w:val="en-US" w:eastAsia="zh-CN"/>
              </w:rPr>
            </w:pPr>
            <w:r>
              <w:rPr>
                <w:rFonts w:hint="eastAsia" w:ascii="宋体" w:hAnsi="宋体" w:cs="宋体"/>
                <w:b w:val="0"/>
                <w:bCs w:val="0"/>
                <w:spacing w:val="-3"/>
                <w:sz w:val="22"/>
                <w:szCs w:val="22"/>
                <w:lang w:val="en-US" w:eastAsia="zh-CN"/>
              </w:rPr>
              <w:t>注：如存在以下几种现象，应当适当扣分：</w:t>
            </w:r>
          </w:p>
          <w:p w14:paraId="68A30E9B">
            <w:pPr>
              <w:widowControl w:val="0"/>
              <w:numPr>
                <w:ilvl w:val="0"/>
                <w:numId w:val="0"/>
              </w:numPr>
              <w:spacing w:before="45" w:line="240" w:lineRule="auto"/>
              <w:ind w:left="0" w:leftChars="0" w:firstLine="0" w:firstLineChars="0"/>
              <w:jc w:val="both"/>
              <w:rPr>
                <w:rFonts w:hint="eastAsia" w:ascii="宋体" w:hAnsi="宋体" w:cs="宋体"/>
                <w:b w:val="0"/>
                <w:bCs w:val="0"/>
                <w:spacing w:val="-3"/>
                <w:sz w:val="22"/>
                <w:szCs w:val="22"/>
                <w:lang w:val="en-US" w:eastAsia="zh-CN"/>
              </w:rPr>
            </w:pPr>
            <w:r>
              <w:rPr>
                <w:rFonts w:hint="eastAsia" w:ascii="宋体" w:hAnsi="宋体" w:cs="宋体"/>
                <w:b w:val="0"/>
                <w:bCs w:val="0"/>
                <w:spacing w:val="-3"/>
                <w:sz w:val="22"/>
                <w:szCs w:val="22"/>
                <w:lang w:val="en-US" w:eastAsia="zh-CN"/>
              </w:rPr>
              <w:t>①方案生搬硬套，与实际情况明显不符；</w:t>
            </w:r>
          </w:p>
          <w:p w14:paraId="40B8738F">
            <w:pPr>
              <w:widowControl w:val="0"/>
              <w:numPr>
                <w:ilvl w:val="0"/>
                <w:numId w:val="0"/>
              </w:numPr>
              <w:spacing w:before="45" w:line="240" w:lineRule="auto"/>
              <w:ind w:left="0" w:leftChars="0" w:firstLine="0" w:firstLineChars="0"/>
              <w:jc w:val="both"/>
              <w:rPr>
                <w:rFonts w:hint="eastAsia" w:ascii="宋体" w:hAnsi="宋体" w:cs="宋体"/>
                <w:b w:val="0"/>
                <w:bCs w:val="0"/>
                <w:spacing w:val="-3"/>
                <w:sz w:val="22"/>
                <w:szCs w:val="22"/>
                <w:lang w:val="en-US" w:eastAsia="zh-CN"/>
              </w:rPr>
            </w:pPr>
            <w:r>
              <w:rPr>
                <w:rFonts w:hint="eastAsia" w:ascii="宋体" w:hAnsi="宋体" w:cs="宋体"/>
                <w:b w:val="0"/>
                <w:bCs w:val="0"/>
                <w:spacing w:val="-3"/>
                <w:sz w:val="22"/>
                <w:szCs w:val="22"/>
                <w:lang w:val="en-US" w:eastAsia="zh-CN"/>
              </w:rPr>
              <w:t>②或存在与项目明显无关的文字内容；</w:t>
            </w:r>
          </w:p>
          <w:p w14:paraId="44DAD77B">
            <w:pPr>
              <w:widowControl w:val="0"/>
              <w:numPr>
                <w:ilvl w:val="0"/>
                <w:numId w:val="0"/>
              </w:numPr>
              <w:spacing w:before="45" w:line="240" w:lineRule="auto"/>
              <w:ind w:left="0" w:leftChars="0" w:firstLine="0" w:firstLineChars="0"/>
              <w:jc w:val="both"/>
              <w:rPr>
                <w:rFonts w:hint="eastAsia" w:ascii="宋体" w:hAnsi="宋体" w:cs="宋体"/>
                <w:b w:val="0"/>
                <w:bCs w:val="0"/>
                <w:spacing w:val="-3"/>
                <w:sz w:val="22"/>
                <w:szCs w:val="22"/>
                <w:lang w:val="en-US" w:eastAsia="zh-CN"/>
              </w:rPr>
            </w:pPr>
            <w:r>
              <w:rPr>
                <w:rFonts w:hint="eastAsia" w:ascii="宋体" w:hAnsi="宋体" w:cs="宋体"/>
                <w:b w:val="0"/>
                <w:bCs w:val="0"/>
                <w:spacing w:val="-3"/>
                <w:sz w:val="22"/>
                <w:szCs w:val="22"/>
                <w:lang w:val="en-US" w:eastAsia="zh-CN"/>
              </w:rPr>
              <w:t>③或内容不适用项目的实际情况；</w:t>
            </w:r>
          </w:p>
          <w:p w14:paraId="3DBB947A">
            <w:pPr>
              <w:widowControl w:val="0"/>
              <w:numPr>
                <w:ilvl w:val="0"/>
                <w:numId w:val="0"/>
              </w:numPr>
              <w:spacing w:before="45" w:line="240" w:lineRule="auto"/>
              <w:ind w:left="0" w:leftChars="0" w:firstLine="0" w:firstLineChars="0"/>
              <w:jc w:val="both"/>
              <w:rPr>
                <w:rFonts w:hint="eastAsia" w:ascii="宋体" w:hAnsi="宋体" w:cs="宋体"/>
                <w:b w:val="0"/>
                <w:bCs w:val="0"/>
                <w:spacing w:val="-3"/>
                <w:sz w:val="22"/>
                <w:szCs w:val="22"/>
                <w:lang w:val="en-US" w:eastAsia="zh-CN"/>
              </w:rPr>
            </w:pPr>
            <w:r>
              <w:rPr>
                <w:rFonts w:hint="eastAsia" w:ascii="宋体" w:hAnsi="宋体" w:cs="宋体"/>
                <w:b w:val="0"/>
                <w:bCs w:val="0"/>
                <w:spacing w:val="-3"/>
                <w:sz w:val="22"/>
                <w:szCs w:val="22"/>
                <w:lang w:val="en-US" w:eastAsia="zh-CN"/>
              </w:rPr>
              <w:t>④或对采购需求理解缺位混乱；</w:t>
            </w:r>
          </w:p>
          <w:p w14:paraId="5C025AE2">
            <w:pPr>
              <w:widowControl w:val="0"/>
              <w:numPr>
                <w:ilvl w:val="0"/>
                <w:numId w:val="0"/>
              </w:numPr>
              <w:spacing w:before="45" w:line="240" w:lineRule="auto"/>
              <w:ind w:left="0" w:leftChars="0" w:firstLine="0" w:firstLineChars="0"/>
              <w:jc w:val="both"/>
              <w:rPr>
                <w:rFonts w:hint="eastAsia" w:ascii="宋体" w:hAnsi="宋体" w:cs="宋体"/>
                <w:b w:val="0"/>
                <w:bCs w:val="0"/>
                <w:spacing w:val="-3"/>
                <w:sz w:val="22"/>
                <w:szCs w:val="22"/>
                <w:lang w:val="en-US" w:eastAsia="zh-CN"/>
              </w:rPr>
            </w:pPr>
            <w:r>
              <w:rPr>
                <w:rFonts w:hint="eastAsia" w:ascii="宋体" w:hAnsi="宋体" w:cs="宋体"/>
                <w:b w:val="0"/>
                <w:bCs w:val="0"/>
                <w:spacing w:val="-3"/>
                <w:sz w:val="22"/>
                <w:szCs w:val="22"/>
                <w:lang w:val="en-US" w:eastAsia="zh-CN"/>
              </w:rPr>
              <w:t>⑤或描述的内容混乱，重点不突出；</w:t>
            </w:r>
          </w:p>
          <w:p w14:paraId="0050212F">
            <w:pPr>
              <w:widowControl w:val="0"/>
              <w:numPr>
                <w:ilvl w:val="0"/>
                <w:numId w:val="0"/>
              </w:numPr>
              <w:spacing w:before="45" w:line="240" w:lineRule="auto"/>
              <w:ind w:left="0" w:leftChars="0" w:firstLine="0" w:firstLineChars="0"/>
              <w:jc w:val="both"/>
              <w:rPr>
                <w:rFonts w:hint="eastAsia" w:ascii="宋体" w:hAnsi="宋体" w:cs="宋体"/>
                <w:b w:val="0"/>
                <w:bCs w:val="0"/>
                <w:spacing w:val="-3"/>
                <w:sz w:val="22"/>
                <w:szCs w:val="22"/>
                <w:lang w:val="en-US" w:eastAsia="zh-CN"/>
              </w:rPr>
            </w:pPr>
            <w:r>
              <w:rPr>
                <w:rFonts w:hint="eastAsia" w:ascii="宋体" w:hAnsi="宋体" w:cs="宋体"/>
                <w:b w:val="0"/>
                <w:bCs w:val="0"/>
                <w:spacing w:val="-3"/>
                <w:sz w:val="22"/>
                <w:szCs w:val="22"/>
                <w:lang w:val="en-US" w:eastAsia="zh-CN"/>
              </w:rPr>
              <w:t>⑥或内容缺失不完善，可操作性较差；</w:t>
            </w:r>
          </w:p>
          <w:p w14:paraId="4D1AA4EB">
            <w:pPr>
              <w:widowControl w:val="0"/>
              <w:numPr>
                <w:ilvl w:val="0"/>
                <w:numId w:val="0"/>
              </w:numPr>
              <w:spacing w:before="45" w:line="240" w:lineRule="auto"/>
              <w:ind w:left="0" w:leftChars="0" w:firstLine="0" w:firstLineChars="0"/>
              <w:jc w:val="both"/>
              <w:rPr>
                <w:rFonts w:hint="default" w:ascii="宋体" w:hAnsi="宋体" w:eastAsia="宋体" w:cs="宋体"/>
                <w:b w:val="0"/>
                <w:bCs w:val="0"/>
                <w:spacing w:val="-3"/>
                <w:sz w:val="22"/>
                <w:szCs w:val="22"/>
                <w:lang w:val="en-US" w:eastAsia="zh-CN"/>
              </w:rPr>
            </w:pPr>
            <w:r>
              <w:rPr>
                <w:rFonts w:hint="eastAsia" w:ascii="宋体" w:hAnsi="宋体" w:cs="宋体"/>
                <w:b w:val="0"/>
                <w:bCs w:val="0"/>
                <w:spacing w:val="-3"/>
                <w:sz w:val="22"/>
                <w:szCs w:val="22"/>
                <w:lang w:val="en-US" w:eastAsia="zh-CN"/>
              </w:rPr>
              <w:t>⑦或凭空编造，内容矛盾，前后逻辑错误。</w:t>
            </w:r>
          </w:p>
        </w:tc>
        <w:tc>
          <w:tcPr>
            <w:tcW w:w="1240" w:type="dxa"/>
            <w:noWrap w:val="0"/>
            <w:vAlign w:val="center"/>
          </w:tcPr>
          <w:p w14:paraId="79736006">
            <w:pPr>
              <w:widowControl w:val="0"/>
              <w:numPr>
                <w:ilvl w:val="0"/>
                <w:numId w:val="0"/>
              </w:numPr>
              <w:spacing w:before="45" w:line="179" w:lineRule="auto"/>
              <w:ind w:left="0" w:leftChars="0" w:firstLine="0" w:firstLineChars="0"/>
              <w:jc w:val="center"/>
              <w:rPr>
                <w:rFonts w:hint="default" w:ascii="宋体" w:hAnsi="宋体" w:cs="宋体"/>
                <w:b w:val="0"/>
                <w:bCs w:val="0"/>
                <w:color w:val="auto"/>
                <w:sz w:val="22"/>
                <w:szCs w:val="22"/>
                <w:lang w:val="en-US" w:eastAsia="zh-CN" w:bidi="ar-SA"/>
              </w:rPr>
            </w:pPr>
            <w:r>
              <w:rPr>
                <w:rFonts w:hint="eastAsia" w:ascii="宋体" w:hAnsi="宋体" w:cs="宋体"/>
                <w:b w:val="0"/>
                <w:bCs w:val="0"/>
                <w:color w:val="auto"/>
                <w:sz w:val="22"/>
                <w:szCs w:val="22"/>
                <w:lang w:val="en-US" w:eastAsia="zh-CN" w:bidi="ar-SA"/>
              </w:rPr>
              <w:t>4</w:t>
            </w:r>
          </w:p>
        </w:tc>
      </w:tr>
      <w:tr w14:paraId="6580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14:paraId="62BC85D1">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cs="宋体"/>
                <w:b w:val="0"/>
                <w:bCs w:val="0"/>
                <w:spacing w:val="-1"/>
                <w:sz w:val="22"/>
                <w:szCs w:val="22"/>
                <w:vertAlign w:val="baseline"/>
                <w:lang w:val="en-US" w:eastAsia="zh-CN"/>
              </w:rPr>
              <w:t>9</w:t>
            </w:r>
          </w:p>
        </w:tc>
        <w:tc>
          <w:tcPr>
            <w:tcW w:w="1905" w:type="dxa"/>
            <w:noWrap w:val="0"/>
            <w:vAlign w:val="center"/>
          </w:tcPr>
          <w:p w14:paraId="43EEED84">
            <w:pPr>
              <w:pStyle w:val="305"/>
              <w:widowControl w:val="0"/>
              <w:spacing w:before="75" w:line="219" w:lineRule="auto"/>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1"/>
                <w:sz w:val="22"/>
                <w:szCs w:val="22"/>
              </w:rPr>
              <w:t>样品</w:t>
            </w:r>
          </w:p>
        </w:tc>
        <w:tc>
          <w:tcPr>
            <w:tcW w:w="5795" w:type="dxa"/>
            <w:noWrap w:val="0"/>
            <w:vAlign w:val="center"/>
          </w:tcPr>
          <w:p w14:paraId="75EEDF93">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rPr>
            </w:pPr>
            <w:r>
              <w:rPr>
                <w:rFonts w:hint="eastAsia" w:ascii="宋体" w:hAnsi="宋体" w:eastAsia="宋体" w:cs="宋体"/>
                <w:b w:val="0"/>
                <w:bCs w:val="0"/>
                <w:spacing w:val="-1"/>
                <w:sz w:val="22"/>
                <w:szCs w:val="22"/>
                <w:vertAlign w:val="baseline"/>
              </w:rPr>
              <w:t>根据投标人提供的样品和小样进行综合评审：</w:t>
            </w:r>
          </w:p>
          <w:p w14:paraId="0A116E7B">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rPr>
            </w:pPr>
            <w:r>
              <w:rPr>
                <w:rFonts w:hint="eastAsia" w:ascii="宋体" w:hAnsi="宋体" w:eastAsia="宋体" w:cs="宋体"/>
                <w:b w:val="0"/>
                <w:bCs w:val="0"/>
                <w:spacing w:val="-1"/>
                <w:sz w:val="22"/>
                <w:szCs w:val="22"/>
                <w:vertAlign w:val="baseline"/>
              </w:rPr>
              <w:t>提供满足招标文件要求的样品。对产品用材等方面符合安全、卫生等情况以及制造工艺先进性、合理化、器材耐用、所有材料的抗老化、安全等方面，评审专家根据各投标文件提供数据，结合样品，综合评定：</w:t>
            </w:r>
          </w:p>
          <w:p w14:paraId="1A6AFE42">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1、产品整体外观性（0-4分）：</w:t>
            </w:r>
          </w:p>
          <w:p w14:paraId="15440EF9">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根据样品和小样的规格尺寸、材质要求、整体外观等方面进行评分：</w:t>
            </w:r>
          </w:p>
          <w:p w14:paraId="256B7131">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尺寸、材质、技术参数、外观完全符合招标要求得3-4分；</w:t>
            </w:r>
          </w:p>
          <w:p w14:paraId="398C0C75">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尺寸、材质、技术参数、外观基本符合招标要求得1-2.9分；</w:t>
            </w:r>
          </w:p>
          <w:p w14:paraId="2CD0ADBF">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尺寸、材质、技术参数、外观部分符合招标要求得0-0.9分；</w:t>
            </w:r>
          </w:p>
          <w:p w14:paraId="7DCEC9DE">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2、产品的功能性（0-4分）：</w:t>
            </w:r>
          </w:p>
          <w:p w14:paraId="53495FAF">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根据样品和小样的舒适性、安全性、使用性能等方面进行评分：</w:t>
            </w:r>
          </w:p>
          <w:p w14:paraId="4014CB88">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样品的功能性、舒适性、安全性、使用性能完全符合招标要求得3-4分；</w:t>
            </w:r>
          </w:p>
          <w:p w14:paraId="25958308">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样品的功能性、舒适性、安全性、使用性能基本符合招标要求得1-2.9分；样品的功能性、舒适性、安全性、使用性能部分符合招标要求得0-0.9分；</w:t>
            </w:r>
          </w:p>
          <w:p w14:paraId="0DEDF3BB">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3、制作工艺（0-4分）：</w:t>
            </w:r>
          </w:p>
          <w:p w14:paraId="77DD630C">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根据样品和小样表面平整度、外观质感、封边处理等生产工艺方面进行评分：</w:t>
            </w:r>
          </w:p>
          <w:p w14:paraId="68AF5987">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表面平整度、外观质感、封边处理各方面均工艺精美得3-4分；</w:t>
            </w:r>
          </w:p>
          <w:p w14:paraId="3980F6BF">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表面平整度、外观质感、封边处理各方面大部分精美得1-2.9分；</w:t>
            </w:r>
          </w:p>
          <w:p w14:paraId="5D0969DD">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表面平整度、外观质感、封边处理各方面少部分精美得0-0.9分；</w:t>
            </w:r>
          </w:p>
          <w:p w14:paraId="172E9D16">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注：</w:t>
            </w:r>
          </w:p>
          <w:p w14:paraId="2C47AA32">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1）未按要求提供样品和小样或提供样品和小样不全的，样品栏整体不得分。</w:t>
            </w:r>
          </w:p>
          <w:p w14:paraId="632ABBF2">
            <w:pPr>
              <w:widowControl w:val="0"/>
              <w:numPr>
                <w:ilvl w:val="0"/>
                <w:numId w:val="0"/>
              </w:numPr>
              <w:spacing w:before="45" w:line="240" w:lineRule="auto"/>
              <w:jc w:val="both"/>
              <w:rPr>
                <w:rFonts w:hint="eastAsia" w:ascii="宋体" w:hAnsi="宋体" w:eastAsia="宋体" w:cs="宋体"/>
                <w:b w:val="0"/>
                <w:bCs w:val="0"/>
                <w:spacing w:val="-1"/>
                <w:sz w:val="22"/>
                <w:szCs w:val="22"/>
                <w:vertAlign w:val="baseline"/>
                <w:lang w:val="en-US" w:eastAsia="zh-CN"/>
              </w:rPr>
            </w:pPr>
            <w:r>
              <w:rPr>
                <w:rFonts w:hint="eastAsia" w:ascii="宋体" w:hAnsi="宋体" w:eastAsia="宋体" w:cs="宋体"/>
                <w:b w:val="0"/>
                <w:bCs w:val="0"/>
                <w:spacing w:val="-1"/>
                <w:sz w:val="22"/>
                <w:szCs w:val="22"/>
                <w:vertAlign w:val="baseline"/>
                <w:lang w:val="en-US" w:eastAsia="zh-CN"/>
              </w:rPr>
              <w:t>2）所有样品禁止使用快速成型、不能形成批量生产的方法制作部件（如3D打印），否则样品栏整体不得分。</w:t>
            </w:r>
          </w:p>
          <w:p w14:paraId="4CEBA554">
            <w:pPr>
              <w:widowControl w:val="0"/>
              <w:numPr>
                <w:ilvl w:val="0"/>
                <w:numId w:val="0"/>
              </w:numPr>
              <w:spacing w:before="45" w:line="240" w:lineRule="auto"/>
              <w:ind w:left="0" w:leftChars="0" w:firstLine="0" w:firstLineChars="0"/>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3）供应商提供的样品必须是本厂家生产线的产品，如发现提供的样品非本厂家生产，样品栏整体不得分。</w:t>
            </w:r>
          </w:p>
        </w:tc>
        <w:tc>
          <w:tcPr>
            <w:tcW w:w="1240" w:type="dxa"/>
            <w:noWrap w:val="0"/>
            <w:vAlign w:val="center"/>
          </w:tcPr>
          <w:p w14:paraId="62E11DB4">
            <w:pPr>
              <w:widowControl w:val="0"/>
              <w:numPr>
                <w:ilvl w:val="0"/>
                <w:numId w:val="0"/>
              </w:numPr>
              <w:spacing w:before="45" w:line="179" w:lineRule="auto"/>
              <w:ind w:left="0" w:leftChars="0" w:firstLine="0" w:firstLineChars="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spacing w:val="-1"/>
                <w:sz w:val="22"/>
                <w:szCs w:val="22"/>
                <w:vertAlign w:val="baseline"/>
                <w:lang w:val="en-US" w:eastAsia="zh-CN"/>
              </w:rPr>
              <w:t>12</w:t>
            </w:r>
          </w:p>
        </w:tc>
      </w:tr>
    </w:tbl>
    <w:p w14:paraId="071284EB">
      <w:pPr>
        <w:spacing w:line="360" w:lineRule="auto"/>
        <w:rPr>
          <w:rFonts w:hint="eastAsia"/>
        </w:rPr>
      </w:pPr>
      <w:r>
        <w:rPr>
          <w:rFonts w:hint="eastAsia" w:ascii="宋体" w:hAnsi="宋体" w:cs="宋体"/>
          <w:b/>
          <w:bCs/>
          <w:sz w:val="22"/>
          <w:szCs w:val="22"/>
        </w:rPr>
        <w:t>注：以上所需提供的复印证明材料均需加盖投标供应商公章，否则不予认可。</w:t>
      </w:r>
    </w:p>
    <w:p w14:paraId="7BFA05DC">
      <w:pPr>
        <w:spacing w:line="360" w:lineRule="auto"/>
        <w:rPr>
          <w:rFonts w:ascii="宋体" w:hAnsi="宋体" w:cs="宋体"/>
          <w:sz w:val="22"/>
          <w:szCs w:val="22"/>
        </w:rPr>
      </w:pPr>
      <w:r>
        <w:rPr>
          <w:rFonts w:hint="eastAsia" w:ascii="宋体" w:hAnsi="宋体" w:cs="宋体"/>
          <w:sz w:val="22"/>
          <w:szCs w:val="22"/>
        </w:rPr>
        <w:t>2.  商务评分（</w:t>
      </w:r>
      <w:r>
        <w:rPr>
          <w:rFonts w:hint="eastAsia" w:ascii="宋体" w:hAnsi="宋体" w:cs="宋体"/>
          <w:sz w:val="22"/>
          <w:szCs w:val="22"/>
          <w:lang w:val="en-US" w:eastAsia="zh-CN"/>
        </w:rPr>
        <w:t>3</w:t>
      </w:r>
      <w:r>
        <w:rPr>
          <w:rFonts w:hint="eastAsia" w:ascii="宋体" w:hAnsi="宋体" w:cs="宋体"/>
          <w:sz w:val="22"/>
          <w:szCs w:val="22"/>
        </w:rPr>
        <w:t>0分）：</w:t>
      </w:r>
    </w:p>
    <w:p w14:paraId="366DEBA5">
      <w:pPr>
        <w:spacing w:line="360" w:lineRule="auto"/>
        <w:ind w:firstLine="440" w:firstLineChars="200"/>
        <w:rPr>
          <w:rFonts w:ascii="宋体" w:hAnsi="宋体" w:cs="宋体"/>
          <w:sz w:val="22"/>
          <w:szCs w:val="22"/>
        </w:rPr>
      </w:pPr>
      <w:r>
        <w:rPr>
          <w:rFonts w:hint="eastAsia" w:ascii="宋体" w:hAnsi="宋体" w:cs="宋体"/>
          <w:sz w:val="22"/>
          <w:szCs w:val="22"/>
        </w:rPr>
        <w:t>满足采购文件要求且投标报价最低的投标价为评标基准价，其余投标供应商投标价与该基准价对比，计算出商务报价评分值（小数点后按四舍五入保留2位）：</w:t>
      </w:r>
    </w:p>
    <w:p w14:paraId="44252058">
      <w:pPr>
        <w:spacing w:line="360" w:lineRule="auto"/>
        <w:ind w:firstLine="440" w:firstLineChars="200"/>
        <w:rPr>
          <w:rFonts w:ascii="宋体" w:hAnsi="宋体" w:cs="宋体"/>
          <w:sz w:val="22"/>
          <w:szCs w:val="22"/>
        </w:rPr>
      </w:pPr>
      <w:r>
        <w:rPr>
          <w:rFonts w:hint="eastAsia" w:ascii="宋体" w:hAnsi="宋体" w:cs="宋体"/>
          <w:sz w:val="22"/>
          <w:szCs w:val="22"/>
        </w:rPr>
        <w:t>1） 有效投标供应商的投标价等于评标基准价时其报价分为满分；</w:t>
      </w:r>
    </w:p>
    <w:p w14:paraId="5D1DD977">
      <w:pPr>
        <w:spacing w:line="360" w:lineRule="auto"/>
        <w:ind w:firstLine="440" w:firstLineChars="200"/>
        <w:rPr>
          <w:rFonts w:ascii="宋体" w:hAnsi="宋体" w:cs="宋体"/>
          <w:sz w:val="22"/>
          <w:szCs w:val="22"/>
        </w:rPr>
      </w:pPr>
      <w:r>
        <w:rPr>
          <w:rFonts w:hint="eastAsia" w:ascii="宋体" w:hAnsi="宋体" w:cs="宋体"/>
          <w:sz w:val="22"/>
          <w:szCs w:val="22"/>
        </w:rPr>
        <w:t>2） 其他投标供应商的价格分按以下公式计算：</w:t>
      </w:r>
    </w:p>
    <w:p w14:paraId="314C17B7">
      <w:pPr>
        <w:spacing w:line="360" w:lineRule="auto"/>
        <w:ind w:firstLine="440" w:firstLineChars="200"/>
        <w:rPr>
          <w:rFonts w:ascii="宋体" w:hAnsi="宋体" w:cs="宋体"/>
          <w:sz w:val="22"/>
          <w:szCs w:val="22"/>
          <w:u w:val="single"/>
        </w:rPr>
      </w:pPr>
      <w:r>
        <w:rPr>
          <w:rFonts w:hint="eastAsia" w:ascii="宋体" w:hAnsi="宋体" w:cs="宋体"/>
          <w:sz w:val="22"/>
          <w:szCs w:val="22"/>
          <w:u w:val="single"/>
        </w:rPr>
        <w:t>投标报价得分=（评标基准价/投标供应商投标价）× 价格权值（</w:t>
      </w:r>
      <w:r>
        <w:rPr>
          <w:rFonts w:hint="eastAsia" w:ascii="宋体" w:hAnsi="宋体" w:cs="宋体"/>
          <w:sz w:val="22"/>
          <w:szCs w:val="22"/>
          <w:u w:val="single"/>
          <w:lang w:val="en-US" w:eastAsia="zh-CN"/>
        </w:rPr>
        <w:t>3</w:t>
      </w:r>
      <w:r>
        <w:rPr>
          <w:rFonts w:hint="eastAsia" w:ascii="宋体" w:hAnsi="宋体" w:cs="宋体"/>
          <w:sz w:val="22"/>
          <w:szCs w:val="22"/>
          <w:u w:val="single"/>
        </w:rPr>
        <w:t>0%）×100</w:t>
      </w:r>
    </w:p>
    <w:p w14:paraId="4713CED7">
      <w:pPr>
        <w:numPr>
          <w:ilvl w:val="0"/>
          <w:numId w:val="21"/>
        </w:numPr>
        <w:spacing w:line="360" w:lineRule="auto"/>
        <w:ind w:firstLine="442" w:firstLineChars="200"/>
        <w:rPr>
          <w:rFonts w:ascii="宋体" w:hAnsi="宋体" w:cs="宋体"/>
          <w:b/>
          <w:bCs/>
          <w:sz w:val="22"/>
          <w:szCs w:val="22"/>
          <w:u w:val="single"/>
        </w:rPr>
      </w:pPr>
      <w:r>
        <w:rPr>
          <w:rFonts w:hint="eastAsia" w:ascii="宋体" w:hAnsi="宋体" w:cs="宋体"/>
          <w:b/>
          <w:bCs/>
          <w:sz w:val="22"/>
          <w:szCs w:val="22"/>
          <w:u w:val="single"/>
        </w:rPr>
        <w:t>▲本次采购如果供应商的投标报价均超出最高限价且采购人确认不能支付的情况，本次招标做流（废）标处理。如果仅仅某个（些）供应商的最终商务报价超出最高限价的，则该供应商为无效投标处理。</w:t>
      </w:r>
    </w:p>
    <w:p w14:paraId="4E12A5C7">
      <w:pPr>
        <w:spacing w:line="360" w:lineRule="auto"/>
        <w:rPr>
          <w:rFonts w:ascii="宋体" w:hAnsi="宋体" w:cs="宋体"/>
          <w:sz w:val="22"/>
          <w:szCs w:val="22"/>
        </w:rPr>
      </w:pPr>
      <w:r>
        <w:rPr>
          <w:rFonts w:hint="eastAsia" w:ascii="宋体" w:hAnsi="宋体" w:cs="宋体"/>
          <w:sz w:val="22"/>
          <w:szCs w:val="22"/>
        </w:rPr>
        <w:t>3. 有效投标供应商的综合得分为技术资信分和商务（报价）分的总和。</w:t>
      </w:r>
    </w:p>
    <w:p w14:paraId="567E50B9">
      <w:pPr>
        <w:spacing w:line="360" w:lineRule="auto"/>
        <w:rPr>
          <w:rFonts w:ascii="宋体" w:hAnsi="宋体" w:cs="宋体"/>
          <w:sz w:val="22"/>
          <w:szCs w:val="22"/>
        </w:rPr>
      </w:pPr>
      <w:r>
        <w:rPr>
          <w:rFonts w:hint="eastAsia" w:ascii="宋体" w:hAnsi="宋体" w:cs="宋体"/>
          <w:sz w:val="22"/>
          <w:szCs w:val="22"/>
        </w:rPr>
        <w:t>4. 评标委员会按综合得分高低顺序排列，综合得分前两名投标供应商依次作为第一中标候选人和第二中标候选人向采购人推荐，并提交评标报告。综合得分相同的，按投标报价由低到高顺序排列，综合得分且投标报价相同的，由采购人抽签确定名次优先者。</w:t>
      </w:r>
    </w:p>
    <w:p w14:paraId="324D5931">
      <w:pPr>
        <w:spacing w:line="360" w:lineRule="auto"/>
        <w:ind w:left="220" w:hanging="220" w:hangingChars="100"/>
        <w:outlineLvl w:val="0"/>
        <w:rPr>
          <w:rFonts w:ascii="宋体" w:hAnsi="宋体" w:cs="宋体"/>
          <w:sz w:val="22"/>
          <w:szCs w:val="22"/>
        </w:rPr>
      </w:pPr>
      <w:bookmarkStart w:id="135" w:name="_Toc27197"/>
      <w:r>
        <w:rPr>
          <w:rFonts w:hint="eastAsia" w:ascii="宋体" w:hAnsi="宋体" w:cs="宋体"/>
          <w:sz w:val="22"/>
          <w:szCs w:val="22"/>
        </w:rPr>
        <w:t>六. 定标办法</w:t>
      </w:r>
      <w:bookmarkEnd w:id="135"/>
    </w:p>
    <w:p w14:paraId="50E3D8DC">
      <w:pPr>
        <w:spacing w:line="360" w:lineRule="auto"/>
        <w:ind w:firstLine="440" w:firstLineChars="200"/>
        <w:rPr>
          <w:rFonts w:ascii="宋体" w:hAnsi="宋体" w:cs="宋体"/>
          <w:sz w:val="22"/>
          <w:szCs w:val="22"/>
        </w:rPr>
      </w:pPr>
      <w:r>
        <w:rPr>
          <w:rFonts w:hint="eastAsia" w:ascii="宋体" w:hAnsi="宋体" w:cs="宋体"/>
          <w:sz w:val="22"/>
          <w:szCs w:val="22"/>
        </w:rPr>
        <w:t>本次招标由评标委员会推荐中标候选人，采购人根据评标委员会的推荐结果进行最终确认。排名第一的中标候选人因自身原因放弃中标或因不可抗力不能履行合同的；或采购文件规定应当提交履约保证金而在规定的期限内未能提交的；或未能在规定时间内与采购人签订合同的；或经质疑，采购组织机构审查确认因排名第一的候选供应商在本次采购活动中存在违法违规行为或其他原因使质疑成立的，采购人可以直接确定排名第二的候选供应商为中标供应商或重新招标。</w:t>
      </w:r>
    </w:p>
    <w:p w14:paraId="3D436BB1">
      <w:pPr>
        <w:spacing w:line="360" w:lineRule="auto"/>
        <w:ind w:left="440" w:hanging="440" w:hangingChars="200"/>
        <w:outlineLvl w:val="0"/>
        <w:rPr>
          <w:rFonts w:ascii="宋体" w:hAnsi="宋体" w:cs="宋体"/>
          <w:sz w:val="22"/>
          <w:szCs w:val="22"/>
        </w:rPr>
      </w:pPr>
      <w:bookmarkStart w:id="136" w:name="_Toc9250"/>
      <w:r>
        <w:rPr>
          <w:rFonts w:hint="eastAsia" w:ascii="宋体" w:hAnsi="宋体" w:cs="宋体"/>
          <w:sz w:val="22"/>
          <w:szCs w:val="22"/>
        </w:rPr>
        <w:t>七. 确定中标供应商</w:t>
      </w:r>
      <w:bookmarkEnd w:id="136"/>
    </w:p>
    <w:p w14:paraId="5DD66518">
      <w:pPr>
        <w:spacing w:line="360" w:lineRule="auto"/>
        <w:ind w:firstLine="440" w:firstLineChars="200"/>
        <w:outlineLvl w:val="0"/>
        <w:rPr>
          <w:rFonts w:ascii="宋体" w:hAnsi="宋体" w:cs="宋体"/>
          <w:sz w:val="22"/>
          <w:szCs w:val="22"/>
        </w:rPr>
      </w:pPr>
      <w:bookmarkStart w:id="137" w:name="_Toc12373"/>
      <w:r>
        <w:rPr>
          <w:rFonts w:hint="eastAsia" w:ascii="宋体" w:hAnsi="宋体" w:cs="宋体"/>
          <w:sz w:val="22"/>
          <w:szCs w:val="22"/>
        </w:rPr>
        <w:t>中标供应商经采购人确认后，中标结果在温州国企采购平台和浙江政府采购网上公示中标结果。中标公告期为1个工作日，在公告中标结果的同时，采购人向中标供应商发出中标通知书，</w:t>
      </w:r>
      <w:r>
        <w:rPr>
          <w:rFonts w:hint="eastAsia" w:ascii="宋体" w:hAnsi="宋体"/>
          <w:sz w:val="22"/>
          <w:szCs w:val="22"/>
        </w:rPr>
        <w:t>中标（成交）通知书对采购人和中标供应商具有同等法律效力。</w:t>
      </w:r>
      <w:bookmarkEnd w:id="137"/>
    </w:p>
    <w:p w14:paraId="11AE06E2">
      <w:pPr>
        <w:spacing w:line="360" w:lineRule="auto"/>
        <w:outlineLvl w:val="0"/>
        <w:rPr>
          <w:rFonts w:ascii="宋体" w:hAnsi="宋体" w:cs="宋体"/>
          <w:sz w:val="22"/>
          <w:szCs w:val="22"/>
        </w:rPr>
      </w:pPr>
      <w:bookmarkStart w:id="138" w:name="_Toc12100"/>
      <w:r>
        <w:rPr>
          <w:rFonts w:hint="eastAsia" w:ascii="宋体" w:hAnsi="宋体" w:cs="宋体"/>
          <w:sz w:val="22"/>
          <w:szCs w:val="22"/>
        </w:rPr>
        <w:t>八. 投标供应商义务</w:t>
      </w:r>
      <w:bookmarkEnd w:id="138"/>
    </w:p>
    <w:p w14:paraId="0AC6691A">
      <w:pPr>
        <w:spacing w:line="360" w:lineRule="auto"/>
        <w:ind w:firstLine="440" w:firstLineChars="200"/>
        <w:rPr>
          <w:rFonts w:hint="eastAsia" w:ascii="宋体" w:hAnsi="宋体" w:cs="宋体"/>
          <w:sz w:val="22"/>
          <w:szCs w:val="22"/>
        </w:rPr>
      </w:pPr>
      <w:r>
        <w:rPr>
          <w:rFonts w:hint="eastAsia" w:ascii="宋体" w:hAnsi="宋体" w:cs="宋体"/>
          <w:sz w:val="22"/>
          <w:szCs w:val="22"/>
        </w:rPr>
        <w:t>投标供应商应随时接受评标委员会的询标，解答包括有关的商务、技术问题等。评标结束，所有评标资料存招标机构备查。</w:t>
      </w:r>
    </w:p>
    <w:p w14:paraId="0812D2D0">
      <w:pPr>
        <w:pStyle w:val="22"/>
        <w:numPr>
          <w:ilvl w:val="0"/>
          <w:numId w:val="22"/>
        </w:numPr>
        <w:spacing w:line="360" w:lineRule="auto"/>
        <w:ind w:left="0" w:leftChars="0" w:right="1470"/>
        <w:rPr>
          <w:b/>
          <w:bCs/>
        </w:rPr>
      </w:pPr>
      <w:r>
        <w:rPr>
          <w:rFonts w:hint="eastAsia"/>
          <w:b/>
          <w:bCs/>
        </w:rPr>
        <w:t>其他</w:t>
      </w:r>
    </w:p>
    <w:p w14:paraId="18BB8D1F">
      <w:pPr>
        <w:spacing w:line="360" w:lineRule="auto"/>
        <w:ind w:firstLine="440" w:firstLineChars="200"/>
        <w:rPr>
          <w:rFonts w:hint="eastAsia" w:ascii="宋体" w:hAnsi="宋体"/>
          <w:sz w:val="22"/>
          <w:szCs w:val="22"/>
        </w:rPr>
      </w:pPr>
      <w:r>
        <w:rPr>
          <w:rFonts w:ascii="宋体" w:hAnsi="宋体"/>
          <w:sz w:val="22"/>
          <w:szCs w:val="22"/>
        </w:rPr>
        <w:t>本项目</w:t>
      </w:r>
      <w:r>
        <w:rPr>
          <w:rFonts w:hint="eastAsia" w:ascii="宋体" w:hAnsi="宋体"/>
          <w:sz w:val="22"/>
          <w:szCs w:val="22"/>
        </w:rPr>
        <w:t>采购响应（指投标或谈判、报价）截止时间止及评审期间，出现有效供应商只有两家的情形，且采购文件事先已在指定媒体公开征求了供应商意见且无重大异议，或经专家论证且出具了“供应商资格条件和项目技术指标等没有歧视性和倾向性”意见的，同时采购信息已在指定媒体上公告，采购文件的发售和截止时间符合《温州市市属国有企业采购管理办法》温国资委〔2024〕51号的规定，由实质性响应的供应商和采购人认可后，可以按原采购方式继续进行采购活动，但采购项目第一次评审活动除外。</w:t>
      </w:r>
    </w:p>
    <w:p w14:paraId="370B927E">
      <w:pPr>
        <w:snapToGrid w:val="0"/>
        <w:spacing w:line="440" w:lineRule="exact"/>
        <w:ind w:firstLine="480" w:firstLineChars="200"/>
        <w:rPr>
          <w:rStyle w:val="138"/>
          <w:rFonts w:hint="eastAsia" w:ascii="仿宋" w:hAnsi="仿宋" w:eastAsia="宋体" w:cs="Times New Roman"/>
          <w:color w:val="000000"/>
          <w:sz w:val="24"/>
        </w:rPr>
      </w:pPr>
    </w:p>
    <w:p w14:paraId="30F2D17F">
      <w:pPr>
        <w:snapToGrid w:val="0"/>
        <w:spacing w:line="440" w:lineRule="exact"/>
        <w:ind w:firstLine="420" w:firstLineChars="200"/>
        <w:rPr>
          <w:rFonts w:hint="eastAsia"/>
          <w:color w:val="000000"/>
        </w:rPr>
      </w:pPr>
    </w:p>
    <w:sectPr>
      <w:pgSz w:w="11906" w:h="16838"/>
      <w:pgMar w:top="1440" w:right="1080" w:bottom="1440" w:left="1080" w:header="680"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综艺简体">
    <w:altName w:val="宋体"/>
    <w:panose1 w:val="02010601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monospace">
    <w:altName w:val="宋体"/>
    <w:panose1 w:val="00000000000000000000"/>
    <w:charset w:val="00"/>
    <w:family w:val="auto"/>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Univers 45 Ligh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Univers 55">
    <w:altName w:val="Univers"/>
    <w:panose1 w:val="02010603020202030204"/>
    <w:charset w:val="00"/>
    <w:family w:val="swiss"/>
    <w:pitch w:val="default"/>
    <w:sig w:usb0="00000000" w:usb1="00000000" w:usb2="00000000" w:usb3="00000000" w:csb0="00040001" w:csb1="00000000"/>
  </w:font>
  <w:font w:name="Univers">
    <w:panose1 w:val="020B0603020202030204"/>
    <w:charset w:val="00"/>
    <w:family w:val="auto"/>
    <w:pitch w:val="default"/>
    <w:sig w:usb0="00000007"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03F1">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30A53A">
                          <w:pPr>
                            <w:pStyle w:val="3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zN8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ihx3OLAL9+/XX78uvz8SpbV&#10;y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zN8oBAACcAwAADgAAAAAAAAABACAAAAAeAQAAZHJzL2Uyb0Rv&#10;Yy54bWxQSwUGAAAAAAYABgBZAQAAWgUAAAAA&#10;">
              <v:fill on="f" focussize="0,0"/>
              <v:stroke on="f"/>
              <v:imagedata o:title=""/>
              <o:lock v:ext="edit" aspectratio="f"/>
              <v:textbox inset="0mm,0mm,0mm,0mm" style="mso-fit-shape-to-text:t;">
                <w:txbxContent>
                  <w:p w14:paraId="6D30A53A">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357B">
    <w:pPr>
      <w:pStyle w:val="34"/>
      <w:pBdr>
        <w:bottom w:val="none" w:color="auto" w:sz="0" w:space="1"/>
      </w:pBdr>
      <w:ind w:right="-82" w:rightChars="-39"/>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30FE">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05997"/>
    <w:multiLevelType w:val="singleLevel"/>
    <w:tmpl w:val="93D05997"/>
    <w:lvl w:ilvl="0" w:tentative="0">
      <w:start w:val="1"/>
      <w:numFmt w:val="decimal"/>
      <w:suff w:val="space"/>
      <w:lvlText w:val="（%1）"/>
      <w:lvlJc w:val="left"/>
      <w:rPr>
        <w:rFonts w:hint="default"/>
        <w:b w:val="0"/>
        <w:bCs w:val="0"/>
      </w:rPr>
    </w:lvl>
  </w:abstractNum>
  <w:abstractNum w:abstractNumId="1">
    <w:nsid w:val="AA4B890C"/>
    <w:multiLevelType w:val="singleLevel"/>
    <w:tmpl w:val="AA4B890C"/>
    <w:lvl w:ilvl="0" w:tentative="0">
      <w:start w:val="1"/>
      <w:numFmt w:val="bullet"/>
      <w:lvlText w:val=""/>
      <w:lvlJc w:val="left"/>
      <w:pPr>
        <w:ind w:left="420" w:hanging="420"/>
      </w:pPr>
      <w:rPr>
        <w:rFonts w:hint="default" w:ascii="Wingdings" w:hAnsi="Wingdings"/>
      </w:rPr>
    </w:lvl>
  </w:abstractNum>
  <w:abstractNum w:abstractNumId="2">
    <w:nsid w:val="D1672CC7"/>
    <w:multiLevelType w:val="singleLevel"/>
    <w:tmpl w:val="D1672CC7"/>
    <w:lvl w:ilvl="0" w:tentative="0">
      <w:start w:val="1"/>
      <w:numFmt w:val="decimal"/>
      <w:suff w:val="space"/>
      <w:lvlText w:val="（%1）"/>
      <w:lvlJc w:val="left"/>
    </w:lvl>
  </w:abstractNum>
  <w:abstractNum w:abstractNumId="3">
    <w:nsid w:val="F50D2E6B"/>
    <w:multiLevelType w:val="singleLevel"/>
    <w:tmpl w:val="F50D2E6B"/>
    <w:lvl w:ilvl="0" w:tentative="0">
      <w:start w:val="1"/>
      <w:numFmt w:val="decimal"/>
      <w:lvlText w:val="(%1)"/>
      <w:lvlJc w:val="left"/>
      <w:pPr>
        <w:ind w:left="425" w:hanging="425"/>
      </w:pPr>
      <w:rPr>
        <w:rFonts w:hint="default" w:ascii="宋体" w:hAnsi="宋体" w:eastAsia="宋体" w:cs="宋体"/>
        <w:b w:val="0"/>
        <w:bCs w:val="0"/>
      </w:rPr>
    </w:lvl>
  </w:abstractNum>
  <w:abstractNum w:abstractNumId="4">
    <w:nsid w:val="F61D95EE"/>
    <w:multiLevelType w:val="singleLevel"/>
    <w:tmpl w:val="F61D95EE"/>
    <w:lvl w:ilvl="0" w:tentative="0">
      <w:start w:val="1"/>
      <w:numFmt w:val="decimal"/>
      <w:suff w:val="space"/>
      <w:lvlText w:val="%1."/>
      <w:lvlJc w:val="left"/>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default" w:ascii="宋体" w:hAnsi="宋体" w:eastAsia="宋体"/>
        <w:b/>
        <w:i w:val="0"/>
        <w:sz w:val="21"/>
        <w:szCs w:val="21"/>
      </w:rPr>
    </w:lvl>
    <w:lvl w:ilvl="1" w:tentative="0">
      <w:start w:val="1"/>
      <w:numFmt w:val="decimal"/>
      <w:lvlText w:val="%1.%2"/>
      <w:lvlJc w:val="left"/>
      <w:pPr>
        <w:tabs>
          <w:tab w:val="left" w:pos="992"/>
        </w:tabs>
        <w:ind w:left="992" w:hanging="567"/>
      </w:pPr>
      <w:rPr>
        <w:rFonts w:hint="default"/>
        <w:b w:val="0"/>
        <w:i w:val="0"/>
        <w:sz w:val="21"/>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3"/>
    <w:multiLevelType w:val="multilevel"/>
    <w:tmpl w:val="00000013"/>
    <w:lvl w:ilvl="0" w:tentative="0">
      <w:start w:val="1"/>
      <w:numFmt w:val="decimal"/>
      <w:lvlText w:val="%1."/>
      <w:lvlJc w:val="left"/>
      <w:pPr>
        <w:tabs>
          <w:tab w:val="left" w:pos="687"/>
        </w:tabs>
        <w:ind w:left="687" w:hanging="567"/>
      </w:pPr>
      <w:rPr>
        <w:rFonts w:hint="default" w:ascii="Arial" w:hAnsi="Arial" w:eastAsia="宋体"/>
        <w:b/>
        <w:i w:val="0"/>
        <w:sz w:val="24"/>
      </w:rPr>
    </w:lvl>
    <w:lvl w:ilvl="1" w:tentative="0">
      <w:start w:val="1"/>
      <w:numFmt w:val="decimal"/>
      <w:lvlText w:val="%1.%2"/>
      <w:lvlJc w:val="left"/>
      <w:pPr>
        <w:tabs>
          <w:tab w:val="left" w:pos="1003"/>
        </w:tabs>
        <w:ind w:left="1003" w:hanging="567"/>
      </w:pPr>
      <w:rPr>
        <w:rFonts w:hint="default" w:ascii="Arial" w:hAnsi="Arial" w:eastAsia="宋体"/>
        <w:b w:val="0"/>
        <w:i w:val="0"/>
        <w:color w:val="auto"/>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00000015"/>
    <w:multiLevelType w:val="multilevel"/>
    <w:tmpl w:val="00000015"/>
    <w:lvl w:ilvl="0" w:tentative="0">
      <w:start w:val="1"/>
      <w:numFmt w:val="japaneseCounting"/>
      <w:lvlText w:val="%1、"/>
      <w:lvlJc w:val="left"/>
      <w:pPr>
        <w:tabs>
          <w:tab w:val="left" w:pos="1980"/>
        </w:tabs>
        <w:ind w:left="1980" w:hanging="840"/>
      </w:pPr>
      <w:rPr>
        <w:rFonts w:hint="eastAsia"/>
      </w:rPr>
    </w:lvl>
    <w:lvl w:ilvl="1" w:tentative="0">
      <w:start w:val="1"/>
      <w:numFmt w:val="lowerLetter"/>
      <w:pStyle w:val="291"/>
      <w:lvlText w:val="%2)"/>
      <w:lvlJc w:val="left"/>
      <w:pPr>
        <w:tabs>
          <w:tab w:val="left" w:pos="1980"/>
        </w:tabs>
        <w:ind w:left="1980" w:hanging="420"/>
      </w:pPr>
    </w:lvl>
    <w:lvl w:ilvl="2" w:tentative="0">
      <w:start w:val="1"/>
      <w:numFmt w:val="lowerRoman"/>
      <w:pStyle w:val="286"/>
      <w:lvlText w:val="%3."/>
      <w:lvlJc w:val="right"/>
      <w:pPr>
        <w:tabs>
          <w:tab w:val="left" w:pos="2400"/>
        </w:tabs>
        <w:ind w:left="2400" w:hanging="420"/>
      </w:pPr>
    </w:lvl>
    <w:lvl w:ilvl="3" w:tentative="0">
      <w:start w:val="1"/>
      <w:numFmt w:val="decimal"/>
      <w:lvlText w:val="%4."/>
      <w:lvlJc w:val="left"/>
      <w:pPr>
        <w:tabs>
          <w:tab w:val="left" w:pos="2820"/>
        </w:tabs>
        <w:ind w:left="2820" w:hanging="420"/>
      </w:pPr>
    </w:lvl>
    <w:lvl w:ilvl="4" w:tentative="0">
      <w:start w:val="1"/>
      <w:numFmt w:val="lowerLetter"/>
      <w:lvlText w:val="%5)"/>
      <w:lvlJc w:val="left"/>
      <w:pPr>
        <w:tabs>
          <w:tab w:val="left" w:pos="3240"/>
        </w:tabs>
        <w:ind w:left="3240" w:hanging="420"/>
      </w:pPr>
    </w:lvl>
    <w:lvl w:ilvl="5" w:tentative="0">
      <w:start w:val="1"/>
      <w:numFmt w:val="lowerRoman"/>
      <w:lvlText w:val="%6."/>
      <w:lvlJc w:val="right"/>
      <w:pPr>
        <w:tabs>
          <w:tab w:val="left" w:pos="3660"/>
        </w:tabs>
        <w:ind w:left="3660" w:hanging="420"/>
      </w:pPr>
    </w:lvl>
    <w:lvl w:ilvl="6" w:tentative="0">
      <w:start w:val="1"/>
      <w:numFmt w:val="decimal"/>
      <w:lvlText w:val="%7."/>
      <w:lvlJc w:val="left"/>
      <w:pPr>
        <w:tabs>
          <w:tab w:val="left" w:pos="4080"/>
        </w:tabs>
        <w:ind w:left="4080" w:hanging="420"/>
      </w:pPr>
    </w:lvl>
    <w:lvl w:ilvl="7" w:tentative="0">
      <w:start w:val="1"/>
      <w:numFmt w:val="lowerLetter"/>
      <w:lvlText w:val="%8)"/>
      <w:lvlJc w:val="left"/>
      <w:pPr>
        <w:tabs>
          <w:tab w:val="left" w:pos="4500"/>
        </w:tabs>
        <w:ind w:left="4500" w:hanging="420"/>
      </w:pPr>
    </w:lvl>
    <w:lvl w:ilvl="8" w:tentative="0">
      <w:start w:val="1"/>
      <w:numFmt w:val="lowerRoman"/>
      <w:lvlText w:val="%9."/>
      <w:lvlJc w:val="right"/>
      <w:pPr>
        <w:tabs>
          <w:tab w:val="left" w:pos="4920"/>
        </w:tabs>
        <w:ind w:left="4920" w:hanging="420"/>
      </w:pPr>
    </w:lvl>
  </w:abstractNum>
  <w:abstractNum w:abstractNumId="8">
    <w:nsid w:val="002881A9"/>
    <w:multiLevelType w:val="singleLevel"/>
    <w:tmpl w:val="002881A9"/>
    <w:lvl w:ilvl="0" w:tentative="0">
      <w:start w:val="9"/>
      <w:numFmt w:val="chineseCounting"/>
      <w:suff w:val="space"/>
      <w:lvlText w:val="%1．"/>
      <w:lvlJc w:val="left"/>
      <w:rPr>
        <w:rFonts w:hint="eastAsia"/>
      </w:rPr>
    </w:lvl>
  </w:abstractNum>
  <w:abstractNum w:abstractNumId="9">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10">
    <w:nsid w:val="1DB84022"/>
    <w:multiLevelType w:val="multilevel"/>
    <w:tmpl w:val="1DB84022"/>
    <w:lvl w:ilvl="0" w:tentative="0">
      <w:start w:val="1"/>
      <w:numFmt w:val="decimal"/>
      <w:lvlText w:val="（%1）"/>
      <w:lvlJc w:val="left"/>
      <w:pPr>
        <w:tabs>
          <w:tab w:val="left" w:pos="1361"/>
        </w:tabs>
        <w:ind w:left="1361" w:hanging="681"/>
      </w:pPr>
      <w:rPr>
        <w:rFonts w:hint="eastAsia"/>
      </w:rPr>
    </w:lvl>
    <w:lvl w:ilvl="1" w:tentative="0">
      <w:start w:val="1"/>
      <w:numFmt w:val="lowerLetter"/>
      <w:pStyle w:val="21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3AC1119"/>
    <w:multiLevelType w:val="singleLevel"/>
    <w:tmpl w:val="23AC1119"/>
    <w:lvl w:ilvl="0" w:tentative="0">
      <w:start w:val="1"/>
      <w:numFmt w:val="decimal"/>
      <w:suff w:val="space"/>
      <w:lvlText w:val="%1）"/>
      <w:lvlJc w:val="left"/>
    </w:lvl>
  </w:abstractNum>
  <w:abstractNum w:abstractNumId="12">
    <w:nsid w:val="25D46149"/>
    <w:multiLevelType w:val="multilevel"/>
    <w:tmpl w:val="25D46149"/>
    <w:lvl w:ilvl="0" w:tentative="0">
      <w:start w:val="1"/>
      <w:numFmt w:val="chineseCountingThousand"/>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decimal"/>
      <w:lvlText w:val="%5、"/>
      <w:lvlJc w:val="left"/>
      <w:pPr>
        <w:ind w:left="2310" w:hanging="420"/>
      </w:pPr>
      <w:rPr>
        <w:rFonts w:ascii="宋体" w:hAnsi="宋体" w:eastAsia="宋体" w:cs="Times New Roman"/>
      </w:r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378357F1"/>
    <w:multiLevelType w:val="multilevel"/>
    <w:tmpl w:val="378357F1"/>
    <w:lvl w:ilvl="0" w:tentative="0">
      <w:start w:val="1"/>
      <w:numFmt w:val="bullet"/>
      <w:lvlText w:val=""/>
      <w:lvlJc w:val="left"/>
      <w:pPr>
        <w:ind w:left="860" w:hanging="420"/>
      </w:pPr>
      <w:rPr>
        <w:rFonts w:hint="default" w:ascii="Wingdings" w:hAnsi="Wingdings" w:cs="Wingdings"/>
      </w:rPr>
    </w:lvl>
    <w:lvl w:ilvl="1" w:tentative="0">
      <w:start w:val="1"/>
      <w:numFmt w:val="bullet"/>
      <w:lvlText w:val=""/>
      <w:lvlJc w:val="left"/>
      <w:pPr>
        <w:ind w:left="1280" w:hanging="420"/>
      </w:pPr>
      <w:rPr>
        <w:rFonts w:hint="default" w:ascii="Wingdings" w:hAnsi="Wingdings" w:cs="Wingdings"/>
      </w:rPr>
    </w:lvl>
    <w:lvl w:ilvl="2" w:tentative="0">
      <w:start w:val="1"/>
      <w:numFmt w:val="bullet"/>
      <w:lvlText w:val=""/>
      <w:lvlJc w:val="left"/>
      <w:pPr>
        <w:ind w:left="1700" w:hanging="420"/>
      </w:pPr>
      <w:rPr>
        <w:rFonts w:hint="default" w:ascii="Wingdings" w:hAnsi="Wingdings" w:cs="Wingdings"/>
      </w:rPr>
    </w:lvl>
    <w:lvl w:ilvl="3" w:tentative="0">
      <w:start w:val="1"/>
      <w:numFmt w:val="bullet"/>
      <w:lvlText w:val=""/>
      <w:lvlJc w:val="left"/>
      <w:pPr>
        <w:ind w:left="2120" w:hanging="420"/>
      </w:pPr>
      <w:rPr>
        <w:rFonts w:hint="default" w:ascii="Wingdings" w:hAnsi="Wingdings" w:cs="Wingdings"/>
      </w:rPr>
    </w:lvl>
    <w:lvl w:ilvl="4" w:tentative="0">
      <w:start w:val="1"/>
      <w:numFmt w:val="bullet"/>
      <w:lvlText w:val=""/>
      <w:lvlJc w:val="left"/>
      <w:pPr>
        <w:ind w:left="2540" w:hanging="420"/>
      </w:pPr>
      <w:rPr>
        <w:rFonts w:hint="default" w:ascii="Wingdings" w:hAnsi="Wingdings" w:cs="Wingdings"/>
      </w:rPr>
    </w:lvl>
    <w:lvl w:ilvl="5" w:tentative="0">
      <w:start w:val="1"/>
      <w:numFmt w:val="bullet"/>
      <w:lvlText w:val=""/>
      <w:lvlJc w:val="left"/>
      <w:pPr>
        <w:ind w:left="2960" w:hanging="420"/>
      </w:pPr>
      <w:rPr>
        <w:rFonts w:hint="default" w:ascii="Wingdings" w:hAnsi="Wingdings" w:cs="Wingdings"/>
      </w:rPr>
    </w:lvl>
    <w:lvl w:ilvl="6" w:tentative="0">
      <w:start w:val="1"/>
      <w:numFmt w:val="bullet"/>
      <w:lvlText w:val=""/>
      <w:lvlJc w:val="left"/>
      <w:pPr>
        <w:ind w:left="3380" w:hanging="420"/>
      </w:pPr>
      <w:rPr>
        <w:rFonts w:hint="default" w:ascii="Wingdings" w:hAnsi="Wingdings" w:cs="Wingdings"/>
      </w:rPr>
    </w:lvl>
    <w:lvl w:ilvl="7" w:tentative="0">
      <w:start w:val="1"/>
      <w:numFmt w:val="bullet"/>
      <w:lvlText w:val=""/>
      <w:lvlJc w:val="left"/>
      <w:pPr>
        <w:ind w:left="3800" w:hanging="420"/>
      </w:pPr>
      <w:rPr>
        <w:rFonts w:hint="default" w:ascii="Wingdings" w:hAnsi="Wingdings" w:cs="Wingdings"/>
      </w:rPr>
    </w:lvl>
    <w:lvl w:ilvl="8" w:tentative="0">
      <w:start w:val="1"/>
      <w:numFmt w:val="bullet"/>
      <w:lvlText w:val=""/>
      <w:lvlJc w:val="left"/>
      <w:pPr>
        <w:ind w:left="4220" w:hanging="420"/>
      </w:pPr>
      <w:rPr>
        <w:rFonts w:hint="default" w:ascii="Wingdings" w:hAnsi="Wingdings" w:cs="Wingdings"/>
      </w:rPr>
    </w:lvl>
  </w:abstractNum>
  <w:abstractNum w:abstractNumId="14">
    <w:nsid w:val="3AD3761E"/>
    <w:multiLevelType w:val="multilevel"/>
    <w:tmpl w:val="3AD3761E"/>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4DE8B2FD"/>
    <w:multiLevelType w:val="singleLevel"/>
    <w:tmpl w:val="4DE8B2FD"/>
    <w:lvl w:ilvl="0" w:tentative="0">
      <w:start w:val="1"/>
      <w:numFmt w:val="decimal"/>
      <w:suff w:val="nothing"/>
      <w:lvlText w:val="%1．"/>
      <w:lvlJc w:val="left"/>
      <w:pPr>
        <w:ind w:left="0" w:firstLine="400"/>
      </w:pPr>
      <w:rPr>
        <w:rFonts w:hint="default"/>
      </w:rPr>
    </w:lvl>
  </w:abstractNum>
  <w:abstractNum w:abstractNumId="16">
    <w:nsid w:val="523F791D"/>
    <w:multiLevelType w:val="singleLevel"/>
    <w:tmpl w:val="523F791D"/>
    <w:lvl w:ilvl="0" w:tentative="0">
      <w:start w:val="4"/>
      <w:numFmt w:val="chineseCounting"/>
      <w:suff w:val="space"/>
      <w:lvlText w:val="第%1部分"/>
      <w:lvlJc w:val="left"/>
      <w:rPr>
        <w:rFonts w:hint="eastAsia"/>
      </w:rPr>
    </w:lvl>
  </w:abstractNum>
  <w:abstractNum w:abstractNumId="17">
    <w:nsid w:val="549C331D"/>
    <w:multiLevelType w:val="multilevel"/>
    <w:tmpl w:val="549C331D"/>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274"/>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59369393"/>
    <w:multiLevelType w:val="singleLevel"/>
    <w:tmpl w:val="59369393"/>
    <w:lvl w:ilvl="0" w:tentative="0">
      <w:start w:val="3"/>
      <w:numFmt w:val="decimal"/>
      <w:suff w:val="nothing"/>
      <w:lvlText w:val="%1）"/>
      <w:lvlJc w:val="left"/>
    </w:lvl>
  </w:abstractNum>
  <w:abstractNum w:abstractNumId="19">
    <w:nsid w:val="59CBCBD6"/>
    <w:multiLevelType w:val="singleLevel"/>
    <w:tmpl w:val="59CBCBD6"/>
    <w:lvl w:ilvl="0" w:tentative="0">
      <w:start w:val="2"/>
      <w:numFmt w:val="chineseCounting"/>
      <w:suff w:val="nothing"/>
      <w:lvlText w:val="%1、"/>
      <w:lvlJc w:val="left"/>
    </w:lvl>
  </w:abstractNum>
  <w:abstractNum w:abstractNumId="20">
    <w:nsid w:val="62F26E8B"/>
    <w:multiLevelType w:val="singleLevel"/>
    <w:tmpl w:val="62F26E8B"/>
    <w:lvl w:ilvl="0" w:tentative="0">
      <w:start w:val="1"/>
      <w:numFmt w:val="decimal"/>
      <w:suff w:val="space"/>
      <w:lvlText w:val="(%1)"/>
      <w:lvlJc w:val="left"/>
      <w:rPr>
        <w:rFonts w:hint="default" w:ascii="宋体" w:hAnsi="宋体" w:eastAsia="宋体" w:cs="宋体"/>
        <w:b w:val="0"/>
        <w:bCs w:val="0"/>
        <w:color w:val="000000"/>
      </w:rPr>
    </w:lvl>
  </w:abstractNum>
  <w:abstractNum w:abstractNumId="21">
    <w:nsid w:val="709F2DEA"/>
    <w:multiLevelType w:val="singleLevel"/>
    <w:tmpl w:val="709F2DEA"/>
    <w:lvl w:ilvl="0" w:tentative="0">
      <w:start w:val="7"/>
      <w:numFmt w:val="chineseCounting"/>
      <w:suff w:val="nothing"/>
      <w:lvlText w:val="%1、"/>
      <w:lvlJc w:val="left"/>
      <w:rPr>
        <w:rFonts w:hint="eastAsia"/>
      </w:rPr>
    </w:lvl>
  </w:abstractNum>
  <w:num w:numId="1">
    <w:abstractNumId w:val="7"/>
  </w:num>
  <w:num w:numId="2">
    <w:abstractNumId w:val="10"/>
  </w:num>
  <w:num w:numId="3">
    <w:abstractNumId w:val="17"/>
  </w:num>
  <w:num w:numId="4">
    <w:abstractNumId w:val="4"/>
  </w:num>
  <w:num w:numId="5">
    <w:abstractNumId w:val="9"/>
  </w:num>
  <w:num w:numId="6">
    <w:abstractNumId w:val="6"/>
  </w:num>
  <w:num w:numId="7">
    <w:abstractNumId w:val="3"/>
  </w:num>
  <w:num w:numId="8">
    <w:abstractNumId w:val="20"/>
  </w:num>
  <w:num w:numId="9">
    <w:abstractNumId w:val="2"/>
  </w:num>
  <w:num w:numId="10">
    <w:abstractNumId w:val="0"/>
  </w:num>
  <w:num w:numId="11">
    <w:abstractNumId w:val="1"/>
  </w:num>
  <w:num w:numId="12">
    <w:abstractNumId w:val="11"/>
  </w:num>
  <w:num w:numId="13">
    <w:abstractNumId w:val="19"/>
  </w:num>
  <w:num w:numId="14">
    <w:abstractNumId w:val="21"/>
  </w:num>
  <w:num w:numId="15">
    <w:abstractNumId w:val="16"/>
  </w:num>
  <w:num w:numId="16">
    <w:abstractNumId w:val="12"/>
  </w:num>
  <w:num w:numId="17">
    <w:abstractNumId w:val="5"/>
  </w:num>
  <w:num w:numId="18">
    <w:abstractNumId w:val="14"/>
  </w:num>
  <w:num w:numId="19">
    <w:abstractNumId w:val="15"/>
  </w:num>
  <w:num w:numId="20">
    <w:abstractNumId w:val="1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ZTdmYzRiNDQwNzZiYTdhOTRiZDhkNDA0OGJmNWMifQ=="/>
  </w:docVars>
  <w:rsids>
    <w:rsidRoot w:val="00172A27"/>
    <w:rsid w:val="000020A2"/>
    <w:rsid w:val="00002436"/>
    <w:rsid w:val="000027D4"/>
    <w:rsid w:val="00002968"/>
    <w:rsid w:val="00005046"/>
    <w:rsid w:val="000055CD"/>
    <w:rsid w:val="00005689"/>
    <w:rsid w:val="00005BDD"/>
    <w:rsid w:val="00006B56"/>
    <w:rsid w:val="00007AC6"/>
    <w:rsid w:val="00010D37"/>
    <w:rsid w:val="00011466"/>
    <w:rsid w:val="00012740"/>
    <w:rsid w:val="0001278B"/>
    <w:rsid w:val="000132C8"/>
    <w:rsid w:val="00013701"/>
    <w:rsid w:val="00013D5B"/>
    <w:rsid w:val="00014F4D"/>
    <w:rsid w:val="0001586F"/>
    <w:rsid w:val="00016896"/>
    <w:rsid w:val="0001778B"/>
    <w:rsid w:val="000178E3"/>
    <w:rsid w:val="00017F50"/>
    <w:rsid w:val="000219F0"/>
    <w:rsid w:val="0002233C"/>
    <w:rsid w:val="000232DF"/>
    <w:rsid w:val="00023E47"/>
    <w:rsid w:val="0002406D"/>
    <w:rsid w:val="00024B0D"/>
    <w:rsid w:val="000257AD"/>
    <w:rsid w:val="00025CBB"/>
    <w:rsid w:val="00026D6F"/>
    <w:rsid w:val="00026E3B"/>
    <w:rsid w:val="00027170"/>
    <w:rsid w:val="00030247"/>
    <w:rsid w:val="00030566"/>
    <w:rsid w:val="00031557"/>
    <w:rsid w:val="000316A6"/>
    <w:rsid w:val="00032E51"/>
    <w:rsid w:val="00035F0A"/>
    <w:rsid w:val="00036624"/>
    <w:rsid w:val="00037013"/>
    <w:rsid w:val="00042315"/>
    <w:rsid w:val="00042E96"/>
    <w:rsid w:val="0004417F"/>
    <w:rsid w:val="00044482"/>
    <w:rsid w:val="00044DF2"/>
    <w:rsid w:val="00045920"/>
    <w:rsid w:val="000468FC"/>
    <w:rsid w:val="0004784C"/>
    <w:rsid w:val="000504EF"/>
    <w:rsid w:val="00050587"/>
    <w:rsid w:val="00050847"/>
    <w:rsid w:val="0005143D"/>
    <w:rsid w:val="00051CB7"/>
    <w:rsid w:val="00052100"/>
    <w:rsid w:val="000526BB"/>
    <w:rsid w:val="00053BB5"/>
    <w:rsid w:val="00055143"/>
    <w:rsid w:val="00055740"/>
    <w:rsid w:val="000562C5"/>
    <w:rsid w:val="00056BBA"/>
    <w:rsid w:val="00057AC4"/>
    <w:rsid w:val="000607B3"/>
    <w:rsid w:val="00060A5B"/>
    <w:rsid w:val="00060E5B"/>
    <w:rsid w:val="00062107"/>
    <w:rsid w:val="00064514"/>
    <w:rsid w:val="0006463D"/>
    <w:rsid w:val="00064CF8"/>
    <w:rsid w:val="00065936"/>
    <w:rsid w:val="00066480"/>
    <w:rsid w:val="00066D14"/>
    <w:rsid w:val="00067AEB"/>
    <w:rsid w:val="00067E15"/>
    <w:rsid w:val="000725F1"/>
    <w:rsid w:val="00072EB9"/>
    <w:rsid w:val="000749FE"/>
    <w:rsid w:val="000756D6"/>
    <w:rsid w:val="00076C20"/>
    <w:rsid w:val="000779D3"/>
    <w:rsid w:val="000800DF"/>
    <w:rsid w:val="0008094C"/>
    <w:rsid w:val="000816A3"/>
    <w:rsid w:val="000826F2"/>
    <w:rsid w:val="000834AC"/>
    <w:rsid w:val="0008549E"/>
    <w:rsid w:val="000857B6"/>
    <w:rsid w:val="000858D8"/>
    <w:rsid w:val="00085C0B"/>
    <w:rsid w:val="00087215"/>
    <w:rsid w:val="0009032A"/>
    <w:rsid w:val="000912B7"/>
    <w:rsid w:val="00091C14"/>
    <w:rsid w:val="00093412"/>
    <w:rsid w:val="00095D76"/>
    <w:rsid w:val="000962F3"/>
    <w:rsid w:val="00096803"/>
    <w:rsid w:val="00097061"/>
    <w:rsid w:val="00097181"/>
    <w:rsid w:val="00097285"/>
    <w:rsid w:val="00097C3C"/>
    <w:rsid w:val="000A088A"/>
    <w:rsid w:val="000A1AB0"/>
    <w:rsid w:val="000A1CB4"/>
    <w:rsid w:val="000A2097"/>
    <w:rsid w:val="000A2F59"/>
    <w:rsid w:val="000A378E"/>
    <w:rsid w:val="000A45CE"/>
    <w:rsid w:val="000A6254"/>
    <w:rsid w:val="000A64B3"/>
    <w:rsid w:val="000A7255"/>
    <w:rsid w:val="000A7303"/>
    <w:rsid w:val="000A7558"/>
    <w:rsid w:val="000A779A"/>
    <w:rsid w:val="000B0E5A"/>
    <w:rsid w:val="000B15B6"/>
    <w:rsid w:val="000B3B28"/>
    <w:rsid w:val="000B419A"/>
    <w:rsid w:val="000B60A5"/>
    <w:rsid w:val="000B63F6"/>
    <w:rsid w:val="000B68C1"/>
    <w:rsid w:val="000B769A"/>
    <w:rsid w:val="000C0F83"/>
    <w:rsid w:val="000C27E5"/>
    <w:rsid w:val="000C2F45"/>
    <w:rsid w:val="000C497C"/>
    <w:rsid w:val="000C4C1B"/>
    <w:rsid w:val="000C4F77"/>
    <w:rsid w:val="000C535B"/>
    <w:rsid w:val="000C587D"/>
    <w:rsid w:val="000C62CA"/>
    <w:rsid w:val="000C665A"/>
    <w:rsid w:val="000C6B06"/>
    <w:rsid w:val="000C6F7C"/>
    <w:rsid w:val="000C7EDA"/>
    <w:rsid w:val="000D2714"/>
    <w:rsid w:val="000D2CDF"/>
    <w:rsid w:val="000D31AA"/>
    <w:rsid w:val="000D31B8"/>
    <w:rsid w:val="000D3833"/>
    <w:rsid w:val="000D54D6"/>
    <w:rsid w:val="000D701A"/>
    <w:rsid w:val="000D7327"/>
    <w:rsid w:val="000D7787"/>
    <w:rsid w:val="000D77DD"/>
    <w:rsid w:val="000D7C80"/>
    <w:rsid w:val="000E1B45"/>
    <w:rsid w:val="000E2028"/>
    <w:rsid w:val="000E26F3"/>
    <w:rsid w:val="000E36F4"/>
    <w:rsid w:val="000E49AA"/>
    <w:rsid w:val="000E568B"/>
    <w:rsid w:val="000E61F7"/>
    <w:rsid w:val="000E72DA"/>
    <w:rsid w:val="000F357B"/>
    <w:rsid w:val="000F4D8F"/>
    <w:rsid w:val="000F5173"/>
    <w:rsid w:val="00100D89"/>
    <w:rsid w:val="00102E92"/>
    <w:rsid w:val="0010318C"/>
    <w:rsid w:val="00104DF0"/>
    <w:rsid w:val="00106CD5"/>
    <w:rsid w:val="00107135"/>
    <w:rsid w:val="0010786C"/>
    <w:rsid w:val="00113354"/>
    <w:rsid w:val="00113FE1"/>
    <w:rsid w:val="00116145"/>
    <w:rsid w:val="00116694"/>
    <w:rsid w:val="00117335"/>
    <w:rsid w:val="00117639"/>
    <w:rsid w:val="00117B08"/>
    <w:rsid w:val="00120347"/>
    <w:rsid w:val="0012102C"/>
    <w:rsid w:val="00125C1A"/>
    <w:rsid w:val="00125E50"/>
    <w:rsid w:val="001266DD"/>
    <w:rsid w:val="001270A4"/>
    <w:rsid w:val="00127630"/>
    <w:rsid w:val="001276EB"/>
    <w:rsid w:val="001311F3"/>
    <w:rsid w:val="001329BA"/>
    <w:rsid w:val="00133851"/>
    <w:rsid w:val="0013487A"/>
    <w:rsid w:val="00141394"/>
    <w:rsid w:val="00141962"/>
    <w:rsid w:val="00141CC4"/>
    <w:rsid w:val="00141E56"/>
    <w:rsid w:val="00142D52"/>
    <w:rsid w:val="00144D48"/>
    <w:rsid w:val="00146499"/>
    <w:rsid w:val="001474FE"/>
    <w:rsid w:val="00147F9B"/>
    <w:rsid w:val="0015140C"/>
    <w:rsid w:val="001528BF"/>
    <w:rsid w:val="00157685"/>
    <w:rsid w:val="001577AF"/>
    <w:rsid w:val="0016084B"/>
    <w:rsid w:val="00160968"/>
    <w:rsid w:val="00161763"/>
    <w:rsid w:val="00161B9B"/>
    <w:rsid w:val="00161E21"/>
    <w:rsid w:val="001627B1"/>
    <w:rsid w:val="00163324"/>
    <w:rsid w:val="00163778"/>
    <w:rsid w:val="001668CB"/>
    <w:rsid w:val="00167829"/>
    <w:rsid w:val="00170C79"/>
    <w:rsid w:val="0017363D"/>
    <w:rsid w:val="001777C1"/>
    <w:rsid w:val="0018029E"/>
    <w:rsid w:val="00180678"/>
    <w:rsid w:val="00181C83"/>
    <w:rsid w:val="00183E80"/>
    <w:rsid w:val="00184330"/>
    <w:rsid w:val="00184B7C"/>
    <w:rsid w:val="00186681"/>
    <w:rsid w:val="00186741"/>
    <w:rsid w:val="00186AAE"/>
    <w:rsid w:val="00186E51"/>
    <w:rsid w:val="00187D96"/>
    <w:rsid w:val="001905E0"/>
    <w:rsid w:val="00192071"/>
    <w:rsid w:val="001922FC"/>
    <w:rsid w:val="0019272A"/>
    <w:rsid w:val="001933ED"/>
    <w:rsid w:val="001935ED"/>
    <w:rsid w:val="00194CF8"/>
    <w:rsid w:val="001962F5"/>
    <w:rsid w:val="00197DDB"/>
    <w:rsid w:val="001A04CA"/>
    <w:rsid w:val="001A08DC"/>
    <w:rsid w:val="001A0A4C"/>
    <w:rsid w:val="001A1942"/>
    <w:rsid w:val="001A1D94"/>
    <w:rsid w:val="001A1DF7"/>
    <w:rsid w:val="001A2E67"/>
    <w:rsid w:val="001A42B5"/>
    <w:rsid w:val="001A4AC2"/>
    <w:rsid w:val="001A50A9"/>
    <w:rsid w:val="001B03D0"/>
    <w:rsid w:val="001B1B08"/>
    <w:rsid w:val="001B1EED"/>
    <w:rsid w:val="001B225B"/>
    <w:rsid w:val="001B370D"/>
    <w:rsid w:val="001B4004"/>
    <w:rsid w:val="001B4FCB"/>
    <w:rsid w:val="001B59CB"/>
    <w:rsid w:val="001B61EE"/>
    <w:rsid w:val="001B6CED"/>
    <w:rsid w:val="001B75D1"/>
    <w:rsid w:val="001C0EE5"/>
    <w:rsid w:val="001C208F"/>
    <w:rsid w:val="001C211B"/>
    <w:rsid w:val="001C29F5"/>
    <w:rsid w:val="001C30E0"/>
    <w:rsid w:val="001C4C2E"/>
    <w:rsid w:val="001C5E88"/>
    <w:rsid w:val="001C66A7"/>
    <w:rsid w:val="001C6739"/>
    <w:rsid w:val="001D0B96"/>
    <w:rsid w:val="001D1027"/>
    <w:rsid w:val="001D1DA8"/>
    <w:rsid w:val="001D1E73"/>
    <w:rsid w:val="001D5C47"/>
    <w:rsid w:val="001D6394"/>
    <w:rsid w:val="001D7382"/>
    <w:rsid w:val="001D7856"/>
    <w:rsid w:val="001D79AA"/>
    <w:rsid w:val="001E0F38"/>
    <w:rsid w:val="001E27F3"/>
    <w:rsid w:val="001E2F12"/>
    <w:rsid w:val="001E30D7"/>
    <w:rsid w:val="001E36AD"/>
    <w:rsid w:val="001E4192"/>
    <w:rsid w:val="001E4636"/>
    <w:rsid w:val="001E49B0"/>
    <w:rsid w:val="001E77AA"/>
    <w:rsid w:val="001F006E"/>
    <w:rsid w:val="001F109D"/>
    <w:rsid w:val="001F10DE"/>
    <w:rsid w:val="001F124E"/>
    <w:rsid w:val="001F1EDF"/>
    <w:rsid w:val="001F2058"/>
    <w:rsid w:val="001F28CA"/>
    <w:rsid w:val="001F2B2E"/>
    <w:rsid w:val="001F2CD1"/>
    <w:rsid w:val="001F443F"/>
    <w:rsid w:val="001F4E58"/>
    <w:rsid w:val="001F58AA"/>
    <w:rsid w:val="001F7D2D"/>
    <w:rsid w:val="002027F5"/>
    <w:rsid w:val="002029AF"/>
    <w:rsid w:val="00203E25"/>
    <w:rsid w:val="00204726"/>
    <w:rsid w:val="0020569F"/>
    <w:rsid w:val="002076F6"/>
    <w:rsid w:val="0020779D"/>
    <w:rsid w:val="00207FBF"/>
    <w:rsid w:val="002135E6"/>
    <w:rsid w:val="002138A5"/>
    <w:rsid w:val="00213FAC"/>
    <w:rsid w:val="00213FD4"/>
    <w:rsid w:val="00214251"/>
    <w:rsid w:val="00214588"/>
    <w:rsid w:val="00215E8D"/>
    <w:rsid w:val="00217F4C"/>
    <w:rsid w:val="00223281"/>
    <w:rsid w:val="00223D40"/>
    <w:rsid w:val="00224075"/>
    <w:rsid w:val="00225EAB"/>
    <w:rsid w:val="002272AB"/>
    <w:rsid w:val="00227BF3"/>
    <w:rsid w:val="0023089C"/>
    <w:rsid w:val="00230921"/>
    <w:rsid w:val="0023096E"/>
    <w:rsid w:val="00231623"/>
    <w:rsid w:val="002324A5"/>
    <w:rsid w:val="00232CCE"/>
    <w:rsid w:val="00232F1C"/>
    <w:rsid w:val="00233330"/>
    <w:rsid w:val="00233D1C"/>
    <w:rsid w:val="0023648B"/>
    <w:rsid w:val="00236B6F"/>
    <w:rsid w:val="00237B74"/>
    <w:rsid w:val="00237D4A"/>
    <w:rsid w:val="0024046A"/>
    <w:rsid w:val="002416C8"/>
    <w:rsid w:val="00241826"/>
    <w:rsid w:val="00244030"/>
    <w:rsid w:val="0024466B"/>
    <w:rsid w:val="00244CDD"/>
    <w:rsid w:val="00245024"/>
    <w:rsid w:val="0024564B"/>
    <w:rsid w:val="00247ACF"/>
    <w:rsid w:val="00250A5C"/>
    <w:rsid w:val="002513D3"/>
    <w:rsid w:val="0025213F"/>
    <w:rsid w:val="0025272C"/>
    <w:rsid w:val="002546BA"/>
    <w:rsid w:val="0025493C"/>
    <w:rsid w:val="00254AB6"/>
    <w:rsid w:val="0026055C"/>
    <w:rsid w:val="00260FD7"/>
    <w:rsid w:val="002629D5"/>
    <w:rsid w:val="002654EA"/>
    <w:rsid w:val="00266EB2"/>
    <w:rsid w:val="00266EDD"/>
    <w:rsid w:val="0027388F"/>
    <w:rsid w:val="00277E88"/>
    <w:rsid w:val="00285CFA"/>
    <w:rsid w:val="00286653"/>
    <w:rsid w:val="00287CCE"/>
    <w:rsid w:val="00291F5F"/>
    <w:rsid w:val="00292C98"/>
    <w:rsid w:val="002932D2"/>
    <w:rsid w:val="00293507"/>
    <w:rsid w:val="002935B1"/>
    <w:rsid w:val="00293F5C"/>
    <w:rsid w:val="0029419A"/>
    <w:rsid w:val="00294761"/>
    <w:rsid w:val="0029560D"/>
    <w:rsid w:val="00295B40"/>
    <w:rsid w:val="0029721F"/>
    <w:rsid w:val="00297A06"/>
    <w:rsid w:val="00297A3E"/>
    <w:rsid w:val="002A1465"/>
    <w:rsid w:val="002A2888"/>
    <w:rsid w:val="002A2971"/>
    <w:rsid w:val="002A2DFC"/>
    <w:rsid w:val="002A491F"/>
    <w:rsid w:val="002A652B"/>
    <w:rsid w:val="002A7306"/>
    <w:rsid w:val="002B1B00"/>
    <w:rsid w:val="002B23A1"/>
    <w:rsid w:val="002B38CE"/>
    <w:rsid w:val="002B3928"/>
    <w:rsid w:val="002B4083"/>
    <w:rsid w:val="002B4983"/>
    <w:rsid w:val="002B54D5"/>
    <w:rsid w:val="002B5C72"/>
    <w:rsid w:val="002B5F90"/>
    <w:rsid w:val="002B6F63"/>
    <w:rsid w:val="002B6FBE"/>
    <w:rsid w:val="002B7A9A"/>
    <w:rsid w:val="002C09A9"/>
    <w:rsid w:val="002C3617"/>
    <w:rsid w:val="002C3676"/>
    <w:rsid w:val="002C43DC"/>
    <w:rsid w:val="002C47AC"/>
    <w:rsid w:val="002C560B"/>
    <w:rsid w:val="002C6878"/>
    <w:rsid w:val="002C77DD"/>
    <w:rsid w:val="002C7DFD"/>
    <w:rsid w:val="002D1444"/>
    <w:rsid w:val="002D17BB"/>
    <w:rsid w:val="002D3C00"/>
    <w:rsid w:val="002D3CB2"/>
    <w:rsid w:val="002D44D0"/>
    <w:rsid w:val="002D53F8"/>
    <w:rsid w:val="002D5E2C"/>
    <w:rsid w:val="002D7289"/>
    <w:rsid w:val="002E0322"/>
    <w:rsid w:val="002E1516"/>
    <w:rsid w:val="002E1CD0"/>
    <w:rsid w:val="002E3C38"/>
    <w:rsid w:val="002E3CCF"/>
    <w:rsid w:val="002E4348"/>
    <w:rsid w:val="002E59CD"/>
    <w:rsid w:val="002E7DEE"/>
    <w:rsid w:val="002F06CD"/>
    <w:rsid w:val="002F1EEB"/>
    <w:rsid w:val="002F2B88"/>
    <w:rsid w:val="002F3EA2"/>
    <w:rsid w:val="002F74E1"/>
    <w:rsid w:val="00300807"/>
    <w:rsid w:val="0030151A"/>
    <w:rsid w:val="00301787"/>
    <w:rsid w:val="00302D14"/>
    <w:rsid w:val="00303710"/>
    <w:rsid w:val="00303C9C"/>
    <w:rsid w:val="003053B0"/>
    <w:rsid w:val="00311EA5"/>
    <w:rsid w:val="00312849"/>
    <w:rsid w:val="0031314C"/>
    <w:rsid w:val="00314908"/>
    <w:rsid w:val="00314B3D"/>
    <w:rsid w:val="00314B8D"/>
    <w:rsid w:val="00315762"/>
    <w:rsid w:val="003204EC"/>
    <w:rsid w:val="0032146F"/>
    <w:rsid w:val="00322773"/>
    <w:rsid w:val="0032279B"/>
    <w:rsid w:val="00325A6B"/>
    <w:rsid w:val="003262BF"/>
    <w:rsid w:val="00330114"/>
    <w:rsid w:val="00330D90"/>
    <w:rsid w:val="00332312"/>
    <w:rsid w:val="003367C4"/>
    <w:rsid w:val="00337A7F"/>
    <w:rsid w:val="003405B6"/>
    <w:rsid w:val="003410FD"/>
    <w:rsid w:val="003414F1"/>
    <w:rsid w:val="0034526E"/>
    <w:rsid w:val="00345EA7"/>
    <w:rsid w:val="00345F1B"/>
    <w:rsid w:val="00346261"/>
    <w:rsid w:val="00347663"/>
    <w:rsid w:val="0034767C"/>
    <w:rsid w:val="00351669"/>
    <w:rsid w:val="00352A43"/>
    <w:rsid w:val="003540EF"/>
    <w:rsid w:val="00356398"/>
    <w:rsid w:val="00356A41"/>
    <w:rsid w:val="00356C3D"/>
    <w:rsid w:val="00356EBA"/>
    <w:rsid w:val="00357DFF"/>
    <w:rsid w:val="00361944"/>
    <w:rsid w:val="00361E4D"/>
    <w:rsid w:val="00362519"/>
    <w:rsid w:val="00363A28"/>
    <w:rsid w:val="0036433F"/>
    <w:rsid w:val="0036512E"/>
    <w:rsid w:val="0036516C"/>
    <w:rsid w:val="00365FA1"/>
    <w:rsid w:val="003660D0"/>
    <w:rsid w:val="0036637D"/>
    <w:rsid w:val="00366672"/>
    <w:rsid w:val="00370C13"/>
    <w:rsid w:val="00371275"/>
    <w:rsid w:val="00372B8D"/>
    <w:rsid w:val="003738ED"/>
    <w:rsid w:val="00376442"/>
    <w:rsid w:val="00376FBD"/>
    <w:rsid w:val="003776FB"/>
    <w:rsid w:val="00380156"/>
    <w:rsid w:val="003808CD"/>
    <w:rsid w:val="00380FCF"/>
    <w:rsid w:val="003813A0"/>
    <w:rsid w:val="00381D20"/>
    <w:rsid w:val="00383942"/>
    <w:rsid w:val="003842CC"/>
    <w:rsid w:val="00385283"/>
    <w:rsid w:val="003873D4"/>
    <w:rsid w:val="00392057"/>
    <w:rsid w:val="003925EC"/>
    <w:rsid w:val="00392C14"/>
    <w:rsid w:val="0039416D"/>
    <w:rsid w:val="0039677B"/>
    <w:rsid w:val="00396B1E"/>
    <w:rsid w:val="003A02C4"/>
    <w:rsid w:val="003A1AA8"/>
    <w:rsid w:val="003A1E60"/>
    <w:rsid w:val="003A2EBE"/>
    <w:rsid w:val="003A4109"/>
    <w:rsid w:val="003A459D"/>
    <w:rsid w:val="003A4B11"/>
    <w:rsid w:val="003A4EC1"/>
    <w:rsid w:val="003A5BD8"/>
    <w:rsid w:val="003A6191"/>
    <w:rsid w:val="003A65CD"/>
    <w:rsid w:val="003A6FC2"/>
    <w:rsid w:val="003A713B"/>
    <w:rsid w:val="003A7EBF"/>
    <w:rsid w:val="003B132B"/>
    <w:rsid w:val="003B3302"/>
    <w:rsid w:val="003B53BB"/>
    <w:rsid w:val="003B5D52"/>
    <w:rsid w:val="003B666E"/>
    <w:rsid w:val="003C04DD"/>
    <w:rsid w:val="003C1EAA"/>
    <w:rsid w:val="003C2A4A"/>
    <w:rsid w:val="003C31D4"/>
    <w:rsid w:val="003C3425"/>
    <w:rsid w:val="003C5A35"/>
    <w:rsid w:val="003C5D8A"/>
    <w:rsid w:val="003C64AA"/>
    <w:rsid w:val="003C6602"/>
    <w:rsid w:val="003C77CD"/>
    <w:rsid w:val="003C787F"/>
    <w:rsid w:val="003D11C0"/>
    <w:rsid w:val="003D11DE"/>
    <w:rsid w:val="003D14C6"/>
    <w:rsid w:val="003D2514"/>
    <w:rsid w:val="003D2A36"/>
    <w:rsid w:val="003D3140"/>
    <w:rsid w:val="003D31B5"/>
    <w:rsid w:val="003D412C"/>
    <w:rsid w:val="003D4E62"/>
    <w:rsid w:val="003D5474"/>
    <w:rsid w:val="003D54BF"/>
    <w:rsid w:val="003D6327"/>
    <w:rsid w:val="003D6391"/>
    <w:rsid w:val="003E08D8"/>
    <w:rsid w:val="003E0A38"/>
    <w:rsid w:val="003E1DB8"/>
    <w:rsid w:val="003E5322"/>
    <w:rsid w:val="003E67C9"/>
    <w:rsid w:val="003E6A79"/>
    <w:rsid w:val="003F0163"/>
    <w:rsid w:val="003F07E4"/>
    <w:rsid w:val="003F2B31"/>
    <w:rsid w:val="003F507C"/>
    <w:rsid w:val="003F670D"/>
    <w:rsid w:val="003F718B"/>
    <w:rsid w:val="003F7D8E"/>
    <w:rsid w:val="00400C02"/>
    <w:rsid w:val="00400E0B"/>
    <w:rsid w:val="00402426"/>
    <w:rsid w:val="0040419D"/>
    <w:rsid w:val="004079E2"/>
    <w:rsid w:val="00407F31"/>
    <w:rsid w:val="00407F41"/>
    <w:rsid w:val="00410263"/>
    <w:rsid w:val="00410EBC"/>
    <w:rsid w:val="00410F5F"/>
    <w:rsid w:val="00410F8D"/>
    <w:rsid w:val="00411303"/>
    <w:rsid w:val="00411D30"/>
    <w:rsid w:val="00413D5A"/>
    <w:rsid w:val="004143B8"/>
    <w:rsid w:val="0041644C"/>
    <w:rsid w:val="00416933"/>
    <w:rsid w:val="00416940"/>
    <w:rsid w:val="0041773E"/>
    <w:rsid w:val="00417DB5"/>
    <w:rsid w:val="0042142E"/>
    <w:rsid w:val="00421A59"/>
    <w:rsid w:val="00421C26"/>
    <w:rsid w:val="00422C3C"/>
    <w:rsid w:val="00423AF2"/>
    <w:rsid w:val="0042443C"/>
    <w:rsid w:val="00425020"/>
    <w:rsid w:val="00425AAF"/>
    <w:rsid w:val="004260EE"/>
    <w:rsid w:val="00426687"/>
    <w:rsid w:val="00427FED"/>
    <w:rsid w:val="00432673"/>
    <w:rsid w:val="004349C3"/>
    <w:rsid w:val="00436056"/>
    <w:rsid w:val="00436814"/>
    <w:rsid w:val="004369F0"/>
    <w:rsid w:val="00437311"/>
    <w:rsid w:val="00437F16"/>
    <w:rsid w:val="0044093F"/>
    <w:rsid w:val="004410EF"/>
    <w:rsid w:val="00441550"/>
    <w:rsid w:val="0044256C"/>
    <w:rsid w:val="00442723"/>
    <w:rsid w:val="004427E7"/>
    <w:rsid w:val="00443201"/>
    <w:rsid w:val="00445B51"/>
    <w:rsid w:val="0044616A"/>
    <w:rsid w:val="004510CE"/>
    <w:rsid w:val="0045187A"/>
    <w:rsid w:val="00451B4C"/>
    <w:rsid w:val="00451FBD"/>
    <w:rsid w:val="004538C5"/>
    <w:rsid w:val="00454218"/>
    <w:rsid w:val="00454741"/>
    <w:rsid w:val="00457615"/>
    <w:rsid w:val="00457F62"/>
    <w:rsid w:val="004610D9"/>
    <w:rsid w:val="004613E8"/>
    <w:rsid w:val="00461D53"/>
    <w:rsid w:val="004620B7"/>
    <w:rsid w:val="00463AF0"/>
    <w:rsid w:val="00464644"/>
    <w:rsid w:val="00464C10"/>
    <w:rsid w:val="004669F7"/>
    <w:rsid w:val="004678BC"/>
    <w:rsid w:val="00471D18"/>
    <w:rsid w:val="00472E4A"/>
    <w:rsid w:val="00473270"/>
    <w:rsid w:val="0047430D"/>
    <w:rsid w:val="0047500C"/>
    <w:rsid w:val="00475434"/>
    <w:rsid w:val="00475660"/>
    <w:rsid w:val="00475DF3"/>
    <w:rsid w:val="00477F34"/>
    <w:rsid w:val="00477FFD"/>
    <w:rsid w:val="00480584"/>
    <w:rsid w:val="004805EF"/>
    <w:rsid w:val="00480FE1"/>
    <w:rsid w:val="0048272C"/>
    <w:rsid w:val="004828FC"/>
    <w:rsid w:val="0048431B"/>
    <w:rsid w:val="00484B04"/>
    <w:rsid w:val="004859C6"/>
    <w:rsid w:val="00486648"/>
    <w:rsid w:val="00487786"/>
    <w:rsid w:val="0048791F"/>
    <w:rsid w:val="004915AD"/>
    <w:rsid w:val="00493114"/>
    <w:rsid w:val="00493190"/>
    <w:rsid w:val="0049600D"/>
    <w:rsid w:val="00496127"/>
    <w:rsid w:val="00496EE4"/>
    <w:rsid w:val="00496FE1"/>
    <w:rsid w:val="00497E40"/>
    <w:rsid w:val="004A031E"/>
    <w:rsid w:val="004A0A5A"/>
    <w:rsid w:val="004A1308"/>
    <w:rsid w:val="004A1CC1"/>
    <w:rsid w:val="004A1CF4"/>
    <w:rsid w:val="004A35FD"/>
    <w:rsid w:val="004A4B65"/>
    <w:rsid w:val="004A59DD"/>
    <w:rsid w:val="004A5D01"/>
    <w:rsid w:val="004A6539"/>
    <w:rsid w:val="004A6592"/>
    <w:rsid w:val="004B0798"/>
    <w:rsid w:val="004B117B"/>
    <w:rsid w:val="004B17E1"/>
    <w:rsid w:val="004B2909"/>
    <w:rsid w:val="004B3881"/>
    <w:rsid w:val="004B7F8D"/>
    <w:rsid w:val="004C071E"/>
    <w:rsid w:val="004C1B05"/>
    <w:rsid w:val="004C2CAE"/>
    <w:rsid w:val="004C2F46"/>
    <w:rsid w:val="004C32A4"/>
    <w:rsid w:val="004C498E"/>
    <w:rsid w:val="004C4E06"/>
    <w:rsid w:val="004C6D25"/>
    <w:rsid w:val="004C6F86"/>
    <w:rsid w:val="004C770C"/>
    <w:rsid w:val="004C78B5"/>
    <w:rsid w:val="004C7B88"/>
    <w:rsid w:val="004D0912"/>
    <w:rsid w:val="004D0DD1"/>
    <w:rsid w:val="004D162E"/>
    <w:rsid w:val="004D19E6"/>
    <w:rsid w:val="004D1BA4"/>
    <w:rsid w:val="004D20E9"/>
    <w:rsid w:val="004D2827"/>
    <w:rsid w:val="004D2A84"/>
    <w:rsid w:val="004D50FB"/>
    <w:rsid w:val="004E1E84"/>
    <w:rsid w:val="004E4455"/>
    <w:rsid w:val="004E449B"/>
    <w:rsid w:val="004E5570"/>
    <w:rsid w:val="004E5632"/>
    <w:rsid w:val="004E71B2"/>
    <w:rsid w:val="004E7642"/>
    <w:rsid w:val="004F0786"/>
    <w:rsid w:val="004F0F52"/>
    <w:rsid w:val="004F1472"/>
    <w:rsid w:val="004F1B20"/>
    <w:rsid w:val="004F24C1"/>
    <w:rsid w:val="004F27EF"/>
    <w:rsid w:val="004F484B"/>
    <w:rsid w:val="004F50C8"/>
    <w:rsid w:val="004F63ED"/>
    <w:rsid w:val="004F6EC8"/>
    <w:rsid w:val="004F6ED6"/>
    <w:rsid w:val="004F7CCA"/>
    <w:rsid w:val="004F7E1C"/>
    <w:rsid w:val="00502237"/>
    <w:rsid w:val="005039D3"/>
    <w:rsid w:val="00505951"/>
    <w:rsid w:val="00505F3F"/>
    <w:rsid w:val="00506060"/>
    <w:rsid w:val="00506158"/>
    <w:rsid w:val="0050769E"/>
    <w:rsid w:val="00510AAB"/>
    <w:rsid w:val="00510CDE"/>
    <w:rsid w:val="00511AF0"/>
    <w:rsid w:val="00511C55"/>
    <w:rsid w:val="005124F9"/>
    <w:rsid w:val="00512C4E"/>
    <w:rsid w:val="00515B29"/>
    <w:rsid w:val="00517B85"/>
    <w:rsid w:val="005202BC"/>
    <w:rsid w:val="005217ED"/>
    <w:rsid w:val="00522751"/>
    <w:rsid w:val="00522B0C"/>
    <w:rsid w:val="00523F76"/>
    <w:rsid w:val="00524524"/>
    <w:rsid w:val="00524EC9"/>
    <w:rsid w:val="00525905"/>
    <w:rsid w:val="0052666C"/>
    <w:rsid w:val="00527A65"/>
    <w:rsid w:val="0053007D"/>
    <w:rsid w:val="0053060D"/>
    <w:rsid w:val="00530642"/>
    <w:rsid w:val="005309FD"/>
    <w:rsid w:val="005312F5"/>
    <w:rsid w:val="0053170D"/>
    <w:rsid w:val="005334BA"/>
    <w:rsid w:val="00533A53"/>
    <w:rsid w:val="00533A62"/>
    <w:rsid w:val="00535D3F"/>
    <w:rsid w:val="00536FBB"/>
    <w:rsid w:val="00537A6A"/>
    <w:rsid w:val="0054209E"/>
    <w:rsid w:val="005420A8"/>
    <w:rsid w:val="005425C7"/>
    <w:rsid w:val="005432EB"/>
    <w:rsid w:val="00544DC7"/>
    <w:rsid w:val="00545A95"/>
    <w:rsid w:val="00546BCE"/>
    <w:rsid w:val="00550C24"/>
    <w:rsid w:val="00550F90"/>
    <w:rsid w:val="0055264C"/>
    <w:rsid w:val="0055297A"/>
    <w:rsid w:val="005544C0"/>
    <w:rsid w:val="00554A84"/>
    <w:rsid w:val="00554F14"/>
    <w:rsid w:val="005560B0"/>
    <w:rsid w:val="005570BE"/>
    <w:rsid w:val="005576CD"/>
    <w:rsid w:val="0056014C"/>
    <w:rsid w:val="00561841"/>
    <w:rsid w:val="00561F16"/>
    <w:rsid w:val="0056244A"/>
    <w:rsid w:val="0056324B"/>
    <w:rsid w:val="0056336F"/>
    <w:rsid w:val="00564E0D"/>
    <w:rsid w:val="00564F8C"/>
    <w:rsid w:val="005653A7"/>
    <w:rsid w:val="0056567C"/>
    <w:rsid w:val="00565B3C"/>
    <w:rsid w:val="00566029"/>
    <w:rsid w:val="00571838"/>
    <w:rsid w:val="005731D8"/>
    <w:rsid w:val="0057384B"/>
    <w:rsid w:val="00573BB6"/>
    <w:rsid w:val="0057630A"/>
    <w:rsid w:val="005778C6"/>
    <w:rsid w:val="00577E97"/>
    <w:rsid w:val="00581161"/>
    <w:rsid w:val="0058118A"/>
    <w:rsid w:val="00581BD1"/>
    <w:rsid w:val="00583EAE"/>
    <w:rsid w:val="00584669"/>
    <w:rsid w:val="00586524"/>
    <w:rsid w:val="00587296"/>
    <w:rsid w:val="00591100"/>
    <w:rsid w:val="0059261D"/>
    <w:rsid w:val="0059288C"/>
    <w:rsid w:val="00594DF0"/>
    <w:rsid w:val="00595213"/>
    <w:rsid w:val="0059570B"/>
    <w:rsid w:val="005A062C"/>
    <w:rsid w:val="005A29EB"/>
    <w:rsid w:val="005A35EF"/>
    <w:rsid w:val="005A3C43"/>
    <w:rsid w:val="005A4EC8"/>
    <w:rsid w:val="005A5576"/>
    <w:rsid w:val="005B107B"/>
    <w:rsid w:val="005B26F2"/>
    <w:rsid w:val="005B2894"/>
    <w:rsid w:val="005B2B31"/>
    <w:rsid w:val="005B30F1"/>
    <w:rsid w:val="005B3BAE"/>
    <w:rsid w:val="005B5FD0"/>
    <w:rsid w:val="005B749B"/>
    <w:rsid w:val="005B79AF"/>
    <w:rsid w:val="005B7B19"/>
    <w:rsid w:val="005C1AC9"/>
    <w:rsid w:val="005C4A1E"/>
    <w:rsid w:val="005C4EEF"/>
    <w:rsid w:val="005C5D01"/>
    <w:rsid w:val="005C6359"/>
    <w:rsid w:val="005C7126"/>
    <w:rsid w:val="005C7EB8"/>
    <w:rsid w:val="005C7FDF"/>
    <w:rsid w:val="005D0D53"/>
    <w:rsid w:val="005D21C6"/>
    <w:rsid w:val="005D2B9D"/>
    <w:rsid w:val="005D2ECD"/>
    <w:rsid w:val="005D32DC"/>
    <w:rsid w:val="005D3E58"/>
    <w:rsid w:val="005D436A"/>
    <w:rsid w:val="005E4F7E"/>
    <w:rsid w:val="005E730B"/>
    <w:rsid w:val="005E76CC"/>
    <w:rsid w:val="005F20F2"/>
    <w:rsid w:val="005F257A"/>
    <w:rsid w:val="005F2FBB"/>
    <w:rsid w:val="005F3BF3"/>
    <w:rsid w:val="005F70EA"/>
    <w:rsid w:val="006015DF"/>
    <w:rsid w:val="00601A11"/>
    <w:rsid w:val="006022AD"/>
    <w:rsid w:val="006028D5"/>
    <w:rsid w:val="00603A92"/>
    <w:rsid w:val="00603D4A"/>
    <w:rsid w:val="00605E1C"/>
    <w:rsid w:val="0060631C"/>
    <w:rsid w:val="0060639F"/>
    <w:rsid w:val="006064E5"/>
    <w:rsid w:val="0060699E"/>
    <w:rsid w:val="006071BF"/>
    <w:rsid w:val="00610691"/>
    <w:rsid w:val="00610BDF"/>
    <w:rsid w:val="00614A87"/>
    <w:rsid w:val="00615E17"/>
    <w:rsid w:val="00615E42"/>
    <w:rsid w:val="00615E76"/>
    <w:rsid w:val="00616E97"/>
    <w:rsid w:val="00616EAD"/>
    <w:rsid w:val="00620343"/>
    <w:rsid w:val="006215F7"/>
    <w:rsid w:val="0062212D"/>
    <w:rsid w:val="006226B7"/>
    <w:rsid w:val="00623E05"/>
    <w:rsid w:val="00624966"/>
    <w:rsid w:val="00625010"/>
    <w:rsid w:val="00625577"/>
    <w:rsid w:val="0062739E"/>
    <w:rsid w:val="00627939"/>
    <w:rsid w:val="00627A80"/>
    <w:rsid w:val="00627A9D"/>
    <w:rsid w:val="00627E38"/>
    <w:rsid w:val="00632541"/>
    <w:rsid w:val="00632744"/>
    <w:rsid w:val="006329FA"/>
    <w:rsid w:val="006340F4"/>
    <w:rsid w:val="00634286"/>
    <w:rsid w:val="00634BD3"/>
    <w:rsid w:val="00634D2F"/>
    <w:rsid w:val="0063500F"/>
    <w:rsid w:val="00635620"/>
    <w:rsid w:val="006368C6"/>
    <w:rsid w:val="00636CA6"/>
    <w:rsid w:val="0064477B"/>
    <w:rsid w:val="00644812"/>
    <w:rsid w:val="00646184"/>
    <w:rsid w:val="0065045B"/>
    <w:rsid w:val="006522DC"/>
    <w:rsid w:val="00654BDD"/>
    <w:rsid w:val="006558C5"/>
    <w:rsid w:val="00660214"/>
    <w:rsid w:val="006625E0"/>
    <w:rsid w:val="00662B4F"/>
    <w:rsid w:val="00662C30"/>
    <w:rsid w:val="0066307D"/>
    <w:rsid w:val="006632A0"/>
    <w:rsid w:val="006640F0"/>
    <w:rsid w:val="006641B7"/>
    <w:rsid w:val="00664A83"/>
    <w:rsid w:val="006658F9"/>
    <w:rsid w:val="00666384"/>
    <w:rsid w:val="00666F00"/>
    <w:rsid w:val="0067308A"/>
    <w:rsid w:val="00673983"/>
    <w:rsid w:val="00673EA5"/>
    <w:rsid w:val="006741CC"/>
    <w:rsid w:val="00675D9F"/>
    <w:rsid w:val="006763DA"/>
    <w:rsid w:val="006777AF"/>
    <w:rsid w:val="00677A2B"/>
    <w:rsid w:val="00677F3F"/>
    <w:rsid w:val="00680DCC"/>
    <w:rsid w:val="006813AA"/>
    <w:rsid w:val="00681F1F"/>
    <w:rsid w:val="00682EF5"/>
    <w:rsid w:val="00683F25"/>
    <w:rsid w:val="00684E8D"/>
    <w:rsid w:val="00684F1C"/>
    <w:rsid w:val="00685D03"/>
    <w:rsid w:val="006860B6"/>
    <w:rsid w:val="00690A3C"/>
    <w:rsid w:val="00692460"/>
    <w:rsid w:val="00693B6C"/>
    <w:rsid w:val="00694A64"/>
    <w:rsid w:val="006960D0"/>
    <w:rsid w:val="00697EE2"/>
    <w:rsid w:val="006A10B8"/>
    <w:rsid w:val="006A14C8"/>
    <w:rsid w:val="006A31A7"/>
    <w:rsid w:val="006A3270"/>
    <w:rsid w:val="006A331F"/>
    <w:rsid w:val="006A370D"/>
    <w:rsid w:val="006A3716"/>
    <w:rsid w:val="006A3C93"/>
    <w:rsid w:val="006A5065"/>
    <w:rsid w:val="006A5BA9"/>
    <w:rsid w:val="006A66B5"/>
    <w:rsid w:val="006A7B09"/>
    <w:rsid w:val="006B01BE"/>
    <w:rsid w:val="006B043A"/>
    <w:rsid w:val="006B10A2"/>
    <w:rsid w:val="006B138C"/>
    <w:rsid w:val="006B1B05"/>
    <w:rsid w:val="006B1CEF"/>
    <w:rsid w:val="006B1EC2"/>
    <w:rsid w:val="006B24BA"/>
    <w:rsid w:val="006B26FD"/>
    <w:rsid w:val="006B2993"/>
    <w:rsid w:val="006B4C14"/>
    <w:rsid w:val="006B5566"/>
    <w:rsid w:val="006B5C98"/>
    <w:rsid w:val="006B6434"/>
    <w:rsid w:val="006B7726"/>
    <w:rsid w:val="006C2310"/>
    <w:rsid w:val="006C2AA5"/>
    <w:rsid w:val="006C32D1"/>
    <w:rsid w:val="006C3A2F"/>
    <w:rsid w:val="006C4806"/>
    <w:rsid w:val="006C57BD"/>
    <w:rsid w:val="006C7B12"/>
    <w:rsid w:val="006D058A"/>
    <w:rsid w:val="006D21F3"/>
    <w:rsid w:val="006D2AE5"/>
    <w:rsid w:val="006D35C9"/>
    <w:rsid w:val="006D581C"/>
    <w:rsid w:val="006D664F"/>
    <w:rsid w:val="006D74AD"/>
    <w:rsid w:val="006E0C38"/>
    <w:rsid w:val="006E0D36"/>
    <w:rsid w:val="006E22A5"/>
    <w:rsid w:val="006E313C"/>
    <w:rsid w:val="006E3AD6"/>
    <w:rsid w:val="006E491A"/>
    <w:rsid w:val="006E56B6"/>
    <w:rsid w:val="006E5AB0"/>
    <w:rsid w:val="006E5F98"/>
    <w:rsid w:val="006E5FA3"/>
    <w:rsid w:val="006E6710"/>
    <w:rsid w:val="006E7E82"/>
    <w:rsid w:val="006F058B"/>
    <w:rsid w:val="006F1DF8"/>
    <w:rsid w:val="006F29FB"/>
    <w:rsid w:val="006F31A1"/>
    <w:rsid w:val="006F4103"/>
    <w:rsid w:val="006F4DC5"/>
    <w:rsid w:val="006F51C9"/>
    <w:rsid w:val="006F53A7"/>
    <w:rsid w:val="006F7636"/>
    <w:rsid w:val="00704FA3"/>
    <w:rsid w:val="007064A1"/>
    <w:rsid w:val="00710BAD"/>
    <w:rsid w:val="007116F5"/>
    <w:rsid w:val="00711D79"/>
    <w:rsid w:val="007121D3"/>
    <w:rsid w:val="0071290D"/>
    <w:rsid w:val="00713961"/>
    <w:rsid w:val="00714104"/>
    <w:rsid w:val="00714A05"/>
    <w:rsid w:val="00715A7C"/>
    <w:rsid w:val="00716A2E"/>
    <w:rsid w:val="00716BCC"/>
    <w:rsid w:val="0072073C"/>
    <w:rsid w:val="00720802"/>
    <w:rsid w:val="00720C33"/>
    <w:rsid w:val="00721AF0"/>
    <w:rsid w:val="00722289"/>
    <w:rsid w:val="00722349"/>
    <w:rsid w:val="00722565"/>
    <w:rsid w:val="00724198"/>
    <w:rsid w:val="007246D3"/>
    <w:rsid w:val="00724F9B"/>
    <w:rsid w:val="00727A46"/>
    <w:rsid w:val="00727AEA"/>
    <w:rsid w:val="00730041"/>
    <w:rsid w:val="007308DC"/>
    <w:rsid w:val="00730C4A"/>
    <w:rsid w:val="00733B12"/>
    <w:rsid w:val="00733EB5"/>
    <w:rsid w:val="00735FE3"/>
    <w:rsid w:val="007365A4"/>
    <w:rsid w:val="0074302E"/>
    <w:rsid w:val="00743506"/>
    <w:rsid w:val="0074385F"/>
    <w:rsid w:val="00743BD5"/>
    <w:rsid w:val="00744D97"/>
    <w:rsid w:val="00744F04"/>
    <w:rsid w:val="0074673A"/>
    <w:rsid w:val="007510AC"/>
    <w:rsid w:val="007511DB"/>
    <w:rsid w:val="0075222A"/>
    <w:rsid w:val="00753786"/>
    <w:rsid w:val="007553AF"/>
    <w:rsid w:val="00755FB6"/>
    <w:rsid w:val="0075603E"/>
    <w:rsid w:val="00756B6B"/>
    <w:rsid w:val="00757984"/>
    <w:rsid w:val="0076011A"/>
    <w:rsid w:val="0076052D"/>
    <w:rsid w:val="00760A3A"/>
    <w:rsid w:val="00760EA5"/>
    <w:rsid w:val="0076168D"/>
    <w:rsid w:val="0076220D"/>
    <w:rsid w:val="00765055"/>
    <w:rsid w:val="00765607"/>
    <w:rsid w:val="0076574C"/>
    <w:rsid w:val="00767950"/>
    <w:rsid w:val="007679E2"/>
    <w:rsid w:val="00770912"/>
    <w:rsid w:val="0077101A"/>
    <w:rsid w:val="00771395"/>
    <w:rsid w:val="00773062"/>
    <w:rsid w:val="00773C4E"/>
    <w:rsid w:val="00773DA3"/>
    <w:rsid w:val="00774011"/>
    <w:rsid w:val="007751B9"/>
    <w:rsid w:val="00775627"/>
    <w:rsid w:val="0077565E"/>
    <w:rsid w:val="00775853"/>
    <w:rsid w:val="00775960"/>
    <w:rsid w:val="00780208"/>
    <w:rsid w:val="00780266"/>
    <w:rsid w:val="00782D8D"/>
    <w:rsid w:val="007854BE"/>
    <w:rsid w:val="00785E33"/>
    <w:rsid w:val="00785F45"/>
    <w:rsid w:val="00786CA9"/>
    <w:rsid w:val="00786DB1"/>
    <w:rsid w:val="00790916"/>
    <w:rsid w:val="00791EC7"/>
    <w:rsid w:val="007944AB"/>
    <w:rsid w:val="00794AED"/>
    <w:rsid w:val="007951E5"/>
    <w:rsid w:val="007957FB"/>
    <w:rsid w:val="0079639E"/>
    <w:rsid w:val="00796500"/>
    <w:rsid w:val="007A08DC"/>
    <w:rsid w:val="007A1014"/>
    <w:rsid w:val="007A1A1C"/>
    <w:rsid w:val="007A24E3"/>
    <w:rsid w:val="007A2B58"/>
    <w:rsid w:val="007A3EEA"/>
    <w:rsid w:val="007A49AA"/>
    <w:rsid w:val="007A6801"/>
    <w:rsid w:val="007A7191"/>
    <w:rsid w:val="007A7759"/>
    <w:rsid w:val="007B1512"/>
    <w:rsid w:val="007B1954"/>
    <w:rsid w:val="007B1F8B"/>
    <w:rsid w:val="007B289A"/>
    <w:rsid w:val="007B2913"/>
    <w:rsid w:val="007B3F3B"/>
    <w:rsid w:val="007B456C"/>
    <w:rsid w:val="007B4D0D"/>
    <w:rsid w:val="007B508B"/>
    <w:rsid w:val="007B7F71"/>
    <w:rsid w:val="007C1CF1"/>
    <w:rsid w:val="007C22D7"/>
    <w:rsid w:val="007C2427"/>
    <w:rsid w:val="007C28E5"/>
    <w:rsid w:val="007C411A"/>
    <w:rsid w:val="007C7B9F"/>
    <w:rsid w:val="007D2949"/>
    <w:rsid w:val="007D2EE4"/>
    <w:rsid w:val="007D3159"/>
    <w:rsid w:val="007D4264"/>
    <w:rsid w:val="007D5311"/>
    <w:rsid w:val="007D5D76"/>
    <w:rsid w:val="007D6973"/>
    <w:rsid w:val="007D6AD6"/>
    <w:rsid w:val="007D7299"/>
    <w:rsid w:val="007D79A8"/>
    <w:rsid w:val="007E11B8"/>
    <w:rsid w:val="007E1943"/>
    <w:rsid w:val="007E1BBC"/>
    <w:rsid w:val="007E3A91"/>
    <w:rsid w:val="007E49C9"/>
    <w:rsid w:val="007E4BDD"/>
    <w:rsid w:val="007E76E6"/>
    <w:rsid w:val="007E7B48"/>
    <w:rsid w:val="007F1258"/>
    <w:rsid w:val="007F14AC"/>
    <w:rsid w:val="007F1C5E"/>
    <w:rsid w:val="007F2C35"/>
    <w:rsid w:val="007F3462"/>
    <w:rsid w:val="007F5D2D"/>
    <w:rsid w:val="007F6204"/>
    <w:rsid w:val="007F6F13"/>
    <w:rsid w:val="007F78B2"/>
    <w:rsid w:val="00800C5F"/>
    <w:rsid w:val="00801B33"/>
    <w:rsid w:val="00801C12"/>
    <w:rsid w:val="00803773"/>
    <w:rsid w:val="00803C77"/>
    <w:rsid w:val="008048E3"/>
    <w:rsid w:val="00804BFA"/>
    <w:rsid w:val="00807805"/>
    <w:rsid w:val="00810AB1"/>
    <w:rsid w:val="00811C0B"/>
    <w:rsid w:val="0081223E"/>
    <w:rsid w:val="00812B84"/>
    <w:rsid w:val="00812F4B"/>
    <w:rsid w:val="0081370E"/>
    <w:rsid w:val="00813EE6"/>
    <w:rsid w:val="00816543"/>
    <w:rsid w:val="0081765F"/>
    <w:rsid w:val="00817A9E"/>
    <w:rsid w:val="00817D50"/>
    <w:rsid w:val="008220C8"/>
    <w:rsid w:val="008238B0"/>
    <w:rsid w:val="00824865"/>
    <w:rsid w:val="00824AAA"/>
    <w:rsid w:val="0082599E"/>
    <w:rsid w:val="008270DB"/>
    <w:rsid w:val="00830186"/>
    <w:rsid w:val="0083085C"/>
    <w:rsid w:val="00830AA3"/>
    <w:rsid w:val="008328E4"/>
    <w:rsid w:val="00832BF1"/>
    <w:rsid w:val="008332B7"/>
    <w:rsid w:val="00835C25"/>
    <w:rsid w:val="00836D7E"/>
    <w:rsid w:val="00840182"/>
    <w:rsid w:val="0084044F"/>
    <w:rsid w:val="00842F6F"/>
    <w:rsid w:val="00843116"/>
    <w:rsid w:val="0084554B"/>
    <w:rsid w:val="008460D4"/>
    <w:rsid w:val="00850065"/>
    <w:rsid w:val="00851F60"/>
    <w:rsid w:val="0085311E"/>
    <w:rsid w:val="00853496"/>
    <w:rsid w:val="00853A23"/>
    <w:rsid w:val="00855E38"/>
    <w:rsid w:val="00855FC5"/>
    <w:rsid w:val="008566D9"/>
    <w:rsid w:val="00856ED6"/>
    <w:rsid w:val="00857C25"/>
    <w:rsid w:val="00861912"/>
    <w:rsid w:val="0086491A"/>
    <w:rsid w:val="00864B57"/>
    <w:rsid w:val="00864EE5"/>
    <w:rsid w:val="00865F4A"/>
    <w:rsid w:val="0086681B"/>
    <w:rsid w:val="008705E4"/>
    <w:rsid w:val="00870AA7"/>
    <w:rsid w:val="00871193"/>
    <w:rsid w:val="00871CC9"/>
    <w:rsid w:val="008720CC"/>
    <w:rsid w:val="0087276B"/>
    <w:rsid w:val="00872E15"/>
    <w:rsid w:val="00873687"/>
    <w:rsid w:val="00874DE9"/>
    <w:rsid w:val="0087504E"/>
    <w:rsid w:val="008751A6"/>
    <w:rsid w:val="00875D04"/>
    <w:rsid w:val="00877D5B"/>
    <w:rsid w:val="00880360"/>
    <w:rsid w:val="00880388"/>
    <w:rsid w:val="0088124C"/>
    <w:rsid w:val="0088155B"/>
    <w:rsid w:val="00882802"/>
    <w:rsid w:val="0088290C"/>
    <w:rsid w:val="008830E5"/>
    <w:rsid w:val="00884010"/>
    <w:rsid w:val="00887F75"/>
    <w:rsid w:val="0089193C"/>
    <w:rsid w:val="00892C73"/>
    <w:rsid w:val="00892CD4"/>
    <w:rsid w:val="00893A05"/>
    <w:rsid w:val="00895AEB"/>
    <w:rsid w:val="00895FA0"/>
    <w:rsid w:val="008A0CD1"/>
    <w:rsid w:val="008A31A4"/>
    <w:rsid w:val="008A39C9"/>
    <w:rsid w:val="008A3E4E"/>
    <w:rsid w:val="008A4565"/>
    <w:rsid w:val="008A47DC"/>
    <w:rsid w:val="008A4D49"/>
    <w:rsid w:val="008A4EC5"/>
    <w:rsid w:val="008B0A9F"/>
    <w:rsid w:val="008B2BFB"/>
    <w:rsid w:val="008B3514"/>
    <w:rsid w:val="008B436B"/>
    <w:rsid w:val="008B4AE7"/>
    <w:rsid w:val="008B565B"/>
    <w:rsid w:val="008B63B9"/>
    <w:rsid w:val="008B6BCD"/>
    <w:rsid w:val="008B6ED5"/>
    <w:rsid w:val="008B764E"/>
    <w:rsid w:val="008B7CB2"/>
    <w:rsid w:val="008C0F1C"/>
    <w:rsid w:val="008C13B4"/>
    <w:rsid w:val="008C36AA"/>
    <w:rsid w:val="008C44A1"/>
    <w:rsid w:val="008C45B8"/>
    <w:rsid w:val="008C4E27"/>
    <w:rsid w:val="008C5C15"/>
    <w:rsid w:val="008D0876"/>
    <w:rsid w:val="008D1CE9"/>
    <w:rsid w:val="008D2208"/>
    <w:rsid w:val="008D3302"/>
    <w:rsid w:val="008D354A"/>
    <w:rsid w:val="008D37DF"/>
    <w:rsid w:val="008D5468"/>
    <w:rsid w:val="008D64F2"/>
    <w:rsid w:val="008D6725"/>
    <w:rsid w:val="008D705A"/>
    <w:rsid w:val="008D7BAC"/>
    <w:rsid w:val="008E1B9D"/>
    <w:rsid w:val="008E237F"/>
    <w:rsid w:val="008E44F3"/>
    <w:rsid w:val="008E594E"/>
    <w:rsid w:val="008E5F4B"/>
    <w:rsid w:val="008E7602"/>
    <w:rsid w:val="008F0C57"/>
    <w:rsid w:val="008F256D"/>
    <w:rsid w:val="008F35B2"/>
    <w:rsid w:val="008F3DCA"/>
    <w:rsid w:val="008F4109"/>
    <w:rsid w:val="008F4222"/>
    <w:rsid w:val="0090045F"/>
    <w:rsid w:val="0090144A"/>
    <w:rsid w:val="009017C2"/>
    <w:rsid w:val="00902390"/>
    <w:rsid w:val="00902716"/>
    <w:rsid w:val="009034BD"/>
    <w:rsid w:val="009035F5"/>
    <w:rsid w:val="00903A5E"/>
    <w:rsid w:val="00904AB5"/>
    <w:rsid w:val="009059A6"/>
    <w:rsid w:val="00905C7F"/>
    <w:rsid w:val="009064F1"/>
    <w:rsid w:val="0090664B"/>
    <w:rsid w:val="009079E3"/>
    <w:rsid w:val="00907DEC"/>
    <w:rsid w:val="00910ABC"/>
    <w:rsid w:val="00911093"/>
    <w:rsid w:val="009111C3"/>
    <w:rsid w:val="00911E8E"/>
    <w:rsid w:val="009127B3"/>
    <w:rsid w:val="0091300B"/>
    <w:rsid w:val="00913239"/>
    <w:rsid w:val="009143E6"/>
    <w:rsid w:val="009157FC"/>
    <w:rsid w:val="00916726"/>
    <w:rsid w:val="00916A23"/>
    <w:rsid w:val="009200E3"/>
    <w:rsid w:val="00923BE9"/>
    <w:rsid w:val="009259C8"/>
    <w:rsid w:val="009269D8"/>
    <w:rsid w:val="00926DBA"/>
    <w:rsid w:val="0092704F"/>
    <w:rsid w:val="009314A8"/>
    <w:rsid w:val="00932018"/>
    <w:rsid w:val="00935112"/>
    <w:rsid w:val="009368BB"/>
    <w:rsid w:val="009376B5"/>
    <w:rsid w:val="00937704"/>
    <w:rsid w:val="00937828"/>
    <w:rsid w:val="00937C32"/>
    <w:rsid w:val="009400B5"/>
    <w:rsid w:val="0094221C"/>
    <w:rsid w:val="009441CC"/>
    <w:rsid w:val="009445D4"/>
    <w:rsid w:val="009473DB"/>
    <w:rsid w:val="00947F51"/>
    <w:rsid w:val="00950C80"/>
    <w:rsid w:val="009515D6"/>
    <w:rsid w:val="00953D38"/>
    <w:rsid w:val="00956345"/>
    <w:rsid w:val="009565A3"/>
    <w:rsid w:val="00956EDB"/>
    <w:rsid w:val="00957B81"/>
    <w:rsid w:val="00960B20"/>
    <w:rsid w:val="00961A1F"/>
    <w:rsid w:val="009624DD"/>
    <w:rsid w:val="00964D27"/>
    <w:rsid w:val="009656B7"/>
    <w:rsid w:val="00965CB9"/>
    <w:rsid w:val="0096779C"/>
    <w:rsid w:val="00970194"/>
    <w:rsid w:val="009714A8"/>
    <w:rsid w:val="009715A6"/>
    <w:rsid w:val="00971C9A"/>
    <w:rsid w:val="00972D2C"/>
    <w:rsid w:val="00973DD9"/>
    <w:rsid w:val="009762A4"/>
    <w:rsid w:val="0097702F"/>
    <w:rsid w:val="00977A0B"/>
    <w:rsid w:val="00981A9C"/>
    <w:rsid w:val="00981C35"/>
    <w:rsid w:val="00983B21"/>
    <w:rsid w:val="009875FA"/>
    <w:rsid w:val="00992A5C"/>
    <w:rsid w:val="00995915"/>
    <w:rsid w:val="009A0596"/>
    <w:rsid w:val="009A1EF6"/>
    <w:rsid w:val="009A218D"/>
    <w:rsid w:val="009A3863"/>
    <w:rsid w:val="009A3B84"/>
    <w:rsid w:val="009A46EE"/>
    <w:rsid w:val="009A582A"/>
    <w:rsid w:val="009A59AB"/>
    <w:rsid w:val="009A6320"/>
    <w:rsid w:val="009A7A0C"/>
    <w:rsid w:val="009B13D3"/>
    <w:rsid w:val="009B213C"/>
    <w:rsid w:val="009B2163"/>
    <w:rsid w:val="009B38E1"/>
    <w:rsid w:val="009C188A"/>
    <w:rsid w:val="009C1A7A"/>
    <w:rsid w:val="009C2FF5"/>
    <w:rsid w:val="009C3A8E"/>
    <w:rsid w:val="009C62E2"/>
    <w:rsid w:val="009C7102"/>
    <w:rsid w:val="009C7956"/>
    <w:rsid w:val="009D29E1"/>
    <w:rsid w:val="009D360A"/>
    <w:rsid w:val="009D3714"/>
    <w:rsid w:val="009D4808"/>
    <w:rsid w:val="009D4B8B"/>
    <w:rsid w:val="009D5E59"/>
    <w:rsid w:val="009D720F"/>
    <w:rsid w:val="009D7B7A"/>
    <w:rsid w:val="009E59AC"/>
    <w:rsid w:val="009E5DED"/>
    <w:rsid w:val="009E626B"/>
    <w:rsid w:val="009E63CB"/>
    <w:rsid w:val="009E683C"/>
    <w:rsid w:val="009E6CDA"/>
    <w:rsid w:val="009E74CA"/>
    <w:rsid w:val="009F092E"/>
    <w:rsid w:val="009F145F"/>
    <w:rsid w:val="009F1C4B"/>
    <w:rsid w:val="009F4386"/>
    <w:rsid w:val="009F5579"/>
    <w:rsid w:val="009F571C"/>
    <w:rsid w:val="009F583D"/>
    <w:rsid w:val="009F5AD0"/>
    <w:rsid w:val="009F6183"/>
    <w:rsid w:val="009F623F"/>
    <w:rsid w:val="009F7645"/>
    <w:rsid w:val="00A00271"/>
    <w:rsid w:val="00A01198"/>
    <w:rsid w:val="00A02132"/>
    <w:rsid w:val="00A025BC"/>
    <w:rsid w:val="00A02BCF"/>
    <w:rsid w:val="00A03D7B"/>
    <w:rsid w:val="00A04FC8"/>
    <w:rsid w:val="00A06E1F"/>
    <w:rsid w:val="00A0703E"/>
    <w:rsid w:val="00A07386"/>
    <w:rsid w:val="00A07567"/>
    <w:rsid w:val="00A075FD"/>
    <w:rsid w:val="00A077FF"/>
    <w:rsid w:val="00A079E0"/>
    <w:rsid w:val="00A07EEA"/>
    <w:rsid w:val="00A10D5A"/>
    <w:rsid w:val="00A11065"/>
    <w:rsid w:val="00A1132F"/>
    <w:rsid w:val="00A116A1"/>
    <w:rsid w:val="00A12B34"/>
    <w:rsid w:val="00A1311E"/>
    <w:rsid w:val="00A15AC1"/>
    <w:rsid w:val="00A202F5"/>
    <w:rsid w:val="00A20FDE"/>
    <w:rsid w:val="00A3019E"/>
    <w:rsid w:val="00A30F51"/>
    <w:rsid w:val="00A32367"/>
    <w:rsid w:val="00A32604"/>
    <w:rsid w:val="00A328B1"/>
    <w:rsid w:val="00A3291F"/>
    <w:rsid w:val="00A32FDF"/>
    <w:rsid w:val="00A33E34"/>
    <w:rsid w:val="00A34AF5"/>
    <w:rsid w:val="00A35584"/>
    <w:rsid w:val="00A363EB"/>
    <w:rsid w:val="00A37D4A"/>
    <w:rsid w:val="00A40CAB"/>
    <w:rsid w:val="00A40E42"/>
    <w:rsid w:val="00A4127E"/>
    <w:rsid w:val="00A429D3"/>
    <w:rsid w:val="00A4409D"/>
    <w:rsid w:val="00A44E4C"/>
    <w:rsid w:val="00A45B77"/>
    <w:rsid w:val="00A45E5C"/>
    <w:rsid w:val="00A5078C"/>
    <w:rsid w:val="00A5273C"/>
    <w:rsid w:val="00A53BE3"/>
    <w:rsid w:val="00A53D77"/>
    <w:rsid w:val="00A549F2"/>
    <w:rsid w:val="00A55DA0"/>
    <w:rsid w:val="00A55EF3"/>
    <w:rsid w:val="00A61A22"/>
    <w:rsid w:val="00A61B2C"/>
    <w:rsid w:val="00A631F4"/>
    <w:rsid w:val="00A63D66"/>
    <w:rsid w:val="00A649D1"/>
    <w:rsid w:val="00A66093"/>
    <w:rsid w:val="00A66C97"/>
    <w:rsid w:val="00A7215C"/>
    <w:rsid w:val="00A726E2"/>
    <w:rsid w:val="00A72AC5"/>
    <w:rsid w:val="00A72F4D"/>
    <w:rsid w:val="00A774FE"/>
    <w:rsid w:val="00A819E1"/>
    <w:rsid w:val="00A821C2"/>
    <w:rsid w:val="00A82287"/>
    <w:rsid w:val="00A82E3F"/>
    <w:rsid w:val="00A82F84"/>
    <w:rsid w:val="00A83488"/>
    <w:rsid w:val="00A835C8"/>
    <w:rsid w:val="00A83A67"/>
    <w:rsid w:val="00A83C99"/>
    <w:rsid w:val="00A83D27"/>
    <w:rsid w:val="00A84DDA"/>
    <w:rsid w:val="00A864BA"/>
    <w:rsid w:val="00A864CE"/>
    <w:rsid w:val="00A874FD"/>
    <w:rsid w:val="00A90313"/>
    <w:rsid w:val="00A92898"/>
    <w:rsid w:val="00A93D43"/>
    <w:rsid w:val="00A96064"/>
    <w:rsid w:val="00A96170"/>
    <w:rsid w:val="00A971F2"/>
    <w:rsid w:val="00A97588"/>
    <w:rsid w:val="00A9777F"/>
    <w:rsid w:val="00AA17DE"/>
    <w:rsid w:val="00AA2D2B"/>
    <w:rsid w:val="00AA2F40"/>
    <w:rsid w:val="00AA32C6"/>
    <w:rsid w:val="00AA32D6"/>
    <w:rsid w:val="00AA4284"/>
    <w:rsid w:val="00AA462D"/>
    <w:rsid w:val="00AA4983"/>
    <w:rsid w:val="00AA5516"/>
    <w:rsid w:val="00AA64FE"/>
    <w:rsid w:val="00AB01BA"/>
    <w:rsid w:val="00AB0A0F"/>
    <w:rsid w:val="00AB0FA8"/>
    <w:rsid w:val="00AB1C6B"/>
    <w:rsid w:val="00AB2075"/>
    <w:rsid w:val="00AB2790"/>
    <w:rsid w:val="00AB4391"/>
    <w:rsid w:val="00AB45F7"/>
    <w:rsid w:val="00AB4814"/>
    <w:rsid w:val="00AB48DC"/>
    <w:rsid w:val="00AB6847"/>
    <w:rsid w:val="00AB6931"/>
    <w:rsid w:val="00AB703F"/>
    <w:rsid w:val="00AC030A"/>
    <w:rsid w:val="00AC05EC"/>
    <w:rsid w:val="00AC227B"/>
    <w:rsid w:val="00AC279E"/>
    <w:rsid w:val="00AC28DD"/>
    <w:rsid w:val="00AC3A61"/>
    <w:rsid w:val="00AC41F2"/>
    <w:rsid w:val="00AC44B6"/>
    <w:rsid w:val="00AC47E8"/>
    <w:rsid w:val="00AC4DDD"/>
    <w:rsid w:val="00AD0E7F"/>
    <w:rsid w:val="00AD13C7"/>
    <w:rsid w:val="00AD234A"/>
    <w:rsid w:val="00AD26EA"/>
    <w:rsid w:val="00AD2AC3"/>
    <w:rsid w:val="00AD2C58"/>
    <w:rsid w:val="00AD311D"/>
    <w:rsid w:val="00AD33FD"/>
    <w:rsid w:val="00AD354C"/>
    <w:rsid w:val="00AD40D2"/>
    <w:rsid w:val="00AD5A42"/>
    <w:rsid w:val="00AE0389"/>
    <w:rsid w:val="00AE0392"/>
    <w:rsid w:val="00AE0B7F"/>
    <w:rsid w:val="00AE1769"/>
    <w:rsid w:val="00AE186D"/>
    <w:rsid w:val="00AE21B2"/>
    <w:rsid w:val="00AE2563"/>
    <w:rsid w:val="00AE3766"/>
    <w:rsid w:val="00AE4553"/>
    <w:rsid w:val="00AE463D"/>
    <w:rsid w:val="00AE47B4"/>
    <w:rsid w:val="00AE5163"/>
    <w:rsid w:val="00AE608C"/>
    <w:rsid w:val="00AF081D"/>
    <w:rsid w:val="00AF2579"/>
    <w:rsid w:val="00AF289B"/>
    <w:rsid w:val="00AF2C23"/>
    <w:rsid w:val="00AF4692"/>
    <w:rsid w:val="00AF572A"/>
    <w:rsid w:val="00AF7433"/>
    <w:rsid w:val="00B002D3"/>
    <w:rsid w:val="00B00D28"/>
    <w:rsid w:val="00B0265D"/>
    <w:rsid w:val="00B02ED6"/>
    <w:rsid w:val="00B03254"/>
    <w:rsid w:val="00B0447B"/>
    <w:rsid w:val="00B04DFA"/>
    <w:rsid w:val="00B05E4C"/>
    <w:rsid w:val="00B06484"/>
    <w:rsid w:val="00B104DB"/>
    <w:rsid w:val="00B1140A"/>
    <w:rsid w:val="00B12590"/>
    <w:rsid w:val="00B14828"/>
    <w:rsid w:val="00B14C52"/>
    <w:rsid w:val="00B1598A"/>
    <w:rsid w:val="00B15CEB"/>
    <w:rsid w:val="00B16988"/>
    <w:rsid w:val="00B169F8"/>
    <w:rsid w:val="00B16F07"/>
    <w:rsid w:val="00B20551"/>
    <w:rsid w:val="00B21153"/>
    <w:rsid w:val="00B2233D"/>
    <w:rsid w:val="00B23533"/>
    <w:rsid w:val="00B247F5"/>
    <w:rsid w:val="00B26163"/>
    <w:rsid w:val="00B261B2"/>
    <w:rsid w:val="00B26B3A"/>
    <w:rsid w:val="00B27ED2"/>
    <w:rsid w:val="00B30411"/>
    <w:rsid w:val="00B3068F"/>
    <w:rsid w:val="00B35124"/>
    <w:rsid w:val="00B35AA2"/>
    <w:rsid w:val="00B371EC"/>
    <w:rsid w:val="00B407F4"/>
    <w:rsid w:val="00B40FF2"/>
    <w:rsid w:val="00B430B5"/>
    <w:rsid w:val="00B439EB"/>
    <w:rsid w:val="00B43C92"/>
    <w:rsid w:val="00B44C1A"/>
    <w:rsid w:val="00B45F66"/>
    <w:rsid w:val="00B464E2"/>
    <w:rsid w:val="00B46D14"/>
    <w:rsid w:val="00B50276"/>
    <w:rsid w:val="00B52A12"/>
    <w:rsid w:val="00B53B4E"/>
    <w:rsid w:val="00B5515A"/>
    <w:rsid w:val="00B556A3"/>
    <w:rsid w:val="00B5668E"/>
    <w:rsid w:val="00B57D4B"/>
    <w:rsid w:val="00B602C0"/>
    <w:rsid w:val="00B6063E"/>
    <w:rsid w:val="00B6137C"/>
    <w:rsid w:val="00B61627"/>
    <w:rsid w:val="00B6293B"/>
    <w:rsid w:val="00B6359E"/>
    <w:rsid w:val="00B668E8"/>
    <w:rsid w:val="00B66E51"/>
    <w:rsid w:val="00B671B7"/>
    <w:rsid w:val="00B67F0C"/>
    <w:rsid w:val="00B67FC5"/>
    <w:rsid w:val="00B70027"/>
    <w:rsid w:val="00B70925"/>
    <w:rsid w:val="00B7293A"/>
    <w:rsid w:val="00B72953"/>
    <w:rsid w:val="00B737C2"/>
    <w:rsid w:val="00B73AB6"/>
    <w:rsid w:val="00B74BED"/>
    <w:rsid w:val="00B75508"/>
    <w:rsid w:val="00B760B5"/>
    <w:rsid w:val="00B7689F"/>
    <w:rsid w:val="00B76A0C"/>
    <w:rsid w:val="00B7716C"/>
    <w:rsid w:val="00B80B2E"/>
    <w:rsid w:val="00B8140E"/>
    <w:rsid w:val="00B81964"/>
    <w:rsid w:val="00B8292D"/>
    <w:rsid w:val="00B82FB4"/>
    <w:rsid w:val="00B83030"/>
    <w:rsid w:val="00B831C8"/>
    <w:rsid w:val="00B8346D"/>
    <w:rsid w:val="00B83D2A"/>
    <w:rsid w:val="00B8556B"/>
    <w:rsid w:val="00B85DC9"/>
    <w:rsid w:val="00B85E68"/>
    <w:rsid w:val="00B86A6A"/>
    <w:rsid w:val="00B8764C"/>
    <w:rsid w:val="00B9109A"/>
    <w:rsid w:val="00B931AB"/>
    <w:rsid w:val="00B93450"/>
    <w:rsid w:val="00B954F0"/>
    <w:rsid w:val="00BA0559"/>
    <w:rsid w:val="00BA1DDD"/>
    <w:rsid w:val="00BA322A"/>
    <w:rsid w:val="00BA3D13"/>
    <w:rsid w:val="00BA56B4"/>
    <w:rsid w:val="00BA62E0"/>
    <w:rsid w:val="00BA7599"/>
    <w:rsid w:val="00BB011E"/>
    <w:rsid w:val="00BB1CE6"/>
    <w:rsid w:val="00BB34DB"/>
    <w:rsid w:val="00BB4301"/>
    <w:rsid w:val="00BB4BD9"/>
    <w:rsid w:val="00BB518A"/>
    <w:rsid w:val="00BB76C7"/>
    <w:rsid w:val="00BB7F68"/>
    <w:rsid w:val="00BC0723"/>
    <w:rsid w:val="00BC0973"/>
    <w:rsid w:val="00BC17C0"/>
    <w:rsid w:val="00BC19D3"/>
    <w:rsid w:val="00BC202A"/>
    <w:rsid w:val="00BC3827"/>
    <w:rsid w:val="00BC4A0A"/>
    <w:rsid w:val="00BC4BCF"/>
    <w:rsid w:val="00BC5343"/>
    <w:rsid w:val="00BC6696"/>
    <w:rsid w:val="00BC7313"/>
    <w:rsid w:val="00BD0EBF"/>
    <w:rsid w:val="00BD141E"/>
    <w:rsid w:val="00BD1FEE"/>
    <w:rsid w:val="00BD2100"/>
    <w:rsid w:val="00BD3A54"/>
    <w:rsid w:val="00BD3CA9"/>
    <w:rsid w:val="00BD4B3A"/>
    <w:rsid w:val="00BD5B20"/>
    <w:rsid w:val="00BD7BC1"/>
    <w:rsid w:val="00BE1182"/>
    <w:rsid w:val="00BE2B4E"/>
    <w:rsid w:val="00BE3389"/>
    <w:rsid w:val="00BE47F0"/>
    <w:rsid w:val="00BE5750"/>
    <w:rsid w:val="00BE5F93"/>
    <w:rsid w:val="00BE6A42"/>
    <w:rsid w:val="00BE7781"/>
    <w:rsid w:val="00BF2EBD"/>
    <w:rsid w:val="00BF68F5"/>
    <w:rsid w:val="00BF6DE9"/>
    <w:rsid w:val="00C00089"/>
    <w:rsid w:val="00C00865"/>
    <w:rsid w:val="00C016A4"/>
    <w:rsid w:val="00C01DCE"/>
    <w:rsid w:val="00C028F2"/>
    <w:rsid w:val="00C0439F"/>
    <w:rsid w:val="00C045A5"/>
    <w:rsid w:val="00C0567B"/>
    <w:rsid w:val="00C05EA9"/>
    <w:rsid w:val="00C06058"/>
    <w:rsid w:val="00C06910"/>
    <w:rsid w:val="00C10934"/>
    <w:rsid w:val="00C10BF9"/>
    <w:rsid w:val="00C10D04"/>
    <w:rsid w:val="00C12FB4"/>
    <w:rsid w:val="00C133C8"/>
    <w:rsid w:val="00C136B2"/>
    <w:rsid w:val="00C13E26"/>
    <w:rsid w:val="00C16040"/>
    <w:rsid w:val="00C16773"/>
    <w:rsid w:val="00C16974"/>
    <w:rsid w:val="00C1745B"/>
    <w:rsid w:val="00C178F5"/>
    <w:rsid w:val="00C17D30"/>
    <w:rsid w:val="00C20232"/>
    <w:rsid w:val="00C215F3"/>
    <w:rsid w:val="00C2374D"/>
    <w:rsid w:val="00C24BCE"/>
    <w:rsid w:val="00C25C60"/>
    <w:rsid w:val="00C25C8D"/>
    <w:rsid w:val="00C264E8"/>
    <w:rsid w:val="00C27EB4"/>
    <w:rsid w:val="00C31052"/>
    <w:rsid w:val="00C313CC"/>
    <w:rsid w:val="00C3238A"/>
    <w:rsid w:val="00C3254E"/>
    <w:rsid w:val="00C327CA"/>
    <w:rsid w:val="00C32AD0"/>
    <w:rsid w:val="00C3411B"/>
    <w:rsid w:val="00C34435"/>
    <w:rsid w:val="00C34A23"/>
    <w:rsid w:val="00C35865"/>
    <w:rsid w:val="00C36BB5"/>
    <w:rsid w:val="00C36DAA"/>
    <w:rsid w:val="00C40274"/>
    <w:rsid w:val="00C408CD"/>
    <w:rsid w:val="00C419BA"/>
    <w:rsid w:val="00C42849"/>
    <w:rsid w:val="00C429ED"/>
    <w:rsid w:val="00C43F54"/>
    <w:rsid w:val="00C4422A"/>
    <w:rsid w:val="00C4452C"/>
    <w:rsid w:val="00C445F9"/>
    <w:rsid w:val="00C45B73"/>
    <w:rsid w:val="00C45CD5"/>
    <w:rsid w:val="00C46099"/>
    <w:rsid w:val="00C46F04"/>
    <w:rsid w:val="00C50845"/>
    <w:rsid w:val="00C50C19"/>
    <w:rsid w:val="00C51A83"/>
    <w:rsid w:val="00C53A1B"/>
    <w:rsid w:val="00C54064"/>
    <w:rsid w:val="00C556E7"/>
    <w:rsid w:val="00C55C57"/>
    <w:rsid w:val="00C561A0"/>
    <w:rsid w:val="00C5625B"/>
    <w:rsid w:val="00C56BBE"/>
    <w:rsid w:val="00C658A3"/>
    <w:rsid w:val="00C6769E"/>
    <w:rsid w:val="00C67B26"/>
    <w:rsid w:val="00C7046A"/>
    <w:rsid w:val="00C706BC"/>
    <w:rsid w:val="00C711D2"/>
    <w:rsid w:val="00C71AEF"/>
    <w:rsid w:val="00C7375B"/>
    <w:rsid w:val="00C73C4B"/>
    <w:rsid w:val="00C7526A"/>
    <w:rsid w:val="00C75D62"/>
    <w:rsid w:val="00C81774"/>
    <w:rsid w:val="00C8350A"/>
    <w:rsid w:val="00C87296"/>
    <w:rsid w:val="00C92909"/>
    <w:rsid w:val="00C92D25"/>
    <w:rsid w:val="00C93938"/>
    <w:rsid w:val="00C93A4D"/>
    <w:rsid w:val="00C93A5D"/>
    <w:rsid w:val="00C95B8F"/>
    <w:rsid w:val="00C95F60"/>
    <w:rsid w:val="00C9695E"/>
    <w:rsid w:val="00C96EF2"/>
    <w:rsid w:val="00C976F6"/>
    <w:rsid w:val="00C97BB0"/>
    <w:rsid w:val="00CA02F7"/>
    <w:rsid w:val="00CA0687"/>
    <w:rsid w:val="00CA0829"/>
    <w:rsid w:val="00CA0A5A"/>
    <w:rsid w:val="00CA168D"/>
    <w:rsid w:val="00CA1B89"/>
    <w:rsid w:val="00CA2969"/>
    <w:rsid w:val="00CA40DC"/>
    <w:rsid w:val="00CA4674"/>
    <w:rsid w:val="00CA4D86"/>
    <w:rsid w:val="00CA5165"/>
    <w:rsid w:val="00CA5547"/>
    <w:rsid w:val="00CA58AB"/>
    <w:rsid w:val="00CA6851"/>
    <w:rsid w:val="00CB005D"/>
    <w:rsid w:val="00CB02E9"/>
    <w:rsid w:val="00CB100B"/>
    <w:rsid w:val="00CB11CD"/>
    <w:rsid w:val="00CB2329"/>
    <w:rsid w:val="00CB2BBF"/>
    <w:rsid w:val="00CB2D4C"/>
    <w:rsid w:val="00CB2ED8"/>
    <w:rsid w:val="00CB40B7"/>
    <w:rsid w:val="00CB7289"/>
    <w:rsid w:val="00CB7512"/>
    <w:rsid w:val="00CC0E68"/>
    <w:rsid w:val="00CC19BE"/>
    <w:rsid w:val="00CC4867"/>
    <w:rsid w:val="00CC5B3E"/>
    <w:rsid w:val="00CC5D23"/>
    <w:rsid w:val="00CC738F"/>
    <w:rsid w:val="00CC794B"/>
    <w:rsid w:val="00CD023A"/>
    <w:rsid w:val="00CD033E"/>
    <w:rsid w:val="00CD038B"/>
    <w:rsid w:val="00CD061C"/>
    <w:rsid w:val="00CD24E5"/>
    <w:rsid w:val="00CD2994"/>
    <w:rsid w:val="00CD3209"/>
    <w:rsid w:val="00CD3EE4"/>
    <w:rsid w:val="00CD465A"/>
    <w:rsid w:val="00CD645A"/>
    <w:rsid w:val="00CD7F72"/>
    <w:rsid w:val="00CE0079"/>
    <w:rsid w:val="00CE0383"/>
    <w:rsid w:val="00CE22B0"/>
    <w:rsid w:val="00CF02FD"/>
    <w:rsid w:val="00CF074D"/>
    <w:rsid w:val="00CF1447"/>
    <w:rsid w:val="00CF1782"/>
    <w:rsid w:val="00CF22B7"/>
    <w:rsid w:val="00CF270E"/>
    <w:rsid w:val="00CF3A52"/>
    <w:rsid w:val="00CF4A77"/>
    <w:rsid w:val="00CF5DF1"/>
    <w:rsid w:val="00CF6509"/>
    <w:rsid w:val="00D00F44"/>
    <w:rsid w:val="00D01DB1"/>
    <w:rsid w:val="00D0214D"/>
    <w:rsid w:val="00D045DA"/>
    <w:rsid w:val="00D04689"/>
    <w:rsid w:val="00D04AC2"/>
    <w:rsid w:val="00D05D7B"/>
    <w:rsid w:val="00D109B4"/>
    <w:rsid w:val="00D10CB7"/>
    <w:rsid w:val="00D1115A"/>
    <w:rsid w:val="00D1129C"/>
    <w:rsid w:val="00D11F56"/>
    <w:rsid w:val="00D11F66"/>
    <w:rsid w:val="00D120B7"/>
    <w:rsid w:val="00D12295"/>
    <w:rsid w:val="00D15148"/>
    <w:rsid w:val="00D16E5A"/>
    <w:rsid w:val="00D206FA"/>
    <w:rsid w:val="00D20F97"/>
    <w:rsid w:val="00D21265"/>
    <w:rsid w:val="00D214D9"/>
    <w:rsid w:val="00D21654"/>
    <w:rsid w:val="00D22148"/>
    <w:rsid w:val="00D22E92"/>
    <w:rsid w:val="00D23643"/>
    <w:rsid w:val="00D2477B"/>
    <w:rsid w:val="00D25017"/>
    <w:rsid w:val="00D250EC"/>
    <w:rsid w:val="00D26092"/>
    <w:rsid w:val="00D26927"/>
    <w:rsid w:val="00D26D81"/>
    <w:rsid w:val="00D30507"/>
    <w:rsid w:val="00D32642"/>
    <w:rsid w:val="00D32F76"/>
    <w:rsid w:val="00D344D9"/>
    <w:rsid w:val="00D34942"/>
    <w:rsid w:val="00D3512F"/>
    <w:rsid w:val="00D3561C"/>
    <w:rsid w:val="00D3579A"/>
    <w:rsid w:val="00D36AAD"/>
    <w:rsid w:val="00D37182"/>
    <w:rsid w:val="00D40B21"/>
    <w:rsid w:val="00D415A5"/>
    <w:rsid w:val="00D41610"/>
    <w:rsid w:val="00D42069"/>
    <w:rsid w:val="00D451E6"/>
    <w:rsid w:val="00D46ADB"/>
    <w:rsid w:val="00D4737F"/>
    <w:rsid w:val="00D50CEC"/>
    <w:rsid w:val="00D51E08"/>
    <w:rsid w:val="00D531C9"/>
    <w:rsid w:val="00D53689"/>
    <w:rsid w:val="00D5387C"/>
    <w:rsid w:val="00D54055"/>
    <w:rsid w:val="00D549E7"/>
    <w:rsid w:val="00D603EB"/>
    <w:rsid w:val="00D60704"/>
    <w:rsid w:val="00D613D5"/>
    <w:rsid w:val="00D62064"/>
    <w:rsid w:val="00D6279F"/>
    <w:rsid w:val="00D62D01"/>
    <w:rsid w:val="00D63740"/>
    <w:rsid w:val="00D64A64"/>
    <w:rsid w:val="00D64F26"/>
    <w:rsid w:val="00D661A8"/>
    <w:rsid w:val="00D66743"/>
    <w:rsid w:val="00D67BE1"/>
    <w:rsid w:val="00D7034B"/>
    <w:rsid w:val="00D705E6"/>
    <w:rsid w:val="00D70BE7"/>
    <w:rsid w:val="00D714B5"/>
    <w:rsid w:val="00D72217"/>
    <w:rsid w:val="00D7244C"/>
    <w:rsid w:val="00D72631"/>
    <w:rsid w:val="00D74568"/>
    <w:rsid w:val="00D776A2"/>
    <w:rsid w:val="00D77799"/>
    <w:rsid w:val="00D802FA"/>
    <w:rsid w:val="00D8039E"/>
    <w:rsid w:val="00D8104A"/>
    <w:rsid w:val="00D81EA5"/>
    <w:rsid w:val="00D828C2"/>
    <w:rsid w:val="00D831A3"/>
    <w:rsid w:val="00D854D8"/>
    <w:rsid w:val="00D868EB"/>
    <w:rsid w:val="00D870AB"/>
    <w:rsid w:val="00D87C7A"/>
    <w:rsid w:val="00D9053E"/>
    <w:rsid w:val="00D91BA1"/>
    <w:rsid w:val="00D92F40"/>
    <w:rsid w:val="00D93AFF"/>
    <w:rsid w:val="00D97B55"/>
    <w:rsid w:val="00D97C28"/>
    <w:rsid w:val="00DA0510"/>
    <w:rsid w:val="00DA0636"/>
    <w:rsid w:val="00DA1013"/>
    <w:rsid w:val="00DA2615"/>
    <w:rsid w:val="00DA3A1A"/>
    <w:rsid w:val="00DA5FA6"/>
    <w:rsid w:val="00DA6345"/>
    <w:rsid w:val="00DA686A"/>
    <w:rsid w:val="00DA6B2E"/>
    <w:rsid w:val="00DA7824"/>
    <w:rsid w:val="00DA7956"/>
    <w:rsid w:val="00DA7B3C"/>
    <w:rsid w:val="00DA7EA0"/>
    <w:rsid w:val="00DB16D2"/>
    <w:rsid w:val="00DB1B37"/>
    <w:rsid w:val="00DB1C1F"/>
    <w:rsid w:val="00DB2931"/>
    <w:rsid w:val="00DB3095"/>
    <w:rsid w:val="00DB3344"/>
    <w:rsid w:val="00DB3427"/>
    <w:rsid w:val="00DB3619"/>
    <w:rsid w:val="00DB5993"/>
    <w:rsid w:val="00DB5D30"/>
    <w:rsid w:val="00DB66C1"/>
    <w:rsid w:val="00DB6A45"/>
    <w:rsid w:val="00DB6F80"/>
    <w:rsid w:val="00DB754D"/>
    <w:rsid w:val="00DB7796"/>
    <w:rsid w:val="00DB7D37"/>
    <w:rsid w:val="00DC06B7"/>
    <w:rsid w:val="00DC0BCD"/>
    <w:rsid w:val="00DC1B63"/>
    <w:rsid w:val="00DC2690"/>
    <w:rsid w:val="00DC2CC8"/>
    <w:rsid w:val="00DC3487"/>
    <w:rsid w:val="00DC4B6A"/>
    <w:rsid w:val="00DC615E"/>
    <w:rsid w:val="00DC63E9"/>
    <w:rsid w:val="00DC7583"/>
    <w:rsid w:val="00DD1D45"/>
    <w:rsid w:val="00DD1F69"/>
    <w:rsid w:val="00DD2B0A"/>
    <w:rsid w:val="00DD2DB5"/>
    <w:rsid w:val="00DD4638"/>
    <w:rsid w:val="00DD4835"/>
    <w:rsid w:val="00DD4B28"/>
    <w:rsid w:val="00DD4F0F"/>
    <w:rsid w:val="00DD756A"/>
    <w:rsid w:val="00DE116C"/>
    <w:rsid w:val="00DE3B13"/>
    <w:rsid w:val="00DE4AF2"/>
    <w:rsid w:val="00DE4C92"/>
    <w:rsid w:val="00DE4FDE"/>
    <w:rsid w:val="00DE522A"/>
    <w:rsid w:val="00DE6381"/>
    <w:rsid w:val="00DE63C1"/>
    <w:rsid w:val="00DF0D12"/>
    <w:rsid w:val="00DF0F7B"/>
    <w:rsid w:val="00DF1900"/>
    <w:rsid w:val="00DF2C36"/>
    <w:rsid w:val="00DF4FA8"/>
    <w:rsid w:val="00DF697A"/>
    <w:rsid w:val="00DF7784"/>
    <w:rsid w:val="00E00B44"/>
    <w:rsid w:val="00E01DE7"/>
    <w:rsid w:val="00E02519"/>
    <w:rsid w:val="00E0391E"/>
    <w:rsid w:val="00E04193"/>
    <w:rsid w:val="00E04D77"/>
    <w:rsid w:val="00E05B1D"/>
    <w:rsid w:val="00E105E1"/>
    <w:rsid w:val="00E1095C"/>
    <w:rsid w:val="00E138E1"/>
    <w:rsid w:val="00E14E97"/>
    <w:rsid w:val="00E16243"/>
    <w:rsid w:val="00E16509"/>
    <w:rsid w:val="00E17181"/>
    <w:rsid w:val="00E20525"/>
    <w:rsid w:val="00E20BE1"/>
    <w:rsid w:val="00E21C50"/>
    <w:rsid w:val="00E22192"/>
    <w:rsid w:val="00E22925"/>
    <w:rsid w:val="00E22DD6"/>
    <w:rsid w:val="00E25615"/>
    <w:rsid w:val="00E279AF"/>
    <w:rsid w:val="00E30A8D"/>
    <w:rsid w:val="00E3197D"/>
    <w:rsid w:val="00E32A5B"/>
    <w:rsid w:val="00E33353"/>
    <w:rsid w:val="00E34168"/>
    <w:rsid w:val="00E3427D"/>
    <w:rsid w:val="00E34C96"/>
    <w:rsid w:val="00E34D7C"/>
    <w:rsid w:val="00E35E61"/>
    <w:rsid w:val="00E3752D"/>
    <w:rsid w:val="00E40B5B"/>
    <w:rsid w:val="00E40FE4"/>
    <w:rsid w:val="00E415A1"/>
    <w:rsid w:val="00E43E12"/>
    <w:rsid w:val="00E4699E"/>
    <w:rsid w:val="00E51B92"/>
    <w:rsid w:val="00E52B48"/>
    <w:rsid w:val="00E54400"/>
    <w:rsid w:val="00E568A2"/>
    <w:rsid w:val="00E5730C"/>
    <w:rsid w:val="00E578AE"/>
    <w:rsid w:val="00E57C7B"/>
    <w:rsid w:val="00E6086D"/>
    <w:rsid w:val="00E6193E"/>
    <w:rsid w:val="00E61D12"/>
    <w:rsid w:val="00E626BB"/>
    <w:rsid w:val="00E6309B"/>
    <w:rsid w:val="00E64A80"/>
    <w:rsid w:val="00E66449"/>
    <w:rsid w:val="00E6764D"/>
    <w:rsid w:val="00E729DB"/>
    <w:rsid w:val="00E72DE7"/>
    <w:rsid w:val="00E748FD"/>
    <w:rsid w:val="00E749C7"/>
    <w:rsid w:val="00E75D3B"/>
    <w:rsid w:val="00E7627D"/>
    <w:rsid w:val="00E7663C"/>
    <w:rsid w:val="00E807E3"/>
    <w:rsid w:val="00E8279C"/>
    <w:rsid w:val="00E84330"/>
    <w:rsid w:val="00E84696"/>
    <w:rsid w:val="00E859B9"/>
    <w:rsid w:val="00E85C5D"/>
    <w:rsid w:val="00E85DAC"/>
    <w:rsid w:val="00E861C3"/>
    <w:rsid w:val="00E8646A"/>
    <w:rsid w:val="00E90F52"/>
    <w:rsid w:val="00E917EA"/>
    <w:rsid w:val="00E92842"/>
    <w:rsid w:val="00E93435"/>
    <w:rsid w:val="00E9379D"/>
    <w:rsid w:val="00E93A13"/>
    <w:rsid w:val="00E93BA5"/>
    <w:rsid w:val="00E9418B"/>
    <w:rsid w:val="00E95304"/>
    <w:rsid w:val="00E96409"/>
    <w:rsid w:val="00E96E23"/>
    <w:rsid w:val="00EA1A82"/>
    <w:rsid w:val="00EA2CFC"/>
    <w:rsid w:val="00EA2FEF"/>
    <w:rsid w:val="00EA32FE"/>
    <w:rsid w:val="00EA4035"/>
    <w:rsid w:val="00EA44A3"/>
    <w:rsid w:val="00EA46F9"/>
    <w:rsid w:val="00EA4EE9"/>
    <w:rsid w:val="00EA6DE8"/>
    <w:rsid w:val="00EA746F"/>
    <w:rsid w:val="00EB0F78"/>
    <w:rsid w:val="00EB16A2"/>
    <w:rsid w:val="00EB2D02"/>
    <w:rsid w:val="00EB323B"/>
    <w:rsid w:val="00EB33A7"/>
    <w:rsid w:val="00EB77B8"/>
    <w:rsid w:val="00EB7B8C"/>
    <w:rsid w:val="00EB7C31"/>
    <w:rsid w:val="00EC22E3"/>
    <w:rsid w:val="00EC3785"/>
    <w:rsid w:val="00EC40EC"/>
    <w:rsid w:val="00EC55BE"/>
    <w:rsid w:val="00EC6B5D"/>
    <w:rsid w:val="00EC6CDC"/>
    <w:rsid w:val="00ED0CA5"/>
    <w:rsid w:val="00ED190F"/>
    <w:rsid w:val="00ED2FEF"/>
    <w:rsid w:val="00ED425B"/>
    <w:rsid w:val="00ED4C8E"/>
    <w:rsid w:val="00ED7C57"/>
    <w:rsid w:val="00EE00E1"/>
    <w:rsid w:val="00EE12B0"/>
    <w:rsid w:val="00EE1413"/>
    <w:rsid w:val="00EE2943"/>
    <w:rsid w:val="00EE3D48"/>
    <w:rsid w:val="00EE4625"/>
    <w:rsid w:val="00EE5055"/>
    <w:rsid w:val="00EE5BFC"/>
    <w:rsid w:val="00EE73F1"/>
    <w:rsid w:val="00EF030F"/>
    <w:rsid w:val="00EF0C3A"/>
    <w:rsid w:val="00EF1E8A"/>
    <w:rsid w:val="00EF1EEF"/>
    <w:rsid w:val="00EF4221"/>
    <w:rsid w:val="00EF426C"/>
    <w:rsid w:val="00EF4970"/>
    <w:rsid w:val="00EF4C26"/>
    <w:rsid w:val="00EF5EF4"/>
    <w:rsid w:val="00EF67AF"/>
    <w:rsid w:val="00EF6DBA"/>
    <w:rsid w:val="00F015C9"/>
    <w:rsid w:val="00F022C6"/>
    <w:rsid w:val="00F0452E"/>
    <w:rsid w:val="00F05A88"/>
    <w:rsid w:val="00F0795C"/>
    <w:rsid w:val="00F07BE7"/>
    <w:rsid w:val="00F11D9A"/>
    <w:rsid w:val="00F14041"/>
    <w:rsid w:val="00F14440"/>
    <w:rsid w:val="00F14EDF"/>
    <w:rsid w:val="00F15A6A"/>
    <w:rsid w:val="00F16792"/>
    <w:rsid w:val="00F1788D"/>
    <w:rsid w:val="00F20D7A"/>
    <w:rsid w:val="00F22D5B"/>
    <w:rsid w:val="00F23035"/>
    <w:rsid w:val="00F23FFD"/>
    <w:rsid w:val="00F24A2A"/>
    <w:rsid w:val="00F257D8"/>
    <w:rsid w:val="00F25A33"/>
    <w:rsid w:val="00F2700C"/>
    <w:rsid w:val="00F275B8"/>
    <w:rsid w:val="00F278B1"/>
    <w:rsid w:val="00F30097"/>
    <w:rsid w:val="00F30342"/>
    <w:rsid w:val="00F307ED"/>
    <w:rsid w:val="00F318C0"/>
    <w:rsid w:val="00F31937"/>
    <w:rsid w:val="00F32F55"/>
    <w:rsid w:val="00F332A6"/>
    <w:rsid w:val="00F33E4E"/>
    <w:rsid w:val="00F4053C"/>
    <w:rsid w:val="00F40AC0"/>
    <w:rsid w:val="00F41787"/>
    <w:rsid w:val="00F41F1C"/>
    <w:rsid w:val="00F4227B"/>
    <w:rsid w:val="00F42A0A"/>
    <w:rsid w:val="00F42BDE"/>
    <w:rsid w:val="00F431FB"/>
    <w:rsid w:val="00F4370B"/>
    <w:rsid w:val="00F4512F"/>
    <w:rsid w:val="00F45145"/>
    <w:rsid w:val="00F45E56"/>
    <w:rsid w:val="00F46AFE"/>
    <w:rsid w:val="00F46E02"/>
    <w:rsid w:val="00F472C5"/>
    <w:rsid w:val="00F473A0"/>
    <w:rsid w:val="00F5006C"/>
    <w:rsid w:val="00F50098"/>
    <w:rsid w:val="00F502F6"/>
    <w:rsid w:val="00F52619"/>
    <w:rsid w:val="00F53240"/>
    <w:rsid w:val="00F559E7"/>
    <w:rsid w:val="00F56434"/>
    <w:rsid w:val="00F57190"/>
    <w:rsid w:val="00F6021A"/>
    <w:rsid w:val="00F61BFF"/>
    <w:rsid w:val="00F6238A"/>
    <w:rsid w:val="00F6376C"/>
    <w:rsid w:val="00F63BC3"/>
    <w:rsid w:val="00F6616B"/>
    <w:rsid w:val="00F67DDF"/>
    <w:rsid w:val="00F701BC"/>
    <w:rsid w:val="00F723F9"/>
    <w:rsid w:val="00F72EF8"/>
    <w:rsid w:val="00F7453C"/>
    <w:rsid w:val="00F753E8"/>
    <w:rsid w:val="00F758E6"/>
    <w:rsid w:val="00F75AC2"/>
    <w:rsid w:val="00F75F0C"/>
    <w:rsid w:val="00F7632D"/>
    <w:rsid w:val="00F76FD7"/>
    <w:rsid w:val="00F80790"/>
    <w:rsid w:val="00F8093E"/>
    <w:rsid w:val="00F82429"/>
    <w:rsid w:val="00F83E2F"/>
    <w:rsid w:val="00F83F1A"/>
    <w:rsid w:val="00F84217"/>
    <w:rsid w:val="00F842CE"/>
    <w:rsid w:val="00F84F69"/>
    <w:rsid w:val="00F86AEB"/>
    <w:rsid w:val="00F912EA"/>
    <w:rsid w:val="00F91A58"/>
    <w:rsid w:val="00F91DE3"/>
    <w:rsid w:val="00F93203"/>
    <w:rsid w:val="00F93A2A"/>
    <w:rsid w:val="00F97046"/>
    <w:rsid w:val="00F970C8"/>
    <w:rsid w:val="00FA0AF5"/>
    <w:rsid w:val="00FA1C5E"/>
    <w:rsid w:val="00FA24BE"/>
    <w:rsid w:val="00FA2923"/>
    <w:rsid w:val="00FA2C4F"/>
    <w:rsid w:val="00FA42FB"/>
    <w:rsid w:val="00FA4723"/>
    <w:rsid w:val="00FA5AE0"/>
    <w:rsid w:val="00FB00D4"/>
    <w:rsid w:val="00FB066A"/>
    <w:rsid w:val="00FB2537"/>
    <w:rsid w:val="00FB2837"/>
    <w:rsid w:val="00FB3490"/>
    <w:rsid w:val="00FB3685"/>
    <w:rsid w:val="00FB4B22"/>
    <w:rsid w:val="00FB755F"/>
    <w:rsid w:val="00FB7CD1"/>
    <w:rsid w:val="00FC003B"/>
    <w:rsid w:val="00FC02A5"/>
    <w:rsid w:val="00FC1E66"/>
    <w:rsid w:val="00FC439C"/>
    <w:rsid w:val="00FC49CD"/>
    <w:rsid w:val="00FC4BAC"/>
    <w:rsid w:val="00FC55AC"/>
    <w:rsid w:val="00FD00F6"/>
    <w:rsid w:val="00FD1F42"/>
    <w:rsid w:val="00FD25D5"/>
    <w:rsid w:val="00FD3C7F"/>
    <w:rsid w:val="00FD4190"/>
    <w:rsid w:val="00FD58A8"/>
    <w:rsid w:val="00FD5B22"/>
    <w:rsid w:val="00FD6ED7"/>
    <w:rsid w:val="00FD7DA9"/>
    <w:rsid w:val="00FE0150"/>
    <w:rsid w:val="00FE2048"/>
    <w:rsid w:val="00FE341A"/>
    <w:rsid w:val="00FE3440"/>
    <w:rsid w:val="00FE5642"/>
    <w:rsid w:val="00FE6641"/>
    <w:rsid w:val="00FF2B00"/>
    <w:rsid w:val="00FF5934"/>
    <w:rsid w:val="00FF6B88"/>
    <w:rsid w:val="00FF7346"/>
    <w:rsid w:val="0175074C"/>
    <w:rsid w:val="017D4F5C"/>
    <w:rsid w:val="018B59F2"/>
    <w:rsid w:val="01D34B7C"/>
    <w:rsid w:val="01DB0F3E"/>
    <w:rsid w:val="01F628D8"/>
    <w:rsid w:val="02104022"/>
    <w:rsid w:val="02420189"/>
    <w:rsid w:val="024617F2"/>
    <w:rsid w:val="02796A74"/>
    <w:rsid w:val="029E50F1"/>
    <w:rsid w:val="02DE4C07"/>
    <w:rsid w:val="02ED615A"/>
    <w:rsid w:val="030D73F6"/>
    <w:rsid w:val="031841A0"/>
    <w:rsid w:val="033268F1"/>
    <w:rsid w:val="03613F6E"/>
    <w:rsid w:val="03BE6A0A"/>
    <w:rsid w:val="03DB1D77"/>
    <w:rsid w:val="03FB560E"/>
    <w:rsid w:val="03FD5A69"/>
    <w:rsid w:val="04006E1F"/>
    <w:rsid w:val="040704F6"/>
    <w:rsid w:val="0410590B"/>
    <w:rsid w:val="0475016D"/>
    <w:rsid w:val="04755109"/>
    <w:rsid w:val="04835000"/>
    <w:rsid w:val="048B69EC"/>
    <w:rsid w:val="049525BD"/>
    <w:rsid w:val="04F77269"/>
    <w:rsid w:val="05605C60"/>
    <w:rsid w:val="058A3ABF"/>
    <w:rsid w:val="05A01F71"/>
    <w:rsid w:val="05AD4B56"/>
    <w:rsid w:val="05C56621"/>
    <w:rsid w:val="05DB0C45"/>
    <w:rsid w:val="06012681"/>
    <w:rsid w:val="060179BB"/>
    <w:rsid w:val="06177D1B"/>
    <w:rsid w:val="062223C9"/>
    <w:rsid w:val="0634776B"/>
    <w:rsid w:val="067509A8"/>
    <w:rsid w:val="06AA4DF0"/>
    <w:rsid w:val="0711665A"/>
    <w:rsid w:val="07283649"/>
    <w:rsid w:val="072A5FD7"/>
    <w:rsid w:val="072C03D9"/>
    <w:rsid w:val="07636503"/>
    <w:rsid w:val="07A54B0B"/>
    <w:rsid w:val="07AF038B"/>
    <w:rsid w:val="07C6354F"/>
    <w:rsid w:val="07D01257"/>
    <w:rsid w:val="07E9201B"/>
    <w:rsid w:val="07EC3CB3"/>
    <w:rsid w:val="08274BAD"/>
    <w:rsid w:val="08344460"/>
    <w:rsid w:val="084D699F"/>
    <w:rsid w:val="088178D0"/>
    <w:rsid w:val="08A87D7E"/>
    <w:rsid w:val="090C7CA2"/>
    <w:rsid w:val="091A3311"/>
    <w:rsid w:val="091F7901"/>
    <w:rsid w:val="091F7EF7"/>
    <w:rsid w:val="092267D4"/>
    <w:rsid w:val="09267C87"/>
    <w:rsid w:val="092F42D3"/>
    <w:rsid w:val="09353A12"/>
    <w:rsid w:val="093878C6"/>
    <w:rsid w:val="0984174F"/>
    <w:rsid w:val="09905CB6"/>
    <w:rsid w:val="099C2AD0"/>
    <w:rsid w:val="09B02DA9"/>
    <w:rsid w:val="09B9453C"/>
    <w:rsid w:val="09B95DF0"/>
    <w:rsid w:val="09CD4CD2"/>
    <w:rsid w:val="09FF024C"/>
    <w:rsid w:val="0A0C7557"/>
    <w:rsid w:val="0A612865"/>
    <w:rsid w:val="0AC12AF4"/>
    <w:rsid w:val="0AC942A2"/>
    <w:rsid w:val="0ADD1324"/>
    <w:rsid w:val="0ADE3D74"/>
    <w:rsid w:val="0B0B3456"/>
    <w:rsid w:val="0B1D50BA"/>
    <w:rsid w:val="0B362A09"/>
    <w:rsid w:val="0B3A7DB8"/>
    <w:rsid w:val="0B4B7E79"/>
    <w:rsid w:val="0BAF2743"/>
    <w:rsid w:val="0BC33D4C"/>
    <w:rsid w:val="0BF32080"/>
    <w:rsid w:val="0BFC6FB5"/>
    <w:rsid w:val="0C081A3B"/>
    <w:rsid w:val="0C551C22"/>
    <w:rsid w:val="0C560E46"/>
    <w:rsid w:val="0C75776E"/>
    <w:rsid w:val="0CAF204C"/>
    <w:rsid w:val="0CC634A7"/>
    <w:rsid w:val="0CCB64E8"/>
    <w:rsid w:val="0D0B3535"/>
    <w:rsid w:val="0D166106"/>
    <w:rsid w:val="0D1F511A"/>
    <w:rsid w:val="0DA77476"/>
    <w:rsid w:val="0DBE40BE"/>
    <w:rsid w:val="0E016081"/>
    <w:rsid w:val="0E515149"/>
    <w:rsid w:val="0E570DD6"/>
    <w:rsid w:val="0E6C6B63"/>
    <w:rsid w:val="0E7345CD"/>
    <w:rsid w:val="0E9D0914"/>
    <w:rsid w:val="0EBC0BB3"/>
    <w:rsid w:val="0ED23314"/>
    <w:rsid w:val="0ED92073"/>
    <w:rsid w:val="0F0B5F33"/>
    <w:rsid w:val="0F565AFE"/>
    <w:rsid w:val="0F893FD1"/>
    <w:rsid w:val="0F8A6A96"/>
    <w:rsid w:val="0FA6056D"/>
    <w:rsid w:val="0FB222BF"/>
    <w:rsid w:val="0FCA5F20"/>
    <w:rsid w:val="0FD50659"/>
    <w:rsid w:val="101C07EF"/>
    <w:rsid w:val="10320775"/>
    <w:rsid w:val="103F2267"/>
    <w:rsid w:val="104C4C88"/>
    <w:rsid w:val="10732BDD"/>
    <w:rsid w:val="10A11A07"/>
    <w:rsid w:val="10B66CAC"/>
    <w:rsid w:val="11027636"/>
    <w:rsid w:val="1163049F"/>
    <w:rsid w:val="11883AE7"/>
    <w:rsid w:val="11892376"/>
    <w:rsid w:val="11905E48"/>
    <w:rsid w:val="11CD670C"/>
    <w:rsid w:val="121276DB"/>
    <w:rsid w:val="12241B24"/>
    <w:rsid w:val="122B7B15"/>
    <w:rsid w:val="124D4BFF"/>
    <w:rsid w:val="12755282"/>
    <w:rsid w:val="128820ED"/>
    <w:rsid w:val="128912B8"/>
    <w:rsid w:val="12957C2C"/>
    <w:rsid w:val="129F3DBA"/>
    <w:rsid w:val="12CA5AD9"/>
    <w:rsid w:val="12D11673"/>
    <w:rsid w:val="134104D7"/>
    <w:rsid w:val="1365755E"/>
    <w:rsid w:val="13723F7D"/>
    <w:rsid w:val="13947F6E"/>
    <w:rsid w:val="13990E54"/>
    <w:rsid w:val="13E94685"/>
    <w:rsid w:val="14367C18"/>
    <w:rsid w:val="147A223D"/>
    <w:rsid w:val="147B69EE"/>
    <w:rsid w:val="14A63951"/>
    <w:rsid w:val="14B844A1"/>
    <w:rsid w:val="14EB7FD7"/>
    <w:rsid w:val="14EF6327"/>
    <w:rsid w:val="14F258F8"/>
    <w:rsid w:val="14F90946"/>
    <w:rsid w:val="14FD54D8"/>
    <w:rsid w:val="15212309"/>
    <w:rsid w:val="154B641E"/>
    <w:rsid w:val="15A2384F"/>
    <w:rsid w:val="15AC3F70"/>
    <w:rsid w:val="15AC5FC9"/>
    <w:rsid w:val="15CA17C9"/>
    <w:rsid w:val="15CD35EA"/>
    <w:rsid w:val="15CD7C26"/>
    <w:rsid w:val="15D3352D"/>
    <w:rsid w:val="1618304E"/>
    <w:rsid w:val="1619776B"/>
    <w:rsid w:val="16416D6C"/>
    <w:rsid w:val="16830F6C"/>
    <w:rsid w:val="1685756B"/>
    <w:rsid w:val="16AF1936"/>
    <w:rsid w:val="16B65368"/>
    <w:rsid w:val="16CA259A"/>
    <w:rsid w:val="16EA1853"/>
    <w:rsid w:val="16FB1B68"/>
    <w:rsid w:val="16FB34A7"/>
    <w:rsid w:val="179A70D1"/>
    <w:rsid w:val="179F2757"/>
    <w:rsid w:val="17E51333"/>
    <w:rsid w:val="18191372"/>
    <w:rsid w:val="18391243"/>
    <w:rsid w:val="183A1367"/>
    <w:rsid w:val="18420856"/>
    <w:rsid w:val="18562EB4"/>
    <w:rsid w:val="18643FBA"/>
    <w:rsid w:val="18714255"/>
    <w:rsid w:val="18CB2346"/>
    <w:rsid w:val="18CC705A"/>
    <w:rsid w:val="19055FA5"/>
    <w:rsid w:val="19160648"/>
    <w:rsid w:val="19206747"/>
    <w:rsid w:val="196840AA"/>
    <w:rsid w:val="19860AD8"/>
    <w:rsid w:val="198B55FE"/>
    <w:rsid w:val="19963EA6"/>
    <w:rsid w:val="19E17C97"/>
    <w:rsid w:val="19F7028D"/>
    <w:rsid w:val="19FB335D"/>
    <w:rsid w:val="1A546712"/>
    <w:rsid w:val="1AAD6307"/>
    <w:rsid w:val="1ABE086E"/>
    <w:rsid w:val="1AC23372"/>
    <w:rsid w:val="1ADA1115"/>
    <w:rsid w:val="1AEB5226"/>
    <w:rsid w:val="1AEF5B71"/>
    <w:rsid w:val="1AF2288E"/>
    <w:rsid w:val="1B07584A"/>
    <w:rsid w:val="1B267FBB"/>
    <w:rsid w:val="1B9A5C70"/>
    <w:rsid w:val="1BA5792E"/>
    <w:rsid w:val="1BAA7076"/>
    <w:rsid w:val="1BAA790D"/>
    <w:rsid w:val="1BF9122F"/>
    <w:rsid w:val="1BFE79C8"/>
    <w:rsid w:val="1C1954CF"/>
    <w:rsid w:val="1C290DAF"/>
    <w:rsid w:val="1C316CD1"/>
    <w:rsid w:val="1CBE45EA"/>
    <w:rsid w:val="1CCC31E7"/>
    <w:rsid w:val="1CD02B34"/>
    <w:rsid w:val="1CD557F5"/>
    <w:rsid w:val="1D105323"/>
    <w:rsid w:val="1D16093E"/>
    <w:rsid w:val="1D272406"/>
    <w:rsid w:val="1D5C5D65"/>
    <w:rsid w:val="1D887DB3"/>
    <w:rsid w:val="1D8E166E"/>
    <w:rsid w:val="1D8E500D"/>
    <w:rsid w:val="1DCC78D8"/>
    <w:rsid w:val="1DFE501A"/>
    <w:rsid w:val="1E3A1D47"/>
    <w:rsid w:val="1E514AE7"/>
    <w:rsid w:val="1E6F1416"/>
    <w:rsid w:val="1E766C61"/>
    <w:rsid w:val="1EC60EBB"/>
    <w:rsid w:val="1ED1088E"/>
    <w:rsid w:val="1EE2660B"/>
    <w:rsid w:val="1EEA4FCF"/>
    <w:rsid w:val="1EF71FC7"/>
    <w:rsid w:val="1F175742"/>
    <w:rsid w:val="1F2654D9"/>
    <w:rsid w:val="1F30238D"/>
    <w:rsid w:val="1F342C07"/>
    <w:rsid w:val="1F7314C4"/>
    <w:rsid w:val="1FBD0DBE"/>
    <w:rsid w:val="1FF7395F"/>
    <w:rsid w:val="2006383B"/>
    <w:rsid w:val="20574885"/>
    <w:rsid w:val="205D18F6"/>
    <w:rsid w:val="208F52C6"/>
    <w:rsid w:val="20A25FB6"/>
    <w:rsid w:val="20B163AF"/>
    <w:rsid w:val="20BC64D0"/>
    <w:rsid w:val="20C30596"/>
    <w:rsid w:val="20D86647"/>
    <w:rsid w:val="20DA535B"/>
    <w:rsid w:val="210B3081"/>
    <w:rsid w:val="214E665D"/>
    <w:rsid w:val="2150010B"/>
    <w:rsid w:val="21507BEC"/>
    <w:rsid w:val="21577510"/>
    <w:rsid w:val="21580144"/>
    <w:rsid w:val="215A451A"/>
    <w:rsid w:val="217C1D3A"/>
    <w:rsid w:val="21831670"/>
    <w:rsid w:val="219E3563"/>
    <w:rsid w:val="21CA18A1"/>
    <w:rsid w:val="21DD1F6F"/>
    <w:rsid w:val="21E04235"/>
    <w:rsid w:val="21E27FA5"/>
    <w:rsid w:val="222F5ECC"/>
    <w:rsid w:val="22521ABD"/>
    <w:rsid w:val="225549DB"/>
    <w:rsid w:val="225E6D5C"/>
    <w:rsid w:val="2260014F"/>
    <w:rsid w:val="2303412F"/>
    <w:rsid w:val="232623FE"/>
    <w:rsid w:val="233A75A3"/>
    <w:rsid w:val="23A70F27"/>
    <w:rsid w:val="23B23F02"/>
    <w:rsid w:val="23D82834"/>
    <w:rsid w:val="24071AB4"/>
    <w:rsid w:val="24125232"/>
    <w:rsid w:val="241A5C02"/>
    <w:rsid w:val="242E5725"/>
    <w:rsid w:val="24447747"/>
    <w:rsid w:val="25773499"/>
    <w:rsid w:val="258370FE"/>
    <w:rsid w:val="259D2C89"/>
    <w:rsid w:val="25BF36EC"/>
    <w:rsid w:val="25C3643D"/>
    <w:rsid w:val="25E617D2"/>
    <w:rsid w:val="261574C2"/>
    <w:rsid w:val="267049B5"/>
    <w:rsid w:val="26705CF5"/>
    <w:rsid w:val="26AF59A7"/>
    <w:rsid w:val="26B26303"/>
    <w:rsid w:val="26D25C1B"/>
    <w:rsid w:val="26E62ADA"/>
    <w:rsid w:val="27160EE4"/>
    <w:rsid w:val="2730304F"/>
    <w:rsid w:val="27434948"/>
    <w:rsid w:val="27443662"/>
    <w:rsid w:val="277136CA"/>
    <w:rsid w:val="27840BC4"/>
    <w:rsid w:val="2796103A"/>
    <w:rsid w:val="27A36ADD"/>
    <w:rsid w:val="27DB40FB"/>
    <w:rsid w:val="27F00152"/>
    <w:rsid w:val="27F65F28"/>
    <w:rsid w:val="280A78D8"/>
    <w:rsid w:val="280D12DA"/>
    <w:rsid w:val="281747F8"/>
    <w:rsid w:val="2819491E"/>
    <w:rsid w:val="282B32E7"/>
    <w:rsid w:val="28322EBE"/>
    <w:rsid w:val="2833699D"/>
    <w:rsid w:val="284C3A9C"/>
    <w:rsid w:val="286D59EE"/>
    <w:rsid w:val="287B3066"/>
    <w:rsid w:val="28A15125"/>
    <w:rsid w:val="28B11D39"/>
    <w:rsid w:val="28C55EB0"/>
    <w:rsid w:val="29026085"/>
    <w:rsid w:val="291606A6"/>
    <w:rsid w:val="293311E1"/>
    <w:rsid w:val="29595D6E"/>
    <w:rsid w:val="295B17F0"/>
    <w:rsid w:val="29992ED6"/>
    <w:rsid w:val="29B87ADC"/>
    <w:rsid w:val="29C24778"/>
    <w:rsid w:val="2A261C5D"/>
    <w:rsid w:val="2A331B21"/>
    <w:rsid w:val="2A8F7845"/>
    <w:rsid w:val="2AC77529"/>
    <w:rsid w:val="2AD518DA"/>
    <w:rsid w:val="2ADC1B19"/>
    <w:rsid w:val="2AEC4DB3"/>
    <w:rsid w:val="2B272DA2"/>
    <w:rsid w:val="2B462C73"/>
    <w:rsid w:val="2B6C75A5"/>
    <w:rsid w:val="2B6D5B6F"/>
    <w:rsid w:val="2B913ADF"/>
    <w:rsid w:val="2BC15528"/>
    <w:rsid w:val="2BF76EE4"/>
    <w:rsid w:val="2C8E692A"/>
    <w:rsid w:val="2CEA52EC"/>
    <w:rsid w:val="2D1375E1"/>
    <w:rsid w:val="2D1556A6"/>
    <w:rsid w:val="2D2E71C3"/>
    <w:rsid w:val="2D3C7874"/>
    <w:rsid w:val="2D6929B3"/>
    <w:rsid w:val="2D6B0926"/>
    <w:rsid w:val="2D7216C2"/>
    <w:rsid w:val="2D73411D"/>
    <w:rsid w:val="2DBC4548"/>
    <w:rsid w:val="2DC90C29"/>
    <w:rsid w:val="2DEC6E42"/>
    <w:rsid w:val="2E1050F2"/>
    <w:rsid w:val="2E3C63BE"/>
    <w:rsid w:val="2E4D17A7"/>
    <w:rsid w:val="2E646F28"/>
    <w:rsid w:val="2E6A3A21"/>
    <w:rsid w:val="2E8B21DC"/>
    <w:rsid w:val="2E8B4EA1"/>
    <w:rsid w:val="2EB6771B"/>
    <w:rsid w:val="2ED1266A"/>
    <w:rsid w:val="2EE53B0C"/>
    <w:rsid w:val="2EF90E76"/>
    <w:rsid w:val="2F0726BB"/>
    <w:rsid w:val="2F1035A6"/>
    <w:rsid w:val="2F1523C9"/>
    <w:rsid w:val="2F39335E"/>
    <w:rsid w:val="2F5535BF"/>
    <w:rsid w:val="2F665876"/>
    <w:rsid w:val="2FC260AC"/>
    <w:rsid w:val="2FD55039"/>
    <w:rsid w:val="2FEE4433"/>
    <w:rsid w:val="300F3BF0"/>
    <w:rsid w:val="30647DD2"/>
    <w:rsid w:val="30686C78"/>
    <w:rsid w:val="307D5523"/>
    <w:rsid w:val="30922964"/>
    <w:rsid w:val="30A371B5"/>
    <w:rsid w:val="30A61DD0"/>
    <w:rsid w:val="30B51C5D"/>
    <w:rsid w:val="30D51FA1"/>
    <w:rsid w:val="311F239B"/>
    <w:rsid w:val="31233CFC"/>
    <w:rsid w:val="3132482A"/>
    <w:rsid w:val="3176738D"/>
    <w:rsid w:val="31904280"/>
    <w:rsid w:val="31A27745"/>
    <w:rsid w:val="31A96C8B"/>
    <w:rsid w:val="31D14FC6"/>
    <w:rsid w:val="31DF78F6"/>
    <w:rsid w:val="31E9442F"/>
    <w:rsid w:val="31F24947"/>
    <w:rsid w:val="32221358"/>
    <w:rsid w:val="322737A4"/>
    <w:rsid w:val="324D4B21"/>
    <w:rsid w:val="328305A1"/>
    <w:rsid w:val="32A27660"/>
    <w:rsid w:val="32B81754"/>
    <w:rsid w:val="32CB52DE"/>
    <w:rsid w:val="32D64AF4"/>
    <w:rsid w:val="32E465F7"/>
    <w:rsid w:val="32F57398"/>
    <w:rsid w:val="333A0DE8"/>
    <w:rsid w:val="333E351E"/>
    <w:rsid w:val="335C4122"/>
    <w:rsid w:val="337068B0"/>
    <w:rsid w:val="33A97393"/>
    <w:rsid w:val="33E86C74"/>
    <w:rsid w:val="34003F02"/>
    <w:rsid w:val="345651A9"/>
    <w:rsid w:val="345E61AA"/>
    <w:rsid w:val="34796CA0"/>
    <w:rsid w:val="34AE641D"/>
    <w:rsid w:val="34C01C7C"/>
    <w:rsid w:val="34DB41A2"/>
    <w:rsid w:val="34F62C4F"/>
    <w:rsid w:val="352A6E28"/>
    <w:rsid w:val="352F4C73"/>
    <w:rsid w:val="35943DC1"/>
    <w:rsid w:val="35966863"/>
    <w:rsid w:val="35AF70D3"/>
    <w:rsid w:val="35DC1DFE"/>
    <w:rsid w:val="35E46CE6"/>
    <w:rsid w:val="35E9428A"/>
    <w:rsid w:val="362821DA"/>
    <w:rsid w:val="362C07F0"/>
    <w:rsid w:val="367A122A"/>
    <w:rsid w:val="36A52C9F"/>
    <w:rsid w:val="36DB3EF8"/>
    <w:rsid w:val="36E62234"/>
    <w:rsid w:val="36EA58C4"/>
    <w:rsid w:val="36EE69C7"/>
    <w:rsid w:val="37002B97"/>
    <w:rsid w:val="3709143D"/>
    <w:rsid w:val="371C1F09"/>
    <w:rsid w:val="3737073E"/>
    <w:rsid w:val="37483D3C"/>
    <w:rsid w:val="37613DAB"/>
    <w:rsid w:val="379D044D"/>
    <w:rsid w:val="37BC5AD7"/>
    <w:rsid w:val="37E1109A"/>
    <w:rsid w:val="37FE0A7F"/>
    <w:rsid w:val="380B2330"/>
    <w:rsid w:val="380C0DC8"/>
    <w:rsid w:val="381E44B3"/>
    <w:rsid w:val="382B1163"/>
    <w:rsid w:val="38492223"/>
    <w:rsid w:val="3891486E"/>
    <w:rsid w:val="38C962D6"/>
    <w:rsid w:val="392D7775"/>
    <w:rsid w:val="396D157A"/>
    <w:rsid w:val="399565E0"/>
    <w:rsid w:val="39971282"/>
    <w:rsid w:val="39AB6F7D"/>
    <w:rsid w:val="39F76D8D"/>
    <w:rsid w:val="3A12288D"/>
    <w:rsid w:val="3A14444D"/>
    <w:rsid w:val="3A3E2CC7"/>
    <w:rsid w:val="3AA0768F"/>
    <w:rsid w:val="3AA465AB"/>
    <w:rsid w:val="3AB363E3"/>
    <w:rsid w:val="3AD253D7"/>
    <w:rsid w:val="3AF35F7B"/>
    <w:rsid w:val="3AF53E81"/>
    <w:rsid w:val="3AF708F7"/>
    <w:rsid w:val="3AFE0FA5"/>
    <w:rsid w:val="3B2F70DA"/>
    <w:rsid w:val="3B337276"/>
    <w:rsid w:val="3BA72957"/>
    <w:rsid w:val="3BBD3A15"/>
    <w:rsid w:val="3BD30D6D"/>
    <w:rsid w:val="3BD32061"/>
    <w:rsid w:val="3BD445D7"/>
    <w:rsid w:val="3C061368"/>
    <w:rsid w:val="3C216780"/>
    <w:rsid w:val="3C7A5DEA"/>
    <w:rsid w:val="3CA22468"/>
    <w:rsid w:val="3CC97241"/>
    <w:rsid w:val="3CDC5A84"/>
    <w:rsid w:val="3CF96E86"/>
    <w:rsid w:val="3D1E4B3E"/>
    <w:rsid w:val="3D235587"/>
    <w:rsid w:val="3DC71A0E"/>
    <w:rsid w:val="3DF862C0"/>
    <w:rsid w:val="3E440F7A"/>
    <w:rsid w:val="3E4D4B98"/>
    <w:rsid w:val="3E503952"/>
    <w:rsid w:val="3E826BF1"/>
    <w:rsid w:val="3E866EDC"/>
    <w:rsid w:val="3E907BE4"/>
    <w:rsid w:val="3EB97249"/>
    <w:rsid w:val="3ECA0ADA"/>
    <w:rsid w:val="3ED03698"/>
    <w:rsid w:val="3EDF3E59"/>
    <w:rsid w:val="3EF909F9"/>
    <w:rsid w:val="3F2E63A5"/>
    <w:rsid w:val="3F382161"/>
    <w:rsid w:val="3F431BC8"/>
    <w:rsid w:val="3F5D7BA0"/>
    <w:rsid w:val="3FB8020C"/>
    <w:rsid w:val="3FEC60F0"/>
    <w:rsid w:val="3FFE24D1"/>
    <w:rsid w:val="40216147"/>
    <w:rsid w:val="40460634"/>
    <w:rsid w:val="40876C7E"/>
    <w:rsid w:val="40A8048F"/>
    <w:rsid w:val="40AB4931"/>
    <w:rsid w:val="40C33A0E"/>
    <w:rsid w:val="40D37F31"/>
    <w:rsid w:val="40F165C4"/>
    <w:rsid w:val="41436921"/>
    <w:rsid w:val="41854400"/>
    <w:rsid w:val="41970CA5"/>
    <w:rsid w:val="41992059"/>
    <w:rsid w:val="41CE1775"/>
    <w:rsid w:val="41DC2973"/>
    <w:rsid w:val="41F54968"/>
    <w:rsid w:val="42111E62"/>
    <w:rsid w:val="4218372E"/>
    <w:rsid w:val="421A7760"/>
    <w:rsid w:val="42247B24"/>
    <w:rsid w:val="42553EE8"/>
    <w:rsid w:val="428238AE"/>
    <w:rsid w:val="42985594"/>
    <w:rsid w:val="42BF6069"/>
    <w:rsid w:val="42ED7DA1"/>
    <w:rsid w:val="43255CC6"/>
    <w:rsid w:val="43853EEB"/>
    <w:rsid w:val="43E90A3D"/>
    <w:rsid w:val="43F977B6"/>
    <w:rsid w:val="441D78BA"/>
    <w:rsid w:val="4436644A"/>
    <w:rsid w:val="444F55DD"/>
    <w:rsid w:val="446A1D3F"/>
    <w:rsid w:val="448C60BC"/>
    <w:rsid w:val="44BF6C07"/>
    <w:rsid w:val="44F96F96"/>
    <w:rsid w:val="44FA6A22"/>
    <w:rsid w:val="4513485D"/>
    <w:rsid w:val="45610699"/>
    <w:rsid w:val="45615005"/>
    <w:rsid w:val="4566448E"/>
    <w:rsid w:val="457D0A38"/>
    <w:rsid w:val="45AE208E"/>
    <w:rsid w:val="45B849DB"/>
    <w:rsid w:val="45D652AB"/>
    <w:rsid w:val="45D71407"/>
    <w:rsid w:val="45EA2A23"/>
    <w:rsid w:val="45EF0839"/>
    <w:rsid w:val="46201450"/>
    <w:rsid w:val="466B1EC0"/>
    <w:rsid w:val="46BA5B45"/>
    <w:rsid w:val="46E02D90"/>
    <w:rsid w:val="47084895"/>
    <w:rsid w:val="4731550D"/>
    <w:rsid w:val="474E3DD2"/>
    <w:rsid w:val="475A15BD"/>
    <w:rsid w:val="475D41A9"/>
    <w:rsid w:val="478C5215"/>
    <w:rsid w:val="47933A9A"/>
    <w:rsid w:val="479F19E4"/>
    <w:rsid w:val="47B02F97"/>
    <w:rsid w:val="48035910"/>
    <w:rsid w:val="480C0A6D"/>
    <w:rsid w:val="484216E1"/>
    <w:rsid w:val="485B284F"/>
    <w:rsid w:val="486A6E82"/>
    <w:rsid w:val="48CC3B3A"/>
    <w:rsid w:val="48E46708"/>
    <w:rsid w:val="48E938EC"/>
    <w:rsid w:val="491B0746"/>
    <w:rsid w:val="491C65A5"/>
    <w:rsid w:val="4947605E"/>
    <w:rsid w:val="494871CB"/>
    <w:rsid w:val="49B86BCA"/>
    <w:rsid w:val="49F47A9B"/>
    <w:rsid w:val="49F74B75"/>
    <w:rsid w:val="4A225C6E"/>
    <w:rsid w:val="4A4D0811"/>
    <w:rsid w:val="4B021410"/>
    <w:rsid w:val="4B7043AF"/>
    <w:rsid w:val="4B8E5887"/>
    <w:rsid w:val="4BC25528"/>
    <w:rsid w:val="4BC76CBC"/>
    <w:rsid w:val="4BFC5AEA"/>
    <w:rsid w:val="4C113303"/>
    <w:rsid w:val="4C470E78"/>
    <w:rsid w:val="4C5B45B9"/>
    <w:rsid w:val="4C951A93"/>
    <w:rsid w:val="4CB028B4"/>
    <w:rsid w:val="4CC061E9"/>
    <w:rsid w:val="4CF6088B"/>
    <w:rsid w:val="4D003043"/>
    <w:rsid w:val="4D2B122F"/>
    <w:rsid w:val="4D95484B"/>
    <w:rsid w:val="4D987FF5"/>
    <w:rsid w:val="4DB10084"/>
    <w:rsid w:val="4DC45E9D"/>
    <w:rsid w:val="4DD71F69"/>
    <w:rsid w:val="4DE34DA0"/>
    <w:rsid w:val="4E06584E"/>
    <w:rsid w:val="4E0D63A5"/>
    <w:rsid w:val="4E1B2282"/>
    <w:rsid w:val="4E3675D1"/>
    <w:rsid w:val="4E387F47"/>
    <w:rsid w:val="4E3C77CA"/>
    <w:rsid w:val="4E4D5283"/>
    <w:rsid w:val="4E6D78EE"/>
    <w:rsid w:val="4E821E83"/>
    <w:rsid w:val="4EBE75CB"/>
    <w:rsid w:val="4ED65AA4"/>
    <w:rsid w:val="4EEC7798"/>
    <w:rsid w:val="4EFF5D62"/>
    <w:rsid w:val="4F045EB1"/>
    <w:rsid w:val="4F091210"/>
    <w:rsid w:val="4F53202A"/>
    <w:rsid w:val="4F652159"/>
    <w:rsid w:val="4F6B417D"/>
    <w:rsid w:val="4F910C6B"/>
    <w:rsid w:val="4FBC2133"/>
    <w:rsid w:val="4FDC1F1A"/>
    <w:rsid w:val="4FFC0517"/>
    <w:rsid w:val="50152D26"/>
    <w:rsid w:val="501F0559"/>
    <w:rsid w:val="50315306"/>
    <w:rsid w:val="509252E2"/>
    <w:rsid w:val="50C62709"/>
    <w:rsid w:val="50DC644B"/>
    <w:rsid w:val="51063B27"/>
    <w:rsid w:val="5106564D"/>
    <w:rsid w:val="513E0EB3"/>
    <w:rsid w:val="513F3944"/>
    <w:rsid w:val="51497315"/>
    <w:rsid w:val="51590E46"/>
    <w:rsid w:val="51702EB6"/>
    <w:rsid w:val="51727059"/>
    <w:rsid w:val="51D21E7F"/>
    <w:rsid w:val="51E92D50"/>
    <w:rsid w:val="523924FA"/>
    <w:rsid w:val="5246001F"/>
    <w:rsid w:val="524B5D00"/>
    <w:rsid w:val="524D4779"/>
    <w:rsid w:val="52551B2E"/>
    <w:rsid w:val="52626EC5"/>
    <w:rsid w:val="52CC7E3F"/>
    <w:rsid w:val="52DB732F"/>
    <w:rsid w:val="52DD5C33"/>
    <w:rsid w:val="53167C56"/>
    <w:rsid w:val="531749E8"/>
    <w:rsid w:val="532B05C5"/>
    <w:rsid w:val="53324D80"/>
    <w:rsid w:val="53530B27"/>
    <w:rsid w:val="535613E3"/>
    <w:rsid w:val="536D4BAC"/>
    <w:rsid w:val="5395253A"/>
    <w:rsid w:val="53A924B2"/>
    <w:rsid w:val="53D72BD5"/>
    <w:rsid w:val="53F15C08"/>
    <w:rsid w:val="53FF75EE"/>
    <w:rsid w:val="540B7773"/>
    <w:rsid w:val="54161C40"/>
    <w:rsid w:val="541F4FCC"/>
    <w:rsid w:val="542C5E43"/>
    <w:rsid w:val="54511FCB"/>
    <w:rsid w:val="545A5CBD"/>
    <w:rsid w:val="545D2C5A"/>
    <w:rsid w:val="54DB0C50"/>
    <w:rsid w:val="54DF5836"/>
    <w:rsid w:val="54F348D9"/>
    <w:rsid w:val="54FC2237"/>
    <w:rsid w:val="550415FB"/>
    <w:rsid w:val="551C22E8"/>
    <w:rsid w:val="5556618C"/>
    <w:rsid w:val="558A39A1"/>
    <w:rsid w:val="559662D7"/>
    <w:rsid w:val="559A61A4"/>
    <w:rsid w:val="55DB3175"/>
    <w:rsid w:val="56013D0D"/>
    <w:rsid w:val="562260D0"/>
    <w:rsid w:val="56336211"/>
    <w:rsid w:val="564C5E20"/>
    <w:rsid w:val="564D71D8"/>
    <w:rsid w:val="56514978"/>
    <w:rsid w:val="567E24B0"/>
    <w:rsid w:val="568A0FC4"/>
    <w:rsid w:val="56B61912"/>
    <w:rsid w:val="56CF0F38"/>
    <w:rsid w:val="56D8447C"/>
    <w:rsid w:val="56DB0379"/>
    <w:rsid w:val="57343B91"/>
    <w:rsid w:val="57565180"/>
    <w:rsid w:val="575D340B"/>
    <w:rsid w:val="57D01C41"/>
    <w:rsid w:val="581250BF"/>
    <w:rsid w:val="581B3691"/>
    <w:rsid w:val="58406547"/>
    <w:rsid w:val="58501BF8"/>
    <w:rsid w:val="58621993"/>
    <w:rsid w:val="58896BC7"/>
    <w:rsid w:val="58B815A4"/>
    <w:rsid w:val="58B86005"/>
    <w:rsid w:val="58C10205"/>
    <w:rsid w:val="58D45F49"/>
    <w:rsid w:val="58D53B1B"/>
    <w:rsid w:val="58EB35F4"/>
    <w:rsid w:val="58FF2E4A"/>
    <w:rsid w:val="59167DC8"/>
    <w:rsid w:val="591A3EFA"/>
    <w:rsid w:val="591C7DEF"/>
    <w:rsid w:val="591E3AA4"/>
    <w:rsid w:val="59213594"/>
    <w:rsid w:val="59561490"/>
    <w:rsid w:val="59710D24"/>
    <w:rsid w:val="59856944"/>
    <w:rsid w:val="598E18B7"/>
    <w:rsid w:val="5991071A"/>
    <w:rsid w:val="599F5B19"/>
    <w:rsid w:val="59A475A5"/>
    <w:rsid w:val="59AC5881"/>
    <w:rsid w:val="59C06718"/>
    <w:rsid w:val="59D40326"/>
    <w:rsid w:val="59E13D47"/>
    <w:rsid w:val="59EE30BC"/>
    <w:rsid w:val="5A27242B"/>
    <w:rsid w:val="5A3344C9"/>
    <w:rsid w:val="5A376708"/>
    <w:rsid w:val="5A4870A0"/>
    <w:rsid w:val="5A5338E2"/>
    <w:rsid w:val="5AA72D93"/>
    <w:rsid w:val="5AD066C8"/>
    <w:rsid w:val="5AE35EFA"/>
    <w:rsid w:val="5AE97247"/>
    <w:rsid w:val="5B174A2C"/>
    <w:rsid w:val="5B2272B7"/>
    <w:rsid w:val="5B402790"/>
    <w:rsid w:val="5B420995"/>
    <w:rsid w:val="5B501C5C"/>
    <w:rsid w:val="5B875BD0"/>
    <w:rsid w:val="5BA37CDB"/>
    <w:rsid w:val="5BA501E0"/>
    <w:rsid w:val="5BAE2B80"/>
    <w:rsid w:val="5BCF6172"/>
    <w:rsid w:val="5BE726EA"/>
    <w:rsid w:val="5BEC0A1A"/>
    <w:rsid w:val="5BFA2748"/>
    <w:rsid w:val="5C365254"/>
    <w:rsid w:val="5C9F5B5B"/>
    <w:rsid w:val="5CBA7F88"/>
    <w:rsid w:val="5CC54AA7"/>
    <w:rsid w:val="5CC55CFE"/>
    <w:rsid w:val="5CC94F23"/>
    <w:rsid w:val="5CED06A7"/>
    <w:rsid w:val="5D1129BA"/>
    <w:rsid w:val="5D131014"/>
    <w:rsid w:val="5D182D61"/>
    <w:rsid w:val="5D397B94"/>
    <w:rsid w:val="5D403C93"/>
    <w:rsid w:val="5D9E335C"/>
    <w:rsid w:val="5DB36443"/>
    <w:rsid w:val="5DCE0591"/>
    <w:rsid w:val="5DCF3A41"/>
    <w:rsid w:val="5DD45079"/>
    <w:rsid w:val="5E1B182B"/>
    <w:rsid w:val="5E7303EE"/>
    <w:rsid w:val="5E9220FA"/>
    <w:rsid w:val="5F1E4498"/>
    <w:rsid w:val="5F207842"/>
    <w:rsid w:val="5F2A6782"/>
    <w:rsid w:val="5F542102"/>
    <w:rsid w:val="5F644405"/>
    <w:rsid w:val="5FC55F6C"/>
    <w:rsid w:val="60227F70"/>
    <w:rsid w:val="60267C28"/>
    <w:rsid w:val="6035342C"/>
    <w:rsid w:val="60362C06"/>
    <w:rsid w:val="60380D19"/>
    <w:rsid w:val="603922EA"/>
    <w:rsid w:val="60482D9C"/>
    <w:rsid w:val="60520395"/>
    <w:rsid w:val="608C0394"/>
    <w:rsid w:val="60BB2645"/>
    <w:rsid w:val="60C625CB"/>
    <w:rsid w:val="60F9034D"/>
    <w:rsid w:val="611A50D3"/>
    <w:rsid w:val="612E4F75"/>
    <w:rsid w:val="61E77BD5"/>
    <w:rsid w:val="6261481D"/>
    <w:rsid w:val="62AD00F7"/>
    <w:rsid w:val="62CE5DEF"/>
    <w:rsid w:val="62DF5AFC"/>
    <w:rsid w:val="62E445FB"/>
    <w:rsid w:val="630C5BCA"/>
    <w:rsid w:val="631C30D0"/>
    <w:rsid w:val="633164AC"/>
    <w:rsid w:val="635D7737"/>
    <w:rsid w:val="635D7B6B"/>
    <w:rsid w:val="63A61BF4"/>
    <w:rsid w:val="63F31BA7"/>
    <w:rsid w:val="640A5B1E"/>
    <w:rsid w:val="64184044"/>
    <w:rsid w:val="644C553B"/>
    <w:rsid w:val="644E7D86"/>
    <w:rsid w:val="64581B14"/>
    <w:rsid w:val="64611F97"/>
    <w:rsid w:val="647C19B8"/>
    <w:rsid w:val="64956D6D"/>
    <w:rsid w:val="64A13B2C"/>
    <w:rsid w:val="64A73132"/>
    <w:rsid w:val="64AB4BA2"/>
    <w:rsid w:val="64AE7089"/>
    <w:rsid w:val="64C77606"/>
    <w:rsid w:val="652878F1"/>
    <w:rsid w:val="657A48C2"/>
    <w:rsid w:val="6590044F"/>
    <w:rsid w:val="65AB5B22"/>
    <w:rsid w:val="65AB5BA8"/>
    <w:rsid w:val="65DF2C20"/>
    <w:rsid w:val="660B715E"/>
    <w:rsid w:val="667D4688"/>
    <w:rsid w:val="669B478C"/>
    <w:rsid w:val="66BD6B7E"/>
    <w:rsid w:val="66DB485A"/>
    <w:rsid w:val="66E936AC"/>
    <w:rsid w:val="66F93209"/>
    <w:rsid w:val="67030FEB"/>
    <w:rsid w:val="670761DB"/>
    <w:rsid w:val="670E41CB"/>
    <w:rsid w:val="67150EC3"/>
    <w:rsid w:val="674D39D1"/>
    <w:rsid w:val="675632E4"/>
    <w:rsid w:val="676300CC"/>
    <w:rsid w:val="67BD39CF"/>
    <w:rsid w:val="67E0537A"/>
    <w:rsid w:val="67F632AE"/>
    <w:rsid w:val="6823604A"/>
    <w:rsid w:val="68307A21"/>
    <w:rsid w:val="683951F0"/>
    <w:rsid w:val="68640398"/>
    <w:rsid w:val="68780E88"/>
    <w:rsid w:val="687F2580"/>
    <w:rsid w:val="689304B0"/>
    <w:rsid w:val="689304E6"/>
    <w:rsid w:val="68C80EA5"/>
    <w:rsid w:val="68DC4DA5"/>
    <w:rsid w:val="690D534D"/>
    <w:rsid w:val="691F0445"/>
    <w:rsid w:val="695A10B3"/>
    <w:rsid w:val="698B1703"/>
    <w:rsid w:val="69BB7B31"/>
    <w:rsid w:val="69E7132C"/>
    <w:rsid w:val="69E8659E"/>
    <w:rsid w:val="6A136195"/>
    <w:rsid w:val="6A17062B"/>
    <w:rsid w:val="6A1810A0"/>
    <w:rsid w:val="6A5D3139"/>
    <w:rsid w:val="6A99203F"/>
    <w:rsid w:val="6AD308F3"/>
    <w:rsid w:val="6ADA72E5"/>
    <w:rsid w:val="6ADB73C0"/>
    <w:rsid w:val="6AF44452"/>
    <w:rsid w:val="6AF503DD"/>
    <w:rsid w:val="6B5042B7"/>
    <w:rsid w:val="6B5F12DC"/>
    <w:rsid w:val="6B9925E4"/>
    <w:rsid w:val="6BC4171A"/>
    <w:rsid w:val="6BC5068C"/>
    <w:rsid w:val="6BDA5F51"/>
    <w:rsid w:val="6BF00943"/>
    <w:rsid w:val="6C027339"/>
    <w:rsid w:val="6C0A0D1E"/>
    <w:rsid w:val="6C154E66"/>
    <w:rsid w:val="6C2A6BC7"/>
    <w:rsid w:val="6C3758E6"/>
    <w:rsid w:val="6C8973B5"/>
    <w:rsid w:val="6CCB512F"/>
    <w:rsid w:val="6CE31ED6"/>
    <w:rsid w:val="6CF94E2F"/>
    <w:rsid w:val="6D150642"/>
    <w:rsid w:val="6D1A474E"/>
    <w:rsid w:val="6D353B38"/>
    <w:rsid w:val="6D7E6C07"/>
    <w:rsid w:val="6DB00902"/>
    <w:rsid w:val="6DBA1A36"/>
    <w:rsid w:val="6DC413F2"/>
    <w:rsid w:val="6DDD5884"/>
    <w:rsid w:val="6DE964F4"/>
    <w:rsid w:val="6E0C58A3"/>
    <w:rsid w:val="6E590D02"/>
    <w:rsid w:val="6E6521EC"/>
    <w:rsid w:val="6E8F535C"/>
    <w:rsid w:val="6E9B7F9F"/>
    <w:rsid w:val="6EC22632"/>
    <w:rsid w:val="6EC44A84"/>
    <w:rsid w:val="6F145210"/>
    <w:rsid w:val="6F330183"/>
    <w:rsid w:val="6F4F5A99"/>
    <w:rsid w:val="6F747F0E"/>
    <w:rsid w:val="6F7B0408"/>
    <w:rsid w:val="6F7E7393"/>
    <w:rsid w:val="6FAA5A15"/>
    <w:rsid w:val="6FB36CAD"/>
    <w:rsid w:val="6FC648B3"/>
    <w:rsid w:val="6FD27922"/>
    <w:rsid w:val="6FD70BB7"/>
    <w:rsid w:val="70187047"/>
    <w:rsid w:val="701A7648"/>
    <w:rsid w:val="70433B00"/>
    <w:rsid w:val="70435B5C"/>
    <w:rsid w:val="70B054D2"/>
    <w:rsid w:val="70B32F83"/>
    <w:rsid w:val="70C42D2B"/>
    <w:rsid w:val="70D65F79"/>
    <w:rsid w:val="70DE74C1"/>
    <w:rsid w:val="70E04E78"/>
    <w:rsid w:val="713619B8"/>
    <w:rsid w:val="71745A0C"/>
    <w:rsid w:val="71771C62"/>
    <w:rsid w:val="719C5B65"/>
    <w:rsid w:val="719E4175"/>
    <w:rsid w:val="71E255BD"/>
    <w:rsid w:val="72253C9E"/>
    <w:rsid w:val="72434D85"/>
    <w:rsid w:val="728B452E"/>
    <w:rsid w:val="72BB2C9D"/>
    <w:rsid w:val="72CE1173"/>
    <w:rsid w:val="72F524A8"/>
    <w:rsid w:val="730D308D"/>
    <w:rsid w:val="733D7C8A"/>
    <w:rsid w:val="73431B88"/>
    <w:rsid w:val="735F2141"/>
    <w:rsid w:val="7368273C"/>
    <w:rsid w:val="737A2756"/>
    <w:rsid w:val="73997D32"/>
    <w:rsid w:val="73FB62FE"/>
    <w:rsid w:val="73FB7E3F"/>
    <w:rsid w:val="74040E27"/>
    <w:rsid w:val="743478F9"/>
    <w:rsid w:val="7470499F"/>
    <w:rsid w:val="747A0179"/>
    <w:rsid w:val="74B239BF"/>
    <w:rsid w:val="74B83054"/>
    <w:rsid w:val="74BA2AC5"/>
    <w:rsid w:val="74ED07F7"/>
    <w:rsid w:val="750A38E1"/>
    <w:rsid w:val="752F015C"/>
    <w:rsid w:val="7535244A"/>
    <w:rsid w:val="75630D31"/>
    <w:rsid w:val="75843448"/>
    <w:rsid w:val="75870269"/>
    <w:rsid w:val="75A4312B"/>
    <w:rsid w:val="76132D7E"/>
    <w:rsid w:val="7699681C"/>
    <w:rsid w:val="76C176A8"/>
    <w:rsid w:val="76EE0498"/>
    <w:rsid w:val="771A743B"/>
    <w:rsid w:val="77227091"/>
    <w:rsid w:val="7730766D"/>
    <w:rsid w:val="7780057E"/>
    <w:rsid w:val="77C04347"/>
    <w:rsid w:val="77DC4DD6"/>
    <w:rsid w:val="78034833"/>
    <w:rsid w:val="780B7997"/>
    <w:rsid w:val="7868134A"/>
    <w:rsid w:val="78750D6D"/>
    <w:rsid w:val="787F22BF"/>
    <w:rsid w:val="78896E24"/>
    <w:rsid w:val="78D41F79"/>
    <w:rsid w:val="78F8428C"/>
    <w:rsid w:val="79016FFB"/>
    <w:rsid w:val="79281271"/>
    <w:rsid w:val="79350C8F"/>
    <w:rsid w:val="79375440"/>
    <w:rsid w:val="795F69FD"/>
    <w:rsid w:val="797672BD"/>
    <w:rsid w:val="79AD0042"/>
    <w:rsid w:val="79B1348D"/>
    <w:rsid w:val="79D235B1"/>
    <w:rsid w:val="79E6616D"/>
    <w:rsid w:val="79EC49C3"/>
    <w:rsid w:val="79F60B6A"/>
    <w:rsid w:val="7A011942"/>
    <w:rsid w:val="7A134E13"/>
    <w:rsid w:val="7A3A5CE2"/>
    <w:rsid w:val="7A3C335C"/>
    <w:rsid w:val="7A4B232D"/>
    <w:rsid w:val="7A7744DF"/>
    <w:rsid w:val="7A7816E5"/>
    <w:rsid w:val="7A993CB5"/>
    <w:rsid w:val="7A9B2D4F"/>
    <w:rsid w:val="7AD973D3"/>
    <w:rsid w:val="7AF465F8"/>
    <w:rsid w:val="7B110267"/>
    <w:rsid w:val="7B556DD9"/>
    <w:rsid w:val="7B583F02"/>
    <w:rsid w:val="7B93399C"/>
    <w:rsid w:val="7BB277F0"/>
    <w:rsid w:val="7C3B6086"/>
    <w:rsid w:val="7C4073BE"/>
    <w:rsid w:val="7C515816"/>
    <w:rsid w:val="7C887617"/>
    <w:rsid w:val="7C8D362C"/>
    <w:rsid w:val="7C975353"/>
    <w:rsid w:val="7CC055CD"/>
    <w:rsid w:val="7CDD4070"/>
    <w:rsid w:val="7CE65DD7"/>
    <w:rsid w:val="7D1A752D"/>
    <w:rsid w:val="7D24527D"/>
    <w:rsid w:val="7D5C6064"/>
    <w:rsid w:val="7D685F51"/>
    <w:rsid w:val="7D733BF0"/>
    <w:rsid w:val="7D737AB6"/>
    <w:rsid w:val="7DCD6B2C"/>
    <w:rsid w:val="7DEE139B"/>
    <w:rsid w:val="7DFA4230"/>
    <w:rsid w:val="7DFE7341"/>
    <w:rsid w:val="7E2E59A8"/>
    <w:rsid w:val="7E514E49"/>
    <w:rsid w:val="7ECD724F"/>
    <w:rsid w:val="7EE556F8"/>
    <w:rsid w:val="7F282C32"/>
    <w:rsid w:val="7F40168F"/>
    <w:rsid w:val="7F4A4C50"/>
    <w:rsid w:val="7F523DAB"/>
    <w:rsid w:val="7F702B8B"/>
    <w:rsid w:val="7F750285"/>
    <w:rsid w:val="7F7C526F"/>
    <w:rsid w:val="7F813820"/>
    <w:rsid w:val="7F813A32"/>
    <w:rsid w:val="7F9554E0"/>
    <w:rsid w:val="7FA44454"/>
    <w:rsid w:val="7FA85382"/>
    <w:rsid w:val="7FAD3295"/>
    <w:rsid w:val="7FD9032D"/>
    <w:rsid w:val="7FED719D"/>
    <w:rsid w:val="7FFC1E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keepLines/>
      <w:spacing w:before="340" w:beforeLines="0" w:after="330" w:afterLines="0" w:line="576" w:lineRule="auto"/>
      <w:jc w:val="center"/>
      <w:outlineLvl w:val="0"/>
    </w:pPr>
    <w:rPr>
      <w:b/>
      <w:spacing w:val="14"/>
      <w:kern w:val="44"/>
      <w:sz w:val="36"/>
      <w:szCs w:val="20"/>
    </w:rPr>
  </w:style>
  <w:style w:type="paragraph" w:styleId="3">
    <w:name w:val="heading 2"/>
    <w:basedOn w:val="1"/>
    <w:next w:val="1"/>
    <w:link w:val="69"/>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5"/>
    <w:link w:val="70"/>
    <w:qFormat/>
    <w:uiPriority w:val="0"/>
    <w:pPr>
      <w:outlineLvl w:val="2"/>
    </w:pPr>
    <w:rPr>
      <w:rFonts w:ascii="Arial" w:hAnsi="Arial" w:eastAsia="黑体"/>
      <w:spacing w:val="14"/>
      <w:kern w:val="24"/>
      <w:sz w:val="28"/>
      <w:szCs w:val="20"/>
    </w:rPr>
  </w:style>
  <w:style w:type="paragraph" w:styleId="7">
    <w:name w:val="heading 4"/>
    <w:basedOn w:val="1"/>
    <w:next w:val="1"/>
    <w:link w:val="73"/>
    <w:qFormat/>
    <w:uiPriority w:val="0"/>
    <w:pPr>
      <w:keepNext/>
      <w:keepLines/>
      <w:spacing w:before="280" w:beforeLines="0" w:after="290" w:afterLines="0" w:line="372" w:lineRule="auto"/>
      <w:outlineLvl w:val="3"/>
    </w:pPr>
    <w:rPr>
      <w:rFonts w:eastAsia="黑体"/>
      <w:b/>
      <w:bCs/>
      <w:sz w:val="30"/>
      <w:szCs w:val="28"/>
    </w:rPr>
  </w:style>
  <w:style w:type="paragraph" w:styleId="8">
    <w:name w:val="heading 5"/>
    <w:basedOn w:val="1"/>
    <w:next w:val="1"/>
    <w:link w:val="74"/>
    <w:qFormat/>
    <w:uiPriority w:val="0"/>
    <w:pPr>
      <w:keepNext/>
      <w:keepLines/>
      <w:tabs>
        <w:tab w:val="left" w:pos="1060"/>
      </w:tabs>
      <w:spacing w:before="280" w:beforeLines="0" w:after="290" w:afterLines="0"/>
      <w:ind w:left="425" w:hanging="85" w:firstLineChars="200"/>
      <w:jc w:val="left"/>
      <w:outlineLvl w:val="4"/>
    </w:pPr>
    <w:rPr>
      <w:rFonts w:eastAsia="黑体"/>
      <w:sz w:val="32"/>
      <w:szCs w:val="20"/>
    </w:rPr>
  </w:style>
  <w:style w:type="paragraph" w:styleId="9">
    <w:name w:val="heading 6"/>
    <w:basedOn w:val="1"/>
    <w:next w:val="5"/>
    <w:link w:val="75"/>
    <w:qFormat/>
    <w:uiPriority w:val="0"/>
    <w:pPr>
      <w:keepNext/>
      <w:keepLines/>
      <w:tabs>
        <w:tab w:val="left" w:pos="1152"/>
      </w:tabs>
      <w:spacing w:before="240" w:beforeLines="0" w:after="64" w:afterLines="0" w:line="317" w:lineRule="auto"/>
      <w:ind w:left="1152" w:hanging="1152"/>
      <w:jc w:val="left"/>
      <w:outlineLvl w:val="5"/>
    </w:pPr>
    <w:rPr>
      <w:rFonts w:ascii="Arial" w:hAnsi="Arial" w:eastAsia="黑体"/>
      <w:b/>
      <w:bCs/>
      <w:spacing w:val="6"/>
      <w:sz w:val="24"/>
    </w:rPr>
  </w:style>
  <w:style w:type="paragraph" w:styleId="10">
    <w:name w:val="heading 7"/>
    <w:basedOn w:val="1"/>
    <w:next w:val="5"/>
    <w:link w:val="76"/>
    <w:qFormat/>
    <w:uiPriority w:val="0"/>
    <w:pPr>
      <w:keepNext/>
      <w:keepLines/>
      <w:tabs>
        <w:tab w:val="left" w:pos="1296"/>
      </w:tabs>
      <w:spacing w:before="240" w:beforeLines="0" w:after="64" w:afterLines="0" w:line="317" w:lineRule="auto"/>
      <w:ind w:left="1296" w:hanging="1296"/>
      <w:jc w:val="left"/>
      <w:outlineLvl w:val="6"/>
    </w:pPr>
    <w:rPr>
      <w:b/>
      <w:bCs/>
      <w:spacing w:val="6"/>
      <w:sz w:val="24"/>
    </w:rPr>
  </w:style>
  <w:style w:type="paragraph" w:styleId="11">
    <w:name w:val="heading 8"/>
    <w:basedOn w:val="1"/>
    <w:next w:val="5"/>
    <w:link w:val="77"/>
    <w:qFormat/>
    <w:uiPriority w:val="0"/>
    <w:pPr>
      <w:keepNext/>
      <w:keepLines/>
      <w:tabs>
        <w:tab w:val="left" w:pos="1440"/>
      </w:tabs>
      <w:spacing w:before="240" w:beforeLines="0" w:after="64" w:afterLines="0" w:line="317" w:lineRule="auto"/>
      <w:ind w:left="1440" w:hanging="1440"/>
      <w:jc w:val="left"/>
      <w:outlineLvl w:val="7"/>
    </w:pPr>
    <w:rPr>
      <w:rFonts w:ascii="Arial" w:hAnsi="Arial" w:eastAsia="黑体"/>
      <w:spacing w:val="6"/>
      <w:sz w:val="24"/>
    </w:rPr>
  </w:style>
  <w:style w:type="paragraph" w:styleId="12">
    <w:name w:val="heading 9"/>
    <w:basedOn w:val="1"/>
    <w:next w:val="5"/>
    <w:link w:val="78"/>
    <w:qFormat/>
    <w:uiPriority w:val="0"/>
    <w:pPr>
      <w:keepNext/>
      <w:keepLines/>
      <w:tabs>
        <w:tab w:val="left" w:pos="1584"/>
      </w:tabs>
      <w:spacing w:before="240" w:beforeLines="0" w:after="64" w:afterLines="0" w:line="317" w:lineRule="auto"/>
      <w:ind w:left="1584" w:hanging="1584"/>
      <w:jc w:val="left"/>
      <w:outlineLvl w:val="8"/>
    </w:pPr>
    <w:rPr>
      <w:rFonts w:ascii="Arial" w:hAnsi="Arial" w:eastAsia="黑体"/>
      <w:spacing w:val="6"/>
      <w:sz w:val="24"/>
    </w:rPr>
  </w:style>
  <w:style w:type="character" w:default="1" w:styleId="51">
    <w:name w:val="Default Paragraph Font"/>
    <w:qFormat/>
    <w:uiPriority w:val="0"/>
  </w:style>
  <w:style w:type="table" w:default="1" w:styleId="49">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71"/>
    <w:qFormat/>
    <w:uiPriority w:val="0"/>
    <w:pPr>
      <w:spacing w:line="460" w:lineRule="exact"/>
      <w:ind w:firstLine="420"/>
    </w:pPr>
    <w:rPr>
      <w:spacing w:val="14"/>
      <w:kern w:val="24"/>
      <w:sz w:val="24"/>
      <w:szCs w:val="20"/>
    </w:rPr>
  </w:style>
  <w:style w:type="paragraph" w:styleId="6">
    <w:name w:val="Body Text Indent"/>
    <w:basedOn w:val="1"/>
    <w:next w:val="1"/>
    <w:link w:val="72"/>
    <w:qFormat/>
    <w:uiPriority w:val="0"/>
    <w:pPr>
      <w:spacing w:line="460" w:lineRule="exact"/>
      <w:ind w:firstLine="420"/>
    </w:pPr>
    <w:rPr>
      <w:rFonts w:ascii="宋体"/>
      <w:kern w:val="24"/>
      <w:sz w:val="28"/>
      <w:szCs w:val="20"/>
    </w:rPr>
  </w:style>
  <w:style w:type="paragraph" w:styleId="13">
    <w:name w:val="toc 7"/>
    <w:basedOn w:val="1"/>
    <w:next w:val="1"/>
    <w:qFormat/>
    <w:uiPriority w:val="0"/>
    <w:pPr>
      <w:ind w:left="2520" w:leftChars="1200"/>
    </w:pPr>
  </w:style>
  <w:style w:type="paragraph" w:styleId="14">
    <w:name w:val="caption"/>
    <w:basedOn w:val="1"/>
    <w:next w:val="1"/>
    <w:qFormat/>
    <w:uiPriority w:val="0"/>
    <w:rPr>
      <w:rFonts w:ascii="方正综艺简体" w:hAnsi="方正综艺简体" w:eastAsia="方正综艺简体" w:cs="方正综艺简体"/>
      <w:sz w:val="20"/>
      <w:szCs w:val="20"/>
    </w:rPr>
  </w:style>
  <w:style w:type="paragraph" w:styleId="15">
    <w:name w:val="Document Map"/>
    <w:basedOn w:val="1"/>
    <w:link w:val="79"/>
    <w:qFormat/>
    <w:uiPriority w:val="0"/>
    <w:rPr>
      <w:rFonts w:ascii="宋体"/>
      <w:sz w:val="18"/>
      <w:szCs w:val="18"/>
    </w:rPr>
  </w:style>
  <w:style w:type="paragraph" w:styleId="16">
    <w:name w:val="annotation text"/>
    <w:basedOn w:val="1"/>
    <w:link w:val="80"/>
    <w:qFormat/>
    <w:uiPriority w:val="0"/>
    <w:pPr>
      <w:jc w:val="left"/>
    </w:pPr>
  </w:style>
  <w:style w:type="paragraph" w:styleId="17">
    <w:name w:val="Salutation"/>
    <w:basedOn w:val="1"/>
    <w:next w:val="1"/>
    <w:qFormat/>
    <w:uiPriority w:val="0"/>
    <w:rPr>
      <w:rFonts w:ascii="宋体" w:hAnsi="宋体"/>
      <w:spacing w:val="20"/>
      <w:sz w:val="24"/>
      <w:szCs w:val="20"/>
    </w:rPr>
  </w:style>
  <w:style w:type="paragraph" w:styleId="18">
    <w:name w:val="Body Text 3"/>
    <w:basedOn w:val="1"/>
    <w:link w:val="81"/>
    <w:qFormat/>
    <w:uiPriority w:val="0"/>
    <w:pPr>
      <w:spacing w:before="312" w:beforeLines="100" w:after="312" w:afterLines="100" w:line="400" w:lineRule="exact"/>
    </w:pPr>
    <w:rPr>
      <w:rFonts w:ascii="宋体" w:hAnsi="宋体"/>
      <w:sz w:val="24"/>
    </w:rPr>
  </w:style>
  <w:style w:type="paragraph" w:styleId="19">
    <w:name w:val="Body Text"/>
    <w:basedOn w:val="1"/>
    <w:next w:val="20"/>
    <w:link w:val="82"/>
    <w:qFormat/>
    <w:uiPriority w:val="0"/>
    <w:pPr>
      <w:spacing w:after="120" w:afterLines="0"/>
    </w:pPr>
  </w:style>
  <w:style w:type="paragraph" w:styleId="20">
    <w:name w:val="Body Text First Indent"/>
    <w:basedOn w:val="19"/>
    <w:next w:val="21"/>
    <w:link w:val="83"/>
    <w:qFormat/>
    <w:uiPriority w:val="0"/>
    <w:pPr>
      <w:tabs>
        <w:tab w:val="left" w:pos="482"/>
        <w:tab w:val="left" w:pos="2183"/>
        <w:tab w:val="left" w:pos="3884"/>
        <w:tab w:val="left" w:pos="5585"/>
      </w:tabs>
      <w:adjustRightInd w:val="0"/>
      <w:spacing w:after="0" w:afterLines="0"/>
      <w:ind w:firstLine="482"/>
      <w:textAlignment w:val="baseline"/>
    </w:pPr>
    <w:rPr>
      <w:kern w:val="0"/>
      <w:sz w:val="24"/>
      <w:szCs w:val="20"/>
    </w:rPr>
  </w:style>
  <w:style w:type="paragraph" w:styleId="21">
    <w:name w:val="toc 6"/>
    <w:basedOn w:val="1"/>
    <w:next w:val="1"/>
    <w:qFormat/>
    <w:uiPriority w:val="0"/>
    <w:pPr>
      <w:ind w:left="2100" w:leftChars="1000"/>
    </w:pPr>
  </w:style>
  <w:style w:type="paragraph" w:styleId="22">
    <w:name w:val="Block Text"/>
    <w:basedOn w:val="1"/>
    <w:qFormat/>
    <w:uiPriority w:val="0"/>
    <w:pPr>
      <w:adjustRightInd w:val="0"/>
      <w:ind w:left="420" w:right="33"/>
      <w:jc w:val="left"/>
      <w:textAlignment w:val="baseline"/>
    </w:pPr>
    <w:rPr>
      <w:kern w:val="0"/>
      <w:sz w:val="24"/>
    </w:rPr>
  </w:style>
  <w:style w:type="paragraph" w:styleId="23">
    <w:name w:val="List Bullet 2"/>
    <w:basedOn w:val="1"/>
    <w:qFormat/>
    <w:uiPriority w:val="0"/>
    <w:pPr>
      <w:tabs>
        <w:tab w:val="left" w:pos="780"/>
      </w:tabs>
      <w:spacing w:line="460" w:lineRule="exact"/>
      <w:ind w:left="780" w:leftChars="200" w:hanging="360" w:hangingChars="200"/>
    </w:pPr>
    <w:rPr>
      <w:spacing w:val="12"/>
      <w:sz w:val="24"/>
      <w:szCs w:val="20"/>
    </w:rPr>
  </w:style>
  <w:style w:type="paragraph" w:styleId="24">
    <w:name w:val="index 4"/>
    <w:basedOn w:val="1"/>
    <w:next w:val="1"/>
    <w:qFormat/>
    <w:uiPriority w:val="0"/>
    <w:pPr>
      <w:ind w:left="600" w:leftChars="600"/>
    </w:pPr>
    <w:rPr>
      <w:rFonts w:ascii="方正综艺简体" w:hAnsi="方正综艺简体" w:eastAsia="方正综艺简体" w:cs="方正综艺简体"/>
    </w:rPr>
  </w:style>
  <w:style w:type="paragraph" w:styleId="25">
    <w:name w:val="toc 5"/>
    <w:basedOn w:val="1"/>
    <w:next w:val="1"/>
    <w:qFormat/>
    <w:uiPriority w:val="0"/>
    <w:pPr>
      <w:ind w:left="1680" w:leftChars="800"/>
    </w:pPr>
  </w:style>
  <w:style w:type="paragraph" w:styleId="26">
    <w:name w:val="toc 3"/>
    <w:basedOn w:val="1"/>
    <w:next w:val="1"/>
    <w:qFormat/>
    <w:uiPriority w:val="39"/>
    <w:pPr>
      <w:ind w:left="840" w:leftChars="400"/>
    </w:pPr>
  </w:style>
  <w:style w:type="paragraph" w:styleId="27">
    <w:name w:val="Plain Text"/>
    <w:basedOn w:val="1"/>
    <w:next w:val="1"/>
    <w:link w:val="84"/>
    <w:qFormat/>
    <w:uiPriority w:val="0"/>
    <w:rPr>
      <w:rFonts w:ascii="宋体" w:hAnsi="Courier New"/>
      <w:szCs w:val="20"/>
    </w:rPr>
  </w:style>
  <w:style w:type="paragraph" w:styleId="28">
    <w:name w:val="toc 8"/>
    <w:basedOn w:val="1"/>
    <w:next w:val="1"/>
    <w:qFormat/>
    <w:uiPriority w:val="0"/>
    <w:pPr>
      <w:ind w:left="2940" w:leftChars="1400"/>
    </w:pPr>
  </w:style>
  <w:style w:type="paragraph" w:styleId="29">
    <w:name w:val="Date"/>
    <w:basedOn w:val="1"/>
    <w:next w:val="1"/>
    <w:link w:val="85"/>
    <w:qFormat/>
    <w:uiPriority w:val="0"/>
    <w:pPr>
      <w:ind w:left="100" w:leftChars="2500"/>
    </w:pPr>
    <w:rPr>
      <w:sz w:val="24"/>
    </w:rPr>
  </w:style>
  <w:style w:type="paragraph" w:styleId="30">
    <w:name w:val="Body Text Indent 2"/>
    <w:basedOn w:val="1"/>
    <w:link w:val="86"/>
    <w:qFormat/>
    <w:uiPriority w:val="0"/>
    <w:pPr>
      <w:spacing w:line="460" w:lineRule="exact"/>
      <w:ind w:firstLine="510" w:firstLineChars="203"/>
    </w:pPr>
    <w:rPr>
      <w:spacing w:val="14"/>
      <w:kern w:val="24"/>
      <w:sz w:val="24"/>
      <w:szCs w:val="20"/>
    </w:rPr>
  </w:style>
  <w:style w:type="paragraph" w:styleId="31">
    <w:name w:val="Balloon Text"/>
    <w:basedOn w:val="1"/>
    <w:link w:val="87"/>
    <w:qFormat/>
    <w:uiPriority w:val="0"/>
    <w:rPr>
      <w:sz w:val="18"/>
      <w:szCs w:val="18"/>
    </w:rPr>
  </w:style>
  <w:style w:type="paragraph" w:styleId="32">
    <w:name w:val="footer"/>
    <w:basedOn w:val="1"/>
    <w:link w:val="88"/>
    <w:qFormat/>
    <w:uiPriority w:val="0"/>
    <w:pPr>
      <w:tabs>
        <w:tab w:val="center" w:pos="4153"/>
        <w:tab w:val="right" w:pos="8306"/>
      </w:tabs>
      <w:snapToGrid w:val="0"/>
      <w:jc w:val="left"/>
    </w:pPr>
    <w:rPr>
      <w:sz w:val="18"/>
      <w:szCs w:val="18"/>
    </w:rPr>
  </w:style>
  <w:style w:type="paragraph" w:styleId="33">
    <w:name w:val="envelope return"/>
    <w:basedOn w:val="1"/>
    <w:qFormat/>
    <w:uiPriority w:val="0"/>
    <w:pPr>
      <w:snapToGrid w:val="0"/>
    </w:pPr>
    <w:rPr>
      <w:rFonts w:ascii="Arial" w:hAnsi="Arial"/>
    </w:rPr>
  </w:style>
  <w:style w:type="paragraph" w:styleId="34">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35">
    <w:name w:val="Signature"/>
    <w:basedOn w:val="1"/>
    <w:qFormat/>
    <w:uiPriority w:val="0"/>
    <w:pPr>
      <w:spacing w:line="460" w:lineRule="exact"/>
      <w:ind w:left="100" w:leftChars="2100" w:firstLine="200" w:firstLineChars="200"/>
    </w:pPr>
    <w:rPr>
      <w:spacing w:val="12"/>
      <w:sz w:val="24"/>
      <w:szCs w:val="20"/>
    </w:rPr>
  </w:style>
  <w:style w:type="paragraph" w:styleId="36">
    <w:name w:val="toc 1"/>
    <w:basedOn w:val="1"/>
    <w:next w:val="1"/>
    <w:qFormat/>
    <w:uiPriority w:val="39"/>
    <w:rPr>
      <w:rFonts w:ascii="Arial" w:hAnsi="Arial" w:cs="Arial"/>
      <w:bCs/>
      <w:kern w:val="0"/>
    </w:rPr>
  </w:style>
  <w:style w:type="paragraph" w:styleId="37">
    <w:name w:val="toc 4"/>
    <w:basedOn w:val="1"/>
    <w:next w:val="1"/>
    <w:qFormat/>
    <w:uiPriority w:val="0"/>
    <w:pPr>
      <w:ind w:left="1260" w:leftChars="600"/>
    </w:pPr>
  </w:style>
  <w:style w:type="paragraph" w:styleId="38">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9">
    <w:name w:val="Body Text Indent 3"/>
    <w:basedOn w:val="1"/>
    <w:link w:val="91"/>
    <w:qFormat/>
    <w:uiPriority w:val="0"/>
    <w:pPr>
      <w:spacing w:line="460" w:lineRule="exact"/>
      <w:ind w:firstLine="555" w:firstLineChars="221"/>
    </w:pPr>
    <w:rPr>
      <w:spacing w:val="14"/>
      <w:kern w:val="24"/>
      <w:sz w:val="24"/>
      <w:szCs w:val="20"/>
    </w:rPr>
  </w:style>
  <w:style w:type="paragraph" w:styleId="40">
    <w:name w:val="table of figures"/>
    <w:basedOn w:val="1"/>
    <w:next w:val="1"/>
    <w:qFormat/>
    <w:uiPriority w:val="0"/>
    <w:pPr>
      <w:widowControl/>
      <w:ind w:left="840" w:leftChars="200" w:hanging="420" w:hangingChars="200"/>
      <w:jc w:val="left"/>
    </w:pPr>
    <w:rPr>
      <w:kern w:val="0"/>
      <w:szCs w:val="20"/>
    </w:rPr>
  </w:style>
  <w:style w:type="paragraph" w:styleId="41">
    <w:name w:val="toc 2"/>
    <w:basedOn w:val="1"/>
    <w:next w:val="1"/>
    <w:qFormat/>
    <w:uiPriority w:val="39"/>
    <w:pPr>
      <w:ind w:left="420" w:leftChars="200"/>
    </w:pPr>
  </w:style>
  <w:style w:type="paragraph" w:styleId="42">
    <w:name w:val="toc 9"/>
    <w:basedOn w:val="1"/>
    <w:next w:val="1"/>
    <w:qFormat/>
    <w:uiPriority w:val="0"/>
    <w:pPr>
      <w:ind w:left="3360" w:leftChars="1600"/>
    </w:pPr>
  </w:style>
  <w:style w:type="paragraph" w:styleId="43">
    <w:name w:val="Body Text 2"/>
    <w:basedOn w:val="1"/>
    <w:link w:val="92"/>
    <w:qFormat/>
    <w:uiPriority w:val="0"/>
    <w:pPr>
      <w:jc w:val="center"/>
    </w:pPr>
    <w:rPr>
      <w:rFonts w:ascii="宋体" w:hAnsi="宋体"/>
      <w:sz w:val="44"/>
    </w:rPr>
  </w:style>
  <w:style w:type="paragraph" w:styleId="44">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99"/>
    <w:pPr>
      <w:widowControl/>
      <w:spacing w:before="100" w:beforeLines="0" w:beforeAutospacing="1" w:after="100" w:afterLines="0" w:afterAutospacing="1"/>
      <w:jc w:val="left"/>
    </w:pPr>
    <w:rPr>
      <w:rFonts w:ascii="Arial Unicode MS" w:hAnsi="Arial Unicode MS" w:eastAsia="Times New Roman"/>
      <w:color w:val="000000"/>
      <w:kern w:val="0"/>
      <w:sz w:val="24"/>
    </w:rPr>
  </w:style>
  <w:style w:type="paragraph" w:styleId="46">
    <w:name w:val="Title"/>
    <w:basedOn w:val="1"/>
    <w:next w:val="1"/>
    <w:link w:val="94"/>
    <w:qFormat/>
    <w:uiPriority w:val="0"/>
    <w:pPr>
      <w:spacing w:before="240" w:after="60"/>
      <w:jc w:val="center"/>
      <w:outlineLvl w:val="0"/>
    </w:pPr>
    <w:rPr>
      <w:rFonts w:ascii="Cambria" w:hAnsi="Cambria"/>
      <w:b/>
      <w:bCs/>
      <w:sz w:val="32"/>
      <w:szCs w:val="32"/>
    </w:rPr>
  </w:style>
  <w:style w:type="paragraph" w:styleId="47">
    <w:name w:val="annotation subject"/>
    <w:basedOn w:val="16"/>
    <w:next w:val="16"/>
    <w:link w:val="95"/>
    <w:qFormat/>
    <w:uiPriority w:val="0"/>
    <w:rPr>
      <w:b/>
      <w:bCs/>
    </w:rPr>
  </w:style>
  <w:style w:type="paragraph" w:styleId="48">
    <w:name w:val="Body Text First Indent 2"/>
    <w:basedOn w:val="6"/>
    <w:next w:val="1"/>
    <w:qFormat/>
    <w:uiPriority w:val="0"/>
    <w:pPr>
      <w:keepNext w:val="0"/>
      <w:keepLines w:val="0"/>
      <w:widowControl w:val="0"/>
      <w:suppressLineNumbers w:val="0"/>
      <w:autoSpaceDE w:val="0"/>
      <w:autoSpaceDN w:val="0"/>
      <w:adjustRightInd w:val="0"/>
      <w:spacing w:before="0" w:beforeAutospacing="0" w:after="120" w:afterAutospacing="0"/>
      <w:ind w:left="420" w:leftChars="200" w:right="0" w:firstLine="420" w:firstLineChars="200"/>
      <w:jc w:val="left"/>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333333"/>
      <w:u w:val="none"/>
    </w:rPr>
  </w:style>
  <w:style w:type="character" w:styleId="55">
    <w:name w:val="Emphasis"/>
    <w:qFormat/>
    <w:uiPriority w:val="0"/>
    <w:rPr>
      <w:rFonts w:ascii="Arial Black" w:hAnsi="Arial Black" w:eastAsia="黑体"/>
      <w:b/>
      <w:bCs/>
      <w:spacing w:val="0"/>
      <w:sz w:val="21"/>
      <w:lang w:eastAsia="zh-CN"/>
    </w:rPr>
  </w:style>
  <w:style w:type="character" w:styleId="56">
    <w:name w:val="line number"/>
    <w:qFormat/>
    <w:uiPriority w:val="0"/>
  </w:style>
  <w:style w:type="character" w:styleId="57">
    <w:name w:val="HTML Definition"/>
    <w:unhideWhenUsed/>
    <w:qFormat/>
    <w:uiPriority w:val="99"/>
  </w:style>
  <w:style w:type="character" w:styleId="58">
    <w:name w:val="HTML Acronym"/>
    <w:unhideWhenUsed/>
    <w:qFormat/>
    <w:uiPriority w:val="99"/>
  </w:style>
  <w:style w:type="character" w:styleId="59">
    <w:name w:val="HTML Variable"/>
    <w:unhideWhenUsed/>
    <w:qFormat/>
    <w:uiPriority w:val="99"/>
  </w:style>
  <w:style w:type="character" w:styleId="60">
    <w:name w:val="Hyperlink"/>
    <w:basedOn w:val="51"/>
    <w:qFormat/>
    <w:uiPriority w:val="99"/>
    <w:rPr>
      <w:color w:val="333333"/>
      <w:u w:val="none"/>
    </w:rPr>
  </w:style>
  <w:style w:type="character" w:styleId="61">
    <w:name w:val="HTML Code"/>
    <w:unhideWhenUsed/>
    <w:qFormat/>
    <w:uiPriority w:val="99"/>
    <w:rPr>
      <w:rFonts w:hint="default" w:ascii="monospace" w:hAnsi="monospace" w:eastAsia="monospace" w:cs="monospace"/>
      <w:sz w:val="24"/>
      <w:szCs w:val="24"/>
    </w:rPr>
  </w:style>
  <w:style w:type="character" w:styleId="62">
    <w:name w:val="annotation reference"/>
    <w:qFormat/>
    <w:uiPriority w:val="0"/>
    <w:rPr>
      <w:sz w:val="21"/>
      <w:szCs w:val="21"/>
    </w:rPr>
  </w:style>
  <w:style w:type="character" w:styleId="63">
    <w:name w:val="HTML Cite"/>
    <w:unhideWhenUsed/>
    <w:qFormat/>
    <w:uiPriority w:val="99"/>
  </w:style>
  <w:style w:type="character" w:styleId="64">
    <w:name w:val="HTML Keyboard"/>
    <w:unhideWhenUsed/>
    <w:qFormat/>
    <w:uiPriority w:val="99"/>
    <w:rPr>
      <w:rFonts w:hint="default" w:ascii="monospace" w:hAnsi="monospace" w:eastAsia="monospace" w:cs="monospace"/>
      <w:sz w:val="24"/>
      <w:szCs w:val="24"/>
    </w:rPr>
  </w:style>
  <w:style w:type="character" w:styleId="65">
    <w:name w:val="HTML Sample"/>
    <w:unhideWhenUsed/>
    <w:qFormat/>
    <w:uiPriority w:val="99"/>
    <w:rPr>
      <w:rFonts w:ascii="monospace" w:hAnsi="monospace" w:eastAsia="monospace" w:cs="monospace"/>
      <w:sz w:val="24"/>
      <w:szCs w:val="24"/>
    </w:rPr>
  </w:style>
  <w:style w:type="paragraph" w:customStyle="1" w:styleId="66">
    <w:name w:val="Default"/>
    <w:next w:val="67"/>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8">
    <w:name w:val="标题 1 字符"/>
    <w:link w:val="2"/>
    <w:qFormat/>
    <w:uiPriority w:val="0"/>
    <w:rPr>
      <w:rFonts w:eastAsia="宋体"/>
      <w:b/>
      <w:spacing w:val="14"/>
      <w:kern w:val="44"/>
      <w:sz w:val="36"/>
      <w:lang w:val="en-US" w:eastAsia="zh-CN" w:bidi="ar-SA"/>
    </w:rPr>
  </w:style>
  <w:style w:type="character" w:customStyle="1" w:styleId="69">
    <w:name w:val="标题 2 字符"/>
    <w:link w:val="3"/>
    <w:qFormat/>
    <w:uiPriority w:val="0"/>
    <w:rPr>
      <w:rFonts w:ascii="Arial" w:hAnsi="Arial" w:eastAsia="黑体"/>
      <w:b/>
      <w:bCs/>
      <w:kern w:val="2"/>
      <w:sz w:val="32"/>
      <w:szCs w:val="32"/>
      <w:lang w:val="en-US" w:eastAsia="zh-CN" w:bidi="ar-SA"/>
    </w:rPr>
  </w:style>
  <w:style w:type="character" w:customStyle="1" w:styleId="70">
    <w:name w:val="标题 3 字符"/>
    <w:link w:val="4"/>
    <w:qFormat/>
    <w:uiPriority w:val="0"/>
    <w:rPr>
      <w:rFonts w:ascii="Arial" w:hAnsi="Arial" w:eastAsia="黑体"/>
      <w:spacing w:val="14"/>
      <w:kern w:val="24"/>
      <w:sz w:val="28"/>
    </w:rPr>
  </w:style>
  <w:style w:type="character" w:customStyle="1" w:styleId="71">
    <w:name w:val="正文缩进 字符"/>
    <w:link w:val="5"/>
    <w:qFormat/>
    <w:uiPriority w:val="0"/>
    <w:rPr>
      <w:spacing w:val="14"/>
      <w:kern w:val="24"/>
      <w:sz w:val="24"/>
    </w:rPr>
  </w:style>
  <w:style w:type="character" w:customStyle="1" w:styleId="72">
    <w:name w:val="正文文本缩进 字符"/>
    <w:link w:val="6"/>
    <w:qFormat/>
    <w:uiPriority w:val="0"/>
    <w:rPr>
      <w:rFonts w:ascii="宋体"/>
      <w:kern w:val="24"/>
      <w:sz w:val="28"/>
    </w:rPr>
  </w:style>
  <w:style w:type="character" w:customStyle="1" w:styleId="73">
    <w:name w:val="标题 4 字符"/>
    <w:link w:val="7"/>
    <w:qFormat/>
    <w:uiPriority w:val="0"/>
    <w:rPr>
      <w:rFonts w:eastAsia="黑体"/>
      <w:b/>
      <w:bCs/>
      <w:kern w:val="2"/>
      <w:sz w:val="30"/>
      <w:szCs w:val="28"/>
    </w:rPr>
  </w:style>
  <w:style w:type="character" w:customStyle="1" w:styleId="74">
    <w:name w:val="标题 5 字符"/>
    <w:link w:val="8"/>
    <w:qFormat/>
    <w:uiPriority w:val="0"/>
    <w:rPr>
      <w:rFonts w:eastAsia="黑体"/>
      <w:kern w:val="2"/>
      <w:sz w:val="32"/>
    </w:rPr>
  </w:style>
  <w:style w:type="character" w:customStyle="1" w:styleId="75">
    <w:name w:val="标题 6 字符"/>
    <w:link w:val="9"/>
    <w:qFormat/>
    <w:uiPriority w:val="0"/>
    <w:rPr>
      <w:rFonts w:ascii="Arial" w:hAnsi="Arial" w:eastAsia="黑体"/>
      <w:b/>
      <w:bCs/>
      <w:spacing w:val="6"/>
      <w:kern w:val="2"/>
      <w:sz w:val="24"/>
      <w:szCs w:val="24"/>
    </w:rPr>
  </w:style>
  <w:style w:type="character" w:customStyle="1" w:styleId="76">
    <w:name w:val="标题 7 字符"/>
    <w:link w:val="10"/>
    <w:qFormat/>
    <w:uiPriority w:val="0"/>
    <w:rPr>
      <w:b/>
      <w:bCs/>
      <w:spacing w:val="6"/>
      <w:kern w:val="2"/>
      <w:sz w:val="24"/>
      <w:szCs w:val="24"/>
    </w:rPr>
  </w:style>
  <w:style w:type="character" w:customStyle="1" w:styleId="77">
    <w:name w:val="标题 8 字符"/>
    <w:link w:val="11"/>
    <w:qFormat/>
    <w:uiPriority w:val="0"/>
    <w:rPr>
      <w:rFonts w:ascii="Arial" w:hAnsi="Arial" w:eastAsia="黑体"/>
      <w:spacing w:val="6"/>
      <w:kern w:val="2"/>
      <w:sz w:val="24"/>
      <w:szCs w:val="24"/>
    </w:rPr>
  </w:style>
  <w:style w:type="character" w:customStyle="1" w:styleId="78">
    <w:name w:val="标题 9 字符"/>
    <w:link w:val="12"/>
    <w:qFormat/>
    <w:uiPriority w:val="0"/>
    <w:rPr>
      <w:rFonts w:ascii="Arial" w:hAnsi="Arial" w:eastAsia="黑体"/>
      <w:spacing w:val="6"/>
      <w:kern w:val="2"/>
      <w:sz w:val="24"/>
      <w:szCs w:val="24"/>
    </w:rPr>
  </w:style>
  <w:style w:type="character" w:customStyle="1" w:styleId="79">
    <w:name w:val="文档结构图 字符"/>
    <w:link w:val="15"/>
    <w:qFormat/>
    <w:uiPriority w:val="0"/>
    <w:rPr>
      <w:rFonts w:ascii="宋体"/>
      <w:kern w:val="2"/>
      <w:sz w:val="18"/>
      <w:szCs w:val="18"/>
    </w:rPr>
  </w:style>
  <w:style w:type="character" w:customStyle="1" w:styleId="80">
    <w:name w:val="批注文字 字符"/>
    <w:link w:val="16"/>
    <w:qFormat/>
    <w:uiPriority w:val="0"/>
    <w:rPr>
      <w:kern w:val="2"/>
      <w:sz w:val="21"/>
      <w:szCs w:val="24"/>
    </w:rPr>
  </w:style>
  <w:style w:type="character" w:customStyle="1" w:styleId="81">
    <w:name w:val="正文文本 3 字符"/>
    <w:link w:val="18"/>
    <w:qFormat/>
    <w:uiPriority w:val="0"/>
    <w:rPr>
      <w:rFonts w:ascii="宋体" w:hAnsi="宋体"/>
      <w:kern w:val="2"/>
      <w:sz w:val="24"/>
      <w:szCs w:val="24"/>
    </w:rPr>
  </w:style>
  <w:style w:type="character" w:customStyle="1" w:styleId="82">
    <w:name w:val="正文文本 字符"/>
    <w:link w:val="19"/>
    <w:qFormat/>
    <w:uiPriority w:val="0"/>
    <w:rPr>
      <w:kern w:val="2"/>
      <w:sz w:val="21"/>
      <w:szCs w:val="24"/>
    </w:rPr>
  </w:style>
  <w:style w:type="character" w:customStyle="1" w:styleId="83">
    <w:name w:val="正文首行缩进 字符"/>
    <w:link w:val="20"/>
    <w:qFormat/>
    <w:uiPriority w:val="0"/>
    <w:rPr>
      <w:sz w:val="24"/>
    </w:rPr>
  </w:style>
  <w:style w:type="character" w:customStyle="1" w:styleId="84">
    <w:name w:val="纯文本 字符"/>
    <w:link w:val="27"/>
    <w:qFormat/>
    <w:uiPriority w:val="0"/>
    <w:rPr>
      <w:rFonts w:ascii="宋体" w:hAnsi="Courier New"/>
      <w:kern w:val="2"/>
      <w:sz w:val="21"/>
    </w:rPr>
  </w:style>
  <w:style w:type="character" w:customStyle="1" w:styleId="85">
    <w:name w:val="日期 字符"/>
    <w:link w:val="29"/>
    <w:qFormat/>
    <w:uiPriority w:val="0"/>
    <w:rPr>
      <w:kern w:val="2"/>
      <w:sz w:val="24"/>
      <w:szCs w:val="24"/>
    </w:rPr>
  </w:style>
  <w:style w:type="character" w:customStyle="1" w:styleId="86">
    <w:name w:val="正文文本缩进 2 字符"/>
    <w:link w:val="30"/>
    <w:qFormat/>
    <w:uiPriority w:val="0"/>
    <w:rPr>
      <w:spacing w:val="14"/>
      <w:kern w:val="24"/>
      <w:sz w:val="24"/>
    </w:rPr>
  </w:style>
  <w:style w:type="character" w:customStyle="1" w:styleId="87">
    <w:name w:val="批注框文本 字符"/>
    <w:link w:val="31"/>
    <w:qFormat/>
    <w:uiPriority w:val="0"/>
    <w:rPr>
      <w:kern w:val="2"/>
      <w:sz w:val="18"/>
      <w:szCs w:val="18"/>
    </w:rPr>
  </w:style>
  <w:style w:type="character" w:customStyle="1" w:styleId="88">
    <w:name w:val="页脚 字符"/>
    <w:link w:val="32"/>
    <w:qFormat/>
    <w:uiPriority w:val="0"/>
    <w:rPr>
      <w:kern w:val="2"/>
      <w:sz w:val="18"/>
      <w:szCs w:val="18"/>
    </w:rPr>
  </w:style>
  <w:style w:type="character" w:customStyle="1" w:styleId="89">
    <w:name w:val="页眉 字符"/>
    <w:link w:val="34"/>
    <w:qFormat/>
    <w:uiPriority w:val="0"/>
    <w:rPr>
      <w:kern w:val="2"/>
      <w:sz w:val="18"/>
      <w:szCs w:val="18"/>
    </w:rPr>
  </w:style>
  <w:style w:type="character" w:customStyle="1" w:styleId="90">
    <w:name w:val="副标题 字符"/>
    <w:link w:val="38"/>
    <w:qFormat/>
    <w:uiPriority w:val="0"/>
    <w:rPr>
      <w:rFonts w:ascii="Cambria" w:hAnsi="Cambria" w:cs="Times New Roman"/>
      <w:b/>
      <w:bCs/>
      <w:kern w:val="28"/>
      <w:sz w:val="32"/>
      <w:szCs w:val="32"/>
    </w:rPr>
  </w:style>
  <w:style w:type="character" w:customStyle="1" w:styleId="91">
    <w:name w:val="正文文本缩进 3 字符"/>
    <w:link w:val="39"/>
    <w:qFormat/>
    <w:uiPriority w:val="0"/>
    <w:rPr>
      <w:spacing w:val="14"/>
      <w:kern w:val="24"/>
      <w:sz w:val="24"/>
    </w:rPr>
  </w:style>
  <w:style w:type="character" w:customStyle="1" w:styleId="92">
    <w:name w:val="正文文本 2 字符"/>
    <w:link w:val="43"/>
    <w:qFormat/>
    <w:uiPriority w:val="0"/>
    <w:rPr>
      <w:rFonts w:ascii="宋体" w:hAnsi="宋体"/>
      <w:kern w:val="2"/>
      <w:sz w:val="44"/>
      <w:szCs w:val="24"/>
    </w:rPr>
  </w:style>
  <w:style w:type="character" w:customStyle="1" w:styleId="93">
    <w:name w:val="HTML 预设格式 字符"/>
    <w:link w:val="44"/>
    <w:qFormat/>
    <w:uiPriority w:val="0"/>
    <w:rPr>
      <w:rFonts w:ascii="宋体" w:hAnsi="宋体" w:cs="宋体"/>
      <w:sz w:val="24"/>
      <w:szCs w:val="24"/>
    </w:rPr>
  </w:style>
  <w:style w:type="character" w:customStyle="1" w:styleId="94">
    <w:name w:val="标题 字符"/>
    <w:link w:val="46"/>
    <w:qFormat/>
    <w:uiPriority w:val="0"/>
    <w:rPr>
      <w:rFonts w:ascii="Cambria" w:hAnsi="Cambria" w:cs="Times New Roman"/>
      <w:b/>
      <w:bCs/>
      <w:kern w:val="2"/>
      <w:sz w:val="32"/>
      <w:szCs w:val="32"/>
    </w:rPr>
  </w:style>
  <w:style w:type="character" w:customStyle="1" w:styleId="95">
    <w:name w:val="批注主题 字符"/>
    <w:link w:val="47"/>
    <w:qFormat/>
    <w:uiPriority w:val="0"/>
    <w:rPr>
      <w:b/>
      <w:bCs/>
      <w:kern w:val="2"/>
      <w:sz w:val="21"/>
      <w:szCs w:val="24"/>
    </w:rPr>
  </w:style>
  <w:style w:type="paragraph" w:customStyle="1" w:styleId="96">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97">
    <w:name w:val="表格文字"/>
    <w:basedOn w:val="27"/>
    <w:next w:val="19"/>
    <w:qFormat/>
    <w:uiPriority w:val="0"/>
    <w:pPr>
      <w:adjustRightInd w:val="0"/>
      <w:spacing w:line="420" w:lineRule="atLeast"/>
      <w:textAlignment w:val="baseline"/>
    </w:pPr>
    <w:rPr>
      <w:szCs w:val="24"/>
    </w:rPr>
  </w:style>
  <w:style w:type="paragraph" w:customStyle="1" w:styleId="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9">
    <w:name w:val="no62"/>
    <w:qFormat/>
    <w:uiPriority w:val="0"/>
  </w:style>
  <w:style w:type="character" w:customStyle="1" w:styleId="100">
    <w:name w:val="tip9"/>
    <w:qFormat/>
    <w:uiPriority w:val="0"/>
    <w:rPr>
      <w:vanish/>
      <w:color w:val="FF0000"/>
      <w:sz w:val="18"/>
      <w:szCs w:val="18"/>
    </w:rPr>
  </w:style>
  <w:style w:type="character" w:customStyle="1" w:styleId="101">
    <w:name w:val="standardtitle1"/>
    <w:qFormat/>
    <w:uiPriority w:val="0"/>
    <w:rPr>
      <w:rFonts w:ascii="黑体" w:hAnsi="宋体" w:eastAsia="黑体" w:cs="黑体"/>
      <w:color w:val="000000"/>
      <w:sz w:val="27"/>
      <w:szCs w:val="27"/>
    </w:rPr>
  </w:style>
  <w:style w:type="character" w:customStyle="1" w:styleId="102">
    <w:name w:val="del2"/>
    <w:qFormat/>
    <w:uiPriority w:val="0"/>
  </w:style>
  <w:style w:type="character" w:customStyle="1" w:styleId="103">
    <w:name w:val="top-icon"/>
    <w:qFormat/>
    <w:uiPriority w:val="0"/>
  </w:style>
  <w:style w:type="character" w:customStyle="1" w:styleId="104">
    <w:name w:val="ui-bz-bg-hover1"/>
    <w:qFormat/>
    <w:uiPriority w:val="0"/>
  </w:style>
  <w:style w:type="character" w:customStyle="1" w:styleId="105">
    <w:name w:val="表正文 Char2"/>
    <w:qFormat/>
    <w:uiPriority w:val="0"/>
    <w:rPr>
      <w:rFonts w:eastAsia="宋体"/>
      <w:spacing w:val="14"/>
      <w:kern w:val="24"/>
      <w:sz w:val="24"/>
      <w:lang w:val="en-US" w:eastAsia="zh-CN" w:bidi="ar-SA"/>
    </w:rPr>
  </w:style>
  <w:style w:type="character" w:customStyle="1" w:styleId="106">
    <w:name w:val="org_name2"/>
    <w:qFormat/>
    <w:uiPriority w:val="0"/>
  </w:style>
  <w:style w:type="character" w:customStyle="1" w:styleId="107">
    <w:name w:val="明显引用 字符"/>
    <w:link w:val="108"/>
    <w:qFormat/>
    <w:uiPriority w:val="0"/>
    <w:rPr>
      <w:b/>
      <w:bCs/>
      <w:i/>
      <w:iCs/>
      <w:color w:val="4F81BD"/>
      <w:kern w:val="2"/>
      <w:sz w:val="21"/>
      <w:szCs w:val="22"/>
    </w:rPr>
  </w:style>
  <w:style w:type="paragraph" w:styleId="108">
    <w:name w:val="Intense Quote"/>
    <w:basedOn w:val="1"/>
    <w:next w:val="1"/>
    <w:link w:val="107"/>
    <w:qFormat/>
    <w:uiPriority w:val="0"/>
    <w:pPr>
      <w:pBdr>
        <w:bottom w:val="single" w:color="4F81BD" w:sz="4" w:space="4"/>
      </w:pBdr>
      <w:spacing w:before="200" w:after="280"/>
      <w:ind w:left="936" w:right="936"/>
    </w:pPr>
    <w:rPr>
      <w:b/>
      <w:bCs/>
      <w:i/>
      <w:iCs/>
      <w:color w:val="4F81BD"/>
      <w:szCs w:val="22"/>
    </w:rPr>
  </w:style>
  <w:style w:type="character" w:customStyle="1" w:styleId="109">
    <w:name w:val="批注文字 Char1"/>
    <w:qFormat/>
    <w:uiPriority w:val="0"/>
    <w:rPr>
      <w:kern w:val="2"/>
      <w:sz w:val="21"/>
    </w:rPr>
  </w:style>
  <w:style w:type="character" w:customStyle="1" w:styleId="110">
    <w:name w:val="std"/>
    <w:qFormat/>
    <w:uiPriority w:val="0"/>
  </w:style>
  <w:style w:type="character" w:customStyle="1" w:styleId="111">
    <w:name w:val="A3"/>
    <w:qFormat/>
    <w:uiPriority w:val="0"/>
    <w:rPr>
      <w:rFonts w:cs="Univers 45 Light"/>
      <w:b/>
      <w:bCs/>
      <w:color w:val="221E1F"/>
      <w:sz w:val="28"/>
      <w:szCs w:val="28"/>
    </w:rPr>
  </w:style>
  <w:style w:type="character" w:customStyle="1" w:styleId="112">
    <w:name w:val="ico-jiang"/>
    <w:qFormat/>
    <w:uiPriority w:val="0"/>
  </w:style>
  <w:style w:type="character" w:customStyle="1" w:styleId="113">
    <w:name w:val="font21"/>
    <w:qFormat/>
    <w:uiPriority w:val="0"/>
    <w:rPr>
      <w:rFonts w:ascii="Arial" w:hAnsi="Arial" w:cs="Arial"/>
      <w:color w:val="666666"/>
      <w:sz w:val="21"/>
      <w:szCs w:val="21"/>
      <w:u w:val="none"/>
    </w:rPr>
  </w:style>
  <w:style w:type="character" w:customStyle="1" w:styleId="114">
    <w:name w:val="样式 表格内文字 + (符号) 宋体 Char"/>
    <w:link w:val="115"/>
    <w:qFormat/>
    <w:uiPriority w:val="0"/>
  </w:style>
  <w:style w:type="paragraph" w:customStyle="1" w:styleId="115">
    <w:name w:val="样式 表格内文字 + (符号) 宋体"/>
    <w:basedOn w:val="116"/>
    <w:link w:val="114"/>
    <w:qFormat/>
    <w:uiPriority w:val="0"/>
  </w:style>
  <w:style w:type="paragraph" w:customStyle="1" w:styleId="116">
    <w:name w:val="表格内文字"/>
    <w:basedOn w:val="1"/>
    <w:link w:val="117"/>
    <w:qFormat/>
    <w:uiPriority w:val="0"/>
    <w:pPr>
      <w:spacing w:line="0" w:lineRule="atLeast"/>
      <w:jc w:val="center"/>
    </w:pPr>
    <w:rPr>
      <w:rFonts w:ascii="宋体"/>
      <w:szCs w:val="32"/>
    </w:rPr>
  </w:style>
  <w:style w:type="character" w:customStyle="1" w:styleId="117">
    <w:name w:val="表格内文字 Char"/>
    <w:link w:val="116"/>
    <w:qFormat/>
    <w:uiPriority w:val="0"/>
    <w:rPr>
      <w:rFonts w:ascii="宋体"/>
      <w:kern w:val="2"/>
      <w:sz w:val="21"/>
      <w:szCs w:val="32"/>
    </w:rPr>
  </w:style>
  <w:style w:type="character" w:customStyle="1" w:styleId="118">
    <w:name w:val="del"/>
    <w:qFormat/>
    <w:uiPriority w:val="0"/>
    <w:rPr>
      <w:vanish/>
    </w:rPr>
  </w:style>
  <w:style w:type="character" w:customStyle="1" w:styleId="119">
    <w:name w:val="样式2 Char"/>
    <w:link w:val="120"/>
    <w:qFormat/>
    <w:uiPriority w:val="0"/>
    <w:rPr>
      <w:rFonts w:ascii="方正综艺简体" w:hAnsi="方正综艺简体" w:eastAsia="方正综艺简体" w:cs="方正综艺简体"/>
      <w:bCs/>
      <w:kern w:val="44"/>
      <w:sz w:val="44"/>
      <w:szCs w:val="44"/>
    </w:rPr>
  </w:style>
  <w:style w:type="paragraph" w:customStyle="1" w:styleId="120">
    <w:name w:val="样式2"/>
    <w:basedOn w:val="2"/>
    <w:link w:val="119"/>
    <w:qFormat/>
    <w:uiPriority w:val="0"/>
    <w:pPr>
      <w:tabs>
        <w:tab w:val="left" w:pos="482"/>
        <w:tab w:val="left" w:pos="2183"/>
        <w:tab w:val="left" w:pos="3884"/>
        <w:tab w:val="left" w:pos="5585"/>
      </w:tabs>
      <w:adjustRightInd w:val="0"/>
      <w:spacing w:before="0" w:after="240" w:line="360" w:lineRule="auto"/>
      <w:textAlignment w:val="baseline"/>
    </w:pPr>
    <w:rPr>
      <w:rFonts w:ascii="方正综艺简体" w:hAnsi="方正综艺简体" w:eastAsia="方正综艺简体"/>
      <w:b w:val="0"/>
      <w:bCs/>
      <w:spacing w:val="0"/>
      <w:sz w:val="44"/>
      <w:szCs w:val="44"/>
    </w:rPr>
  </w:style>
  <w:style w:type="character" w:customStyle="1" w:styleId="121">
    <w:name w:val=" Char Char9"/>
    <w:qFormat/>
    <w:uiPriority w:val="0"/>
    <w:rPr>
      <w:kern w:val="2"/>
      <w:sz w:val="21"/>
      <w:szCs w:val="22"/>
    </w:rPr>
  </w:style>
  <w:style w:type="character" w:customStyle="1" w:styleId="122">
    <w:name w:val="副标题 Char2"/>
    <w:qFormat/>
    <w:uiPriority w:val="11"/>
    <w:rPr>
      <w:rFonts w:ascii="Calibri Light" w:hAnsi="Calibri Light" w:cs="Times New Roman"/>
      <w:b/>
      <w:bCs/>
      <w:kern w:val="28"/>
      <w:sz w:val="32"/>
      <w:szCs w:val="32"/>
    </w:rPr>
  </w:style>
  <w:style w:type="character" w:customStyle="1" w:styleId="123">
    <w:name w:val="small"/>
    <w:qFormat/>
    <w:uiPriority w:val="0"/>
  </w:style>
  <w:style w:type="character" w:customStyle="1" w:styleId="124">
    <w:name w:val="A2"/>
    <w:qFormat/>
    <w:uiPriority w:val="0"/>
    <w:rPr>
      <w:rFonts w:ascii="Univers 55" w:hAnsi="Univers 55" w:cs="Univers 55"/>
      <w:color w:val="221E1F"/>
      <w:sz w:val="16"/>
      <w:szCs w:val="16"/>
    </w:rPr>
  </w:style>
  <w:style w:type="character" w:customStyle="1" w:styleId="125">
    <w:name w:val="正文 + (中文) 仿宋_GB2312 Char Char"/>
    <w:link w:val="126"/>
    <w:qFormat/>
    <w:uiPriority w:val="0"/>
    <w:rPr>
      <w:sz w:val="24"/>
      <w:szCs w:val="24"/>
    </w:rPr>
  </w:style>
  <w:style w:type="paragraph" w:customStyle="1" w:styleId="126">
    <w:name w:val="正文 + (中文) 仿宋_GB2312"/>
    <w:basedOn w:val="1"/>
    <w:link w:val="125"/>
    <w:qFormat/>
    <w:uiPriority w:val="0"/>
    <w:pPr>
      <w:adjustRightInd w:val="0"/>
      <w:snapToGrid w:val="0"/>
      <w:spacing w:line="360" w:lineRule="exact"/>
      <w:ind w:firstLine="408" w:firstLineChars="170"/>
      <w:textAlignment w:val="baseline"/>
    </w:pPr>
    <w:rPr>
      <w:kern w:val="0"/>
      <w:sz w:val="24"/>
    </w:rPr>
  </w:style>
  <w:style w:type="character" w:customStyle="1" w:styleId="127">
    <w:name w:val="标题5 Char Char"/>
    <w:link w:val="128"/>
    <w:qFormat/>
    <w:uiPriority w:val="0"/>
    <w:rPr>
      <w:rFonts w:eastAsia="宋体"/>
      <w:b/>
      <w:bCs/>
      <w:sz w:val="24"/>
      <w:szCs w:val="32"/>
      <w:lang w:bidi="ar-SA"/>
    </w:rPr>
  </w:style>
  <w:style w:type="paragraph" w:customStyle="1" w:styleId="128">
    <w:name w:val="标题5"/>
    <w:basedOn w:val="4"/>
    <w:link w:val="127"/>
    <w:qFormat/>
    <w:uiPriority w:val="0"/>
    <w:pPr>
      <w:numPr>
        <w:ilvl w:val="2"/>
        <w:numId w:val="1"/>
      </w:numPr>
      <w:tabs>
        <w:tab w:val="left" w:pos="1903"/>
      </w:tabs>
      <w:ind w:left="1903"/>
    </w:pPr>
    <w:rPr>
      <w:rFonts w:ascii="Times New Roman" w:hAnsi="Times New Roman" w:eastAsia="宋体"/>
      <w:b/>
      <w:bCs/>
      <w:spacing w:val="0"/>
      <w:kern w:val="0"/>
      <w:sz w:val="24"/>
      <w:szCs w:val="32"/>
    </w:rPr>
  </w:style>
  <w:style w:type="character" w:customStyle="1" w:styleId="129">
    <w:name w:val="no5"/>
    <w:qFormat/>
    <w:uiPriority w:val="0"/>
  </w:style>
  <w:style w:type="character" w:customStyle="1" w:styleId="130">
    <w:name w:val="bds_more"/>
    <w:qFormat/>
    <w:uiPriority w:val="0"/>
  </w:style>
  <w:style w:type="character" w:customStyle="1" w:styleId="131">
    <w:name w:val="明显引用 Char1"/>
    <w:qFormat/>
    <w:uiPriority w:val="30"/>
    <w:rPr>
      <w:b/>
      <w:bCs/>
      <w:i/>
      <w:iCs/>
      <w:color w:val="4F81BD"/>
      <w:kern w:val="2"/>
      <w:sz w:val="21"/>
      <w:szCs w:val="24"/>
    </w:rPr>
  </w:style>
  <w:style w:type="character" w:customStyle="1" w:styleId="132">
    <w:name w:val="批注主题 Char1"/>
    <w:qFormat/>
    <w:uiPriority w:val="0"/>
    <w:rPr>
      <w:b/>
      <w:bCs/>
      <w:kern w:val="2"/>
      <w:sz w:val="21"/>
      <w:szCs w:val="22"/>
    </w:rPr>
  </w:style>
  <w:style w:type="character" w:customStyle="1" w:styleId="133">
    <w:name w:val="t1"/>
    <w:qFormat/>
    <w:uiPriority w:val="0"/>
    <w:rPr>
      <w:color w:val="666666"/>
      <w:sz w:val="16"/>
      <w:szCs w:val="16"/>
    </w:rPr>
  </w:style>
  <w:style w:type="character" w:customStyle="1" w:styleId="134">
    <w:name w:val="my-notice"/>
    <w:qFormat/>
    <w:uiPriority w:val="0"/>
  </w:style>
  <w:style w:type="character" w:customStyle="1" w:styleId="135">
    <w:name w:val="批注主题 Char2"/>
    <w:qFormat/>
    <w:uiPriority w:val="99"/>
    <w:rPr>
      <w:b/>
      <w:bCs/>
      <w:kern w:val="2"/>
      <w:sz w:val="21"/>
      <w:szCs w:val="24"/>
    </w:rPr>
  </w:style>
  <w:style w:type="character" w:customStyle="1" w:styleId="136">
    <w:name w:val="Para head"/>
    <w:qFormat/>
    <w:uiPriority w:val="0"/>
    <w:rPr>
      <w:rFonts w:ascii="Arial" w:hAnsi="Arial" w:eastAsia="Times New Roman"/>
      <w:sz w:val="20"/>
    </w:rPr>
  </w:style>
  <w:style w:type="character" w:customStyle="1" w:styleId="137">
    <w:name w:val="t-tag"/>
    <w:qFormat/>
    <w:uiPriority w:val="0"/>
    <w:rPr>
      <w:color w:val="FFFFFF"/>
      <w:sz w:val="18"/>
      <w:szCs w:val="18"/>
      <w:shd w:val="clear" w:color="auto" w:fill="FE8833"/>
    </w:rPr>
  </w:style>
  <w:style w:type="character" w:customStyle="1" w:styleId="138">
    <w:name w:val="NormalCharacter"/>
    <w:qFormat/>
    <w:uiPriority w:val="0"/>
    <w:rPr>
      <w:lang w:val="en-US" w:eastAsia="zh-CN"/>
    </w:rPr>
  </w:style>
  <w:style w:type="character" w:customStyle="1" w:styleId="139">
    <w:name w:val="bds_more2"/>
    <w:qFormat/>
    <w:uiPriority w:val="0"/>
  </w:style>
  <w:style w:type="character" w:customStyle="1" w:styleId="140">
    <w:name w:val="font11"/>
    <w:qFormat/>
    <w:uiPriority w:val="0"/>
    <w:rPr>
      <w:rFonts w:hint="eastAsia" w:ascii="宋体" w:hAnsi="宋体" w:eastAsia="宋体" w:cs="宋体"/>
      <w:color w:val="666666"/>
      <w:sz w:val="21"/>
      <w:szCs w:val="21"/>
      <w:u w:val="none"/>
    </w:rPr>
  </w:style>
  <w:style w:type="character" w:customStyle="1" w:styleId="141">
    <w:name w:val="_Style 140"/>
    <w:qFormat/>
    <w:uiPriority w:val="0"/>
    <w:rPr>
      <w:b/>
      <w:bCs/>
      <w:smallCaps/>
      <w:color w:val="C0504D"/>
      <w:spacing w:val="5"/>
      <w:u w:val="single"/>
    </w:rPr>
  </w:style>
  <w:style w:type="character" w:customStyle="1" w:styleId="142">
    <w:name w:val="bds_nopic"/>
    <w:qFormat/>
    <w:uiPriority w:val="0"/>
  </w:style>
  <w:style w:type="character" w:customStyle="1" w:styleId="143">
    <w:name w:val="a011"/>
    <w:qFormat/>
    <w:uiPriority w:val="0"/>
    <w:rPr>
      <w:sz w:val="21"/>
      <w:szCs w:val="21"/>
      <w:u w:val="none"/>
    </w:rPr>
  </w:style>
  <w:style w:type="character" w:customStyle="1" w:styleId="144">
    <w:name w:val="my-class2"/>
    <w:qFormat/>
    <w:uiPriority w:val="0"/>
  </w:style>
  <w:style w:type="character" w:customStyle="1" w:styleId="145">
    <w:name w:val="_Style 144"/>
    <w:qFormat/>
    <w:uiPriority w:val="0"/>
    <w:rPr>
      <w:b/>
      <w:bCs/>
      <w:smallCaps/>
      <w:spacing w:val="5"/>
    </w:rPr>
  </w:style>
  <w:style w:type="character" w:customStyle="1" w:styleId="146">
    <w:name w:val="del3"/>
    <w:qFormat/>
    <w:uiPriority w:val="0"/>
    <w:rPr>
      <w:vanish/>
    </w:rPr>
  </w:style>
  <w:style w:type="character" w:customStyle="1" w:styleId="147">
    <w:name w:val="引用 Char1"/>
    <w:qFormat/>
    <w:uiPriority w:val="29"/>
    <w:rPr>
      <w:i/>
      <w:iCs/>
      <w:color w:val="000000"/>
      <w:kern w:val="2"/>
      <w:sz w:val="21"/>
      <w:szCs w:val="24"/>
    </w:rPr>
  </w:style>
  <w:style w:type="character" w:customStyle="1" w:styleId="148">
    <w:name w:val="页脚 Char Char"/>
    <w:qFormat/>
    <w:uiPriority w:val="0"/>
    <w:rPr>
      <w:rFonts w:eastAsia="宋体"/>
      <w:kern w:val="2"/>
      <w:sz w:val="18"/>
      <w:lang w:val="en-US" w:eastAsia="zh-CN" w:bidi="ar-SA"/>
    </w:rPr>
  </w:style>
  <w:style w:type="character" w:customStyle="1" w:styleId="149">
    <w:name w:val="my-notice1"/>
    <w:qFormat/>
    <w:uiPriority w:val="0"/>
  </w:style>
  <w:style w:type="character" w:customStyle="1" w:styleId="150">
    <w:name w:val="legend"/>
    <w:qFormat/>
    <w:uiPriority w:val="0"/>
    <w:rPr>
      <w:rFonts w:hint="default" w:ascii="Arial" w:hAnsi="Arial" w:cs="Arial"/>
      <w:b/>
      <w:color w:val="73B304"/>
      <w:sz w:val="21"/>
      <w:szCs w:val="21"/>
      <w:shd w:val="clear" w:color="auto" w:fill="FFFFFF"/>
    </w:rPr>
  </w:style>
  <w:style w:type="character" w:customStyle="1" w:styleId="151">
    <w:name w:val="bds_nopic1"/>
    <w:qFormat/>
    <w:uiPriority w:val="0"/>
  </w:style>
  <w:style w:type="character" w:customStyle="1" w:styleId="152">
    <w:name w:val="标题 2 Char Char Char"/>
    <w:qFormat/>
    <w:uiPriority w:val="0"/>
    <w:rPr>
      <w:rFonts w:ascii="方正综艺简体" w:hAnsi="方正综艺简体" w:eastAsia="方正综艺简体" w:cs="方正综艺简体"/>
      <w:sz w:val="32"/>
      <w:szCs w:val="32"/>
      <w:lang w:val="en-US" w:eastAsia="zh-CN" w:bidi="ar-SA"/>
    </w:rPr>
  </w:style>
  <w:style w:type="character" w:customStyle="1" w:styleId="153">
    <w:name w:val="标题 Char1"/>
    <w:qFormat/>
    <w:uiPriority w:val="10"/>
    <w:rPr>
      <w:rFonts w:ascii="Calibri Light" w:hAnsi="Calibri Light" w:cs="Times New Roman"/>
      <w:b/>
      <w:bCs/>
      <w:kern w:val="2"/>
      <w:sz w:val="32"/>
      <w:szCs w:val="32"/>
    </w:rPr>
  </w:style>
  <w:style w:type="character" w:customStyle="1" w:styleId="154">
    <w:name w:val="批注框文本 Char2"/>
    <w:semiHidden/>
    <w:qFormat/>
    <w:uiPriority w:val="99"/>
    <w:rPr>
      <w:kern w:val="2"/>
      <w:sz w:val="18"/>
      <w:szCs w:val="18"/>
    </w:rPr>
  </w:style>
  <w:style w:type="character" w:customStyle="1" w:styleId="155">
    <w:name w:val="current"/>
    <w:qFormat/>
    <w:uiPriority w:val="0"/>
    <w:rPr>
      <w:color w:val="6D643C"/>
      <w:shd w:val="clear" w:color="auto" w:fill="F6EFCC"/>
    </w:rPr>
  </w:style>
  <w:style w:type="character" w:customStyle="1" w:styleId="156">
    <w:name w:val="页眉 Char Char"/>
    <w:qFormat/>
    <w:uiPriority w:val="0"/>
    <w:rPr>
      <w:rFonts w:eastAsia="宋体"/>
      <w:kern w:val="2"/>
      <w:sz w:val="18"/>
      <w:lang w:val="en-US" w:eastAsia="zh-CN" w:bidi="ar-SA"/>
    </w:rPr>
  </w:style>
  <w:style w:type="character" w:customStyle="1" w:styleId="157">
    <w:name w:val="price"/>
    <w:qFormat/>
    <w:uiPriority w:val="0"/>
    <w:rPr>
      <w:color w:val="666666"/>
      <w:sz w:val="15"/>
      <w:szCs w:val="15"/>
    </w:rPr>
  </w:style>
  <w:style w:type="character" w:customStyle="1" w:styleId="158">
    <w:name w:val="A6"/>
    <w:qFormat/>
    <w:uiPriority w:val="0"/>
    <w:rPr>
      <w:rFonts w:cs="Univers 45 Light"/>
      <w:b/>
      <w:bCs/>
      <w:color w:val="003D78"/>
      <w:sz w:val="20"/>
      <w:szCs w:val="20"/>
    </w:rPr>
  </w:style>
  <w:style w:type="character" w:customStyle="1" w:styleId="159">
    <w:name w:val="引用 字符"/>
    <w:link w:val="160"/>
    <w:qFormat/>
    <w:uiPriority w:val="0"/>
    <w:rPr>
      <w:i/>
      <w:iCs/>
      <w:color w:val="000000"/>
      <w:kern w:val="2"/>
      <w:sz w:val="21"/>
      <w:szCs w:val="24"/>
    </w:rPr>
  </w:style>
  <w:style w:type="paragraph" w:styleId="160">
    <w:name w:val="Quote"/>
    <w:basedOn w:val="1"/>
    <w:next w:val="1"/>
    <w:link w:val="159"/>
    <w:qFormat/>
    <w:uiPriority w:val="0"/>
    <w:rPr>
      <w:i/>
      <w:iCs/>
      <w:color w:val="000000"/>
    </w:rPr>
  </w:style>
  <w:style w:type="character" w:customStyle="1" w:styleId="161">
    <w:name w:val="press"/>
    <w:qFormat/>
    <w:uiPriority w:val="0"/>
    <w:rPr>
      <w:color w:val="666666"/>
      <w:sz w:val="15"/>
      <w:szCs w:val="15"/>
    </w:rPr>
  </w:style>
  <w:style w:type="character" w:customStyle="1" w:styleId="162">
    <w:name w:val="apple-converted-space"/>
    <w:qFormat/>
    <w:uiPriority w:val="0"/>
  </w:style>
  <w:style w:type="character" w:customStyle="1" w:styleId="163">
    <w:name w:val="样式 行距: 1.5 倍行距 Char Char"/>
    <w:link w:val="164"/>
    <w:qFormat/>
    <w:uiPriority w:val="0"/>
    <w:rPr>
      <w:kern w:val="2"/>
      <w:sz w:val="24"/>
    </w:rPr>
  </w:style>
  <w:style w:type="paragraph" w:customStyle="1" w:styleId="164">
    <w:name w:val="样式 行距: 1.5 倍行距"/>
    <w:basedOn w:val="1"/>
    <w:link w:val="163"/>
    <w:qFormat/>
    <w:uiPriority w:val="0"/>
    <w:pPr>
      <w:spacing w:line="360" w:lineRule="auto"/>
      <w:ind w:firstLine="480" w:firstLineChars="200"/>
    </w:pPr>
    <w:rPr>
      <w:sz w:val="24"/>
      <w:szCs w:val="20"/>
    </w:rPr>
  </w:style>
  <w:style w:type="character" w:customStyle="1" w:styleId="165">
    <w:name w:val="t"/>
    <w:qFormat/>
    <w:uiPriority w:val="0"/>
    <w:rPr>
      <w:color w:val="666666"/>
      <w:sz w:val="16"/>
      <w:szCs w:val="16"/>
    </w:rPr>
  </w:style>
  <w:style w:type="character" w:customStyle="1" w:styleId="166">
    <w:name w:val="unnamed51"/>
    <w:qFormat/>
    <w:uiPriority w:val="0"/>
    <w:rPr>
      <w:sz w:val="22"/>
      <w:szCs w:val="22"/>
    </w:rPr>
  </w:style>
  <w:style w:type="character" w:customStyle="1" w:styleId="167">
    <w:name w:val="orange6"/>
    <w:qFormat/>
    <w:uiPriority w:val="0"/>
    <w:rPr>
      <w:color w:val="3FB58F"/>
    </w:rPr>
  </w:style>
  <w:style w:type="character" w:customStyle="1" w:styleId="168">
    <w:name w:val="std1"/>
    <w:qFormat/>
    <w:uiPriority w:val="0"/>
  </w:style>
  <w:style w:type="character" w:customStyle="1" w:styleId="169">
    <w:name w:val="no52"/>
    <w:qFormat/>
    <w:uiPriority w:val="0"/>
  </w:style>
  <w:style w:type="character" w:customStyle="1" w:styleId="170">
    <w:name w:val="bds_more1"/>
    <w:qFormat/>
    <w:uiPriority w:val="0"/>
    <w:rPr>
      <w:rFonts w:hint="eastAsia" w:ascii="宋体" w:hAnsi="宋体" w:eastAsia="宋体" w:cs="宋体"/>
    </w:rPr>
  </w:style>
  <w:style w:type="character" w:customStyle="1" w:styleId="171">
    <w:name w:val="纯文本 Char1"/>
    <w:semiHidden/>
    <w:qFormat/>
    <w:uiPriority w:val="99"/>
    <w:rPr>
      <w:rFonts w:ascii="宋体" w:hAnsi="Courier New" w:eastAsia="宋体" w:cs="Courier New"/>
      <w:szCs w:val="21"/>
    </w:rPr>
  </w:style>
  <w:style w:type="character" w:customStyle="1" w:styleId="172">
    <w:name w:val="bds_nopic2"/>
    <w:qFormat/>
    <w:uiPriority w:val="0"/>
  </w:style>
  <w:style w:type="character" w:customStyle="1" w:styleId="173">
    <w:name w:val="disabled"/>
    <w:qFormat/>
    <w:uiPriority w:val="0"/>
    <w:rPr>
      <w:vanish/>
    </w:rPr>
  </w:style>
  <w:style w:type="character" w:customStyle="1" w:styleId="174">
    <w:name w:val="num"/>
    <w:qFormat/>
    <w:uiPriority w:val="0"/>
  </w:style>
  <w:style w:type="character" w:customStyle="1" w:styleId="175">
    <w:name w:val="_Style 174"/>
    <w:qFormat/>
    <w:uiPriority w:val="0"/>
    <w:rPr>
      <w:smallCaps/>
      <w:color w:val="C0504D"/>
      <w:u w:val="single"/>
    </w:rPr>
  </w:style>
  <w:style w:type="character" w:customStyle="1" w:styleId="176">
    <w:name w:val="明显引用 Char2"/>
    <w:qFormat/>
    <w:uiPriority w:val="30"/>
    <w:rPr>
      <w:b/>
      <w:bCs/>
      <w:i/>
      <w:iCs/>
      <w:color w:val="4F81BD"/>
      <w:kern w:val="2"/>
      <w:sz w:val="21"/>
      <w:szCs w:val="24"/>
    </w:rPr>
  </w:style>
  <w:style w:type="character" w:customStyle="1" w:styleId="177">
    <w:name w:val="引用 Char2"/>
    <w:qFormat/>
    <w:uiPriority w:val="29"/>
    <w:rPr>
      <w:i/>
      <w:iCs/>
      <w:color w:val="404040"/>
      <w:kern w:val="2"/>
      <w:sz w:val="21"/>
      <w:szCs w:val="24"/>
    </w:rPr>
  </w:style>
  <w:style w:type="character" w:customStyle="1" w:styleId="178">
    <w:name w:val="文档结构图 Char1"/>
    <w:qFormat/>
    <w:uiPriority w:val="0"/>
    <w:rPr>
      <w:rFonts w:ascii="方正综艺简体"/>
      <w:kern w:val="2"/>
      <w:sz w:val="18"/>
      <w:szCs w:val="18"/>
    </w:rPr>
  </w:style>
  <w:style w:type="character" w:customStyle="1" w:styleId="179">
    <w:name w:val="_Style 178"/>
    <w:qFormat/>
    <w:uiPriority w:val="0"/>
    <w:rPr>
      <w:i/>
      <w:iCs/>
      <w:color w:val="808080"/>
    </w:rPr>
  </w:style>
  <w:style w:type="character" w:customStyle="1" w:styleId="180">
    <w:name w:val="标题4 Char Char"/>
    <w:link w:val="181"/>
    <w:qFormat/>
    <w:uiPriority w:val="0"/>
    <w:rPr>
      <w:rFonts w:eastAsia="宋体"/>
      <w:b/>
      <w:bCs/>
      <w:sz w:val="24"/>
      <w:szCs w:val="32"/>
      <w:lang w:bidi="ar-SA"/>
    </w:rPr>
  </w:style>
  <w:style w:type="paragraph" w:customStyle="1" w:styleId="181">
    <w:name w:val="标题4"/>
    <w:basedOn w:val="3"/>
    <w:next w:val="24"/>
    <w:link w:val="180"/>
    <w:qFormat/>
    <w:uiPriority w:val="0"/>
    <w:pPr>
      <w:numPr>
        <w:ilvl w:val="1"/>
        <w:numId w:val="1"/>
      </w:numPr>
      <w:tabs>
        <w:tab w:val="left" w:pos="1483"/>
      </w:tabs>
    </w:pPr>
    <w:rPr>
      <w:rFonts w:ascii="Times New Roman" w:hAnsi="Times New Roman" w:eastAsia="宋体"/>
      <w:kern w:val="0"/>
      <w:sz w:val="24"/>
    </w:rPr>
  </w:style>
  <w:style w:type="character" w:customStyle="1" w:styleId="182">
    <w:name w:val="批注框文本 Char1"/>
    <w:qFormat/>
    <w:uiPriority w:val="0"/>
    <w:rPr>
      <w:kern w:val="2"/>
      <w:sz w:val="18"/>
      <w:szCs w:val="18"/>
    </w:rPr>
  </w:style>
  <w:style w:type="character" w:customStyle="1" w:styleId="183">
    <w:name w:val="A9"/>
    <w:qFormat/>
    <w:uiPriority w:val="0"/>
    <w:rPr>
      <w:rFonts w:cs="Univers 45 Light"/>
      <w:b/>
      <w:bCs/>
      <w:color w:val="221E1F"/>
      <w:sz w:val="18"/>
      <w:szCs w:val="18"/>
    </w:rPr>
  </w:style>
  <w:style w:type="character" w:customStyle="1" w:styleId="184">
    <w:name w:val="_Style 183"/>
    <w:qFormat/>
    <w:uiPriority w:val="0"/>
    <w:rPr>
      <w:b/>
      <w:bCs/>
      <w:i/>
      <w:iCs/>
      <w:color w:val="4F81BD"/>
    </w:rPr>
  </w:style>
  <w:style w:type="character" w:customStyle="1" w:styleId="185">
    <w:name w:val="del1"/>
    <w:qFormat/>
    <w:uiPriority w:val="0"/>
    <w:rPr>
      <w:vanish/>
      <w:color w:val="666666"/>
      <w:sz w:val="18"/>
      <w:szCs w:val="18"/>
      <w:u w:val="single"/>
    </w:rPr>
  </w:style>
  <w:style w:type="character" w:customStyle="1" w:styleId="186">
    <w:name w:val="正文文本 Char1"/>
    <w:qFormat/>
    <w:uiPriority w:val="0"/>
    <w:rPr>
      <w:kern w:val="2"/>
      <w:sz w:val="21"/>
      <w:szCs w:val="22"/>
    </w:rPr>
  </w:style>
  <w:style w:type="character" w:customStyle="1" w:styleId="187">
    <w:name w:val="no4"/>
    <w:qFormat/>
    <w:uiPriority w:val="0"/>
  </w:style>
  <w:style w:type="character" w:customStyle="1" w:styleId="188">
    <w:name w:val="ico-jiang1"/>
    <w:qFormat/>
    <w:uiPriority w:val="0"/>
  </w:style>
  <w:style w:type="character" w:customStyle="1" w:styleId="189">
    <w:name w:val="no72"/>
    <w:qFormat/>
    <w:uiPriority w:val="0"/>
  </w:style>
  <w:style w:type="character" w:customStyle="1" w:styleId="190">
    <w:name w:val="Blockquote Char Char"/>
    <w:qFormat/>
    <w:uiPriority w:val="0"/>
    <w:rPr>
      <w:rFonts w:eastAsia="宋体"/>
      <w:sz w:val="24"/>
      <w:lang w:val="en-US" w:eastAsia="zh-CN" w:bidi="ar-SA"/>
    </w:rPr>
  </w:style>
  <w:style w:type="character" w:customStyle="1" w:styleId="191">
    <w:name w:val="tip10"/>
    <w:qFormat/>
    <w:uiPriority w:val="0"/>
    <w:rPr>
      <w:vanish/>
      <w:color w:val="FF0000"/>
      <w:sz w:val="18"/>
      <w:szCs w:val="18"/>
    </w:rPr>
  </w:style>
  <w:style w:type="character" w:customStyle="1" w:styleId="192">
    <w:name w:val="no7"/>
    <w:qFormat/>
    <w:uiPriority w:val="0"/>
  </w:style>
  <w:style w:type="character" w:customStyle="1" w:styleId="193">
    <w:name w:val="no42"/>
    <w:qFormat/>
    <w:uiPriority w:val="0"/>
  </w:style>
  <w:style w:type="character" w:customStyle="1" w:styleId="194">
    <w:name w:val="正文文本 Char2"/>
    <w:qFormat/>
    <w:uiPriority w:val="0"/>
    <w:rPr>
      <w:kern w:val="2"/>
      <w:sz w:val="30"/>
    </w:rPr>
  </w:style>
  <w:style w:type="character" w:customStyle="1" w:styleId="195">
    <w:name w:val="my-class"/>
    <w:qFormat/>
    <w:uiPriority w:val="0"/>
  </w:style>
  <w:style w:type="character" w:customStyle="1" w:styleId="196">
    <w:name w:val="副标题 Char1"/>
    <w:qFormat/>
    <w:uiPriority w:val="0"/>
    <w:rPr>
      <w:rFonts w:ascii="方正综艺简体" w:hAnsi="方正综艺简体" w:cs="方正综艺简体"/>
      <w:b/>
      <w:bCs/>
      <w:kern w:val="28"/>
      <w:sz w:val="32"/>
      <w:szCs w:val="32"/>
    </w:rPr>
  </w:style>
  <w:style w:type="character" w:customStyle="1" w:styleId="197">
    <w:name w:val="textcontents"/>
    <w:qFormat/>
    <w:uiPriority w:val="0"/>
    <w:rPr>
      <w:rFonts w:cs="方正综艺简体"/>
    </w:rPr>
  </w:style>
  <w:style w:type="character" w:customStyle="1" w:styleId="198">
    <w:name w:val="f-star"/>
    <w:qFormat/>
    <w:uiPriority w:val="0"/>
    <w:rPr>
      <w:color w:val="999999"/>
      <w:sz w:val="21"/>
      <w:szCs w:val="21"/>
    </w:rPr>
  </w:style>
  <w:style w:type="character" w:customStyle="1" w:styleId="199">
    <w:name w:val="普通(网站) Char Char"/>
    <w:qFormat/>
    <w:uiPriority w:val="0"/>
    <w:rPr>
      <w:rFonts w:ascii="宋体" w:hAnsi="宋体" w:eastAsia="宋体"/>
      <w:sz w:val="24"/>
      <w:lang w:val="en-US" w:eastAsia="zh-CN" w:bidi="ar-SA"/>
    </w:rPr>
  </w:style>
  <w:style w:type="character" w:customStyle="1" w:styleId="200">
    <w:name w:val="ui-bz-bg-hover"/>
    <w:qFormat/>
    <w:uiPriority w:val="0"/>
    <w:rPr>
      <w:shd w:val="clear" w:color="auto" w:fill="000000"/>
    </w:rPr>
  </w:style>
  <w:style w:type="character" w:customStyle="1" w:styleId="201">
    <w:name w:val="正文内容 Char Char"/>
    <w:link w:val="202"/>
    <w:qFormat/>
    <w:uiPriority w:val="0"/>
    <w:rPr>
      <w:rFonts w:ascii="仿宋_GB2312" w:hAnsi="Calibri" w:eastAsia="仿宋_GB2312"/>
      <w:kern w:val="2"/>
      <w:sz w:val="24"/>
      <w:szCs w:val="28"/>
    </w:rPr>
  </w:style>
  <w:style w:type="paragraph" w:customStyle="1" w:styleId="202">
    <w:name w:val="正文内容"/>
    <w:basedOn w:val="1"/>
    <w:link w:val="201"/>
    <w:qFormat/>
    <w:uiPriority w:val="0"/>
    <w:pPr>
      <w:ind w:firstLine="200" w:firstLineChars="200"/>
    </w:pPr>
    <w:rPr>
      <w:rFonts w:ascii="仿宋_GB2312" w:hAnsi="Calibri" w:eastAsia="仿宋_GB2312"/>
      <w:sz w:val="24"/>
      <w:szCs w:val="28"/>
    </w:rPr>
  </w:style>
  <w:style w:type="character" w:customStyle="1" w:styleId="203">
    <w:name w:val="日期 Char1"/>
    <w:qFormat/>
    <w:uiPriority w:val="0"/>
    <w:rPr>
      <w:kern w:val="2"/>
      <w:sz w:val="21"/>
      <w:szCs w:val="22"/>
    </w:rPr>
  </w:style>
  <w:style w:type="character" w:customStyle="1" w:styleId="204">
    <w:name w:val="批注文字 Char Char"/>
    <w:qFormat/>
    <w:uiPriority w:val="0"/>
    <w:rPr>
      <w:rFonts w:ascii="方正综艺简体" w:hAnsi="方正综艺简体" w:eastAsia="方正综艺简体" w:cs="方正综艺简体"/>
      <w:sz w:val="28"/>
      <w:szCs w:val="20"/>
    </w:rPr>
  </w:style>
  <w:style w:type="paragraph" w:customStyle="1" w:styleId="20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kern w:val="0"/>
      <w:sz w:val="22"/>
      <w:szCs w:val="22"/>
    </w:rPr>
  </w:style>
  <w:style w:type="paragraph" w:customStyle="1" w:styleId="206">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rPr>
  </w:style>
  <w:style w:type="paragraph" w:customStyle="1" w:styleId="20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eastAsia="Arial Unicode MS"/>
      <w:kern w:val="0"/>
      <w:sz w:val="14"/>
      <w:szCs w:val="14"/>
      <w:lang w:eastAsia="en-US"/>
    </w:rPr>
  </w:style>
  <w:style w:type="paragraph" w:customStyle="1" w:styleId="20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9">
    <w:name w:val="标书标题3"/>
    <w:basedOn w:val="4"/>
    <w:qFormat/>
    <w:uiPriority w:val="0"/>
    <w:pPr>
      <w:keepLines w:val="0"/>
      <w:widowControl/>
      <w:adjustRightInd w:val="0"/>
      <w:snapToGrid w:val="0"/>
      <w:spacing w:before="120" w:beforeLines="0" w:after="60" w:afterLines="0" w:line="300" w:lineRule="auto"/>
      <w:jc w:val="left"/>
    </w:pPr>
    <w:rPr>
      <w:rFonts w:ascii="Arial Narrow" w:hAnsi="Arial Narrow" w:eastAsia="仿宋_GB2312"/>
      <w:color w:val="000000"/>
      <w:spacing w:val="0"/>
      <w:kern w:val="0"/>
      <w:szCs w:val="32"/>
    </w:rPr>
  </w:style>
  <w:style w:type="paragraph" w:customStyle="1" w:styleId="2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eastAsia="Arial Unicode MS"/>
      <w:kern w:val="0"/>
      <w:sz w:val="24"/>
      <w:lang w:eastAsia="en-US"/>
    </w:rPr>
  </w:style>
  <w:style w:type="paragraph" w:customStyle="1" w:styleId="211">
    <w:name w:val="重正文"/>
    <w:basedOn w:val="1"/>
    <w:qFormat/>
    <w:uiPriority w:val="0"/>
    <w:pPr>
      <w:numPr>
        <w:ilvl w:val="1"/>
        <w:numId w:val="2"/>
      </w:numPr>
      <w:spacing w:before="5" w:after="200" w:afterLines="50" w:line="390" w:lineRule="atLeast"/>
      <w:ind w:left="0" w:firstLine="480"/>
    </w:pPr>
    <w:rPr>
      <w:rFonts w:ascii="宋体" w:hAnsi="宋体"/>
      <w:sz w:val="24"/>
    </w:rPr>
  </w:style>
  <w:style w:type="paragraph" w:customStyle="1" w:styleId="212">
    <w:name w:val="标书标题4"/>
    <w:basedOn w:val="7"/>
    <w:qFormat/>
    <w:uiPriority w:val="0"/>
    <w:pPr>
      <w:keepLines w:val="0"/>
      <w:adjustRightInd w:val="0"/>
      <w:snapToGrid w:val="0"/>
      <w:spacing w:before="0" w:beforeLines="0" w:after="0" w:afterLines="0" w:line="300" w:lineRule="auto"/>
    </w:pPr>
    <w:rPr>
      <w:rFonts w:ascii="Arial Narrow" w:hAnsi="Arial Narrow" w:eastAsia="仿宋_GB2312"/>
      <w:bCs w:val="0"/>
      <w:color w:val="000000"/>
      <w:kern w:val="0"/>
      <w:sz w:val="28"/>
      <w:szCs w:val="32"/>
    </w:rPr>
  </w:style>
  <w:style w:type="paragraph" w:customStyle="1" w:styleId="213">
    <w:name w:val="样式 标题 3 + 非加粗 自动设置"/>
    <w:basedOn w:val="4"/>
    <w:qFormat/>
    <w:uiPriority w:val="0"/>
    <w:pPr>
      <w:spacing w:before="120" w:beforeLines="0" w:after="120" w:afterLines="0" w:line="700" w:lineRule="exact"/>
      <w:jc w:val="left"/>
    </w:pPr>
    <w:rPr>
      <w:rFonts w:ascii="宋体" w:hAnsi="宋体" w:eastAsia="宋体"/>
      <w:spacing w:val="10"/>
      <w:szCs w:val="32"/>
    </w:rPr>
  </w:style>
  <w:style w:type="paragraph" w:customStyle="1" w:styleId="214">
    <w:name w:val="正文文字表格居中"/>
    <w:basedOn w:val="1"/>
    <w:next w:val="43"/>
    <w:qFormat/>
    <w:uiPriority w:val="0"/>
    <w:pPr>
      <w:spacing w:line="400" w:lineRule="exact"/>
      <w:jc w:val="center"/>
    </w:pPr>
    <w:rPr>
      <w:b/>
      <w:bCs/>
      <w:sz w:val="24"/>
    </w:rPr>
  </w:style>
  <w:style w:type="paragraph" w:customStyle="1" w:styleId="215">
    <w:name w:val="_Style 1"/>
    <w:basedOn w:val="1"/>
    <w:qFormat/>
    <w:uiPriority w:val="34"/>
    <w:pPr>
      <w:ind w:firstLine="420" w:firstLineChars="200"/>
    </w:pPr>
  </w:style>
  <w:style w:type="paragraph" w:customStyle="1" w:styleId="216">
    <w:name w:val="目录"/>
    <w:basedOn w:val="1"/>
    <w:qFormat/>
    <w:uiPriority w:val="0"/>
    <w:pPr>
      <w:widowControl/>
      <w:jc w:val="center"/>
    </w:pPr>
    <w:rPr>
      <w:rFonts w:hint="eastAsia" w:ascii="宋体"/>
      <w:b/>
      <w:kern w:val="0"/>
      <w:sz w:val="36"/>
      <w:szCs w:val="20"/>
    </w:rPr>
  </w:style>
  <w:style w:type="paragraph" w:customStyle="1" w:styleId="217">
    <w:name w:val="Pa1"/>
    <w:basedOn w:val="1"/>
    <w:next w:val="1"/>
    <w:qFormat/>
    <w:uiPriority w:val="0"/>
    <w:pPr>
      <w:widowControl/>
      <w:autoSpaceDE w:val="0"/>
      <w:autoSpaceDN w:val="0"/>
      <w:adjustRightInd w:val="0"/>
      <w:spacing w:line="241" w:lineRule="atLeast"/>
      <w:jc w:val="left"/>
    </w:pPr>
    <w:rPr>
      <w:rFonts w:ascii="Univers 45 Light" w:hAnsi="Univers 45 Light"/>
      <w:kern w:val="0"/>
      <w:sz w:val="24"/>
      <w:lang w:val="de-DE" w:eastAsia="de-DE"/>
    </w:rPr>
  </w:style>
  <w:style w:type="paragraph" w:customStyle="1" w:styleId="218">
    <w:name w:val="Pa0"/>
    <w:basedOn w:val="1"/>
    <w:next w:val="1"/>
    <w:qFormat/>
    <w:uiPriority w:val="0"/>
    <w:pPr>
      <w:widowControl/>
      <w:autoSpaceDE w:val="0"/>
      <w:autoSpaceDN w:val="0"/>
      <w:adjustRightInd w:val="0"/>
      <w:spacing w:line="241" w:lineRule="atLeast"/>
      <w:jc w:val="left"/>
    </w:pPr>
    <w:rPr>
      <w:rFonts w:ascii="Univers 45 Light" w:hAnsi="Univers 45 Light"/>
      <w:kern w:val="0"/>
      <w:sz w:val="24"/>
      <w:lang w:val="de-DE" w:eastAsia="de-DE"/>
    </w:rPr>
  </w:style>
  <w:style w:type="paragraph" w:customStyle="1" w:styleId="219">
    <w:name w:val="目录文字"/>
    <w:basedOn w:val="1"/>
    <w:qFormat/>
    <w:uiPriority w:val="0"/>
    <w:pPr>
      <w:widowControl/>
      <w:spacing w:line="480" w:lineRule="auto"/>
      <w:jc w:val="left"/>
    </w:pPr>
    <w:rPr>
      <w:rFonts w:ascii="宋体" w:hAnsi="宋体"/>
      <w:kern w:val="0"/>
      <w:sz w:val="24"/>
      <w:szCs w:val="20"/>
    </w:rPr>
  </w:style>
  <w:style w:type="paragraph" w:customStyle="1" w:styleId="22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Courier New"/>
      <w:kern w:val="0"/>
      <w:sz w:val="14"/>
      <w:szCs w:val="14"/>
      <w:lang w:eastAsia="en-US"/>
    </w:rPr>
  </w:style>
  <w:style w:type="paragraph" w:customStyle="1" w:styleId="221">
    <w:name w:val=" Char Char Char Char"/>
    <w:basedOn w:val="5"/>
    <w:qFormat/>
    <w:uiPriority w:val="0"/>
    <w:pPr>
      <w:spacing w:line="360" w:lineRule="auto"/>
      <w:ind w:firstLine="200" w:firstLineChars="200"/>
    </w:pPr>
    <w:rPr>
      <w:spacing w:val="0"/>
      <w:kern w:val="2"/>
      <w:szCs w:val="24"/>
    </w:rPr>
  </w:style>
  <w:style w:type="paragraph" w:customStyle="1" w:styleId="222">
    <w:name w:val="Char Char Char Char1"/>
    <w:basedOn w:val="1"/>
    <w:qFormat/>
    <w:uiPriority w:val="0"/>
    <w:rPr>
      <w:rFonts w:ascii="方正综艺简体" w:hAnsi="方正综艺简体" w:eastAsia="方正综艺简体" w:cs="方正综艺简体"/>
    </w:rPr>
  </w:style>
  <w:style w:type="paragraph" w:customStyle="1" w:styleId="22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Courier New"/>
      <w:kern w:val="0"/>
      <w:szCs w:val="21"/>
      <w:lang w:eastAsia="en-US"/>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Courier New"/>
      <w:kern w:val="0"/>
      <w:sz w:val="24"/>
      <w:lang w:eastAsia="en-US"/>
    </w:rPr>
  </w:style>
  <w:style w:type="paragraph" w:customStyle="1" w:styleId="225">
    <w:name w:val="Char Char Char"/>
    <w:basedOn w:val="1"/>
    <w:qFormat/>
    <w:uiPriority w:val="0"/>
    <w:rPr>
      <w:szCs w:val="20"/>
    </w:rPr>
  </w:style>
  <w:style w:type="paragraph" w:customStyle="1" w:styleId="22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7">
    <w:name w:val="标书正文"/>
    <w:basedOn w:val="19"/>
    <w:qFormat/>
    <w:uiPriority w:val="0"/>
    <w:pPr>
      <w:adjustRightInd w:val="0"/>
      <w:snapToGrid w:val="0"/>
      <w:spacing w:after="0" w:afterLines="0" w:line="400" w:lineRule="exact"/>
      <w:ind w:firstLine="1276"/>
    </w:pPr>
    <w:rPr>
      <w:rFonts w:ascii="宋体" w:hAnsi="宋体" w:eastAsia="黑体"/>
      <w:kern w:val="0"/>
      <w:sz w:val="24"/>
      <w:szCs w:val="20"/>
    </w:rPr>
  </w:style>
  <w:style w:type="paragraph" w:customStyle="1" w:styleId="228">
    <w:name w:val=" Char1"/>
    <w:basedOn w:val="5"/>
    <w:qFormat/>
    <w:uiPriority w:val="0"/>
    <w:pPr>
      <w:spacing w:line="360" w:lineRule="auto"/>
      <w:ind w:firstLine="200" w:firstLineChars="200"/>
    </w:pPr>
    <w:rPr>
      <w:spacing w:val="0"/>
      <w:kern w:val="2"/>
      <w:szCs w:val="24"/>
    </w:rPr>
  </w:style>
  <w:style w:type="paragraph" w:customStyle="1" w:styleId="229">
    <w:name w:val="PP 行"/>
    <w:basedOn w:val="35"/>
    <w:qFormat/>
    <w:uiPriority w:val="0"/>
  </w:style>
  <w:style w:type="paragraph" w:customStyle="1" w:styleId="230">
    <w:name w:val="节"/>
    <w:basedOn w:val="3"/>
    <w:qFormat/>
    <w:uiPriority w:val="0"/>
    <w:pPr>
      <w:spacing w:before="160" w:beforeLines="0" w:after="160" w:afterLines="0" w:line="720" w:lineRule="exact"/>
      <w:jc w:val="center"/>
    </w:pPr>
    <w:rPr>
      <w:b w:val="0"/>
      <w:bCs w:val="0"/>
      <w:spacing w:val="14"/>
      <w:kern w:val="24"/>
      <w:szCs w:val="20"/>
    </w:rPr>
  </w:style>
  <w:style w:type="paragraph" w:customStyle="1" w:styleId="231">
    <w:name w:val="zbzw1"/>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232">
    <w:name w:val="font7"/>
    <w:basedOn w:val="1"/>
    <w:qFormat/>
    <w:uiPriority w:val="0"/>
    <w:pPr>
      <w:widowControl/>
      <w:spacing w:before="100" w:beforeLines="0" w:beforeAutospacing="1" w:after="100" w:afterLines="0" w:afterAutospacing="1"/>
      <w:jc w:val="left"/>
    </w:pPr>
    <w:rPr>
      <w:rFonts w:hint="eastAsia" w:ascii="宋体" w:hAnsi="宋体" w:cs="Courier New"/>
      <w:kern w:val="0"/>
      <w:szCs w:val="21"/>
      <w:lang w:eastAsia="en-US"/>
    </w:rPr>
  </w:style>
  <w:style w:type="paragraph" w:customStyle="1" w:styleId="233">
    <w:name w:val="font6"/>
    <w:basedOn w:val="1"/>
    <w:qFormat/>
    <w:uiPriority w:val="0"/>
    <w:pPr>
      <w:widowControl/>
      <w:spacing w:before="100" w:beforeLines="0" w:beforeAutospacing="1" w:after="100" w:afterLines="0" w:afterAutospacing="1"/>
      <w:jc w:val="left"/>
    </w:pPr>
    <w:rPr>
      <w:rFonts w:eastAsia="Arial Unicode MS"/>
      <w:kern w:val="0"/>
      <w:szCs w:val="21"/>
      <w:lang w:eastAsia="en-US"/>
    </w:rPr>
  </w:style>
  <w:style w:type="paragraph" w:customStyle="1" w:styleId="234">
    <w:name w:val="1、"/>
    <w:basedOn w:val="1"/>
    <w:qFormat/>
    <w:uiPriority w:val="0"/>
    <w:pPr>
      <w:jc w:val="left"/>
    </w:pPr>
    <w:rPr>
      <w:rFonts w:hAnsi="Times New Roman"/>
    </w:rPr>
  </w:style>
  <w:style w:type="paragraph" w:customStyle="1" w:styleId="235">
    <w:name w:val="表格文字1"/>
    <w:basedOn w:val="1"/>
    <w:qFormat/>
    <w:uiPriority w:val="0"/>
    <w:pPr>
      <w:spacing w:line="320" w:lineRule="exact"/>
    </w:pPr>
    <w:rPr>
      <w:rFonts w:ascii="宋体" w:hAnsi="宋体"/>
      <w:spacing w:val="12"/>
      <w:szCs w:val="20"/>
    </w:rPr>
  </w:style>
  <w:style w:type="paragraph" w:customStyle="1" w:styleId="236">
    <w:name w:val=" Char2"/>
    <w:basedOn w:val="1"/>
    <w:qFormat/>
    <w:uiPriority w:val="0"/>
    <w:rPr>
      <w:rFonts w:ascii="仿宋_GB2312" w:eastAsia="仿宋_GB2312"/>
      <w:b/>
      <w:sz w:val="32"/>
      <w:szCs w:val="32"/>
    </w:rPr>
  </w:style>
  <w:style w:type="paragraph" w:customStyle="1" w:styleId="237">
    <w:name w:val="正文首缩"/>
    <w:basedOn w:val="1"/>
    <w:next w:val="7"/>
    <w:qFormat/>
    <w:uiPriority w:val="0"/>
    <w:pPr>
      <w:adjustRightInd w:val="0"/>
      <w:spacing w:line="324" w:lineRule="auto"/>
      <w:ind w:firstLine="567"/>
      <w:textAlignment w:val="baseline"/>
    </w:pPr>
    <w:rPr>
      <w:kern w:val="0"/>
      <w:sz w:val="28"/>
    </w:rPr>
  </w:style>
  <w:style w:type="paragraph" w:customStyle="1" w:styleId="238">
    <w:name w:val="Pa2"/>
    <w:basedOn w:val="1"/>
    <w:next w:val="1"/>
    <w:qFormat/>
    <w:uiPriority w:val="0"/>
    <w:pPr>
      <w:widowControl/>
      <w:autoSpaceDE w:val="0"/>
      <w:autoSpaceDN w:val="0"/>
      <w:adjustRightInd w:val="0"/>
      <w:spacing w:line="241" w:lineRule="atLeast"/>
      <w:jc w:val="left"/>
    </w:pPr>
    <w:rPr>
      <w:rFonts w:ascii="Univers 45 Light" w:hAnsi="Univers 45 Light"/>
      <w:kern w:val="0"/>
      <w:sz w:val="24"/>
      <w:lang w:val="de-DE" w:eastAsia="de-DE"/>
    </w:rPr>
  </w:style>
  <w:style w:type="paragraph" w:customStyle="1" w:styleId="239">
    <w:name w:val="pbj1"/>
    <w:basedOn w:val="1"/>
    <w:qFormat/>
    <w:uiPriority w:val="0"/>
    <w:pPr>
      <w:widowControl/>
      <w:jc w:val="left"/>
    </w:pPr>
    <w:rPr>
      <w:rFonts w:ascii="方正综艺简体" w:hAnsi="方正综艺简体" w:eastAsia="方正综艺简体" w:cs="方正综艺简体"/>
      <w:kern w:val="0"/>
      <w:sz w:val="24"/>
    </w:rPr>
  </w:style>
  <w:style w:type="paragraph" w:customStyle="1" w:styleId="240">
    <w:name w:val=" Char Char Char Char Char Char Char Char Char1 Char"/>
    <w:basedOn w:val="1"/>
    <w:qFormat/>
    <w:uiPriority w:val="0"/>
    <w:rPr>
      <w:szCs w:val="20"/>
    </w:rPr>
  </w:style>
  <w:style w:type="paragraph" w:customStyle="1" w:styleId="241">
    <w:name w:val=" Char1 Char Char Char"/>
    <w:basedOn w:val="5"/>
    <w:qFormat/>
    <w:uiPriority w:val="0"/>
    <w:pPr>
      <w:spacing w:line="360" w:lineRule="auto"/>
      <w:ind w:firstLine="200" w:firstLineChars="200"/>
    </w:pPr>
    <w:rPr>
      <w:spacing w:val="0"/>
      <w:kern w:val="2"/>
      <w:szCs w:val="24"/>
    </w:rPr>
  </w:style>
  <w:style w:type="paragraph" w:customStyle="1" w:styleId="242">
    <w:name w:val="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43">
    <w:name w:val="zbzw"/>
    <w:basedOn w:val="1"/>
    <w:qFormat/>
    <w:uiPriority w:val="0"/>
    <w:pPr>
      <w:tabs>
        <w:tab w:val="left" w:pos="720"/>
      </w:tabs>
      <w:spacing w:line="430" w:lineRule="exact"/>
      <w:ind w:right="-76"/>
    </w:pPr>
    <w:rPr>
      <w:szCs w:val="21"/>
    </w:rPr>
  </w:style>
  <w:style w:type="paragraph" w:customStyle="1" w:styleId="244">
    <w:name w:val="Char Char"/>
    <w:basedOn w:val="1"/>
    <w:qFormat/>
    <w:uiPriority w:val="0"/>
    <w:rPr>
      <w:rFonts w:ascii="仿宋_GB2312" w:eastAsia="仿宋_GB2312"/>
      <w:b/>
      <w:sz w:val="32"/>
      <w:szCs w:val="32"/>
    </w:rPr>
  </w:style>
  <w:style w:type="paragraph" w:customStyle="1" w:styleId="24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246">
    <w:name w:val="font8"/>
    <w:basedOn w:val="1"/>
    <w:qFormat/>
    <w:uiPriority w:val="0"/>
    <w:pPr>
      <w:widowControl/>
      <w:spacing w:before="100" w:beforeLines="0" w:beforeAutospacing="1" w:after="100" w:afterLines="0" w:afterAutospacing="1"/>
      <w:jc w:val="left"/>
    </w:pPr>
    <w:rPr>
      <w:rFonts w:eastAsia="Arial Unicode MS"/>
      <w:kern w:val="0"/>
      <w:sz w:val="24"/>
      <w:lang w:eastAsia="en-US"/>
    </w:rPr>
  </w:style>
  <w:style w:type="paragraph" w:customStyle="1" w:styleId="247">
    <w:name w:val="小节"/>
    <w:basedOn w:val="4"/>
    <w:qFormat/>
    <w:uiPriority w:val="0"/>
    <w:pPr>
      <w:spacing w:before="200" w:beforeLines="0" w:after="200" w:afterLines="0" w:line="560" w:lineRule="exact"/>
      <w:jc w:val="left"/>
    </w:pPr>
    <w:rPr>
      <w:rFonts w:ascii="宋体" w:hAnsi="宋体" w:eastAsia="宋体"/>
      <w:b/>
      <w:color w:val="000000"/>
      <w:spacing w:val="10"/>
      <w:szCs w:val="32"/>
    </w:rPr>
  </w:style>
  <w:style w:type="paragraph" w:customStyle="1" w:styleId="248">
    <w:name w:val="中等深浅网格 1 - 强调文字颜色 21"/>
    <w:basedOn w:val="1"/>
    <w:qFormat/>
    <w:uiPriority w:val="34"/>
    <w:pPr>
      <w:widowControl/>
      <w:ind w:firstLine="420" w:firstLineChars="200"/>
      <w:jc w:val="left"/>
    </w:pPr>
    <w:rPr>
      <w:kern w:val="0"/>
      <w:szCs w:val="20"/>
    </w:rPr>
  </w:style>
  <w:style w:type="paragraph" w:customStyle="1" w:styleId="249">
    <w:name w:val="zbzw2"/>
    <w:basedOn w:val="250"/>
    <w:qFormat/>
    <w:uiPriority w:val="0"/>
    <w:pPr>
      <w:tabs>
        <w:tab w:val="left" w:pos="720"/>
      </w:tabs>
      <w:spacing w:before="0" w:after="0" w:line="380" w:lineRule="exact"/>
      <w:ind w:right="-76" w:firstLine="420" w:firstLineChars="200"/>
    </w:pPr>
    <w:rPr>
      <w:b w:val="0"/>
      <w:sz w:val="21"/>
      <w:szCs w:val="21"/>
    </w:rPr>
  </w:style>
  <w:style w:type="paragraph" w:customStyle="1" w:styleId="250">
    <w:name w:val="样式1"/>
    <w:basedOn w:val="1"/>
    <w:qFormat/>
    <w:uiPriority w:val="0"/>
    <w:pPr>
      <w:spacing w:before="120" w:beforeLines="0" w:after="120" w:afterLines="0" w:line="300" w:lineRule="auto"/>
    </w:pPr>
    <w:rPr>
      <w:rFonts w:ascii="宋体" w:hAnsi="宋体"/>
      <w:b/>
      <w:sz w:val="24"/>
      <w:szCs w:val="20"/>
    </w:rPr>
  </w:style>
  <w:style w:type="paragraph" w:customStyle="1" w:styleId="251">
    <w:name w:val="简单回函地址"/>
    <w:basedOn w:val="1"/>
    <w:qFormat/>
    <w:uiPriority w:val="0"/>
    <w:pPr>
      <w:spacing w:line="460" w:lineRule="exact"/>
      <w:ind w:firstLine="200" w:firstLineChars="200"/>
    </w:pPr>
    <w:rPr>
      <w:spacing w:val="12"/>
      <w:sz w:val="24"/>
      <w:szCs w:val="20"/>
    </w:rPr>
  </w:style>
  <w:style w:type="paragraph" w:styleId="252">
    <w:name w:val="List Paragraph"/>
    <w:basedOn w:val="1"/>
    <w:qFormat/>
    <w:uiPriority w:val="0"/>
    <w:pPr>
      <w:widowControl/>
      <w:ind w:firstLine="420" w:firstLineChars="200"/>
      <w:jc w:val="left"/>
    </w:pPr>
    <w:rPr>
      <w:kern w:val="0"/>
      <w:szCs w:val="20"/>
    </w:rPr>
  </w:style>
  <w:style w:type="paragraph" w:customStyle="1" w:styleId="253">
    <w:name w:val="空半行"/>
    <w:basedOn w:val="1"/>
    <w:qFormat/>
    <w:uiPriority w:val="0"/>
    <w:pPr>
      <w:adjustRightInd w:val="0"/>
      <w:spacing w:line="120" w:lineRule="exact"/>
      <w:textAlignment w:val="baseline"/>
    </w:pPr>
    <w:rPr>
      <w:rFonts w:ascii="方正综艺简体" w:hAnsi="方正综艺简体" w:eastAsia="方正综艺简体" w:cs="方正综艺简体"/>
      <w:color w:val="FFFFFF"/>
      <w:kern w:val="0"/>
      <w:sz w:val="30"/>
      <w:szCs w:val="20"/>
    </w:rPr>
  </w:style>
  <w:style w:type="paragraph" w:customStyle="1" w:styleId="254">
    <w:name w:val="_Style 253"/>
    <w:qFormat/>
    <w:uiPriority w:val="0"/>
    <w:rPr>
      <w:rFonts w:ascii="方正综艺简体" w:hAnsi="方正综艺简体" w:eastAsia="方正综艺简体" w:cs="方正综艺简体"/>
      <w:kern w:val="2"/>
      <w:sz w:val="21"/>
      <w:szCs w:val="24"/>
      <w:lang w:val="en-US" w:eastAsia="zh-CN" w:bidi="ar-SA"/>
    </w:rPr>
  </w:style>
  <w:style w:type="paragraph" w:customStyle="1" w:styleId="255">
    <w:name w:val="_Style 254"/>
    <w:basedOn w:val="2"/>
    <w:next w:val="1"/>
    <w:qFormat/>
    <w:uiPriority w:val="39"/>
    <w:pPr>
      <w:widowControl/>
      <w:spacing w:before="480" w:after="0" w:line="276" w:lineRule="auto"/>
      <w:jc w:val="left"/>
      <w:outlineLvl w:val="9"/>
    </w:pPr>
    <w:rPr>
      <w:rFonts w:ascii="Cambria" w:hAnsi="Cambria" w:eastAsia="宋体" w:cs="Times New Roman"/>
      <w:bCs/>
      <w:color w:val="365F91"/>
      <w:spacing w:val="0"/>
      <w:kern w:val="0"/>
      <w:sz w:val="28"/>
      <w:szCs w:val="28"/>
    </w:rPr>
  </w:style>
  <w:style w:type="paragraph" w:customStyle="1" w:styleId="256">
    <w:name w:val="(一)"/>
    <w:basedOn w:val="1"/>
    <w:qFormat/>
    <w:uiPriority w:val="0"/>
    <w:pPr>
      <w:jc w:val="left"/>
    </w:pPr>
    <w:rPr>
      <w:rFonts w:hAnsi="Times New Roman"/>
    </w:rPr>
  </w:style>
  <w:style w:type="paragraph" w:customStyle="1" w:styleId="257">
    <w:name w:val="标书标题2"/>
    <w:basedOn w:val="3"/>
    <w:qFormat/>
    <w:uiPriority w:val="0"/>
    <w:pPr>
      <w:keepLines w:val="0"/>
      <w:widowControl/>
      <w:tabs>
        <w:tab w:val="left" w:pos="567"/>
      </w:tabs>
      <w:adjustRightInd w:val="0"/>
      <w:snapToGrid w:val="0"/>
      <w:spacing w:before="156" w:beforeLines="50" w:after="60" w:afterLines="0" w:line="300" w:lineRule="auto"/>
      <w:ind w:left="567" w:hanging="567"/>
      <w:jc w:val="left"/>
    </w:pPr>
    <w:rPr>
      <w:rFonts w:ascii="Arial Narrow" w:hAnsi="Arial Narrow" w:eastAsia="仿宋_GB2312"/>
      <w:bCs w:val="0"/>
      <w:kern w:val="0"/>
      <w:sz w:val="28"/>
      <w:szCs w:val="20"/>
    </w:rPr>
  </w:style>
  <w:style w:type="paragraph" w:customStyle="1" w:styleId="258">
    <w:name w:val="flNote"/>
    <w:basedOn w:val="1"/>
    <w:qFormat/>
    <w:uiPriority w:val="0"/>
    <w:pPr>
      <w:adjustRightInd w:val="0"/>
      <w:spacing w:before="320" w:after="160" w:line="360" w:lineRule="atLeast"/>
      <w:jc w:val="center"/>
      <w:textAlignment w:val="baseline"/>
    </w:pPr>
    <w:rPr>
      <w:rFonts w:ascii="方正综艺简体" w:hAnsi="方正综艺简体" w:eastAsia="方正综艺简体" w:cs="方正综艺简体"/>
      <w:kern w:val="0"/>
      <w:sz w:val="30"/>
      <w:szCs w:val="20"/>
    </w:rPr>
  </w:style>
  <w:style w:type="paragraph" w:customStyle="1" w:styleId="259">
    <w:name w:val="正文（项目编号）"/>
    <w:basedOn w:val="1"/>
    <w:qFormat/>
    <w:uiPriority w:val="0"/>
    <w:pPr>
      <w:tabs>
        <w:tab w:val="left" w:pos="980"/>
      </w:tabs>
      <w:spacing w:line="480" w:lineRule="exact"/>
      <w:ind w:left="980" w:hanging="420"/>
    </w:pPr>
    <w:rPr>
      <w:bCs/>
      <w:sz w:val="28"/>
      <w:szCs w:val="20"/>
    </w:rPr>
  </w:style>
  <w:style w:type="paragraph" w:customStyle="1" w:styleId="260">
    <w:name w:val="Char Char Char2 Char"/>
    <w:basedOn w:val="1"/>
    <w:qFormat/>
    <w:uiPriority w:val="0"/>
    <w:pPr>
      <w:tabs>
        <w:tab w:val="left" w:pos="360"/>
      </w:tabs>
      <w:ind w:left="360" w:hanging="360"/>
    </w:pPr>
    <w:rPr>
      <w:rFonts w:ascii="方正综艺简体" w:hAnsi="方正综艺简体" w:eastAsia="方正综艺简体" w:cs="方正综艺简体"/>
    </w:rPr>
  </w:style>
  <w:style w:type="paragraph" w:customStyle="1" w:styleId="261">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kern w:val="0"/>
      <w:sz w:val="24"/>
    </w:rPr>
  </w:style>
  <w:style w:type="paragraph" w:customStyle="1" w:styleId="262">
    <w:name w:val="Indent a)"/>
    <w:basedOn w:val="1"/>
    <w:qFormat/>
    <w:uiPriority w:val="0"/>
    <w:pPr>
      <w:widowControl/>
      <w:tabs>
        <w:tab w:val="left" w:pos="1843"/>
        <w:tab w:val="right" w:pos="9072"/>
      </w:tabs>
      <w:suppressAutoHyphens/>
      <w:spacing w:line="360" w:lineRule="auto"/>
      <w:ind w:right="-21" w:rightChars="-10" w:firstLine="420" w:firstLineChars="200"/>
    </w:pPr>
    <w:rPr>
      <w:rFonts w:ascii="宋体" w:hAnsi="宋体"/>
      <w:color w:val="000000"/>
      <w:szCs w:val="20"/>
    </w:rPr>
  </w:style>
  <w:style w:type="paragraph" w:customStyle="1" w:styleId="2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Courier New"/>
      <w:kern w:val="0"/>
      <w:szCs w:val="21"/>
      <w:lang w:eastAsia="en-US"/>
    </w:rPr>
  </w:style>
  <w:style w:type="paragraph" w:customStyle="1" w:styleId="264">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265">
    <w:name w:val="此正文"/>
    <w:basedOn w:val="1"/>
    <w:qFormat/>
    <w:uiPriority w:val="0"/>
    <w:pPr>
      <w:spacing w:line="360" w:lineRule="auto"/>
      <w:ind w:firstLine="480" w:firstLineChars="200"/>
    </w:pPr>
    <w:rPr>
      <w:sz w:val="24"/>
    </w:rPr>
  </w:style>
  <w:style w:type="paragraph" w:customStyle="1" w:styleId="266">
    <w:name w:val="font5"/>
    <w:basedOn w:val="1"/>
    <w:qFormat/>
    <w:uiPriority w:val="0"/>
    <w:pPr>
      <w:widowControl/>
      <w:spacing w:before="100" w:beforeLines="0" w:beforeAutospacing="1" w:after="100" w:afterLines="0" w:afterAutospacing="1"/>
      <w:jc w:val="left"/>
    </w:pPr>
    <w:rPr>
      <w:rFonts w:hint="eastAsia" w:ascii="宋体" w:hAnsi="宋体" w:cs="Courier New"/>
      <w:kern w:val="0"/>
      <w:sz w:val="18"/>
      <w:szCs w:val="18"/>
      <w:lang w:eastAsia="en-US"/>
    </w:rPr>
  </w:style>
  <w:style w:type="paragraph" w:customStyle="1" w:styleId="267">
    <w:name w:val="样式 标题 3 + 红色"/>
    <w:basedOn w:val="4"/>
    <w:qFormat/>
    <w:uiPriority w:val="0"/>
    <w:pPr>
      <w:spacing w:before="120" w:beforeLines="0" w:after="120" w:afterLines="0" w:line="700" w:lineRule="exact"/>
      <w:jc w:val="left"/>
    </w:pPr>
    <w:rPr>
      <w:rFonts w:ascii="宋体" w:hAnsi="宋体" w:eastAsia="宋体"/>
      <w:b/>
      <w:bCs/>
      <w:color w:val="FF0000"/>
      <w:spacing w:val="10"/>
      <w:szCs w:val="32"/>
    </w:rPr>
  </w:style>
  <w:style w:type="paragraph" w:customStyle="1" w:styleId="268">
    <w:name w:val=" Char Char"/>
    <w:basedOn w:val="1"/>
    <w:qFormat/>
    <w:uiPriority w:val="0"/>
    <w:rPr>
      <w:rFonts w:ascii="Tahoma" w:hAnsi="Tahoma"/>
      <w:sz w:val="24"/>
      <w:szCs w:val="20"/>
    </w:rPr>
  </w:style>
  <w:style w:type="paragraph" w:customStyle="1" w:styleId="269">
    <w:name w:val="Plain Text"/>
    <w:basedOn w:val="226"/>
    <w:qFormat/>
    <w:uiPriority w:val="0"/>
    <w:pPr>
      <w:widowControl/>
      <w:jc w:val="left"/>
    </w:pPr>
    <w:rPr>
      <w:rFonts w:ascii="宋体" w:hAnsi="Courier New"/>
    </w:rPr>
  </w:style>
  <w:style w:type="paragraph" w:customStyle="1" w:styleId="270">
    <w:name w:val="表内文字"/>
    <w:basedOn w:val="1"/>
    <w:qFormat/>
    <w:uiPriority w:val="0"/>
    <w:pPr>
      <w:spacing w:line="240" w:lineRule="atLeast"/>
      <w:jc w:val="center"/>
    </w:pPr>
    <w:rPr>
      <w:rFonts w:ascii="Arial" w:hAnsi="Arial" w:cs="Arial"/>
      <w:b/>
      <w:bCs/>
    </w:rPr>
  </w:style>
  <w:style w:type="paragraph" w:customStyle="1" w:styleId="271">
    <w:name w:val="my title2"/>
    <w:basedOn w:val="1"/>
    <w:qFormat/>
    <w:uiPriority w:val="0"/>
    <w:pPr>
      <w:widowControl/>
    </w:pPr>
    <w:rPr>
      <w:rFonts w:eastAsia="仿宋_GB2312"/>
      <w:kern w:val="0"/>
      <w:sz w:val="24"/>
      <w:szCs w:val="20"/>
    </w:rPr>
  </w:style>
  <w:style w:type="paragraph" w:customStyle="1" w:styleId="272">
    <w:name w:val="发文标题"/>
    <w:basedOn w:val="1"/>
    <w:qFormat/>
    <w:uiPriority w:val="0"/>
    <w:pPr>
      <w:spacing w:beforeLines="20" w:afterLines="20" w:line="0" w:lineRule="atLeast"/>
      <w:jc w:val="center"/>
    </w:pPr>
    <w:rPr>
      <w:rFonts w:ascii="宋体" w:hAnsi="Times New Roman" w:eastAsia="宋体" w:cs="Times New Roman"/>
      <w:b/>
      <w:spacing w:val="-20"/>
      <w:sz w:val="32"/>
      <w:szCs w:val="44"/>
    </w:rPr>
  </w:style>
  <w:style w:type="paragraph" w:customStyle="1" w:styleId="273">
    <w:name w:val="p0"/>
    <w:basedOn w:val="1"/>
    <w:qFormat/>
    <w:uiPriority w:val="0"/>
    <w:pPr>
      <w:widowControl/>
    </w:pPr>
    <w:rPr>
      <w:kern w:val="0"/>
      <w:szCs w:val="21"/>
    </w:rPr>
  </w:style>
  <w:style w:type="paragraph" w:customStyle="1" w:styleId="274">
    <w:name w:val="(1)"/>
    <w:basedOn w:val="1"/>
    <w:qFormat/>
    <w:uiPriority w:val="0"/>
    <w:pPr>
      <w:numPr>
        <w:ilvl w:val="5"/>
        <w:numId w:val="3"/>
      </w:numPr>
      <w:jc w:val="left"/>
    </w:pPr>
    <w:rPr>
      <w:rFonts w:hAnsi="Times New Roman"/>
    </w:rPr>
  </w:style>
  <w:style w:type="paragraph" w:customStyle="1" w:styleId="275">
    <w:name w:val="正文－恩普"/>
    <w:basedOn w:val="5"/>
    <w:qFormat/>
    <w:uiPriority w:val="0"/>
    <w:pPr>
      <w:spacing w:line="360" w:lineRule="auto"/>
      <w:ind w:firstLine="200" w:firstLineChars="200"/>
    </w:pPr>
    <w:rPr>
      <w:spacing w:val="0"/>
      <w:kern w:val="2"/>
      <w:szCs w:val="24"/>
    </w:rPr>
  </w:style>
  <w:style w:type="paragraph" w:customStyle="1" w:styleId="2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kern w:val="0"/>
      <w:sz w:val="18"/>
      <w:szCs w:val="18"/>
    </w:rPr>
  </w:style>
  <w:style w:type="paragraph" w:customStyle="1" w:styleId="277">
    <w:name w:val="font0"/>
    <w:basedOn w:val="1"/>
    <w:qFormat/>
    <w:uiPriority w:val="0"/>
    <w:pPr>
      <w:widowControl/>
      <w:spacing w:before="100" w:beforeLines="0" w:beforeAutospacing="1" w:after="100" w:afterLines="0" w:afterAutospacing="1"/>
      <w:jc w:val="left"/>
    </w:pPr>
    <w:rPr>
      <w:rFonts w:hint="eastAsia" w:ascii="宋体" w:hAnsi="宋体" w:cs="Courier New"/>
      <w:kern w:val="0"/>
      <w:sz w:val="24"/>
      <w:lang w:eastAsia="en-US"/>
    </w:rPr>
  </w:style>
  <w:style w:type="paragraph" w:customStyle="1" w:styleId="278">
    <w:name w:val="bullets (T)"/>
    <w:basedOn w:val="1"/>
    <w:qFormat/>
    <w:uiPriority w:val="0"/>
    <w:pPr>
      <w:tabs>
        <w:tab w:val="left" w:pos="360"/>
      </w:tabs>
      <w:spacing w:after="100" w:afterLines="0" w:line="240" w:lineRule="exact"/>
      <w:ind w:left="360" w:hanging="360"/>
    </w:pPr>
    <w:rPr>
      <w:snapToGrid w:val="0"/>
      <w:color w:val="000000"/>
      <w:sz w:val="20"/>
      <w:szCs w:val="20"/>
    </w:rPr>
  </w:style>
  <w:style w:type="paragraph" w:customStyle="1" w:styleId="2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eastAsia="Arial Unicode MS"/>
      <w:kern w:val="0"/>
      <w:szCs w:val="21"/>
      <w:lang w:eastAsia="en-US"/>
    </w:rPr>
  </w:style>
  <w:style w:type="paragraph" w:customStyle="1" w:styleId="2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16"/>
      <w:szCs w:val="16"/>
      <w:lang w:eastAsia="en-US"/>
    </w:rPr>
  </w:style>
  <w:style w:type="paragraph" w:customStyle="1" w:styleId="281">
    <w:name w:val="样式4"/>
    <w:basedOn w:val="1"/>
    <w:qFormat/>
    <w:uiPriority w:val="0"/>
    <w:pPr>
      <w:widowControl/>
      <w:numPr>
        <w:ilvl w:val="3"/>
        <w:numId w:val="0"/>
      </w:numPr>
      <w:tabs>
        <w:tab w:val="left" w:pos="567"/>
      </w:tabs>
      <w:spacing w:before="120" w:after="120" w:line="360" w:lineRule="auto"/>
      <w:ind w:left="851" w:hanging="851"/>
      <w:jc w:val="left"/>
      <w:outlineLvl w:val="3"/>
    </w:pPr>
    <w:rPr>
      <w:rFonts w:eastAsia="黑体"/>
      <w:b/>
      <w:sz w:val="24"/>
    </w:rPr>
  </w:style>
  <w:style w:type="paragraph" w:customStyle="1" w:styleId="282">
    <w:name w:val="菲页2"/>
    <w:basedOn w:val="4"/>
    <w:qFormat/>
    <w:uiPriority w:val="0"/>
    <w:pPr>
      <w:widowControl/>
      <w:tabs>
        <w:tab w:val="left" w:pos="1595"/>
      </w:tabs>
      <w:spacing w:before="120" w:beforeLines="0" w:after="120" w:afterLines="0" w:line="360" w:lineRule="auto"/>
      <w:ind w:left="1595" w:hanging="425"/>
      <w:jc w:val="center"/>
    </w:pPr>
    <w:rPr>
      <w:rFonts w:ascii="黑体" w:hAnsi="宋体"/>
      <w:spacing w:val="0"/>
      <w:kern w:val="0"/>
      <w:sz w:val="44"/>
    </w:rPr>
  </w:style>
  <w:style w:type="paragraph" w:styleId="28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菲页(卷)"/>
    <w:basedOn w:val="2"/>
    <w:next w:val="226"/>
    <w:qFormat/>
    <w:uiPriority w:val="0"/>
    <w:pPr>
      <w:keepLines w:val="0"/>
      <w:widowControl/>
      <w:tabs>
        <w:tab w:val="left" w:pos="1595"/>
      </w:tabs>
      <w:spacing w:before="0" w:beforeLines="0" w:after="0" w:afterLines="0" w:line="240" w:lineRule="auto"/>
      <w:ind w:left="1595" w:hanging="425"/>
      <w:outlineLvl w:val="1"/>
    </w:pPr>
    <w:rPr>
      <w:rFonts w:ascii="黑体" w:eastAsia="黑体"/>
      <w:b w:val="0"/>
      <w:spacing w:val="0"/>
      <w:kern w:val="0"/>
      <w:sz w:val="52"/>
    </w:rPr>
  </w:style>
  <w:style w:type="paragraph" w:customStyle="1" w:styleId="2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Courier New"/>
      <w:kern w:val="0"/>
      <w:sz w:val="20"/>
      <w:szCs w:val="20"/>
      <w:lang w:eastAsia="en-US"/>
    </w:rPr>
  </w:style>
  <w:style w:type="paragraph" w:customStyle="1" w:styleId="286">
    <w:name w:val="样式 标题 3 + (中文) 黑体 小四 非加粗 段前: 7.8 磅 段后: 0 磅 行距: 固定值 20 磅"/>
    <w:basedOn w:val="4"/>
    <w:qFormat/>
    <w:uiPriority w:val="0"/>
    <w:pPr>
      <w:numPr>
        <w:ilvl w:val="2"/>
        <w:numId w:val="1"/>
      </w:numPr>
      <w:tabs>
        <w:tab w:val="left" w:pos="1903"/>
      </w:tabs>
      <w:spacing w:before="0" w:after="0" w:line="400" w:lineRule="exact"/>
      <w:ind w:left="1903"/>
    </w:pPr>
    <w:rPr>
      <w:rFonts w:ascii="方正综艺简体" w:hAnsi="方正综艺简体" w:eastAsia="方正综艺简体" w:cs="方正综艺简体"/>
      <w:spacing w:val="0"/>
      <w:kern w:val="2"/>
      <w:sz w:val="24"/>
    </w:rPr>
  </w:style>
  <w:style w:type="paragraph" w:customStyle="1" w:styleId="287">
    <w:name w:val=" Char Char Char Char1"/>
    <w:basedOn w:val="1"/>
    <w:qFormat/>
    <w:uiPriority w:val="0"/>
  </w:style>
  <w:style w:type="paragraph" w:customStyle="1" w:styleId="288">
    <w:name w:val="xl32"/>
    <w:basedOn w:val="1"/>
    <w:qFormat/>
    <w:uiPriority w:val="0"/>
    <w:pPr>
      <w:widowControl/>
      <w:spacing w:before="100" w:beforeLines="0" w:beforeAutospacing="1" w:after="100" w:afterLines="0" w:afterAutospacing="1"/>
      <w:jc w:val="left"/>
      <w:textAlignment w:val="center"/>
    </w:pPr>
    <w:rPr>
      <w:rFonts w:ascii="宋体" w:hAnsi="宋体"/>
      <w:kern w:val="0"/>
      <w:szCs w:val="21"/>
    </w:rPr>
  </w:style>
  <w:style w:type="paragraph" w:customStyle="1" w:styleId="289">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paragraph" w:customStyle="1" w:styleId="290">
    <w:name w:val="正文文字格式"/>
    <w:basedOn w:val="1"/>
    <w:qFormat/>
    <w:uiPriority w:val="0"/>
    <w:pPr>
      <w:spacing w:line="460" w:lineRule="exact"/>
      <w:ind w:firstLine="505"/>
      <w:jc w:val="left"/>
    </w:pPr>
    <w:rPr>
      <w:rFonts w:ascii="宋体"/>
      <w:kern w:val="24"/>
      <w:sz w:val="24"/>
      <w:szCs w:val="20"/>
    </w:rPr>
  </w:style>
  <w:style w:type="paragraph" w:customStyle="1" w:styleId="291">
    <w:name w:val="样式 标题 2 + Times New Roman 四号 非加粗 段前: 5 磅 段后: 0 磅 行距: 固定值 20..."/>
    <w:basedOn w:val="3"/>
    <w:qFormat/>
    <w:uiPriority w:val="0"/>
    <w:pPr>
      <w:numPr>
        <w:ilvl w:val="1"/>
        <w:numId w:val="1"/>
      </w:numPr>
      <w:tabs>
        <w:tab w:val="left" w:pos="1483"/>
      </w:tabs>
      <w:spacing w:before="100" w:after="0" w:line="400" w:lineRule="exact"/>
    </w:pPr>
    <w:rPr>
      <w:rFonts w:ascii="方正综艺简体" w:hAnsi="方正综艺简体" w:eastAsia="方正综艺简体" w:cs="方正综艺简体"/>
      <w:b w:val="0"/>
      <w:bCs w:val="0"/>
      <w:kern w:val="0"/>
      <w:sz w:val="28"/>
      <w:szCs w:val="20"/>
    </w:rPr>
  </w:style>
  <w:style w:type="paragraph" w:customStyle="1" w:styleId="292">
    <w:name w:val="样式 五号 居中"/>
    <w:basedOn w:val="1"/>
    <w:qFormat/>
    <w:uiPriority w:val="0"/>
    <w:pPr>
      <w:spacing w:line="0" w:lineRule="atLeast"/>
      <w:jc w:val="center"/>
    </w:pPr>
    <w:rPr>
      <w:rFonts w:cs="宋体"/>
      <w:sz w:val="24"/>
      <w:szCs w:val="20"/>
    </w:rPr>
  </w:style>
  <w:style w:type="paragraph" w:customStyle="1" w:styleId="2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Courier New"/>
      <w:kern w:val="0"/>
      <w:sz w:val="24"/>
      <w:lang w:eastAsia="en-US"/>
    </w:rPr>
  </w:style>
  <w:style w:type="paragraph" w:customStyle="1" w:styleId="294">
    <w:name w:val="菲页1"/>
    <w:basedOn w:val="3"/>
    <w:qFormat/>
    <w:uiPriority w:val="0"/>
    <w:pPr>
      <w:keepNext w:val="0"/>
      <w:widowControl/>
      <w:jc w:val="center"/>
    </w:pPr>
    <w:rPr>
      <w:rFonts w:ascii="黑体" w:hAnsi="宋体"/>
      <w:b w:val="0"/>
      <w:bCs w:val="0"/>
      <w:color w:val="000000"/>
      <w:kern w:val="0"/>
      <w:sz w:val="52"/>
      <w:szCs w:val="20"/>
    </w:rPr>
  </w:style>
  <w:style w:type="paragraph" w:customStyle="1" w:styleId="295">
    <w:name w:val="table_1stline"/>
    <w:basedOn w:val="1"/>
    <w:qFormat/>
    <w:uiPriority w:val="0"/>
    <w:pPr>
      <w:widowControl/>
      <w:spacing w:before="120" w:beforeLines="0"/>
      <w:jc w:val="left"/>
    </w:pPr>
    <w:rPr>
      <w:bCs/>
      <w:kern w:val="0"/>
      <w:sz w:val="20"/>
      <w:szCs w:val="20"/>
      <w:lang w:val="de-DE" w:eastAsia="de-DE"/>
    </w:rPr>
  </w:style>
  <w:style w:type="character" w:customStyle="1" w:styleId="296">
    <w:name w:val="font01"/>
    <w:basedOn w:val="51"/>
    <w:qFormat/>
    <w:uiPriority w:val="0"/>
    <w:rPr>
      <w:rFonts w:hint="eastAsia" w:ascii="宋体" w:hAnsi="宋体" w:eastAsia="宋体" w:cs="宋体"/>
      <w:color w:val="000000"/>
      <w:sz w:val="22"/>
      <w:szCs w:val="22"/>
      <w:u w:val="none"/>
    </w:rPr>
  </w:style>
  <w:style w:type="character" w:customStyle="1" w:styleId="297">
    <w:name w:val="font41"/>
    <w:basedOn w:val="51"/>
    <w:qFormat/>
    <w:uiPriority w:val="0"/>
    <w:rPr>
      <w:rFonts w:hint="eastAsia" w:ascii="宋体" w:hAnsi="宋体" w:eastAsia="宋体" w:cs="宋体"/>
      <w:b/>
      <w:bCs/>
      <w:color w:val="FF0000"/>
      <w:sz w:val="22"/>
      <w:szCs w:val="22"/>
      <w:u w:val="none"/>
    </w:rPr>
  </w:style>
  <w:style w:type="paragraph" w:customStyle="1" w:styleId="298">
    <w:name w:val="正文正"/>
    <w:basedOn w:val="1"/>
    <w:qFormat/>
    <w:uiPriority w:val="0"/>
    <w:pPr>
      <w:spacing w:line="560" w:lineRule="exact"/>
      <w:ind w:firstLine="561"/>
    </w:pPr>
    <w:rPr>
      <w:rFonts w:eastAsia="仿宋_GB2312"/>
      <w:sz w:val="28"/>
    </w:rPr>
  </w:style>
  <w:style w:type="paragraph" w:customStyle="1" w:styleId="299">
    <w:name w:val="WPSOffice手动目录 1"/>
    <w:qFormat/>
    <w:uiPriority w:val="0"/>
    <w:pPr>
      <w:ind w:leftChars="0"/>
    </w:pPr>
    <w:rPr>
      <w:rFonts w:ascii="Times New Roman" w:hAnsi="Times New Roman" w:eastAsia="宋体" w:cs="Times New Roman"/>
      <w:sz w:val="20"/>
      <w:szCs w:val="20"/>
    </w:rPr>
  </w:style>
  <w:style w:type="paragraph" w:customStyle="1" w:styleId="30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1">
    <w:name w:val="No Spacing1"/>
    <w:qFormat/>
    <w:uiPriority w:val="0"/>
    <w:rPr>
      <w:rFonts w:ascii="Times New Roman" w:hAnsi="Times New Roman" w:eastAsia="??" w:cs="宋体"/>
      <w:sz w:val="22"/>
      <w:szCs w:val="22"/>
      <w:lang w:val="en-US" w:eastAsia="en-US" w:bidi="ar-SA"/>
    </w:rPr>
  </w:style>
  <w:style w:type="paragraph" w:customStyle="1" w:styleId="302">
    <w:name w:val="[Normal]"/>
    <w:qFormat/>
    <w:uiPriority w:val="0"/>
    <w:rPr>
      <w:rFonts w:ascii="宋体" w:hAnsi="宋体" w:eastAsia="宋体" w:cs="Times New Roman"/>
      <w:sz w:val="24"/>
      <w:szCs w:val="22"/>
      <w:lang w:val="zh-CN" w:eastAsia="zh-CN" w:bidi="ar-SA"/>
    </w:rPr>
  </w:style>
  <w:style w:type="paragraph" w:customStyle="1" w:styleId="303">
    <w:name w:val="Body Text First Indent 21"/>
    <w:basedOn w:val="1"/>
    <w:qFormat/>
    <w:uiPriority w:val="0"/>
    <w:pPr>
      <w:widowControl w:val="0"/>
      <w:autoSpaceDE w:val="0"/>
      <w:autoSpaceDN w:val="0"/>
      <w:adjustRightInd w:val="0"/>
      <w:spacing w:after="120"/>
      <w:ind w:left="200" w:leftChars="200" w:firstLine="420"/>
      <w:jc w:val="both"/>
    </w:pPr>
    <w:rPr>
      <w:rFonts w:ascii="宋体" w:hAnsi="Calibri" w:eastAsia="宋体" w:cs="宋体"/>
      <w:color w:val="auto"/>
      <w:kern w:val="2"/>
      <w:sz w:val="24"/>
      <w:szCs w:val="21"/>
    </w:rPr>
  </w:style>
  <w:style w:type="character" w:customStyle="1" w:styleId="304">
    <w:name w:val="15"/>
    <w:basedOn w:val="51"/>
    <w:qFormat/>
    <w:uiPriority w:val="0"/>
    <w:rPr>
      <w:rFonts w:hint="default" w:ascii="Calibri" w:hAnsi="Calibri" w:cs="Calibri"/>
    </w:rPr>
  </w:style>
  <w:style w:type="paragraph" w:customStyle="1" w:styleId="305">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鼎力</Company>
  <Pages>50</Pages>
  <Words>27224</Words>
  <Characters>28833</Characters>
  <Lines>224</Lines>
  <Paragraphs>63</Paragraphs>
  <TotalTime>7</TotalTime>
  <ScaleCrop>false</ScaleCrop>
  <LinksUpToDate>false</LinksUpToDate>
  <CharactersWithSpaces>31655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2021-03-15T03:13:00Z</dcterms:created>
  <dc:creator>维C</dc:creator>
  <cp:keywords>招标文件</cp:keywords>
  <cp:lastModifiedBy>Administrator</cp:lastModifiedBy>
  <cp:lastPrinted>2023-08-29T10:03:00Z</cp:lastPrinted>
  <dcterms:modified xsi:type="dcterms:W3CDTF">2025-07-05T04:33:19Z</dcterms:modified>
  <dc:title>瑞安市汇通市政工程有限公司2016年度球墨配件采购项目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7A852EAFC7024A1B99110F831E4C99B2_13</vt:lpwstr>
  </property>
  <property fmtid="{D5CDD505-2E9C-101B-9397-08002B2CF9AE}" pid="4" name="commondata">
    <vt:lpwstr>eyJoZGlkIjoiN2VjOGM5NDQyOTJiODM0ZDAyNDljZGIxYmZkMDJkMGQifQ==</vt:lpwstr>
  </property>
  <property fmtid="{D5CDD505-2E9C-101B-9397-08002B2CF9AE}" pid="5" name="KSOTemplateDocerSaveRecord">
    <vt:lpwstr>eyJoZGlkIjoiYzE1NWUyOThjMzExY2QxY2U1OWE3NmRmMDI1ZmNkMDMiLCJ1c2VySWQiOiIzNzUxNDI2NzkifQ==</vt:lpwstr>
  </property>
</Properties>
</file>