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DDB7E">
      <w:pPr>
        <w:jc w:val="center"/>
        <w:rPr>
          <w:rFonts w:hint="eastAsia" w:ascii="宋体" w:hAnsi="宋体" w:eastAsia="宋体" w:cs="宋体"/>
          <w:b/>
          <w:bCs/>
          <w:iCs/>
          <w:color w:val="auto"/>
          <w:sz w:val="48"/>
          <w:szCs w:val="48"/>
          <w:highlight w:val="none"/>
        </w:rPr>
      </w:pPr>
      <w:bookmarkStart w:id="502" w:name="_GoBack"/>
    </w:p>
    <w:p w14:paraId="26A3C4F4">
      <w:pPr>
        <w:jc w:val="center"/>
        <w:rPr>
          <w:rFonts w:hint="eastAsia" w:ascii="宋体" w:hAnsi="宋体" w:eastAsia="宋体" w:cs="宋体"/>
          <w:b w:val="0"/>
          <w:bCs w:val="0"/>
          <w:color w:val="auto"/>
          <w:sz w:val="36"/>
          <w:szCs w:val="36"/>
          <w:highlight w:val="none"/>
          <w:lang w:eastAsia="zh-CN"/>
        </w:rPr>
      </w:pPr>
      <w:r>
        <w:rPr>
          <w:rFonts w:hint="eastAsia" w:ascii="宋体" w:hAnsi="宋体" w:cs="宋体"/>
          <w:b w:val="0"/>
          <w:bCs w:val="0"/>
          <w:iCs/>
          <w:color w:val="auto"/>
          <w:sz w:val="36"/>
          <w:szCs w:val="36"/>
          <w:highlight w:val="none"/>
          <w:lang w:eastAsia="zh-CN"/>
        </w:rPr>
        <w:t>绍兴市上虞区供水有限公司智水家园管理平台采购项目（第二次）</w:t>
      </w:r>
    </w:p>
    <w:p w14:paraId="18A93AAB">
      <w:pPr>
        <w:rPr>
          <w:rFonts w:hint="eastAsia" w:ascii="宋体" w:hAnsi="宋体" w:eastAsia="宋体" w:cs="宋体"/>
          <w:color w:val="auto"/>
          <w:highlight w:val="none"/>
        </w:rPr>
      </w:pPr>
    </w:p>
    <w:p w14:paraId="2E30BD53">
      <w:pPr>
        <w:pStyle w:val="17"/>
        <w:ind w:firstLine="240"/>
        <w:rPr>
          <w:rFonts w:hint="eastAsia" w:ascii="宋体" w:hAnsi="宋体" w:eastAsia="宋体" w:cs="宋体"/>
          <w:color w:val="auto"/>
          <w:highlight w:val="none"/>
        </w:rPr>
      </w:pPr>
    </w:p>
    <w:p w14:paraId="60597D27">
      <w:pPr>
        <w:rPr>
          <w:rFonts w:hint="eastAsia" w:ascii="宋体" w:hAnsi="宋体" w:eastAsia="宋体" w:cs="宋体"/>
          <w:color w:val="auto"/>
          <w:highlight w:val="none"/>
        </w:rPr>
      </w:pPr>
    </w:p>
    <w:p w14:paraId="61082CAF">
      <w:pPr>
        <w:rPr>
          <w:rFonts w:hint="eastAsia" w:ascii="宋体" w:hAnsi="宋体" w:eastAsia="宋体" w:cs="宋体"/>
          <w:color w:val="auto"/>
          <w:highlight w:val="none"/>
        </w:rPr>
      </w:pPr>
    </w:p>
    <w:p w14:paraId="3EAE495D">
      <w:pPr>
        <w:pStyle w:val="2"/>
        <w:rPr>
          <w:rFonts w:hint="eastAsia" w:ascii="宋体" w:hAnsi="宋体" w:eastAsia="宋体" w:cs="宋体"/>
          <w:color w:val="auto"/>
          <w:highlight w:val="none"/>
        </w:rPr>
      </w:pPr>
    </w:p>
    <w:p w14:paraId="40D18139">
      <w:pPr>
        <w:pStyle w:val="2"/>
        <w:rPr>
          <w:rFonts w:hint="eastAsia" w:ascii="宋体" w:hAnsi="宋体" w:eastAsia="宋体" w:cs="宋体"/>
          <w:color w:val="auto"/>
          <w:highlight w:val="none"/>
        </w:rPr>
      </w:pPr>
    </w:p>
    <w:p w14:paraId="64740FC0">
      <w:pPr>
        <w:pStyle w:val="2"/>
        <w:rPr>
          <w:rFonts w:hint="eastAsia" w:ascii="宋体" w:hAnsi="宋体" w:eastAsia="宋体" w:cs="宋体"/>
          <w:color w:val="auto"/>
          <w:highlight w:val="none"/>
        </w:rPr>
      </w:pPr>
    </w:p>
    <w:p w14:paraId="7EA7E07A">
      <w:pPr>
        <w:pStyle w:val="2"/>
        <w:rPr>
          <w:rFonts w:hint="eastAsia" w:ascii="宋体" w:hAnsi="宋体" w:eastAsia="宋体" w:cs="宋体"/>
          <w:color w:val="auto"/>
          <w:highlight w:val="none"/>
        </w:rPr>
      </w:pPr>
    </w:p>
    <w:p w14:paraId="72B6D600">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招标文件</w:t>
      </w:r>
    </w:p>
    <w:p w14:paraId="11AC36EE">
      <w:pPr>
        <w:spacing w:line="360" w:lineRule="auto"/>
        <w:jc w:val="center"/>
        <w:rPr>
          <w:rFonts w:hint="eastAsia" w:ascii="宋体" w:hAnsi="宋体" w:eastAsia="宋体" w:cs="宋体"/>
          <w:b/>
          <w:color w:val="auto"/>
          <w:sz w:val="24"/>
          <w:highlight w:val="none"/>
        </w:rPr>
      </w:pPr>
    </w:p>
    <w:p w14:paraId="770961E4">
      <w:pPr>
        <w:spacing w:line="360" w:lineRule="auto"/>
        <w:jc w:val="center"/>
        <w:rPr>
          <w:rFonts w:hint="eastAsia" w:ascii="宋体" w:hAnsi="宋体" w:eastAsia="宋体" w:cs="宋体"/>
          <w:b/>
          <w:color w:val="auto"/>
          <w:sz w:val="24"/>
          <w:highlight w:val="none"/>
        </w:rPr>
      </w:pPr>
    </w:p>
    <w:p w14:paraId="78E3ED88">
      <w:pPr>
        <w:rPr>
          <w:rFonts w:hint="eastAsia" w:ascii="宋体" w:hAnsi="宋体" w:eastAsia="宋体" w:cs="宋体"/>
          <w:color w:val="auto"/>
          <w:highlight w:val="none"/>
        </w:rPr>
      </w:pPr>
    </w:p>
    <w:p w14:paraId="3999A50A">
      <w:pPr>
        <w:snapToGrid w:val="0"/>
        <w:spacing w:line="360" w:lineRule="auto"/>
        <w:jc w:val="center"/>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招标编号：FDC-2025-0019</w:t>
      </w:r>
      <w:r>
        <w:rPr>
          <w:rFonts w:hint="eastAsia" w:ascii="宋体" w:hAnsi="宋体" w:cs="宋体"/>
          <w:color w:val="auto"/>
          <w:sz w:val="30"/>
          <w:szCs w:val="30"/>
          <w:highlight w:val="none"/>
          <w:lang w:val="en-US" w:eastAsia="zh-CN"/>
        </w:rPr>
        <w:t>X</w:t>
      </w:r>
    </w:p>
    <w:p w14:paraId="13B8D076">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6B7C21C1">
      <w:pPr>
        <w:spacing w:line="360" w:lineRule="auto"/>
        <w:rPr>
          <w:rFonts w:hint="eastAsia" w:ascii="宋体" w:hAnsi="宋体" w:eastAsia="宋体" w:cs="宋体"/>
          <w:color w:val="auto"/>
          <w:sz w:val="28"/>
          <w:szCs w:val="20"/>
          <w:highlight w:val="none"/>
        </w:rPr>
      </w:pPr>
    </w:p>
    <w:p w14:paraId="47741AA5">
      <w:pPr>
        <w:pStyle w:val="2"/>
        <w:rPr>
          <w:rFonts w:hint="eastAsia" w:ascii="宋体" w:hAnsi="宋体" w:eastAsia="宋体" w:cs="宋体"/>
          <w:color w:val="auto"/>
          <w:highlight w:val="none"/>
        </w:rPr>
      </w:pPr>
    </w:p>
    <w:p w14:paraId="21ECE326">
      <w:pPr>
        <w:spacing w:line="360" w:lineRule="auto"/>
        <w:jc w:val="center"/>
        <w:rPr>
          <w:rFonts w:hint="eastAsia" w:ascii="宋体" w:hAnsi="宋体" w:eastAsia="宋体" w:cs="宋体"/>
          <w:color w:val="auto"/>
          <w:sz w:val="24"/>
          <w:highlight w:val="none"/>
        </w:rPr>
      </w:pPr>
    </w:p>
    <w:p w14:paraId="3C43328A">
      <w:pPr>
        <w:pStyle w:val="2"/>
        <w:rPr>
          <w:rFonts w:hint="eastAsia" w:ascii="宋体" w:hAnsi="宋体" w:eastAsia="宋体" w:cs="宋体"/>
          <w:color w:val="auto"/>
          <w:highlight w:val="none"/>
        </w:rPr>
      </w:pPr>
    </w:p>
    <w:p w14:paraId="11FF1BE8">
      <w:pPr>
        <w:pStyle w:val="2"/>
        <w:rPr>
          <w:rFonts w:hint="eastAsia" w:ascii="宋体" w:hAnsi="宋体" w:eastAsia="宋体" w:cs="宋体"/>
          <w:color w:val="auto"/>
          <w:highlight w:val="none"/>
        </w:rPr>
      </w:pPr>
    </w:p>
    <w:p w14:paraId="3264E37A">
      <w:pPr>
        <w:spacing w:line="360" w:lineRule="auto"/>
        <w:jc w:val="center"/>
        <w:rPr>
          <w:rFonts w:hint="eastAsia" w:ascii="宋体" w:hAnsi="宋体" w:eastAsia="宋体" w:cs="宋体"/>
          <w:color w:val="auto"/>
          <w:sz w:val="24"/>
          <w:highlight w:val="none"/>
        </w:rPr>
      </w:pPr>
    </w:p>
    <w:p w14:paraId="197EABA3">
      <w:pPr>
        <w:snapToGrid w:val="0"/>
        <w:spacing w:line="360" w:lineRule="auto"/>
        <w:ind w:firstLine="800" w:firstLineChars="2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人：绍兴市上虞区水环环保科技有限公司</w:t>
      </w:r>
    </w:p>
    <w:p w14:paraId="528B2715">
      <w:pPr>
        <w:ind w:firstLine="800" w:firstLineChars="25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pacing w:val="12"/>
          <w:kern w:val="0"/>
          <w:sz w:val="32"/>
          <w:szCs w:val="32"/>
          <w:highlight w:val="none"/>
          <w:fitText w:val="4800" w:id="674905340"/>
          <w:lang w:eastAsia="zh-CN"/>
        </w:rPr>
        <w:t>浙江省房地产管理咨询有限公</w:t>
      </w:r>
      <w:r>
        <w:rPr>
          <w:rFonts w:hint="eastAsia" w:ascii="宋体" w:hAnsi="宋体" w:eastAsia="宋体" w:cs="宋体"/>
          <w:color w:val="auto"/>
          <w:spacing w:val="4"/>
          <w:kern w:val="0"/>
          <w:sz w:val="32"/>
          <w:szCs w:val="32"/>
          <w:highlight w:val="none"/>
          <w:fitText w:val="4800" w:id="674905340"/>
          <w:lang w:eastAsia="zh-CN"/>
        </w:rPr>
        <w:t>司</w:t>
      </w:r>
    </w:p>
    <w:p w14:paraId="3A87A69A">
      <w:pPr>
        <w:pStyle w:val="2"/>
        <w:rPr>
          <w:rFonts w:hint="eastAsia" w:ascii="宋体" w:hAnsi="宋体" w:eastAsia="宋体" w:cs="宋体"/>
          <w:color w:val="auto"/>
          <w:highlight w:val="none"/>
        </w:rPr>
      </w:pPr>
    </w:p>
    <w:p w14:paraId="306B8C8F">
      <w:pPr>
        <w:pStyle w:val="2"/>
        <w:rPr>
          <w:rFonts w:hint="eastAsia" w:ascii="宋体" w:hAnsi="宋体" w:eastAsia="宋体" w:cs="宋体"/>
          <w:color w:val="auto"/>
          <w:highlight w:val="none"/>
        </w:rPr>
      </w:pPr>
    </w:p>
    <w:sdt>
      <w:sdtPr>
        <w:rPr>
          <w:rFonts w:hint="eastAsia" w:ascii="宋体" w:hAnsi="宋体" w:eastAsia="宋体" w:cs="宋体"/>
          <w:b w:val="0"/>
          <w:bCs w:val="0"/>
          <w:color w:val="auto"/>
          <w:kern w:val="2"/>
          <w:sz w:val="21"/>
          <w:szCs w:val="24"/>
          <w:highlight w:val="none"/>
          <w:lang w:val="zh-CN"/>
        </w:rPr>
        <w:id w:val="-93020060"/>
        <w:docPartObj>
          <w:docPartGallery w:val="Table of Contents"/>
          <w:docPartUnique/>
        </w:docPartObj>
      </w:sdtPr>
      <w:sdtEndPr>
        <w:rPr>
          <w:rFonts w:hint="eastAsia" w:ascii="宋体" w:hAnsi="宋体" w:eastAsia="宋体" w:cs="宋体"/>
          <w:b w:val="0"/>
          <w:bCs w:val="0"/>
          <w:color w:val="auto"/>
          <w:kern w:val="2"/>
          <w:sz w:val="21"/>
          <w:szCs w:val="24"/>
          <w:highlight w:val="none"/>
          <w:lang w:val="zh-CN"/>
        </w:rPr>
      </w:sdtEndPr>
      <w:sdtContent>
        <w:p w14:paraId="2084559F">
          <w:pPr>
            <w:pStyle w:val="31"/>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目 录</w:t>
          </w:r>
        </w:p>
        <w:p w14:paraId="4F0BF4B1">
          <w:pPr>
            <w:rPr>
              <w:rFonts w:hint="eastAsia" w:ascii="宋体" w:hAnsi="宋体" w:eastAsia="宋体" w:cs="宋体"/>
              <w:color w:val="auto"/>
              <w:highlight w:val="none"/>
              <w:lang w:val="zh-CN"/>
            </w:rPr>
          </w:pPr>
        </w:p>
        <w:p w14:paraId="7F4C5F78">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"_Toc167700911"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_Toc167700911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4372AAA">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"_Toc167700912"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第二部分 投标须知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B8EE0A">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"_Toc167700922"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第三部分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2B981F3">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"_Toc167700925"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第四部分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82640F">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"_Toc167700927"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第五部分 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0C4F37">
          <w:pPr>
            <w:pStyle w:val="14"/>
            <w:tabs>
              <w:tab w:val="right" w:leader="dot" w:pos="9060"/>
            </w:tabs>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"_Toc167700928"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_Toc167700928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75D773">
          <w:pPr>
            <w:rPr>
              <w:rFonts w:hint="eastAsia" w:ascii="宋体" w:hAnsi="宋体" w:eastAsia="宋体" w:cs="宋体"/>
              <w:color w:val="auto"/>
              <w:highlight w:val="none"/>
            </w:rPr>
          </w:pPr>
          <w:r>
            <w:rPr>
              <w:rFonts w:hint="eastAsia" w:ascii="宋体" w:hAnsi="宋体" w:eastAsia="宋体" w:cs="宋体"/>
              <w:b/>
              <w:bCs/>
              <w:color w:val="auto"/>
              <w:highlight w:val="none"/>
              <w:lang w:val="zh-CN"/>
            </w:rPr>
            <w:fldChar w:fldCharType="end"/>
          </w:r>
        </w:p>
      </w:sdtContent>
    </w:sdt>
    <w:p w14:paraId="39C61B6A">
      <w:pPr>
        <w:pStyle w:val="2"/>
        <w:rPr>
          <w:rFonts w:hint="eastAsia" w:ascii="宋体" w:hAnsi="宋体" w:eastAsia="宋体" w:cs="宋体"/>
          <w:color w:val="auto"/>
          <w:highlight w:val="none"/>
        </w:rPr>
      </w:pPr>
    </w:p>
    <w:p w14:paraId="0AAB5ACB">
      <w:pPr>
        <w:pStyle w:val="2"/>
        <w:rPr>
          <w:rFonts w:hint="eastAsia" w:ascii="宋体" w:hAnsi="宋体" w:eastAsia="宋体" w:cs="宋体"/>
          <w:color w:val="auto"/>
          <w:highlight w:val="none"/>
        </w:rPr>
      </w:pPr>
    </w:p>
    <w:p w14:paraId="39B5CB3C">
      <w:pPr>
        <w:pStyle w:val="2"/>
        <w:rPr>
          <w:rFonts w:hint="eastAsia" w:ascii="宋体" w:hAnsi="宋体" w:eastAsia="宋体" w:cs="宋体"/>
          <w:color w:val="auto"/>
          <w:highlight w:val="none"/>
        </w:rPr>
      </w:pPr>
    </w:p>
    <w:p w14:paraId="612FFFE5">
      <w:pPr>
        <w:pStyle w:val="2"/>
        <w:rPr>
          <w:rFonts w:hint="eastAsia" w:ascii="宋体" w:hAnsi="宋体" w:eastAsia="宋体" w:cs="宋体"/>
          <w:color w:val="auto"/>
          <w:highlight w:val="none"/>
        </w:rPr>
      </w:pPr>
    </w:p>
    <w:p w14:paraId="44203AF0">
      <w:pPr>
        <w:pStyle w:val="2"/>
        <w:rPr>
          <w:rFonts w:hint="eastAsia" w:ascii="宋体" w:hAnsi="宋体" w:eastAsia="宋体" w:cs="宋体"/>
          <w:color w:val="auto"/>
          <w:highlight w:val="none"/>
        </w:rPr>
      </w:pPr>
    </w:p>
    <w:p w14:paraId="71AA86F1">
      <w:pPr>
        <w:pStyle w:val="2"/>
        <w:rPr>
          <w:rFonts w:hint="eastAsia" w:ascii="宋体" w:hAnsi="宋体" w:eastAsia="宋体" w:cs="宋体"/>
          <w:color w:val="auto"/>
          <w:highlight w:val="none"/>
        </w:rPr>
      </w:pPr>
    </w:p>
    <w:p w14:paraId="5EB5B9D2">
      <w:pPr>
        <w:pStyle w:val="2"/>
        <w:rPr>
          <w:rFonts w:hint="eastAsia" w:ascii="宋体" w:hAnsi="宋体" w:eastAsia="宋体" w:cs="宋体"/>
          <w:color w:val="auto"/>
          <w:highlight w:val="none"/>
        </w:rPr>
      </w:pPr>
    </w:p>
    <w:p w14:paraId="31AB2C1A">
      <w:pPr>
        <w:pStyle w:val="2"/>
        <w:rPr>
          <w:rFonts w:hint="eastAsia" w:ascii="宋体" w:hAnsi="宋体" w:eastAsia="宋体" w:cs="宋体"/>
          <w:color w:val="auto"/>
          <w:highlight w:val="none"/>
        </w:rPr>
      </w:pPr>
    </w:p>
    <w:p w14:paraId="0B4891B7">
      <w:pPr>
        <w:pStyle w:val="2"/>
        <w:rPr>
          <w:rFonts w:hint="eastAsia" w:ascii="宋体" w:hAnsi="宋体" w:eastAsia="宋体" w:cs="宋体"/>
          <w:color w:val="auto"/>
          <w:highlight w:val="none"/>
        </w:rPr>
      </w:pPr>
    </w:p>
    <w:p w14:paraId="1076BFB4">
      <w:pPr>
        <w:pStyle w:val="2"/>
        <w:rPr>
          <w:rFonts w:hint="eastAsia" w:ascii="宋体" w:hAnsi="宋体" w:eastAsia="宋体" w:cs="宋体"/>
          <w:color w:val="auto"/>
          <w:highlight w:val="none"/>
        </w:rPr>
      </w:pPr>
    </w:p>
    <w:p w14:paraId="3C86A720">
      <w:pPr>
        <w:pStyle w:val="2"/>
        <w:rPr>
          <w:rFonts w:hint="eastAsia" w:ascii="宋体" w:hAnsi="宋体" w:eastAsia="宋体" w:cs="宋体"/>
          <w:color w:val="auto"/>
          <w:highlight w:val="none"/>
        </w:rPr>
      </w:pPr>
    </w:p>
    <w:p w14:paraId="4297EFAB">
      <w:pPr>
        <w:pStyle w:val="2"/>
        <w:rPr>
          <w:rFonts w:hint="eastAsia" w:ascii="宋体" w:hAnsi="宋体" w:eastAsia="宋体" w:cs="宋体"/>
          <w:color w:val="auto"/>
          <w:highlight w:val="none"/>
        </w:rPr>
      </w:pPr>
    </w:p>
    <w:p w14:paraId="34D8FC59">
      <w:pPr>
        <w:pStyle w:val="2"/>
        <w:rPr>
          <w:rFonts w:hint="eastAsia" w:ascii="宋体" w:hAnsi="宋体" w:eastAsia="宋体" w:cs="宋体"/>
          <w:color w:val="auto"/>
          <w:highlight w:val="none"/>
        </w:rPr>
      </w:pPr>
    </w:p>
    <w:p w14:paraId="5FE2E0F1">
      <w:pPr>
        <w:pStyle w:val="2"/>
        <w:rPr>
          <w:rFonts w:hint="eastAsia" w:ascii="宋体" w:hAnsi="宋体" w:eastAsia="宋体" w:cs="宋体"/>
          <w:color w:val="auto"/>
          <w:highlight w:val="none"/>
        </w:rPr>
      </w:pPr>
    </w:p>
    <w:p w14:paraId="269E35A6">
      <w:pPr>
        <w:pStyle w:val="2"/>
        <w:rPr>
          <w:rFonts w:hint="eastAsia" w:ascii="宋体" w:hAnsi="宋体" w:eastAsia="宋体" w:cs="宋体"/>
          <w:color w:val="auto"/>
          <w:highlight w:val="none"/>
        </w:rPr>
      </w:pPr>
    </w:p>
    <w:p w14:paraId="0670CBC9">
      <w:pPr>
        <w:pStyle w:val="2"/>
        <w:rPr>
          <w:rFonts w:hint="eastAsia" w:ascii="宋体" w:hAnsi="宋体" w:eastAsia="宋体" w:cs="宋体"/>
          <w:color w:val="auto"/>
          <w:highlight w:val="none"/>
        </w:rPr>
      </w:pPr>
    </w:p>
    <w:p w14:paraId="30BE66D6">
      <w:pPr>
        <w:pStyle w:val="2"/>
        <w:rPr>
          <w:rFonts w:hint="eastAsia" w:ascii="宋体" w:hAnsi="宋体" w:eastAsia="宋体" w:cs="宋体"/>
          <w:color w:val="auto"/>
          <w:highlight w:val="none"/>
        </w:rPr>
      </w:pPr>
    </w:p>
    <w:p w14:paraId="6176E296">
      <w:pPr>
        <w:pStyle w:val="2"/>
        <w:rPr>
          <w:rFonts w:hint="eastAsia" w:ascii="宋体" w:hAnsi="宋体" w:eastAsia="宋体" w:cs="宋体"/>
          <w:color w:val="auto"/>
          <w:highlight w:val="none"/>
        </w:rPr>
      </w:pPr>
    </w:p>
    <w:p w14:paraId="22071D6E">
      <w:pPr>
        <w:pStyle w:val="2"/>
        <w:rPr>
          <w:rFonts w:hint="eastAsia" w:ascii="宋体" w:hAnsi="宋体" w:eastAsia="宋体" w:cs="宋体"/>
          <w:color w:val="auto"/>
          <w:highlight w:val="none"/>
        </w:rPr>
      </w:pPr>
    </w:p>
    <w:p w14:paraId="25E01A5D">
      <w:pPr>
        <w:pStyle w:val="2"/>
        <w:rPr>
          <w:rFonts w:hint="eastAsia" w:ascii="宋体" w:hAnsi="宋体" w:eastAsia="宋体" w:cs="宋体"/>
          <w:color w:val="auto"/>
          <w:highlight w:val="none"/>
        </w:rPr>
      </w:pPr>
    </w:p>
    <w:p w14:paraId="2A5D4F7C">
      <w:pPr>
        <w:pStyle w:val="2"/>
        <w:rPr>
          <w:rFonts w:hint="eastAsia" w:ascii="宋体" w:hAnsi="宋体" w:eastAsia="宋体" w:cs="宋体"/>
          <w:color w:val="auto"/>
          <w:highlight w:val="none"/>
        </w:rPr>
      </w:pPr>
    </w:p>
    <w:p w14:paraId="21DFC280">
      <w:pPr>
        <w:spacing w:line="360" w:lineRule="auto"/>
        <w:jc w:val="center"/>
        <w:outlineLvl w:val="0"/>
        <w:rPr>
          <w:rFonts w:hint="eastAsia" w:ascii="宋体" w:hAnsi="宋体" w:eastAsia="宋体" w:cs="宋体"/>
          <w:b/>
          <w:color w:val="auto"/>
          <w:sz w:val="36"/>
          <w:szCs w:val="20"/>
          <w:highlight w:val="none"/>
        </w:rPr>
      </w:pPr>
      <w:bookmarkStart w:id="0" w:name="_Toc165741204"/>
      <w:bookmarkStart w:id="1" w:name="_Toc9446"/>
      <w:bookmarkStart w:id="2" w:name="_Toc167700911"/>
      <w:r>
        <w:rPr>
          <w:rFonts w:hint="eastAsia" w:ascii="宋体" w:hAnsi="宋体" w:eastAsia="宋体" w:cs="宋体"/>
          <w:b/>
          <w:color w:val="auto"/>
          <w:sz w:val="36"/>
          <w:szCs w:val="20"/>
          <w:highlight w:val="none"/>
        </w:rPr>
        <w:t>第一部分 招标公告</w:t>
      </w:r>
      <w:bookmarkEnd w:id="0"/>
      <w:bookmarkEnd w:id="1"/>
      <w:bookmarkEnd w:id="2"/>
    </w:p>
    <w:p w14:paraId="258F49A4">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浙江省房地产管理咨询有限公司</w:t>
      </w:r>
      <w:r>
        <w:rPr>
          <w:rFonts w:hint="eastAsia" w:ascii="宋体" w:hAnsi="宋体" w:eastAsia="宋体" w:cs="宋体"/>
          <w:color w:val="auto"/>
          <w:sz w:val="24"/>
          <w:highlight w:val="none"/>
        </w:rPr>
        <w:t>关于绍兴市上虞区水环环保科技有限公司的</w:t>
      </w:r>
      <w:r>
        <w:rPr>
          <w:rFonts w:hint="eastAsia" w:ascii="宋体" w:hAnsi="宋体" w:cs="宋体"/>
          <w:color w:val="auto"/>
          <w:sz w:val="24"/>
          <w:highlight w:val="none"/>
          <w:lang w:eastAsia="zh-CN"/>
        </w:rPr>
        <w:t>绍兴市上虞区供水有限公司智水家园管理平台采购项目（第二次）</w:t>
      </w:r>
      <w:r>
        <w:rPr>
          <w:rFonts w:hint="eastAsia" w:ascii="宋体" w:hAnsi="宋体" w:eastAsia="宋体" w:cs="宋体"/>
          <w:color w:val="auto"/>
          <w:sz w:val="24"/>
          <w:highlight w:val="none"/>
        </w:rPr>
        <w:t>非政府采购招标公告</w:t>
      </w:r>
    </w:p>
    <w:p w14:paraId="1920A0E8">
      <w:pPr>
        <w:adjustRightInd w:val="0"/>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公告日期：2025年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w:t>
      </w:r>
    </w:p>
    <w:p w14:paraId="6B76A06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 《上虞区区属国有企业货物和服务采购管理办法》等有关规定，</w:t>
      </w:r>
      <w:r>
        <w:rPr>
          <w:rFonts w:hint="eastAsia" w:ascii="宋体" w:hAnsi="宋体" w:eastAsia="宋体" w:cs="宋体"/>
          <w:color w:val="auto"/>
          <w:sz w:val="24"/>
          <w:highlight w:val="none"/>
          <w:u w:val="single"/>
          <w:lang w:eastAsia="zh-CN"/>
        </w:rPr>
        <w:t>浙江省房地产管理咨询有限公司</w:t>
      </w:r>
      <w:r>
        <w:rPr>
          <w:rFonts w:hint="eastAsia" w:ascii="宋体" w:hAnsi="宋体" w:eastAsia="宋体" w:cs="宋体"/>
          <w:color w:val="auto"/>
          <w:sz w:val="24"/>
          <w:highlight w:val="none"/>
        </w:rPr>
        <w:t>受</w:t>
      </w:r>
      <w:r>
        <w:rPr>
          <w:rFonts w:hint="eastAsia" w:ascii="宋体" w:hAnsi="宋体" w:eastAsia="宋体" w:cs="宋体"/>
          <w:color w:val="auto"/>
          <w:sz w:val="24"/>
          <w:highlight w:val="none"/>
          <w:u w:val="single"/>
        </w:rPr>
        <w:t>绍兴市上虞区水环环保科技有限公司</w:t>
      </w:r>
      <w:r>
        <w:rPr>
          <w:rFonts w:hint="eastAsia" w:ascii="宋体" w:hAnsi="宋体" w:eastAsia="宋体" w:cs="宋体"/>
          <w:color w:val="auto"/>
          <w:sz w:val="24"/>
          <w:highlight w:val="none"/>
        </w:rPr>
        <w:t>委托，现</w:t>
      </w:r>
      <w:r>
        <w:rPr>
          <w:rFonts w:hint="eastAsia" w:ascii="宋体" w:hAnsi="宋体" w:cs="宋体"/>
          <w:color w:val="auto"/>
          <w:sz w:val="24"/>
          <w:highlight w:val="none"/>
          <w:u w:val="single"/>
          <w:lang w:eastAsia="zh-CN"/>
        </w:rPr>
        <w:t>绍兴市上虞区供水有限公司智水家园管理平台采购项目（第二次）</w:t>
      </w:r>
      <w:r>
        <w:rPr>
          <w:rFonts w:hint="eastAsia" w:ascii="宋体" w:hAnsi="宋体" w:eastAsia="宋体" w:cs="宋体"/>
          <w:color w:val="auto"/>
          <w:sz w:val="24"/>
          <w:highlight w:val="none"/>
        </w:rPr>
        <w:t>进行公开招标，欢迎国内合格的供应商前来投标。</w:t>
      </w:r>
    </w:p>
    <w:p w14:paraId="138E6ADB">
      <w:pPr>
        <w:adjustRightInd w:val="0"/>
        <w:spacing w:line="500" w:lineRule="exact"/>
        <w:ind w:firstLine="482"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一． 招标项目编号：</w:t>
      </w:r>
      <w:r>
        <w:rPr>
          <w:rFonts w:hint="eastAsia" w:ascii="宋体" w:hAnsi="宋体" w:eastAsia="宋体" w:cs="宋体"/>
          <w:color w:val="auto"/>
          <w:sz w:val="24"/>
          <w:highlight w:val="none"/>
          <w:u w:val="single"/>
          <w:lang w:val="en-US" w:eastAsia="zh-CN"/>
        </w:rPr>
        <w:t>FDC-2025-0019</w:t>
      </w:r>
    </w:p>
    <w:p w14:paraId="6132A058">
      <w:pPr>
        <w:adjustRightInd w:val="0"/>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 采购组织类型：</w:t>
      </w:r>
      <w:r>
        <w:rPr>
          <w:rFonts w:hint="eastAsia" w:ascii="宋体" w:hAnsi="宋体" w:eastAsia="宋体" w:cs="宋体"/>
          <w:color w:val="auto"/>
          <w:sz w:val="24"/>
          <w:highlight w:val="none"/>
          <w:u w:val="single"/>
        </w:rPr>
        <w:t xml:space="preserve">国企采购-委托中介 </w:t>
      </w:r>
      <w:r>
        <w:rPr>
          <w:rFonts w:hint="eastAsia" w:ascii="宋体" w:hAnsi="宋体" w:eastAsia="宋体" w:cs="宋体"/>
          <w:color w:val="auto"/>
          <w:sz w:val="24"/>
          <w:highlight w:val="none"/>
        </w:rPr>
        <w:t xml:space="preserve"> </w:t>
      </w:r>
    </w:p>
    <w:p w14:paraId="22D87E10">
      <w:pPr>
        <w:pStyle w:val="2"/>
        <w:ind w:left="0" w:leftChars="0" w:firstLine="472" w:firstLineChars="196"/>
        <w:rPr>
          <w:rFonts w:hint="eastAsia" w:ascii="宋体" w:hAnsi="宋体" w:eastAsia="宋体" w:cs="宋体"/>
          <w:color w:val="auto"/>
          <w:highlight w:val="none"/>
        </w:rPr>
      </w:pPr>
      <w:r>
        <w:rPr>
          <w:rFonts w:hint="eastAsia" w:ascii="宋体" w:hAnsi="宋体" w:eastAsia="宋体" w:cs="宋体"/>
          <w:b/>
          <w:color w:val="auto"/>
          <w:sz w:val="24"/>
          <w:highlight w:val="none"/>
        </w:rPr>
        <w:t>三． 招标项目概况:</w:t>
      </w:r>
    </w:p>
    <w:tbl>
      <w:tblPr>
        <w:tblStyle w:val="18"/>
        <w:tblW w:w="9086"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00"/>
        <w:gridCol w:w="2694"/>
        <w:gridCol w:w="717"/>
        <w:gridCol w:w="709"/>
        <w:gridCol w:w="1134"/>
        <w:gridCol w:w="2060"/>
        <w:gridCol w:w="1072"/>
      </w:tblGrid>
      <w:tr w14:paraId="0DA0AC9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700" w:type="dxa"/>
            <w:vAlign w:val="center"/>
          </w:tcPr>
          <w:p w14:paraId="6EA95993">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94" w:type="dxa"/>
            <w:vAlign w:val="center"/>
          </w:tcPr>
          <w:p w14:paraId="364DFB3C">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17" w:type="dxa"/>
            <w:vAlign w:val="center"/>
          </w:tcPr>
          <w:p w14:paraId="007CD220">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vAlign w:val="center"/>
          </w:tcPr>
          <w:p w14:paraId="3CBAF68C">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34" w:type="dxa"/>
            <w:vAlign w:val="center"/>
          </w:tcPr>
          <w:p w14:paraId="6C98111C">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14:paraId="3D0B81A5">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2060" w:type="dxa"/>
            <w:vAlign w:val="center"/>
          </w:tcPr>
          <w:p w14:paraId="5C36A747">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简要规格描述或标项基本概况介绍</w:t>
            </w:r>
          </w:p>
        </w:tc>
        <w:tc>
          <w:tcPr>
            <w:tcW w:w="1072" w:type="dxa"/>
            <w:vAlign w:val="center"/>
          </w:tcPr>
          <w:p w14:paraId="1F420164">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p w14:paraId="22D51948">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14:paraId="18A57B3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56" w:hRule="atLeast"/>
          <w:jc w:val="center"/>
        </w:trPr>
        <w:tc>
          <w:tcPr>
            <w:tcW w:w="700" w:type="dxa"/>
            <w:vAlign w:val="center"/>
          </w:tcPr>
          <w:p w14:paraId="12955152">
            <w:pPr>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4" w:type="dxa"/>
            <w:vAlign w:val="center"/>
          </w:tcPr>
          <w:p w14:paraId="107554A1">
            <w:pPr>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绍兴市上虞区供水有限公司智水家园管理平台采购项目（第二次）</w:t>
            </w:r>
          </w:p>
        </w:tc>
        <w:tc>
          <w:tcPr>
            <w:tcW w:w="717" w:type="dxa"/>
            <w:vAlign w:val="center"/>
          </w:tcPr>
          <w:p w14:paraId="694D5C80">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vAlign w:val="center"/>
          </w:tcPr>
          <w:p w14:paraId="05A2AA86">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34" w:type="dxa"/>
            <w:vAlign w:val="center"/>
          </w:tcPr>
          <w:p w14:paraId="1DD58641">
            <w:pPr>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980000</w:t>
            </w:r>
          </w:p>
        </w:tc>
        <w:tc>
          <w:tcPr>
            <w:tcW w:w="2060" w:type="dxa"/>
            <w:vAlign w:val="center"/>
          </w:tcPr>
          <w:p w14:paraId="10A73688">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详见采购需求</w:t>
            </w:r>
          </w:p>
        </w:tc>
        <w:tc>
          <w:tcPr>
            <w:tcW w:w="1072" w:type="dxa"/>
            <w:vAlign w:val="center"/>
          </w:tcPr>
          <w:p w14:paraId="02FAD255">
            <w:pPr>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980000</w:t>
            </w:r>
          </w:p>
        </w:tc>
      </w:tr>
    </w:tbl>
    <w:p w14:paraId="3851C93D">
      <w:pPr>
        <w:adjustRightIn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投标供应商资格要求:</w:t>
      </w:r>
    </w:p>
    <w:p w14:paraId="72DEF0F8">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1、符合《虞国资委〔2021〕42 号》第十八条</w:t>
      </w:r>
    </w:p>
    <w:p w14:paraId="5D7587D4">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FFFFFF"/>
        </w:rPr>
        <w:t>（1）具有独立承担民事责任能力；</w:t>
      </w:r>
    </w:p>
    <w:p w14:paraId="73DAF318">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FFFFFF"/>
        </w:rPr>
        <w:t>（2）具有良好的商业信誉；</w:t>
      </w:r>
    </w:p>
    <w:p w14:paraId="0BC23245">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FFFFFF"/>
        </w:rPr>
        <w:t>（3）具有履行合同所必需的设备和专业技术、售后保障等能力；</w:t>
      </w:r>
    </w:p>
    <w:p w14:paraId="6232D9B7">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FFFFFF"/>
        </w:rPr>
        <w:t>（4）有依法缴纳税收和社会保障资金的良好记录；</w:t>
      </w:r>
    </w:p>
    <w:p w14:paraId="598A1EE8">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FFFFFF"/>
        </w:rPr>
        <w:t>（5）参加采购活动前三年内，没有重大违法记录、严重失信行为和行贿记录；</w:t>
      </w:r>
    </w:p>
    <w:p w14:paraId="645F50C7">
      <w:pPr>
        <w:widowControl/>
        <w:shd w:val="clear" w:color="auto" w:fill="FFFFFF"/>
        <w:spacing w:line="500" w:lineRule="exact"/>
        <w:ind w:firstLine="480" w:firstLineChars="20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（6）法律、行政法规规定的其他条件。</w:t>
      </w:r>
    </w:p>
    <w:p w14:paraId="727A3F2D">
      <w:p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2、本次招标</w:t>
      </w:r>
      <w:r>
        <w:rPr>
          <w:rFonts w:hint="eastAsia" w:ascii="宋体" w:hAnsi="宋体" w:eastAsia="宋体" w:cs="宋体"/>
          <w:b/>
          <w:bCs/>
          <w:color w:val="auto"/>
          <w:sz w:val="24"/>
          <w:highlight w:val="none"/>
          <w:u w:val="single"/>
        </w:rPr>
        <w:t>不接受</w:t>
      </w:r>
      <w:r>
        <w:rPr>
          <w:rFonts w:hint="eastAsia" w:ascii="宋体" w:hAnsi="宋体" w:eastAsia="宋体" w:cs="宋体"/>
          <w:color w:val="auto"/>
          <w:sz w:val="24"/>
          <w:highlight w:val="none"/>
        </w:rPr>
        <w:t>联合体投标。</w:t>
      </w:r>
    </w:p>
    <w:p w14:paraId="0DD23DE6">
      <w:p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3、本次招标采用资格后审的审查方式，由采购人负责审查。</w:t>
      </w:r>
    </w:p>
    <w:p w14:paraId="211BF913">
      <w:pPr>
        <w:adjustRightIn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五．投标获取采购文件：</w:t>
      </w:r>
    </w:p>
    <w:p w14:paraId="500E542C">
      <w:pPr>
        <w:numPr>
          <w:ilvl w:val="0"/>
          <w:numId w:val="1"/>
        </w:numPr>
        <w:adjustRightInd w:val="0"/>
        <w:spacing w:line="500" w:lineRule="exact"/>
        <w:ind w:firstLine="480" w:firstLineChars="200"/>
        <w:rPr>
          <w:rFonts w:hint="eastAsia" w:ascii="宋体" w:hAnsi="宋体" w:eastAsia="宋体" w:cs="宋体"/>
          <w:color w:val="auto"/>
          <w:sz w:val="24"/>
          <w:highlight w:val="none"/>
        </w:rPr>
      </w:pPr>
      <w:bookmarkStart w:id="3" w:name="报名开始时间1"/>
      <w:r>
        <w:rPr>
          <w:rFonts w:hint="eastAsia" w:ascii="宋体" w:hAnsi="宋体" w:eastAsia="宋体" w:cs="宋体"/>
          <w:color w:val="auto"/>
          <w:sz w:val="24"/>
          <w:highlight w:val="none"/>
        </w:rPr>
        <w:t>获取采购文件时间:2025年</w:t>
      </w:r>
      <w:r>
        <w:rPr>
          <w:rFonts w:hint="eastAsia" w:ascii="宋体" w:hAnsi="宋体" w:eastAsia="宋体" w:cs="宋体"/>
          <w:color w:val="auto"/>
          <w:sz w:val="24"/>
          <w:highlight w:val="none"/>
          <w:lang w:val="en-US" w:eastAsia="zh-CN"/>
        </w:rPr>
        <w:t>7</w:t>
      </w:r>
      <w:bookmarkEnd w:id="3"/>
      <w:r>
        <w:rPr>
          <w:rFonts w:hint="eastAsia" w:ascii="宋体" w:hAnsi="宋体" w:cs="宋体"/>
          <w:color w:val="auto"/>
          <w:sz w:val="24"/>
          <w:highlight w:val="none"/>
          <w:lang w:val="en-US" w:eastAsia="zh-CN"/>
        </w:rPr>
        <w:t>月31</w:t>
      </w:r>
      <w:r>
        <w:rPr>
          <w:rFonts w:hint="eastAsia" w:ascii="宋体" w:hAnsi="宋体" w:eastAsia="宋体" w:cs="宋体"/>
          <w:color w:val="auto"/>
          <w:sz w:val="24"/>
          <w:highlight w:val="none"/>
        </w:rPr>
        <w:t>日09 :30之前获取。</w:t>
      </w:r>
    </w:p>
    <w:p w14:paraId="222D523B">
      <w:pPr>
        <w:numPr>
          <w:ilvl w:val="0"/>
          <w:numId w:val="1"/>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获取采购文件方式：供应商登陆乐采云平台https://www.lecaiyun.com/，在线申请获取采购文件（进入“项目采购”应用，在获取采购文件菜单中选择项目，申请获取采购文件）。</w:t>
      </w:r>
    </w:p>
    <w:p w14:paraId="11495B11">
      <w:pPr>
        <w:numPr>
          <w:ilvl w:val="0"/>
          <w:numId w:val="1"/>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提示：</w:t>
      </w:r>
    </w:p>
    <w:p w14:paraId="07ADB62D">
      <w:pPr>
        <w:numPr>
          <w:ilvl w:val="0"/>
          <w:numId w:val="2"/>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将拒绝接受未获取采购文件供应商的投标文件。</w:t>
      </w:r>
    </w:p>
    <w:p w14:paraId="20A7F3F1">
      <w:pPr>
        <w:numPr>
          <w:ilvl w:val="0"/>
          <w:numId w:val="2"/>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招标文件及更正补充公告请自行登录浙江政府采购网或绍兴市上虞区公共资源交易中心网站，在采购公告页面中下载。</w:t>
      </w:r>
    </w:p>
    <w:p w14:paraId="436F31B8">
      <w:pPr>
        <w:adjustRightIn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六、投标与开标注意事项：</w:t>
      </w:r>
    </w:p>
    <w:p w14:paraId="7F168933">
      <w:pPr>
        <w:numPr>
          <w:ilvl w:val="0"/>
          <w:numId w:val="3"/>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网上投标</w:t>
      </w:r>
      <w:r>
        <w:rPr>
          <w:rFonts w:hint="eastAsia" w:ascii="宋体" w:hAnsi="宋体" w:eastAsia="宋体" w:cs="宋体"/>
          <w:color w:val="auto"/>
          <w:sz w:val="24"/>
          <w:highlight w:val="none"/>
        </w:rPr>
        <w:t>，采用电子投标文件，若供应商参与投标，自行承担投标一切费用。</w:t>
      </w:r>
    </w:p>
    <w:p w14:paraId="5528CD2B">
      <w:pPr>
        <w:numPr>
          <w:ilvl w:val="0"/>
          <w:numId w:val="3"/>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5A31FAE9">
      <w:pPr>
        <w:autoSpaceDE w:val="0"/>
        <w:autoSpaceDN w:val="0"/>
        <w:spacing w:line="500" w:lineRule="exact"/>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供应商将乐采云电子交易客户端下载、安装完成后，可通过账号密码或CA登录客户端进行投标文件制作。在使用乐采云投标客户端时，建议使用WIN7及以上操作系统。</w:t>
      </w:r>
    </w:p>
    <w:p w14:paraId="5E4E4404">
      <w:pPr>
        <w:autoSpaceDE w:val="0"/>
        <w:autoSpaceDN w:val="0"/>
        <w:spacing w:line="500" w:lineRule="exact"/>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注：供应商先要申领CA，取得CA后需要在乐采云平台进行绑定，CA相关操作可参考《CA管理学习专题》。完成CA数字证书办理在资料齐全的情况下预计7个工作日左右，建议供应商获取招标文件后立即办理。</w:t>
      </w:r>
    </w:p>
    <w:p w14:paraId="51DB4FE1">
      <w:pPr>
        <w:adjustRightInd w:val="0"/>
        <w:spacing w:line="500" w:lineRule="exact"/>
        <w:ind w:left="42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《CA管理学习专题》：</w:t>
      </w:r>
    </w:p>
    <w:p w14:paraId="0A62AB1D">
      <w:pPr>
        <w:adjustRightInd w:val="0"/>
        <w:spacing w:line="500" w:lineRule="exact"/>
        <w:ind w:left="42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https://edu.zcygov.cn/luban/ca?utm=web-government-front.380aac0a.0.0.fc2b6aa0b6e211ebbdb0dd007730dd44</w:t>
      </w:r>
    </w:p>
    <w:p w14:paraId="2E35E8DA">
      <w:pPr>
        <w:adjustRightInd w:val="0"/>
        <w:spacing w:line="500" w:lineRule="exact"/>
        <w:ind w:left="42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《CA驱动和申领流程》:</w:t>
      </w:r>
    </w:p>
    <w:p w14:paraId="4FF12D46">
      <w:pPr>
        <w:adjustRightInd w:val="0"/>
        <w:spacing w:line="50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1"/>
          <w:highlight w:val="none"/>
        </w:rPr>
        <w:t>http://zfcg.czt.zj.gov.cn/bidClientTemplate/2019-05-27/12945.html</w:t>
      </w:r>
      <w:r>
        <w:rPr>
          <w:rFonts w:hint="eastAsia" w:ascii="宋体" w:hAnsi="宋体" w:eastAsia="宋体" w:cs="宋体"/>
          <w:color w:val="auto"/>
          <w:sz w:val="24"/>
          <w:szCs w:val="21"/>
          <w:highlight w:val="none"/>
        </w:rPr>
        <w:fldChar w:fldCharType="end"/>
      </w:r>
    </w:p>
    <w:p w14:paraId="48ECC274">
      <w:pPr>
        <w:numPr>
          <w:ilvl w:val="0"/>
          <w:numId w:val="3"/>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投标文件制作：</w:t>
      </w:r>
    </w:p>
    <w:p w14:paraId="0ED26744">
      <w:pPr>
        <w:numPr>
          <w:ilvl w:val="0"/>
          <w:numId w:val="4"/>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应按照本项目招标文件和乐采云平台的要求编制、加密并递交投标文件。供应商在使用系统进行投标的过程中遇到涉及平台使用的任何问题，可致电乐采云平台技术支持热线咨询，联系方式：95763。</w:t>
      </w:r>
    </w:p>
    <w:p w14:paraId="3F641B2D">
      <w:pPr>
        <w:numPr>
          <w:ilvl w:val="0"/>
          <w:numId w:val="4"/>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投标人通过“乐采云”平台电子投标工具制作投标文件。</w:t>
      </w:r>
    </w:p>
    <w:p w14:paraId="76D123D7">
      <w:pPr>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《电子投标工具》：</w:t>
      </w:r>
    </w:p>
    <w:p w14:paraId="3E956419">
      <w:pPr>
        <w:adjustRightInd w:val="0"/>
        <w:spacing w:line="500" w:lineRule="exact"/>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http://zfcg.czt.zj.gov.cn/bidClientTemplate/2019-09-24/12975.html</w:t>
      </w:r>
      <w:r>
        <w:rPr>
          <w:rFonts w:hint="eastAsia" w:ascii="宋体" w:hAnsi="宋体" w:eastAsia="宋体" w:cs="宋体"/>
          <w:color w:val="auto"/>
          <w:sz w:val="24"/>
          <w:highlight w:val="none"/>
        </w:rPr>
        <w:fldChar w:fldCharType="end"/>
      </w:r>
    </w:p>
    <w:p w14:paraId="4638E296">
      <w:pPr>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《供应商-国企采购项目电子交易操作指南》：(需登录账号后查看)</w:t>
      </w:r>
    </w:p>
    <w:p w14:paraId="4D1A76CD">
      <w:pPr>
        <w:adjustRightInd w:val="0"/>
        <w:spacing w:line="500" w:lineRule="exact"/>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https://service.zcygov.cn/#/knowledges/tree?tag=AG1DtGwBFdiHxlNdhY0r</w:t>
      </w:r>
      <w:r>
        <w:rPr>
          <w:rFonts w:hint="eastAsia" w:ascii="宋体" w:hAnsi="宋体" w:eastAsia="宋体" w:cs="宋体"/>
          <w:color w:val="auto"/>
          <w:sz w:val="24"/>
          <w:highlight w:val="none"/>
        </w:rPr>
        <w:fldChar w:fldCharType="end"/>
      </w:r>
    </w:p>
    <w:p w14:paraId="7DA9D544">
      <w:pPr>
        <w:autoSpaceDE w:val="0"/>
        <w:autoSpaceDN w:val="0"/>
        <w:spacing w:line="500" w:lineRule="exact"/>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供应商在法定质疑期内应一次性提出针对同一采购程序环节的质疑。</w:t>
      </w:r>
    </w:p>
    <w:p w14:paraId="498ED588">
      <w:pPr>
        <w:autoSpaceDE w:val="0"/>
        <w:autoSpaceDN w:val="0"/>
        <w:spacing w:line="500" w:lineRule="exact"/>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5.投标人可指派授权代表递交备份文件，授权代表递交备份文件需携带法定代表人授权书原件，于投标截止时间前到达开标地点递交。</w:t>
      </w:r>
    </w:p>
    <w:p w14:paraId="3A033044">
      <w:pPr>
        <w:adjustRightInd w:val="0"/>
        <w:spacing w:line="50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6.特别提醒</w:t>
      </w:r>
    </w:p>
    <w:p w14:paraId="4B683A83">
      <w:pPr>
        <w:numPr>
          <w:ilvl w:val="0"/>
          <w:numId w:val="5"/>
        </w:num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单位负责人为同一人或者存在直接控股、管理关系的不同供应商，不得参加同一合同项下的国企采购活动。</w:t>
      </w:r>
    </w:p>
    <w:p w14:paraId="27DBB2E8">
      <w:pPr>
        <w:numPr>
          <w:ilvl w:val="0"/>
          <w:numId w:val="5"/>
        </w:numPr>
        <w:adjustRightIn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除单一来源采购项目外，为采购项目提供整体设计、规范编制或者项目管理、监理、检测等服务的供应商，不得再参加该采购项目的其他采购活动。</w:t>
      </w:r>
    </w:p>
    <w:p w14:paraId="00AC64D8">
      <w:pPr>
        <w:adjustRightInd w:val="0"/>
        <w:spacing w:line="500" w:lineRule="exact"/>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七、投标截止时间及要求：</w:t>
      </w:r>
      <w:r>
        <w:rPr>
          <w:rFonts w:hint="eastAsia" w:ascii="宋体" w:hAnsi="宋体" w:eastAsia="宋体" w:cs="宋体"/>
          <w:color w:val="auto"/>
          <w:sz w:val="24"/>
          <w:highlight w:val="none"/>
          <w:u w:val="single"/>
        </w:rPr>
        <w:t xml:space="preserve">2025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分整</w:t>
      </w:r>
      <w:r>
        <w:rPr>
          <w:rFonts w:hint="eastAsia" w:ascii="宋体" w:hAnsi="宋体" w:eastAsia="宋体" w:cs="宋体"/>
          <w:bCs/>
          <w:color w:val="auto"/>
          <w:kern w:val="0"/>
          <w:sz w:val="24"/>
          <w:highlight w:val="none"/>
        </w:rPr>
        <w:t>之前将电子投标文件上传到“乐采云”平台。</w:t>
      </w:r>
    </w:p>
    <w:p w14:paraId="35863188">
      <w:pPr>
        <w:adjustRightInd w:val="0"/>
        <w:spacing w:line="5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八、开标时间及地点：</w:t>
      </w:r>
      <w:bookmarkStart w:id="4" w:name="B30_开标地点"/>
      <w:r>
        <w:rPr>
          <w:rFonts w:hint="eastAsia" w:ascii="宋体" w:hAnsi="宋体" w:eastAsia="宋体" w:cs="宋体"/>
          <w:color w:val="auto"/>
          <w:sz w:val="24"/>
          <w:highlight w:val="none"/>
          <w:u w:val="single"/>
        </w:rPr>
        <w:t xml:space="preserve">2025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31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分整在</w:t>
      </w:r>
      <w:r>
        <w:rPr>
          <w:rFonts w:hint="eastAsia" w:ascii="宋体" w:hAnsi="宋体" w:eastAsia="宋体" w:cs="宋体"/>
          <w:color w:val="auto"/>
          <w:sz w:val="24"/>
          <w:highlight w:val="none"/>
          <w:lang w:eastAsia="zh-CN"/>
        </w:rPr>
        <w:t>浙江省房地产管理咨询有限公司</w:t>
      </w:r>
      <w:r>
        <w:rPr>
          <w:rFonts w:hint="eastAsia" w:ascii="宋体" w:hAnsi="宋体" w:eastAsia="宋体" w:cs="宋体"/>
          <w:color w:val="auto"/>
          <w:sz w:val="24"/>
          <w:highlight w:val="none"/>
        </w:rPr>
        <w:t>开标室开标。</w:t>
      </w:r>
      <w:bookmarkEnd w:id="4"/>
    </w:p>
    <w:p w14:paraId="4CA288C5">
      <w:pPr>
        <w:spacing w:line="500" w:lineRule="exact"/>
        <w:ind w:firstLine="480" w:firstLineChars="200"/>
        <w:rPr>
          <w:rFonts w:hint="eastAsia" w:ascii="宋体" w:hAnsi="宋体" w:eastAsia="宋体" w:cs="宋体"/>
          <w:bCs/>
          <w:strike/>
          <w:color w:val="auto"/>
          <w:kern w:val="0"/>
          <w:sz w:val="24"/>
          <w:highlight w:val="none"/>
        </w:rPr>
      </w:pPr>
      <w:r>
        <w:rPr>
          <w:rFonts w:hint="eastAsia" w:ascii="宋体" w:hAnsi="宋体" w:eastAsia="宋体" w:cs="宋体"/>
          <w:color w:val="auto"/>
          <w:sz w:val="24"/>
          <w:highlight w:val="none"/>
        </w:rPr>
        <w:t>开标时间后30分钟内（当日10 :00前）供应商可以登录“乐采云”平台，用“项目采购-开标评标”功能进行解密投标文件。若供应商在规定时间内（当日10 :00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14:paraId="7BC55647">
      <w:p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本次开标（不）提供现场视频。</w:t>
      </w:r>
    </w:p>
    <w:p w14:paraId="40D184C9">
      <w:pPr>
        <w:adjustRightInd w:val="0"/>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九、 投标保证金：</w:t>
      </w:r>
      <w:r>
        <w:rPr>
          <w:rFonts w:hint="eastAsia" w:ascii="宋体" w:hAnsi="宋体" w:eastAsia="宋体" w:cs="宋体"/>
          <w:color w:val="auto"/>
          <w:sz w:val="24"/>
          <w:highlight w:val="none"/>
        </w:rPr>
        <w:t>无</w:t>
      </w:r>
    </w:p>
    <w:p w14:paraId="240038ED">
      <w:pPr>
        <w:adjustRightInd w:val="0"/>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十、公告期限：</w:t>
      </w:r>
      <w:r>
        <w:rPr>
          <w:rFonts w:hint="eastAsia" w:ascii="宋体" w:hAnsi="宋体" w:eastAsia="宋体" w:cs="宋体"/>
          <w:color w:val="auto"/>
          <w:sz w:val="24"/>
          <w:highlight w:val="none"/>
        </w:rPr>
        <w:t>5个工作日</w:t>
      </w:r>
    </w:p>
    <w:p w14:paraId="28E31CA6">
      <w:pPr>
        <w:adjustRightIn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十一、联系方式：</w:t>
      </w:r>
    </w:p>
    <w:p w14:paraId="565C954A">
      <w:pPr>
        <w:adjustRightInd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1、采购代理机构名称：</w:t>
      </w:r>
      <w:r>
        <w:rPr>
          <w:rFonts w:hint="eastAsia" w:ascii="宋体" w:hAnsi="宋体" w:eastAsia="宋体" w:cs="宋体"/>
          <w:color w:val="auto"/>
          <w:sz w:val="24"/>
          <w:highlight w:val="none"/>
          <w:lang w:eastAsia="zh-CN"/>
        </w:rPr>
        <w:t>浙江省房地产管理咨询有限公司</w:t>
      </w:r>
    </w:p>
    <w:p w14:paraId="686C2D55">
      <w:pPr>
        <w:adjustRightInd w:val="0"/>
        <w:spacing w:line="500" w:lineRule="exact"/>
        <w:ind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董女士</w:t>
      </w:r>
    </w:p>
    <w:p w14:paraId="3AC26F33">
      <w:pPr>
        <w:adjustRightInd w:val="0"/>
        <w:spacing w:line="500" w:lineRule="exact"/>
        <w:ind w:firstLine="840" w:firstLine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17706562887</w:t>
      </w:r>
    </w:p>
    <w:p w14:paraId="14C31E77">
      <w:pPr>
        <w:adjustRightInd w:val="0"/>
        <w:spacing w:line="500" w:lineRule="exact"/>
        <w:ind w:firstLine="840" w:firstLineChars="350"/>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lang w:eastAsia="zh-CN"/>
        </w:rPr>
        <w:t>上虞区百官街道城北颖泰大厦9楼</w:t>
      </w:r>
    </w:p>
    <w:p w14:paraId="0F961A8B">
      <w:p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2、采购人名称：绍兴市上虞区水环环保科技有限公司</w:t>
      </w:r>
    </w:p>
    <w:p w14:paraId="1A2EB23B">
      <w:pPr>
        <w:adjustRightInd w:val="0"/>
        <w:spacing w:line="50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联系人：钱先生</w:t>
      </w:r>
    </w:p>
    <w:p w14:paraId="47E8DCF4">
      <w:pPr>
        <w:adjustRightInd w:val="0"/>
        <w:spacing w:line="50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联系电话：13567540669 </w:t>
      </w:r>
    </w:p>
    <w:p w14:paraId="3BF37A6E">
      <w:pPr>
        <w:pStyle w:val="2"/>
        <w:ind w:left="0" w:leftChars="0" w:firstLine="720" w:firstLineChars="300"/>
        <w:rPr>
          <w:rFonts w:hint="eastAsia" w:ascii="宋体" w:hAnsi="宋体" w:eastAsia="宋体" w:cs="宋体"/>
          <w:color w:val="auto"/>
          <w:sz w:val="24"/>
          <w:highlight w:val="none"/>
        </w:rPr>
      </w:pPr>
    </w:p>
    <w:p w14:paraId="7E5CE89C">
      <w:pPr>
        <w:pStyle w:val="2"/>
        <w:ind w:left="0" w:leftChars="0" w:firstLine="720" w:firstLineChars="300"/>
        <w:rPr>
          <w:rFonts w:hint="eastAsia" w:ascii="宋体" w:hAnsi="宋体" w:eastAsia="宋体" w:cs="宋体"/>
          <w:color w:val="auto"/>
          <w:sz w:val="24"/>
          <w:highlight w:val="none"/>
        </w:rPr>
      </w:pPr>
    </w:p>
    <w:p w14:paraId="5C116E45">
      <w:pPr>
        <w:pStyle w:val="2"/>
        <w:ind w:left="0" w:leftChars="0" w:firstLine="720" w:firstLineChars="300"/>
        <w:rPr>
          <w:rFonts w:hint="eastAsia" w:ascii="宋体" w:hAnsi="宋体" w:eastAsia="宋体" w:cs="宋体"/>
          <w:color w:val="auto"/>
          <w:sz w:val="24"/>
          <w:highlight w:val="none"/>
        </w:rPr>
      </w:pPr>
    </w:p>
    <w:p w14:paraId="1A549EA2">
      <w:pPr>
        <w:pStyle w:val="2"/>
        <w:ind w:left="0" w:leftChars="0" w:firstLine="720" w:firstLineChars="300"/>
        <w:rPr>
          <w:rFonts w:hint="eastAsia" w:ascii="宋体" w:hAnsi="宋体" w:eastAsia="宋体" w:cs="宋体"/>
          <w:color w:val="auto"/>
          <w:sz w:val="24"/>
          <w:highlight w:val="none"/>
        </w:rPr>
      </w:pPr>
    </w:p>
    <w:p w14:paraId="011FD90E">
      <w:pPr>
        <w:pStyle w:val="2"/>
        <w:ind w:left="0" w:leftChars="0" w:firstLine="720" w:firstLineChars="300"/>
        <w:rPr>
          <w:rFonts w:hint="eastAsia" w:ascii="宋体" w:hAnsi="宋体" w:eastAsia="宋体" w:cs="宋体"/>
          <w:color w:val="auto"/>
          <w:sz w:val="24"/>
          <w:highlight w:val="none"/>
        </w:rPr>
      </w:pPr>
    </w:p>
    <w:p w14:paraId="54CF13D6">
      <w:pPr>
        <w:pStyle w:val="2"/>
        <w:ind w:left="0" w:leftChars="0" w:firstLine="720" w:firstLineChars="300"/>
        <w:rPr>
          <w:rFonts w:hint="eastAsia" w:ascii="宋体" w:hAnsi="宋体" w:eastAsia="宋体" w:cs="宋体"/>
          <w:color w:val="auto"/>
          <w:sz w:val="24"/>
          <w:highlight w:val="none"/>
        </w:rPr>
      </w:pPr>
    </w:p>
    <w:p w14:paraId="07B1142D">
      <w:pPr>
        <w:pStyle w:val="2"/>
        <w:ind w:left="0" w:leftChars="0" w:firstLine="720" w:firstLineChars="300"/>
        <w:rPr>
          <w:rFonts w:hint="eastAsia" w:ascii="宋体" w:hAnsi="宋体" w:eastAsia="宋体" w:cs="宋体"/>
          <w:color w:val="auto"/>
          <w:sz w:val="24"/>
          <w:highlight w:val="none"/>
        </w:rPr>
      </w:pPr>
    </w:p>
    <w:p w14:paraId="3F7AAD2F">
      <w:pPr>
        <w:pStyle w:val="2"/>
        <w:ind w:left="0" w:leftChars="0" w:firstLine="720" w:firstLineChars="300"/>
        <w:rPr>
          <w:rFonts w:hint="eastAsia" w:ascii="宋体" w:hAnsi="宋体" w:eastAsia="宋体" w:cs="宋体"/>
          <w:color w:val="auto"/>
          <w:sz w:val="24"/>
          <w:highlight w:val="none"/>
        </w:rPr>
      </w:pPr>
    </w:p>
    <w:p w14:paraId="544BA67C">
      <w:pPr>
        <w:pStyle w:val="2"/>
        <w:ind w:left="0" w:leftChars="0" w:firstLine="720" w:firstLineChars="300"/>
        <w:rPr>
          <w:rFonts w:hint="eastAsia" w:ascii="宋体" w:hAnsi="宋体" w:eastAsia="宋体" w:cs="宋体"/>
          <w:color w:val="auto"/>
          <w:sz w:val="24"/>
          <w:highlight w:val="none"/>
        </w:rPr>
      </w:pPr>
    </w:p>
    <w:p w14:paraId="5A64513B">
      <w:pPr>
        <w:pStyle w:val="2"/>
        <w:ind w:left="0" w:leftChars="0" w:firstLine="720" w:firstLineChars="300"/>
        <w:rPr>
          <w:rFonts w:hint="eastAsia" w:ascii="宋体" w:hAnsi="宋体" w:eastAsia="宋体" w:cs="宋体"/>
          <w:color w:val="auto"/>
          <w:sz w:val="24"/>
          <w:highlight w:val="none"/>
        </w:rPr>
      </w:pPr>
    </w:p>
    <w:p w14:paraId="7EEF2237">
      <w:pPr>
        <w:pStyle w:val="2"/>
        <w:ind w:left="0" w:leftChars="0" w:firstLine="720" w:firstLineChars="300"/>
        <w:rPr>
          <w:rFonts w:hint="eastAsia" w:ascii="宋体" w:hAnsi="宋体" w:eastAsia="宋体" w:cs="宋体"/>
          <w:color w:val="auto"/>
          <w:sz w:val="24"/>
          <w:highlight w:val="none"/>
        </w:rPr>
      </w:pPr>
    </w:p>
    <w:p w14:paraId="4634A18D">
      <w:pPr>
        <w:pStyle w:val="2"/>
        <w:ind w:left="0" w:leftChars="0" w:firstLine="720" w:firstLineChars="300"/>
        <w:rPr>
          <w:rFonts w:hint="eastAsia" w:ascii="宋体" w:hAnsi="宋体" w:eastAsia="宋体" w:cs="宋体"/>
          <w:color w:val="auto"/>
          <w:sz w:val="24"/>
          <w:highlight w:val="none"/>
        </w:rPr>
      </w:pPr>
    </w:p>
    <w:p w14:paraId="5C2F6735">
      <w:pPr>
        <w:pStyle w:val="2"/>
        <w:ind w:left="0" w:leftChars="0" w:firstLine="720" w:firstLineChars="300"/>
        <w:rPr>
          <w:rFonts w:hint="eastAsia" w:ascii="宋体" w:hAnsi="宋体" w:eastAsia="宋体" w:cs="宋体"/>
          <w:color w:val="auto"/>
          <w:sz w:val="24"/>
          <w:highlight w:val="none"/>
        </w:rPr>
      </w:pPr>
    </w:p>
    <w:p w14:paraId="3455C16C">
      <w:pPr>
        <w:pStyle w:val="2"/>
        <w:ind w:left="0" w:leftChars="0" w:firstLine="720" w:firstLineChars="300"/>
        <w:rPr>
          <w:rFonts w:hint="eastAsia" w:ascii="宋体" w:hAnsi="宋体" w:eastAsia="宋体" w:cs="宋体"/>
          <w:color w:val="auto"/>
          <w:sz w:val="24"/>
          <w:highlight w:val="none"/>
        </w:rPr>
      </w:pPr>
    </w:p>
    <w:p w14:paraId="4525876F">
      <w:pPr>
        <w:pStyle w:val="2"/>
        <w:ind w:left="0" w:leftChars="0" w:firstLine="720" w:firstLineChars="300"/>
        <w:rPr>
          <w:rFonts w:hint="eastAsia" w:ascii="宋体" w:hAnsi="宋体" w:eastAsia="宋体" w:cs="宋体"/>
          <w:color w:val="auto"/>
          <w:sz w:val="24"/>
          <w:highlight w:val="none"/>
        </w:rPr>
      </w:pPr>
    </w:p>
    <w:p w14:paraId="2CFF54F9">
      <w:pPr>
        <w:pStyle w:val="2"/>
        <w:ind w:left="0" w:leftChars="0" w:firstLine="720" w:firstLineChars="300"/>
        <w:rPr>
          <w:rFonts w:hint="eastAsia" w:ascii="宋体" w:hAnsi="宋体" w:eastAsia="宋体" w:cs="宋体"/>
          <w:color w:val="auto"/>
          <w:sz w:val="24"/>
          <w:highlight w:val="none"/>
        </w:rPr>
      </w:pPr>
    </w:p>
    <w:p w14:paraId="7C4CFA37">
      <w:pPr>
        <w:pStyle w:val="2"/>
        <w:ind w:left="0" w:leftChars="0" w:firstLine="720" w:firstLineChars="300"/>
        <w:rPr>
          <w:rFonts w:hint="eastAsia" w:ascii="宋体" w:hAnsi="宋体" w:eastAsia="宋体" w:cs="宋体"/>
          <w:color w:val="auto"/>
          <w:sz w:val="24"/>
          <w:highlight w:val="none"/>
        </w:rPr>
      </w:pPr>
    </w:p>
    <w:p w14:paraId="5212CC30">
      <w:pPr>
        <w:pStyle w:val="2"/>
        <w:ind w:left="0" w:leftChars="0" w:firstLine="720" w:firstLineChars="300"/>
        <w:rPr>
          <w:rFonts w:hint="eastAsia" w:ascii="宋体" w:hAnsi="宋体" w:eastAsia="宋体" w:cs="宋体"/>
          <w:color w:val="auto"/>
          <w:sz w:val="24"/>
          <w:highlight w:val="none"/>
        </w:rPr>
      </w:pPr>
    </w:p>
    <w:p w14:paraId="7D7C2B8C">
      <w:pPr>
        <w:pStyle w:val="2"/>
        <w:ind w:left="0" w:leftChars="0" w:firstLine="720" w:firstLineChars="300"/>
        <w:rPr>
          <w:rFonts w:hint="eastAsia" w:ascii="宋体" w:hAnsi="宋体" w:eastAsia="宋体" w:cs="宋体"/>
          <w:color w:val="auto"/>
          <w:sz w:val="24"/>
          <w:highlight w:val="none"/>
        </w:rPr>
      </w:pPr>
    </w:p>
    <w:p w14:paraId="78431BED">
      <w:pPr>
        <w:pStyle w:val="2"/>
        <w:ind w:left="0" w:leftChars="0" w:firstLine="720" w:firstLineChars="300"/>
        <w:rPr>
          <w:rFonts w:hint="eastAsia" w:ascii="宋体" w:hAnsi="宋体" w:eastAsia="宋体" w:cs="宋体"/>
          <w:color w:val="auto"/>
          <w:sz w:val="24"/>
          <w:highlight w:val="none"/>
        </w:rPr>
      </w:pPr>
    </w:p>
    <w:p w14:paraId="5E368E6E">
      <w:pPr>
        <w:pStyle w:val="2"/>
        <w:ind w:left="0" w:leftChars="0" w:firstLine="720" w:firstLineChars="300"/>
        <w:rPr>
          <w:rFonts w:hint="eastAsia" w:ascii="宋体" w:hAnsi="宋体" w:eastAsia="宋体" w:cs="宋体"/>
          <w:color w:val="auto"/>
          <w:sz w:val="24"/>
          <w:highlight w:val="none"/>
        </w:rPr>
      </w:pPr>
    </w:p>
    <w:p w14:paraId="45E7A435">
      <w:pPr>
        <w:spacing w:line="360" w:lineRule="auto"/>
        <w:jc w:val="center"/>
        <w:outlineLvl w:val="0"/>
        <w:rPr>
          <w:rFonts w:hint="eastAsia" w:ascii="宋体" w:hAnsi="宋体" w:eastAsia="宋体" w:cs="宋体"/>
          <w:b/>
          <w:color w:val="auto"/>
          <w:sz w:val="36"/>
          <w:szCs w:val="20"/>
          <w:highlight w:val="none"/>
        </w:rPr>
      </w:pPr>
      <w:bookmarkStart w:id="5" w:name="_Toc165741205"/>
      <w:bookmarkStart w:id="6" w:name="_Toc25379"/>
      <w:bookmarkStart w:id="7" w:name="_Toc167700912"/>
      <w:r>
        <w:rPr>
          <w:rFonts w:hint="eastAsia" w:ascii="宋体" w:hAnsi="宋体" w:eastAsia="宋体" w:cs="宋体"/>
          <w:b/>
          <w:color w:val="auto"/>
          <w:sz w:val="36"/>
          <w:szCs w:val="20"/>
          <w:highlight w:val="none"/>
        </w:rPr>
        <w:t>第二部分 投标须知</w:t>
      </w:r>
      <w:bookmarkEnd w:id="5"/>
      <w:bookmarkEnd w:id="6"/>
      <w:bookmarkEnd w:id="7"/>
    </w:p>
    <w:p w14:paraId="548E7C4B">
      <w:pPr>
        <w:pStyle w:val="2"/>
        <w:ind w:left="0" w:leftChars="0" w:firstLine="904" w:firstLineChars="300"/>
        <w:jc w:val="center"/>
        <w:rPr>
          <w:rFonts w:hint="eastAsia" w:ascii="宋体" w:hAnsi="宋体" w:eastAsia="宋体" w:cs="宋体"/>
          <w:b/>
          <w:color w:val="auto"/>
          <w:sz w:val="24"/>
          <w:highlight w:val="none"/>
        </w:rPr>
      </w:pPr>
      <w:bookmarkStart w:id="8" w:name="_Toc97735520"/>
      <w:bookmarkStart w:id="9" w:name="_Toc32451"/>
      <w:bookmarkStart w:id="10" w:name="_Toc165741206"/>
      <w:r>
        <w:rPr>
          <w:rFonts w:hint="eastAsia" w:ascii="宋体" w:hAnsi="宋体" w:eastAsia="宋体" w:cs="宋体"/>
          <w:b/>
          <w:snapToGrid w:val="0"/>
          <w:color w:val="auto"/>
          <w:kern w:val="0"/>
          <w:sz w:val="30"/>
          <w:szCs w:val="30"/>
          <w:highlight w:val="none"/>
        </w:rPr>
        <w:t>前附表</w:t>
      </w:r>
      <w:bookmarkEnd w:id="8"/>
      <w:bookmarkEnd w:id="9"/>
      <w:bookmarkEnd w:id="10"/>
    </w:p>
    <w:tbl>
      <w:tblPr>
        <w:tblStyle w:val="18"/>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0D2C8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14:paraId="609A8307">
            <w:pPr>
              <w:snapToGrid w:val="0"/>
              <w:spacing w:line="360" w:lineRule="exact"/>
              <w:jc w:val="center"/>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序号</w:t>
            </w:r>
          </w:p>
        </w:tc>
        <w:tc>
          <w:tcPr>
            <w:tcW w:w="1800" w:type="dxa"/>
            <w:vAlign w:val="center"/>
          </w:tcPr>
          <w:p w14:paraId="52362F58">
            <w:pPr>
              <w:snapToGrid w:val="0"/>
              <w:spacing w:line="360" w:lineRule="exact"/>
              <w:jc w:val="center"/>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项目</w:t>
            </w:r>
          </w:p>
        </w:tc>
        <w:tc>
          <w:tcPr>
            <w:tcW w:w="6682" w:type="dxa"/>
            <w:vAlign w:val="center"/>
          </w:tcPr>
          <w:p w14:paraId="775E9BF4">
            <w:pPr>
              <w:snapToGrid w:val="0"/>
              <w:spacing w:line="360" w:lineRule="exact"/>
              <w:jc w:val="center"/>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内容</w:t>
            </w:r>
          </w:p>
        </w:tc>
      </w:tr>
      <w:tr w14:paraId="4D078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3E5A6DE">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1800" w:type="dxa"/>
            <w:vAlign w:val="center"/>
          </w:tcPr>
          <w:p w14:paraId="5043ECC0">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6682" w:type="dxa"/>
            <w:vAlign w:val="center"/>
          </w:tcPr>
          <w:p w14:paraId="6F61BAD4">
            <w:pPr>
              <w:snapToGrid w:val="0"/>
              <w:spacing w:line="360" w:lineRule="exact"/>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color w:val="auto"/>
                <w:szCs w:val="21"/>
                <w:highlight w:val="none"/>
                <w:lang w:eastAsia="zh-CN"/>
              </w:rPr>
              <w:t>绍兴市上虞区供水有限公司智水家园管理平台采购项目（第二次）</w:t>
            </w:r>
          </w:p>
        </w:tc>
      </w:tr>
      <w:tr w14:paraId="75068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66C285">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1800" w:type="dxa"/>
            <w:vAlign w:val="center"/>
          </w:tcPr>
          <w:p w14:paraId="5AC13A97">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项目实施时间</w:t>
            </w:r>
          </w:p>
        </w:tc>
        <w:tc>
          <w:tcPr>
            <w:tcW w:w="6682" w:type="dxa"/>
            <w:vAlign w:val="center"/>
          </w:tcPr>
          <w:p w14:paraId="1B0F3EAF">
            <w:pPr>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合同签订之日起至2025年11月30日前完成到货、安装及调试</w:t>
            </w:r>
          </w:p>
        </w:tc>
      </w:tr>
      <w:tr w14:paraId="744DF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648" w:type="dxa"/>
            <w:vAlign w:val="center"/>
          </w:tcPr>
          <w:p w14:paraId="2F2F0866">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1800" w:type="dxa"/>
            <w:vAlign w:val="center"/>
          </w:tcPr>
          <w:p w14:paraId="3DB88FAB">
            <w:pPr>
              <w:snapToGrid w:val="0"/>
              <w:spacing w:line="360" w:lineRule="exact"/>
              <w:jc w:val="center"/>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最高限价</w:t>
            </w:r>
          </w:p>
        </w:tc>
        <w:tc>
          <w:tcPr>
            <w:tcW w:w="6682" w:type="dxa"/>
            <w:vAlign w:val="center"/>
          </w:tcPr>
          <w:p w14:paraId="3AF3E0FC">
            <w:pPr>
              <w:snapToGrid w:val="0"/>
              <w:spacing w:line="360" w:lineRule="exact"/>
              <w:ind w:firstLine="422" w:firstLineChars="200"/>
              <w:rPr>
                <w:rFonts w:hint="eastAsia" w:ascii="宋体" w:hAnsi="宋体" w:eastAsia="宋体" w:cs="宋体"/>
                <w:b/>
                <w:snapToGrid w:val="0"/>
                <w:color w:val="auto"/>
                <w:kern w:val="0"/>
                <w:szCs w:val="21"/>
                <w:highlight w:val="none"/>
                <w:lang w:eastAsia="zh-CN"/>
              </w:rPr>
            </w:pPr>
            <w:r>
              <w:rPr>
                <w:rFonts w:hint="eastAsia" w:ascii="宋体" w:hAnsi="宋体" w:eastAsia="宋体" w:cs="宋体"/>
                <w:b/>
                <w:color w:val="auto"/>
                <w:szCs w:val="21"/>
                <w:highlight w:val="none"/>
              </w:rPr>
              <w:t>本项目最高限价人民币</w:t>
            </w:r>
            <w:r>
              <w:rPr>
                <w:rFonts w:hint="eastAsia" w:ascii="宋体" w:hAnsi="宋体" w:eastAsia="宋体" w:cs="宋体"/>
                <w:b/>
                <w:color w:val="auto"/>
                <w:szCs w:val="21"/>
                <w:highlight w:val="none"/>
                <w:u w:val="single"/>
                <w:lang w:eastAsia="zh-CN"/>
              </w:rPr>
              <w:t>980000</w:t>
            </w:r>
            <w:r>
              <w:rPr>
                <w:rFonts w:hint="eastAsia" w:ascii="宋体" w:hAnsi="宋体" w:eastAsia="宋体" w:cs="宋体"/>
                <w:b/>
                <w:color w:val="auto"/>
                <w:szCs w:val="21"/>
                <w:highlight w:val="none"/>
              </w:rPr>
              <w:t xml:space="preserve">元 </w:t>
            </w:r>
            <w:r>
              <w:rPr>
                <w:rFonts w:hint="eastAsia" w:ascii="宋体" w:hAnsi="宋体" w:cs="宋体"/>
                <w:b/>
                <w:color w:val="auto"/>
                <w:szCs w:val="21"/>
                <w:highlight w:val="none"/>
                <w:lang w:eastAsia="zh-CN"/>
              </w:rPr>
              <w:t>。</w:t>
            </w:r>
          </w:p>
        </w:tc>
      </w:tr>
      <w:tr w14:paraId="592C6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648" w:type="dxa"/>
            <w:vAlign w:val="center"/>
          </w:tcPr>
          <w:p w14:paraId="7F532723">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4</w:t>
            </w:r>
          </w:p>
        </w:tc>
        <w:tc>
          <w:tcPr>
            <w:tcW w:w="1800" w:type="dxa"/>
            <w:vAlign w:val="center"/>
          </w:tcPr>
          <w:p w14:paraId="7D592A24">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资格审查方式</w:t>
            </w:r>
          </w:p>
        </w:tc>
        <w:tc>
          <w:tcPr>
            <w:tcW w:w="6682" w:type="dxa"/>
            <w:vAlign w:val="center"/>
          </w:tcPr>
          <w:p w14:paraId="7BF18CF8">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资格审查是指开标后，采购人或采购代理机构将依据法律法规和招标文件的规定对投标人的资格进行审查。</w:t>
            </w:r>
          </w:p>
        </w:tc>
      </w:tr>
      <w:tr w14:paraId="753CC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CF372E7">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1800" w:type="dxa"/>
            <w:vAlign w:val="center"/>
          </w:tcPr>
          <w:p w14:paraId="0BD66AB1">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踏勘现场</w:t>
            </w:r>
          </w:p>
        </w:tc>
        <w:tc>
          <w:tcPr>
            <w:tcW w:w="6682" w:type="dxa"/>
            <w:vAlign w:val="center"/>
          </w:tcPr>
          <w:p w14:paraId="28E82925">
            <w:pPr>
              <w:snapToGrid w:val="0"/>
              <w:spacing w:line="360" w:lineRule="exact"/>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本项目不组织现场踏勘</w:t>
            </w:r>
          </w:p>
        </w:tc>
      </w:tr>
      <w:tr w14:paraId="49E87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D52FAA">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1800" w:type="dxa"/>
            <w:vAlign w:val="center"/>
          </w:tcPr>
          <w:p w14:paraId="1D78E86F">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询问</w:t>
            </w:r>
          </w:p>
        </w:tc>
        <w:tc>
          <w:tcPr>
            <w:tcW w:w="6682" w:type="dxa"/>
            <w:vAlign w:val="center"/>
          </w:tcPr>
          <w:p w14:paraId="28B2F8D8">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14:paraId="2504E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6E0C353">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p>
        </w:tc>
        <w:tc>
          <w:tcPr>
            <w:tcW w:w="1800" w:type="dxa"/>
            <w:vAlign w:val="center"/>
          </w:tcPr>
          <w:p w14:paraId="0F1FB24F">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招标文件的澄清与修改</w:t>
            </w:r>
          </w:p>
        </w:tc>
        <w:tc>
          <w:tcPr>
            <w:tcW w:w="6682" w:type="dxa"/>
            <w:vAlign w:val="center"/>
          </w:tcPr>
          <w:p w14:paraId="30BBD775">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4655E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D1395A">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w:t>
            </w:r>
          </w:p>
        </w:tc>
        <w:tc>
          <w:tcPr>
            <w:tcW w:w="1800" w:type="dxa"/>
            <w:vAlign w:val="center"/>
          </w:tcPr>
          <w:p w14:paraId="5B11DC31">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投标文件组成</w:t>
            </w:r>
          </w:p>
        </w:tc>
        <w:tc>
          <w:tcPr>
            <w:tcW w:w="6682" w:type="dxa"/>
            <w:vAlign w:val="center"/>
          </w:tcPr>
          <w:p w14:paraId="4C72410F">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投标人向采购人递交的投标文件由资格文件、资信文件、技术文件、报价文件四部分组成。</w:t>
            </w:r>
          </w:p>
        </w:tc>
      </w:tr>
      <w:tr w14:paraId="6A66F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D505B64">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w:t>
            </w:r>
          </w:p>
        </w:tc>
        <w:tc>
          <w:tcPr>
            <w:tcW w:w="1800" w:type="dxa"/>
            <w:vAlign w:val="center"/>
          </w:tcPr>
          <w:p w14:paraId="18FC49F9">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评标办法</w:t>
            </w:r>
          </w:p>
        </w:tc>
        <w:tc>
          <w:tcPr>
            <w:tcW w:w="6682" w:type="dxa"/>
            <w:vAlign w:val="center"/>
          </w:tcPr>
          <w:p w14:paraId="0469EE65">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综合评分法</w:t>
            </w:r>
          </w:p>
        </w:tc>
      </w:tr>
      <w:tr w14:paraId="4B618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E115944">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w:t>
            </w:r>
          </w:p>
        </w:tc>
        <w:tc>
          <w:tcPr>
            <w:tcW w:w="1800" w:type="dxa"/>
            <w:vAlign w:val="center"/>
          </w:tcPr>
          <w:p w14:paraId="6605C32C">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投标文件递交地址及截止时间</w:t>
            </w:r>
          </w:p>
        </w:tc>
        <w:tc>
          <w:tcPr>
            <w:tcW w:w="6682" w:type="dxa"/>
            <w:vAlign w:val="center"/>
          </w:tcPr>
          <w:p w14:paraId="3FA9363A">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详见招标公告</w:t>
            </w:r>
          </w:p>
        </w:tc>
      </w:tr>
      <w:tr w14:paraId="119CE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1B9DDE">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p>
        </w:tc>
        <w:tc>
          <w:tcPr>
            <w:tcW w:w="1800" w:type="dxa"/>
            <w:vAlign w:val="center"/>
          </w:tcPr>
          <w:p w14:paraId="4F2B3EC4">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开标时间、地点</w:t>
            </w:r>
          </w:p>
        </w:tc>
        <w:tc>
          <w:tcPr>
            <w:tcW w:w="6682" w:type="dxa"/>
            <w:vAlign w:val="center"/>
          </w:tcPr>
          <w:p w14:paraId="0C86C5B3">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开标时间：</w:t>
            </w:r>
            <w:r>
              <w:rPr>
                <w:rFonts w:hint="eastAsia" w:ascii="宋体" w:hAnsi="宋体" w:eastAsia="宋体" w:cs="宋体"/>
                <w:color w:val="auto"/>
                <w:kern w:val="0"/>
                <w:szCs w:val="21"/>
                <w:highlight w:val="none"/>
              </w:rPr>
              <w:t>详见招标公告</w:t>
            </w:r>
          </w:p>
          <w:p w14:paraId="3019783A">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开标地点：</w:t>
            </w:r>
            <w:r>
              <w:rPr>
                <w:rFonts w:hint="eastAsia" w:ascii="宋体" w:hAnsi="宋体" w:eastAsia="宋体" w:cs="宋体"/>
                <w:color w:val="auto"/>
                <w:kern w:val="0"/>
                <w:szCs w:val="21"/>
                <w:highlight w:val="none"/>
              </w:rPr>
              <w:t>详见招标公告</w:t>
            </w:r>
          </w:p>
        </w:tc>
      </w:tr>
      <w:tr w14:paraId="3B504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49C6DAC">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w:t>
            </w:r>
          </w:p>
        </w:tc>
        <w:tc>
          <w:tcPr>
            <w:tcW w:w="1800" w:type="dxa"/>
            <w:vAlign w:val="center"/>
          </w:tcPr>
          <w:p w14:paraId="034AB67F">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投标有效期</w:t>
            </w:r>
          </w:p>
        </w:tc>
        <w:tc>
          <w:tcPr>
            <w:tcW w:w="6682" w:type="dxa"/>
            <w:vAlign w:val="center"/>
          </w:tcPr>
          <w:p w14:paraId="621943EA">
            <w:pPr>
              <w:snapToGrid w:val="0"/>
              <w:spacing w:line="36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投标有效期为从提交投标文件的截止之日起90天。投标人的投标文件中承诺的投标有效期少于招标文件中载明的投标有效期的，投标无效。</w:t>
            </w:r>
          </w:p>
        </w:tc>
      </w:tr>
      <w:tr w14:paraId="30FFF8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72D6B4E">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w:t>
            </w:r>
          </w:p>
        </w:tc>
        <w:tc>
          <w:tcPr>
            <w:tcW w:w="1800" w:type="dxa"/>
            <w:vAlign w:val="center"/>
          </w:tcPr>
          <w:p w14:paraId="33212534">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履约保证金</w:t>
            </w:r>
          </w:p>
        </w:tc>
        <w:tc>
          <w:tcPr>
            <w:tcW w:w="6682" w:type="dxa"/>
            <w:vAlign w:val="center"/>
          </w:tcPr>
          <w:p w14:paraId="4E343CAB">
            <w:pPr>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中标人在收到中标通知书后，需向采购人提供合同总价</w:t>
            </w:r>
            <w:r>
              <w:rPr>
                <w:rFonts w:hint="eastAsia" w:ascii="宋体" w:hAnsi="宋体" w:eastAsia="宋体" w:cs="宋体"/>
                <w:color w:val="auto"/>
                <w:kern w:val="0"/>
                <w:highlight w:val="none"/>
                <w:u w:val="single"/>
              </w:rPr>
              <w:t>　1　</w:t>
            </w:r>
            <w:r>
              <w:rPr>
                <w:rFonts w:hint="eastAsia" w:ascii="宋体" w:hAnsi="宋体" w:eastAsia="宋体" w:cs="宋体"/>
                <w:color w:val="auto"/>
                <w:kern w:val="0"/>
                <w:highlight w:val="none"/>
              </w:rPr>
              <w:t>%的履约保证金，在中标人与采购人签订合同前递交。（投标人应当以支票、汇票、本票或者金融机构、保险公司、担保机构出具的保函等非现金形式提交）。</w:t>
            </w:r>
            <w:r>
              <w:rPr>
                <w:rFonts w:hint="eastAsia" w:ascii="宋体" w:hAnsi="宋体" w:eastAsia="宋体" w:cs="宋体"/>
                <w:snapToGrid w:val="0"/>
                <w:color w:val="auto"/>
                <w:kern w:val="0"/>
                <w:highlight w:val="none"/>
              </w:rPr>
              <w:t>履约保证金在</w:t>
            </w:r>
            <w:r>
              <w:rPr>
                <w:rFonts w:hint="eastAsia" w:ascii="宋体" w:hAnsi="宋体" w:eastAsia="宋体" w:cs="宋体"/>
                <w:snapToGrid w:val="0"/>
                <w:color w:val="auto"/>
                <w:kern w:val="0"/>
                <w:highlight w:val="none"/>
                <w:lang w:val="en-US" w:eastAsia="zh-CN"/>
              </w:rPr>
              <w:t>全部</w:t>
            </w:r>
            <w:r>
              <w:rPr>
                <w:rFonts w:hint="eastAsia" w:ascii="宋体" w:hAnsi="宋体" w:eastAsia="宋体" w:cs="宋体"/>
                <w:snapToGrid w:val="0"/>
                <w:color w:val="auto"/>
                <w:kern w:val="0"/>
                <w:highlight w:val="none"/>
              </w:rPr>
              <w:t>货物到场检验合格后无息退还。</w:t>
            </w:r>
          </w:p>
        </w:tc>
      </w:tr>
      <w:tr w14:paraId="65700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0873063">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w:t>
            </w:r>
          </w:p>
        </w:tc>
        <w:tc>
          <w:tcPr>
            <w:tcW w:w="1800" w:type="dxa"/>
            <w:vAlign w:val="center"/>
          </w:tcPr>
          <w:p w14:paraId="4E291E2C">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采购及中标公告发布媒体</w:t>
            </w:r>
          </w:p>
        </w:tc>
        <w:tc>
          <w:tcPr>
            <w:tcW w:w="6682" w:type="dxa"/>
            <w:vAlign w:val="center"/>
          </w:tcPr>
          <w:p w14:paraId="0FC8ADE9">
            <w:pPr>
              <w:snapToGrid w:val="0"/>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浙江省政府采购网、 绍兴市上虞区公共资源交易中心网站</w:t>
            </w:r>
          </w:p>
        </w:tc>
      </w:tr>
      <w:tr w14:paraId="09A2F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3F6A69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800" w:type="dxa"/>
            <w:vAlign w:val="center"/>
          </w:tcPr>
          <w:p w14:paraId="5E034611">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质疑</w:t>
            </w:r>
          </w:p>
        </w:tc>
        <w:tc>
          <w:tcPr>
            <w:tcW w:w="6682" w:type="dxa"/>
            <w:vAlign w:val="center"/>
          </w:tcPr>
          <w:p w14:paraId="2D86C423">
            <w:pPr>
              <w:spacing w:line="36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r>
              <w:rPr>
                <w:rFonts w:hint="eastAsia" w:ascii="宋体" w:hAnsi="宋体" w:eastAsia="宋体" w:cs="宋体"/>
                <w:snapToGrid w:val="0"/>
                <w:color w:val="auto"/>
                <w:kern w:val="0"/>
                <w:szCs w:val="21"/>
                <w:highlight w:val="none"/>
              </w:rPr>
              <w:br w:type="textWrapping"/>
            </w:r>
            <w:r>
              <w:rPr>
                <w:rFonts w:hint="eastAsia" w:ascii="宋体" w:hAnsi="宋体" w:eastAsia="宋体" w:cs="宋体"/>
                <w:snapToGrid w:val="0"/>
                <w:color w:val="auto"/>
                <w:kern w:val="0"/>
                <w:szCs w:val="21"/>
                <w:highlight w:val="none"/>
              </w:rPr>
              <w:t>  参照《上虞区区属国有企业货物和服务采购管理办法》第四十九条规定的供应商应知其权益受到损害之日，是指：（一）对可以质疑的采购文件提出质疑的，为收到采购文件之日或者采购文件公告期限届满之日（公告期限届满后获取采购文件的，以公告期限届满之日为准）；</w:t>
            </w:r>
            <w:r>
              <w:rPr>
                <w:rFonts w:hint="eastAsia" w:ascii="宋体" w:hAnsi="宋体" w:eastAsia="宋体" w:cs="宋体"/>
                <w:snapToGrid w:val="0"/>
                <w:color w:val="auto"/>
                <w:kern w:val="0"/>
                <w:szCs w:val="21"/>
                <w:highlight w:val="none"/>
              </w:rPr>
              <w:br w:type="textWrapping"/>
            </w:r>
            <w:r>
              <w:rPr>
                <w:rFonts w:hint="eastAsia" w:ascii="宋体" w:hAnsi="宋体" w:eastAsia="宋体" w:cs="宋体"/>
                <w:snapToGrid w:val="0"/>
                <w:color w:val="auto"/>
                <w:kern w:val="0"/>
                <w:szCs w:val="21"/>
                <w:highlight w:val="none"/>
              </w:rPr>
              <w:t>（二）对采购过程提出质疑的，为各采购程序环节结束之日；</w:t>
            </w:r>
            <w:r>
              <w:rPr>
                <w:rFonts w:hint="eastAsia" w:ascii="宋体" w:hAnsi="宋体" w:eastAsia="宋体" w:cs="宋体"/>
                <w:snapToGrid w:val="0"/>
                <w:color w:val="auto"/>
                <w:kern w:val="0"/>
                <w:szCs w:val="21"/>
                <w:highlight w:val="none"/>
              </w:rPr>
              <w:br w:type="textWrapping"/>
            </w:r>
            <w:r>
              <w:rPr>
                <w:rFonts w:hint="eastAsia" w:ascii="宋体" w:hAnsi="宋体" w:eastAsia="宋体" w:cs="宋体"/>
                <w:snapToGrid w:val="0"/>
                <w:color w:val="auto"/>
                <w:kern w:val="0"/>
                <w:szCs w:val="21"/>
                <w:highlight w:val="none"/>
              </w:rPr>
              <w:t>（三）对中标或者成交结果提出质疑的，为中标或者成交结果公告期限届满之日。</w:t>
            </w:r>
          </w:p>
        </w:tc>
      </w:tr>
      <w:tr w14:paraId="3EFF7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A10050">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w:t>
            </w:r>
          </w:p>
        </w:tc>
        <w:tc>
          <w:tcPr>
            <w:tcW w:w="1800" w:type="dxa"/>
            <w:vAlign w:val="center"/>
          </w:tcPr>
          <w:p w14:paraId="74891449">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投诉</w:t>
            </w:r>
          </w:p>
        </w:tc>
        <w:tc>
          <w:tcPr>
            <w:tcW w:w="6682" w:type="dxa"/>
            <w:vAlign w:val="center"/>
          </w:tcPr>
          <w:p w14:paraId="493EF617">
            <w:pPr>
              <w:snapToGrid w:val="0"/>
              <w:spacing w:line="36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w:t>
            </w:r>
            <w:r>
              <w:rPr>
                <w:rFonts w:hint="eastAsia" w:ascii="宋体" w:hAnsi="宋体" w:eastAsia="宋体" w:cs="宋体"/>
                <w:color w:val="auto"/>
                <w:szCs w:val="21"/>
                <w:highlight w:val="none"/>
              </w:rPr>
              <w:t>照《上虞区区属国有企业货物和服务采购管理办法》第五十条的规定</w:t>
            </w:r>
            <w:r>
              <w:rPr>
                <w:rFonts w:hint="eastAsia" w:ascii="宋体" w:hAnsi="宋体" w:eastAsia="宋体" w:cs="宋体"/>
                <w:snapToGrid w:val="0"/>
                <w:color w:val="auto"/>
                <w:kern w:val="0"/>
                <w:szCs w:val="21"/>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14:paraId="4DDE78E6">
            <w:pPr>
              <w:snapToGrid w:val="0"/>
              <w:spacing w:line="36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投诉人提交投诉件时，应当提供相关书面证据、依据和其他有关材料。</w:t>
            </w:r>
          </w:p>
        </w:tc>
      </w:tr>
      <w:tr w14:paraId="77862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5F081B">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w:t>
            </w:r>
          </w:p>
        </w:tc>
        <w:tc>
          <w:tcPr>
            <w:tcW w:w="1800" w:type="dxa"/>
            <w:vAlign w:val="center"/>
          </w:tcPr>
          <w:p w14:paraId="7E28F390">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特别说明</w:t>
            </w:r>
          </w:p>
        </w:tc>
        <w:tc>
          <w:tcPr>
            <w:tcW w:w="6682" w:type="dxa"/>
            <w:vAlign w:val="center"/>
          </w:tcPr>
          <w:p w14:paraId="05A3A3A1">
            <w:pPr>
              <w:snapToGrid w:val="0"/>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2B28773B">
            <w:pPr>
              <w:snapToGrid w:val="0"/>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027AFFA5">
            <w:pPr>
              <w:snapToGrid w:val="0"/>
              <w:spacing w:line="360" w:lineRule="exact"/>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招标文件中凡标注“</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”的条款均为实质性要求，不响应的投标文件将作无效标处理。</w:t>
            </w:r>
          </w:p>
        </w:tc>
      </w:tr>
      <w:tr w14:paraId="36656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648" w:type="dxa"/>
            <w:vAlign w:val="center"/>
          </w:tcPr>
          <w:p w14:paraId="1260469F">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18</w:t>
            </w:r>
          </w:p>
        </w:tc>
        <w:tc>
          <w:tcPr>
            <w:tcW w:w="1800" w:type="dxa"/>
            <w:vAlign w:val="center"/>
          </w:tcPr>
          <w:p w14:paraId="03BB044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w:t>
            </w:r>
          </w:p>
        </w:tc>
        <w:tc>
          <w:tcPr>
            <w:tcW w:w="6682" w:type="dxa"/>
            <w:vAlign w:val="center"/>
          </w:tcPr>
          <w:p w14:paraId="25661F39">
            <w:pPr>
              <w:pStyle w:val="2"/>
              <w:numPr>
                <w:ilvl w:val="0"/>
                <w:numId w:val="0"/>
              </w:numPr>
              <w:ind w:leftChars="0"/>
              <w:rPr>
                <w:rFonts w:hint="eastAsia" w:ascii="宋体" w:hAnsi="宋体" w:eastAsia="宋体" w:cs="宋体"/>
                <w:color w:val="auto"/>
                <w:highlight w:val="none"/>
              </w:rPr>
            </w:pPr>
          </w:p>
          <w:p w14:paraId="24BFAD13">
            <w:pPr>
              <w:pStyle w:val="2"/>
              <w:numPr>
                <w:ilvl w:val="0"/>
                <w:numId w:val="6"/>
              </w:num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招标代理服务费由成交供应商支付，按下列货物招标计算方式计取。</w:t>
            </w:r>
          </w:p>
          <w:p w14:paraId="2AF51866">
            <w:pPr>
              <w:pStyle w:val="2"/>
              <w:widowControl w:val="0"/>
              <w:numPr>
                <w:ilvl w:val="0"/>
                <w:numId w:val="0"/>
              </w:numPr>
              <w:spacing w:after="120"/>
              <w:jc w:val="both"/>
              <w:rPr>
                <w:rFonts w:hint="eastAsia" w:ascii="宋体" w:hAnsi="宋体" w:eastAsia="宋体" w:cs="宋体"/>
                <w:color w:val="auto"/>
                <w:highlight w:val="none"/>
              </w:rPr>
            </w:pPr>
          </w:p>
          <w:p w14:paraId="72B756F0">
            <w:pPr>
              <w:pStyle w:val="2"/>
              <w:widowControl w:val="0"/>
              <w:numPr>
                <w:ilvl w:val="0"/>
                <w:numId w:val="0"/>
              </w:numPr>
              <w:spacing w:after="120"/>
              <w:jc w:val="both"/>
              <w:rPr>
                <w:rFonts w:hint="eastAsia" w:ascii="宋体" w:hAnsi="宋体" w:eastAsia="宋体" w:cs="宋体"/>
                <w:color w:val="auto"/>
                <w:highlight w:val="none"/>
              </w:rPr>
            </w:pPr>
          </w:p>
          <w:tbl>
            <w:tblPr>
              <w:tblStyle w:val="18"/>
              <w:tblW w:w="469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72"/>
              <w:gridCol w:w="1823"/>
              <w:gridCol w:w="1281"/>
              <w:gridCol w:w="969"/>
            </w:tblGrid>
            <w:tr w14:paraId="00E160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9" w:hRule="atLeast"/>
                <w:tblCellSpacing w:w="0" w:type="dxa"/>
                <w:jc w:val="center"/>
              </w:trPr>
              <w:tc>
                <w:tcPr>
                  <w:tcW w:w="1977" w:type="dxa"/>
                  <w:tcBorders>
                    <w:top w:val="single" w:color="auto" w:sz="4" w:space="0"/>
                    <w:left w:val="outset" w:color="auto" w:sz="6" w:space="0"/>
                    <w:bottom w:val="single" w:color="auto" w:sz="4" w:space="0"/>
                    <w:right w:val="single" w:color="auto" w:sz="4" w:space="0"/>
                  </w:tcBorders>
                  <w:noWrap w:val="0"/>
                  <w:vAlign w:val="center"/>
                </w:tcPr>
                <w:p w14:paraId="0B165B7D">
                  <w:pPr>
                    <w:pStyle w:val="2"/>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服务类型</w:t>
                  </w:r>
                </w:p>
                <w:p w14:paraId="6C68511C">
                  <w:pPr>
                    <w:pStyle w:val="2"/>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DE9895A">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21DF46A">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1C30739E">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012074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14:paraId="7F8C8141">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4C08C3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824D75E">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7863DF40">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550F7A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blCellSpacing w:w="0" w:type="dxa"/>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14:paraId="3DA980EA">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2732583">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7EAF9E8">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15EE5ADC">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0.7％</w:t>
                  </w:r>
                </w:p>
              </w:tc>
            </w:tr>
          </w:tbl>
          <w:p w14:paraId="03DE3AB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2.成交人在成交公告发布之日起5个工作日内向本招标代理机构支付采购代理费，确认到账后领取成交通知书。</w:t>
            </w:r>
          </w:p>
        </w:tc>
      </w:tr>
      <w:tr w14:paraId="02971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2D9928">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p>
        </w:tc>
        <w:tc>
          <w:tcPr>
            <w:tcW w:w="1800" w:type="dxa"/>
            <w:vAlign w:val="center"/>
          </w:tcPr>
          <w:p w14:paraId="3DEE06D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682" w:type="dxa"/>
            <w:vAlign w:val="center"/>
          </w:tcPr>
          <w:p w14:paraId="00B2D0C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不允许</w:t>
            </w:r>
            <w:r>
              <w:rPr>
                <w:rFonts w:hint="eastAsia" w:ascii="宋体" w:hAnsi="宋体" w:eastAsia="宋体" w:cs="宋体"/>
                <w:color w:val="auto"/>
                <w:szCs w:val="21"/>
                <w:highlight w:val="none"/>
              </w:rPr>
              <w:t>分包</w:t>
            </w:r>
          </w:p>
        </w:tc>
      </w:tr>
      <w:tr w14:paraId="62C00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822467A">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w:t>
            </w:r>
          </w:p>
        </w:tc>
        <w:tc>
          <w:tcPr>
            <w:tcW w:w="1800" w:type="dxa"/>
            <w:vAlign w:val="center"/>
          </w:tcPr>
          <w:p w14:paraId="243B915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是否提供样品</w:t>
            </w:r>
          </w:p>
        </w:tc>
        <w:tc>
          <w:tcPr>
            <w:tcW w:w="6682" w:type="dxa"/>
            <w:vAlign w:val="center"/>
          </w:tcPr>
          <w:p w14:paraId="5DE6F85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不需要</w:t>
            </w:r>
            <w:r>
              <w:rPr>
                <w:rFonts w:hint="eastAsia" w:ascii="宋体" w:hAnsi="宋体" w:eastAsia="宋体" w:cs="宋体"/>
                <w:color w:val="auto"/>
                <w:szCs w:val="21"/>
                <w:highlight w:val="none"/>
              </w:rPr>
              <w:t>提供样品。</w:t>
            </w:r>
          </w:p>
        </w:tc>
      </w:tr>
      <w:tr w14:paraId="31E2F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608F09">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w:t>
            </w:r>
          </w:p>
        </w:tc>
        <w:tc>
          <w:tcPr>
            <w:tcW w:w="1800" w:type="dxa"/>
            <w:tcBorders>
              <w:bottom w:val="single" w:color="auto" w:sz="4" w:space="0"/>
            </w:tcBorders>
            <w:vAlign w:val="center"/>
          </w:tcPr>
          <w:p w14:paraId="58A7FD0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是否提供演示</w:t>
            </w:r>
          </w:p>
        </w:tc>
        <w:tc>
          <w:tcPr>
            <w:tcW w:w="6682" w:type="dxa"/>
            <w:tcBorders>
              <w:bottom w:val="single" w:color="auto" w:sz="4" w:space="0"/>
            </w:tcBorders>
            <w:vAlign w:val="center"/>
          </w:tcPr>
          <w:p w14:paraId="7316A010">
            <w:pPr>
              <w:widowControl/>
              <w:overflowPunct w:val="0"/>
              <w:autoSpaceDE w:val="0"/>
              <w:autoSpaceDN w:val="0"/>
              <w:adjustRightInd w:val="0"/>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color w:val="auto"/>
                <w:szCs w:val="21"/>
                <w:highlight w:val="none"/>
                <w:u w:val="single"/>
              </w:rPr>
              <w:t>需要</w:t>
            </w:r>
            <w:r>
              <w:rPr>
                <w:rFonts w:hint="eastAsia" w:ascii="宋体" w:hAnsi="宋体" w:eastAsia="宋体" w:cs="宋体"/>
                <w:color w:val="auto"/>
                <w:szCs w:val="21"/>
                <w:highlight w:val="none"/>
              </w:rPr>
              <w:t>提供演示。</w:t>
            </w:r>
          </w:p>
          <w:p w14:paraId="53637212">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（备注：1．将演示内容做视频放入U盘中，U盘作为技术文件组成部分，单独密封在密封袋中（快递袋不能作为密封袋）；</w:t>
            </w:r>
          </w:p>
          <w:p w14:paraId="212C0F91">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2．视频要求：</w:t>
            </w:r>
          </w:p>
          <w:p w14:paraId="70444D3C">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为常规视频格式，绿色安全无任何病毒，电脑录屏，播放时间不得超过10分钟，因投标人u盘视频格式问题导致无法播放等问题的，由投标人自行承担一切风险和责任，密封袋内u盘表面及演示视频内容不得显示投标单位名称或做其他特殊标识使专家提前获知投标供应商信息；</w:t>
            </w:r>
          </w:p>
          <w:p w14:paraId="34832FC6">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3．封皮要求</w:t>
            </w:r>
            <w:r>
              <w:rPr>
                <w:rFonts w:hint="eastAsia" w:ascii="宋体" w:hAnsi="宋体" w:cs="宋体"/>
                <w:color w:val="auto"/>
                <w:kern w:val="0"/>
                <w:szCs w:val="21"/>
                <w:highlight w:val="none"/>
                <w:lang w:eastAsia="zh-CN"/>
              </w:rPr>
              <w:t>：</w:t>
            </w:r>
          </w:p>
          <w:p w14:paraId="385429DA">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在封皮上标注：“项目名称、采购编号、投标供应商名称”等内容并且标注“演示视频、</w:t>
            </w:r>
            <w:r>
              <w:rPr>
                <w:rFonts w:hint="eastAsia" w:ascii="宋体" w:hAnsi="宋体" w:eastAsia="宋体" w:cs="宋体"/>
                <w:color w:val="auto"/>
                <w:kern w:val="0"/>
                <w:szCs w:val="21"/>
                <w:highlight w:val="none"/>
                <w:u w:val="single"/>
              </w:rPr>
              <w:t>2025年</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31</w:t>
            </w:r>
            <w:r>
              <w:rPr>
                <w:rFonts w:hint="eastAsia" w:ascii="宋体" w:hAnsi="宋体" w:eastAsia="宋体" w:cs="宋体"/>
                <w:color w:val="auto"/>
                <w:kern w:val="0"/>
                <w:szCs w:val="21"/>
                <w:highlight w:val="none"/>
                <w:u w:val="single"/>
              </w:rPr>
              <w:t>日9时30分</w:t>
            </w:r>
            <w:r>
              <w:rPr>
                <w:rFonts w:hint="eastAsia" w:ascii="宋体" w:hAnsi="宋体" w:eastAsia="宋体" w:cs="宋体"/>
                <w:color w:val="auto"/>
                <w:kern w:val="0"/>
                <w:szCs w:val="21"/>
                <w:highlight w:val="none"/>
              </w:rPr>
              <w:t>开标，此时间以前不得开封”等字样(多标段项目需在密封袋封皮上同时注明：*标段)；</w:t>
            </w:r>
          </w:p>
          <w:p w14:paraId="714FAB16">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4.递交时间：</w:t>
            </w:r>
          </w:p>
          <w:p w14:paraId="1F8D6C2F">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在投标截止时间前递交至</w:t>
            </w:r>
            <w:r>
              <w:rPr>
                <w:rFonts w:hint="eastAsia" w:ascii="宋体" w:hAnsi="宋体" w:eastAsia="宋体" w:cs="宋体"/>
                <w:color w:val="auto"/>
                <w:kern w:val="0"/>
                <w:szCs w:val="21"/>
                <w:highlight w:val="none"/>
                <w:lang w:eastAsia="zh-CN"/>
              </w:rPr>
              <w:t>上虞区百官街道城北颖泰大厦9楼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董女士</w:t>
            </w:r>
            <w:r>
              <w:rPr>
                <w:rFonts w:hint="eastAsia" w:ascii="宋体" w:hAnsi="宋体" w:eastAsia="宋体" w:cs="宋体"/>
                <w:color w:val="auto"/>
                <w:kern w:val="0"/>
                <w:szCs w:val="21"/>
                <w:highlight w:val="none"/>
              </w:rPr>
              <w:t>（收），联系号码：</w:t>
            </w:r>
            <w:r>
              <w:rPr>
                <w:rFonts w:hint="eastAsia" w:ascii="宋体" w:hAnsi="宋体" w:eastAsia="宋体" w:cs="宋体"/>
                <w:color w:val="auto"/>
                <w:kern w:val="0"/>
                <w:szCs w:val="21"/>
                <w:highlight w:val="none"/>
                <w:lang w:eastAsia="zh-CN"/>
              </w:rPr>
              <w:t>17706562887</w:t>
            </w:r>
            <w:r>
              <w:rPr>
                <w:rFonts w:hint="eastAsia" w:ascii="宋体" w:hAnsi="宋体" w:eastAsia="宋体" w:cs="宋体"/>
                <w:color w:val="auto"/>
                <w:kern w:val="0"/>
                <w:szCs w:val="21"/>
                <w:highlight w:val="none"/>
              </w:rPr>
              <w:t>；</w:t>
            </w:r>
          </w:p>
          <w:p w14:paraId="1E8F0E46">
            <w:pPr>
              <w:widowControl/>
              <w:overflowPunct w:val="0"/>
              <w:autoSpaceDE w:val="0"/>
              <w:autoSpaceDN w:val="0"/>
              <w:adjustRightInd w:val="0"/>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5.在快递袋内另附纸注明</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项目名称、编号、投标供应商名称、项目负责人、联系方式”等内容，并加盖公章。若不符合演示视频文件包装要求，代理机构将据此联系投标供应商。因未附纸导致代理机构无法及时联系投标供应商补正修改的，责任由供应商自负；</w:t>
            </w:r>
          </w:p>
          <w:p w14:paraId="3B540A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w:t>
            </w:r>
            <w:r>
              <w:rPr>
                <w:rFonts w:hint="eastAsia" w:ascii="宋体" w:hAnsi="宋体" w:eastAsia="宋体" w:cs="宋体"/>
                <w:b/>
                <w:color w:val="auto"/>
                <w:kern w:val="0"/>
                <w:szCs w:val="21"/>
                <w:highlight w:val="none"/>
              </w:rPr>
              <w:t>递交的演示文件在投标截止时间后启封并随机抽取顺序，按抽签顺序（匿名）由评审专家进行打分。</w:t>
            </w:r>
          </w:p>
        </w:tc>
      </w:tr>
      <w:tr w14:paraId="5B895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648" w:type="dxa"/>
            <w:tcBorders>
              <w:bottom w:val="single" w:color="auto" w:sz="4" w:space="0"/>
            </w:tcBorders>
            <w:vAlign w:val="center"/>
          </w:tcPr>
          <w:p w14:paraId="7CC221D6">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w:t>
            </w:r>
          </w:p>
        </w:tc>
        <w:tc>
          <w:tcPr>
            <w:tcW w:w="1800" w:type="dxa"/>
            <w:tcBorders>
              <w:top w:val="single" w:color="auto" w:sz="4" w:space="0"/>
              <w:bottom w:val="single" w:color="auto" w:sz="4" w:space="0"/>
            </w:tcBorders>
            <w:vAlign w:val="center"/>
          </w:tcPr>
          <w:p w14:paraId="2AE91FD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投标人信用信息查询渠道及截止时点、信用信息查询记录和证据留存的具体方式、信用信息的使用规则</w:t>
            </w:r>
          </w:p>
        </w:tc>
        <w:tc>
          <w:tcPr>
            <w:tcW w:w="6682" w:type="dxa"/>
            <w:tcBorders>
              <w:top w:val="single" w:color="auto" w:sz="4" w:space="0"/>
              <w:bottom w:val="single" w:color="auto" w:sz="4" w:space="0"/>
            </w:tcBorders>
            <w:vAlign w:val="center"/>
          </w:tcPr>
          <w:p w14:paraId="09EF741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1、查询渠道：信用中国（网址：http://www.creditchina.gov.cn）、中国政府采购网(网址：http://www.ccgp.gov.cn）。</w:t>
            </w:r>
          </w:p>
          <w:p w14:paraId="4CBFE48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2、截止时点：开标后评标前。</w:t>
            </w:r>
          </w:p>
          <w:p w14:paraId="780931B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3、信用信息查询记录和证据留存的具体方式：由采购组织机构在规定查询时间内打印信用信息查询记录并归入项目档案。</w:t>
            </w:r>
          </w:p>
          <w:p w14:paraId="25CD6CD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使用规则：对列入失信被执行人、重大税收违法案件当事人名单、政府采购严重违法失信行为记录名单及其他不符合《上虞区区属国有企业货物和服务采购管理办法》第十八条规定条件的供应商，将被拒绝其参与采购活动。</w:t>
            </w:r>
          </w:p>
        </w:tc>
      </w:tr>
      <w:tr w14:paraId="50EFD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648" w:type="dxa"/>
            <w:vAlign w:val="center"/>
          </w:tcPr>
          <w:p w14:paraId="503CF5D0">
            <w:pPr>
              <w:snapToGrid w:val="0"/>
              <w:spacing w:line="36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p>
        </w:tc>
        <w:tc>
          <w:tcPr>
            <w:tcW w:w="1800" w:type="dxa"/>
            <w:vAlign w:val="center"/>
          </w:tcPr>
          <w:p w14:paraId="3A4CA9A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682" w:type="dxa"/>
            <w:vAlign w:val="center"/>
          </w:tcPr>
          <w:p w14:paraId="39F2DD6B">
            <w:pPr>
              <w:numPr>
                <w:ilvl w:val="0"/>
                <w:numId w:val="7"/>
              </w:num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本招标文件要求提供的身份证复印件皆需提供正反面，否则按不提供处理。</w:t>
            </w:r>
          </w:p>
          <w:p w14:paraId="45F097B4">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2、本项目货物如涉及柴油动力移动源，柴油动力移动源应当符合低排放要求。</w:t>
            </w:r>
          </w:p>
        </w:tc>
      </w:tr>
    </w:tbl>
    <w:p w14:paraId="373CAAC7">
      <w:pPr>
        <w:pStyle w:val="2"/>
        <w:ind w:left="0" w:leftChars="0" w:firstLine="210" w:firstLineChars="100"/>
        <w:rPr>
          <w:rFonts w:hint="eastAsia" w:ascii="宋体" w:hAnsi="宋体" w:eastAsia="宋体" w:cs="宋体"/>
          <w:color w:val="auto"/>
          <w:sz w:val="24"/>
          <w:highlight w:val="none"/>
        </w:rPr>
      </w:pPr>
      <w:r>
        <w:rPr>
          <w:rFonts w:hint="eastAsia" w:ascii="宋体" w:hAnsi="宋体" w:eastAsia="宋体" w:cs="宋体"/>
          <w:color w:val="auto"/>
          <w:szCs w:val="21"/>
          <w:highlight w:val="none"/>
        </w:rPr>
        <w:t>注：以上内容如有变化将另行通知。如通知其中某一内容发生变化，其余未提及的将不作变动</w:t>
      </w:r>
    </w:p>
    <w:p w14:paraId="3DF092DD">
      <w:pPr>
        <w:pStyle w:val="2"/>
        <w:ind w:left="0" w:leftChars="0" w:firstLine="720" w:firstLineChars="300"/>
        <w:rPr>
          <w:rFonts w:hint="eastAsia" w:ascii="宋体" w:hAnsi="宋体" w:eastAsia="宋体" w:cs="宋体"/>
          <w:color w:val="auto"/>
          <w:sz w:val="24"/>
          <w:highlight w:val="none"/>
        </w:rPr>
      </w:pPr>
    </w:p>
    <w:p w14:paraId="17064B77">
      <w:pPr>
        <w:pStyle w:val="2"/>
        <w:ind w:left="0" w:leftChars="0" w:firstLine="720" w:firstLineChars="300"/>
        <w:rPr>
          <w:rFonts w:hint="eastAsia" w:ascii="宋体" w:hAnsi="宋体" w:eastAsia="宋体" w:cs="宋体"/>
          <w:color w:val="auto"/>
          <w:sz w:val="24"/>
          <w:highlight w:val="none"/>
        </w:rPr>
      </w:pPr>
    </w:p>
    <w:p w14:paraId="472ED697">
      <w:pPr>
        <w:pStyle w:val="2"/>
        <w:ind w:left="0" w:leftChars="0" w:firstLine="720" w:firstLineChars="300"/>
        <w:rPr>
          <w:rFonts w:hint="eastAsia" w:ascii="宋体" w:hAnsi="宋体" w:eastAsia="宋体" w:cs="宋体"/>
          <w:color w:val="auto"/>
          <w:sz w:val="24"/>
          <w:highlight w:val="none"/>
        </w:rPr>
      </w:pPr>
    </w:p>
    <w:p w14:paraId="3A8719A6">
      <w:pPr>
        <w:pStyle w:val="2"/>
        <w:ind w:left="0" w:leftChars="0" w:firstLine="630" w:firstLineChars="300"/>
        <w:rPr>
          <w:rFonts w:hint="eastAsia" w:ascii="宋体" w:hAnsi="宋体" w:eastAsia="宋体" w:cs="宋体"/>
          <w:color w:val="auto"/>
          <w:highlight w:val="none"/>
        </w:rPr>
      </w:pPr>
    </w:p>
    <w:p w14:paraId="2EDF29F9">
      <w:pPr>
        <w:pStyle w:val="2"/>
        <w:ind w:left="0" w:leftChars="0" w:firstLine="630" w:firstLineChars="300"/>
        <w:rPr>
          <w:rFonts w:hint="eastAsia" w:ascii="宋体" w:hAnsi="宋体" w:eastAsia="宋体" w:cs="宋体"/>
          <w:color w:val="auto"/>
          <w:highlight w:val="none"/>
        </w:rPr>
      </w:pPr>
    </w:p>
    <w:p w14:paraId="080DDBCD">
      <w:pPr>
        <w:pStyle w:val="2"/>
        <w:ind w:left="0" w:leftChars="0" w:firstLine="630" w:firstLineChars="300"/>
        <w:rPr>
          <w:rFonts w:hint="eastAsia" w:ascii="宋体" w:hAnsi="宋体" w:eastAsia="宋体" w:cs="宋体"/>
          <w:color w:val="auto"/>
          <w:highlight w:val="none"/>
        </w:rPr>
      </w:pPr>
    </w:p>
    <w:p w14:paraId="27274DAA">
      <w:pPr>
        <w:pStyle w:val="2"/>
        <w:ind w:left="0" w:leftChars="0" w:firstLine="630" w:firstLineChars="300"/>
        <w:rPr>
          <w:rFonts w:hint="eastAsia" w:ascii="宋体" w:hAnsi="宋体" w:eastAsia="宋体" w:cs="宋体"/>
          <w:color w:val="auto"/>
          <w:highlight w:val="none"/>
        </w:rPr>
      </w:pPr>
    </w:p>
    <w:p w14:paraId="6326CB9D">
      <w:pPr>
        <w:pStyle w:val="2"/>
        <w:ind w:left="0" w:leftChars="0" w:firstLine="630" w:firstLineChars="300"/>
        <w:rPr>
          <w:rFonts w:hint="eastAsia" w:ascii="宋体" w:hAnsi="宋体" w:eastAsia="宋体" w:cs="宋体"/>
          <w:color w:val="auto"/>
          <w:highlight w:val="none"/>
        </w:rPr>
      </w:pPr>
    </w:p>
    <w:p w14:paraId="2CBD6D11">
      <w:pPr>
        <w:pStyle w:val="2"/>
        <w:ind w:left="0" w:leftChars="0" w:firstLine="630" w:firstLineChars="300"/>
        <w:rPr>
          <w:rFonts w:hint="eastAsia" w:ascii="宋体" w:hAnsi="宋体" w:eastAsia="宋体" w:cs="宋体"/>
          <w:color w:val="auto"/>
          <w:highlight w:val="none"/>
        </w:rPr>
      </w:pPr>
    </w:p>
    <w:p w14:paraId="0A9994C6">
      <w:pPr>
        <w:pStyle w:val="2"/>
        <w:ind w:left="0" w:leftChars="0" w:firstLine="630" w:firstLineChars="300"/>
        <w:rPr>
          <w:rFonts w:hint="eastAsia" w:ascii="宋体" w:hAnsi="宋体" w:eastAsia="宋体" w:cs="宋体"/>
          <w:color w:val="auto"/>
          <w:highlight w:val="none"/>
        </w:rPr>
      </w:pPr>
    </w:p>
    <w:p w14:paraId="5343C054">
      <w:pPr>
        <w:pStyle w:val="2"/>
        <w:ind w:left="0" w:leftChars="0" w:firstLine="630" w:firstLineChars="300"/>
        <w:rPr>
          <w:rFonts w:hint="eastAsia" w:ascii="宋体" w:hAnsi="宋体" w:eastAsia="宋体" w:cs="宋体"/>
          <w:color w:val="auto"/>
          <w:highlight w:val="none"/>
        </w:rPr>
      </w:pPr>
    </w:p>
    <w:p w14:paraId="7AF5E3D4">
      <w:pPr>
        <w:pStyle w:val="2"/>
        <w:ind w:left="0" w:leftChars="0" w:firstLine="630" w:firstLineChars="300"/>
        <w:rPr>
          <w:rFonts w:hint="eastAsia" w:ascii="宋体" w:hAnsi="宋体" w:eastAsia="宋体" w:cs="宋体"/>
          <w:color w:val="auto"/>
          <w:highlight w:val="none"/>
        </w:rPr>
      </w:pPr>
    </w:p>
    <w:p w14:paraId="1C011925">
      <w:pPr>
        <w:pStyle w:val="2"/>
        <w:ind w:left="0" w:leftChars="0" w:firstLine="630" w:firstLineChars="300"/>
        <w:rPr>
          <w:rFonts w:hint="eastAsia" w:ascii="宋体" w:hAnsi="宋体" w:eastAsia="宋体" w:cs="宋体"/>
          <w:color w:val="auto"/>
          <w:highlight w:val="none"/>
        </w:rPr>
      </w:pPr>
    </w:p>
    <w:p w14:paraId="17DBC040">
      <w:pPr>
        <w:pStyle w:val="2"/>
        <w:ind w:left="0" w:leftChars="0" w:firstLine="630" w:firstLineChars="300"/>
        <w:rPr>
          <w:rFonts w:hint="eastAsia" w:ascii="宋体" w:hAnsi="宋体" w:eastAsia="宋体" w:cs="宋体"/>
          <w:color w:val="auto"/>
          <w:highlight w:val="none"/>
        </w:rPr>
      </w:pPr>
    </w:p>
    <w:p w14:paraId="226ED58C">
      <w:pPr>
        <w:pStyle w:val="2"/>
        <w:ind w:left="0" w:leftChars="0" w:firstLine="630" w:firstLineChars="300"/>
        <w:rPr>
          <w:rFonts w:hint="eastAsia" w:ascii="宋体" w:hAnsi="宋体" w:eastAsia="宋体" w:cs="宋体"/>
          <w:color w:val="auto"/>
          <w:highlight w:val="none"/>
        </w:rPr>
      </w:pPr>
    </w:p>
    <w:p w14:paraId="49E2F92F">
      <w:pPr>
        <w:pStyle w:val="2"/>
        <w:ind w:left="0" w:leftChars="0" w:firstLine="630" w:firstLineChars="300"/>
        <w:rPr>
          <w:rFonts w:hint="eastAsia" w:ascii="宋体" w:hAnsi="宋体" w:eastAsia="宋体" w:cs="宋体"/>
          <w:color w:val="auto"/>
          <w:highlight w:val="none"/>
        </w:rPr>
      </w:pPr>
    </w:p>
    <w:p w14:paraId="79C9030C">
      <w:pPr>
        <w:pStyle w:val="2"/>
        <w:ind w:left="0" w:leftChars="0" w:firstLine="630" w:firstLineChars="300"/>
        <w:rPr>
          <w:rFonts w:hint="eastAsia" w:ascii="宋体" w:hAnsi="宋体" w:eastAsia="宋体" w:cs="宋体"/>
          <w:color w:val="auto"/>
          <w:highlight w:val="none"/>
        </w:rPr>
      </w:pPr>
    </w:p>
    <w:p w14:paraId="6EDD710D">
      <w:pPr>
        <w:pStyle w:val="2"/>
        <w:ind w:left="0" w:leftChars="0" w:firstLine="630" w:firstLineChars="300"/>
        <w:rPr>
          <w:rFonts w:hint="eastAsia" w:ascii="宋体" w:hAnsi="宋体" w:eastAsia="宋体" w:cs="宋体"/>
          <w:color w:val="auto"/>
          <w:highlight w:val="none"/>
        </w:rPr>
      </w:pPr>
    </w:p>
    <w:p w14:paraId="3277B5E0">
      <w:pPr>
        <w:pStyle w:val="2"/>
        <w:ind w:left="0" w:leftChars="0" w:firstLine="630" w:firstLineChars="300"/>
        <w:rPr>
          <w:rFonts w:hint="eastAsia" w:ascii="宋体" w:hAnsi="宋体" w:eastAsia="宋体" w:cs="宋体"/>
          <w:color w:val="auto"/>
          <w:highlight w:val="none"/>
        </w:rPr>
      </w:pPr>
    </w:p>
    <w:p w14:paraId="612E7A47">
      <w:pPr>
        <w:pStyle w:val="2"/>
        <w:ind w:left="0" w:leftChars="0" w:firstLine="630" w:firstLineChars="300"/>
        <w:rPr>
          <w:rFonts w:hint="eastAsia" w:ascii="宋体" w:hAnsi="宋体" w:eastAsia="宋体" w:cs="宋体"/>
          <w:color w:val="auto"/>
          <w:highlight w:val="none"/>
        </w:rPr>
      </w:pPr>
    </w:p>
    <w:p w14:paraId="5C2439E4">
      <w:pPr>
        <w:keepNext/>
        <w:spacing w:line="216" w:lineRule="auto"/>
        <w:jc w:val="center"/>
        <w:outlineLvl w:val="1"/>
        <w:rPr>
          <w:rFonts w:hint="eastAsia" w:ascii="宋体" w:hAnsi="宋体" w:eastAsia="宋体" w:cs="宋体"/>
          <w:color w:val="auto"/>
          <w:sz w:val="32"/>
          <w:szCs w:val="20"/>
          <w:highlight w:val="none"/>
        </w:rPr>
      </w:pPr>
      <w:bookmarkStart w:id="11" w:name="_Toc167700913"/>
      <w:bookmarkStart w:id="12" w:name="_Toc6283"/>
      <w:bookmarkStart w:id="13" w:name="_Toc10564"/>
      <w:bookmarkStart w:id="14" w:name="_Toc97735521"/>
      <w:bookmarkStart w:id="15" w:name="_Toc165741207"/>
      <w:r>
        <w:rPr>
          <w:rFonts w:hint="eastAsia" w:ascii="宋体" w:hAnsi="宋体" w:eastAsia="宋体" w:cs="宋体"/>
          <w:b/>
          <w:color w:val="auto"/>
          <w:sz w:val="32"/>
          <w:highlight w:val="none"/>
        </w:rPr>
        <w:t>一、总则</w:t>
      </w:r>
      <w:bookmarkEnd w:id="11"/>
      <w:bookmarkEnd w:id="12"/>
      <w:bookmarkEnd w:id="13"/>
      <w:bookmarkEnd w:id="14"/>
      <w:bookmarkEnd w:id="15"/>
    </w:p>
    <w:p w14:paraId="43E39E72">
      <w:pPr>
        <w:numPr>
          <w:ilvl w:val="0"/>
          <w:numId w:val="8"/>
        </w:numPr>
        <w:spacing w:line="440" w:lineRule="exact"/>
        <w:ind w:firstLine="482" w:firstLineChars="200"/>
        <w:rPr>
          <w:rFonts w:hint="eastAsia" w:ascii="宋体" w:hAnsi="宋体" w:eastAsia="宋体" w:cs="宋体"/>
          <w:b/>
          <w:color w:val="auto"/>
          <w:sz w:val="24"/>
          <w:highlight w:val="none"/>
        </w:rPr>
      </w:pPr>
      <w:bookmarkStart w:id="16" w:name="_Hlt74730295"/>
      <w:bookmarkEnd w:id="16"/>
      <w:bookmarkStart w:id="17" w:name="_Hlt74714665"/>
      <w:bookmarkEnd w:id="17"/>
      <w:bookmarkStart w:id="18" w:name="_Toc91899872"/>
      <w:bookmarkStart w:id="19" w:name="_Hlt74730208"/>
      <w:bookmarkStart w:id="20" w:name="_Hlt74730112"/>
      <w:r>
        <w:rPr>
          <w:rFonts w:hint="eastAsia" w:ascii="宋体" w:hAnsi="宋体" w:eastAsia="宋体" w:cs="宋体"/>
          <w:b/>
          <w:color w:val="auto"/>
          <w:sz w:val="24"/>
          <w:highlight w:val="none"/>
        </w:rPr>
        <w:t>项目说明</w:t>
      </w:r>
      <w:bookmarkEnd w:id="18"/>
    </w:p>
    <w:p w14:paraId="3084505D">
      <w:pPr>
        <w:numPr>
          <w:ilvl w:val="0"/>
          <w:numId w:val="9"/>
        </w:num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项目说明见前附表所述。投标人一旦参与本次招标活动，即被视为接受了本招标文件的所有内容，如有任何异议，均已在法定时间内提出。</w:t>
      </w:r>
    </w:p>
    <w:p w14:paraId="673F28BE">
      <w:pPr>
        <w:numPr>
          <w:ilvl w:val="0"/>
          <w:numId w:val="9"/>
        </w:num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应承担相应后果，</w:t>
      </w:r>
      <w:r>
        <w:rPr>
          <w:rFonts w:hint="eastAsia" w:ascii="宋体" w:hAnsi="宋体" w:eastAsia="宋体" w:cs="宋体"/>
          <w:color w:val="auto"/>
          <w:sz w:val="24"/>
          <w:highlight w:val="none"/>
          <w:lang w:val="zh-CN"/>
        </w:rPr>
        <w:t>并负责赔偿。</w:t>
      </w:r>
      <w:r>
        <w:rPr>
          <w:rFonts w:hint="eastAsia" w:ascii="宋体" w:hAnsi="宋体" w:eastAsia="宋体" w:cs="宋体"/>
          <w:color w:val="auto"/>
          <w:sz w:val="24"/>
          <w:highlight w:val="none"/>
        </w:rPr>
        <w:t>供应商为执行本项目合同而提供的技术资料等归采购人所有。</w:t>
      </w:r>
    </w:p>
    <w:p w14:paraId="5F7DA7DF">
      <w:pPr>
        <w:snapToGrid w:val="0"/>
        <w:spacing w:line="440" w:lineRule="exact"/>
        <w:ind w:firstLine="480" w:firstLineChars="200"/>
        <w:jc w:val="left"/>
        <w:rPr>
          <w:rFonts w:hint="eastAsia" w:ascii="宋体" w:hAnsi="宋体" w:eastAsia="宋体" w:cs="宋体"/>
          <w:color w:val="auto"/>
          <w:sz w:val="24"/>
          <w:highlight w:val="none"/>
        </w:rPr>
      </w:pPr>
      <w:bookmarkStart w:id="21" w:name="_Toc91899873"/>
      <w:r>
        <w:rPr>
          <w:rFonts w:hint="eastAsia" w:ascii="宋体" w:hAnsi="宋体" w:eastAsia="宋体" w:cs="宋体"/>
          <w:color w:val="auto"/>
          <w:sz w:val="24"/>
          <w:highlight w:val="none"/>
        </w:rPr>
        <w:t>1.3本招标文件所称公章是指单位法定名称章或者冠以单位法定名称的电子公章。</w:t>
      </w:r>
    </w:p>
    <w:p w14:paraId="70961778">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14:paraId="551780B1">
      <w:pPr>
        <w:numPr>
          <w:ilvl w:val="0"/>
          <w:numId w:val="1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招标文件存在不合理条款或者招标程序不符合规定的，采购人、采购代理机构改正后依法重新招标；</w:t>
      </w:r>
    </w:p>
    <w:p w14:paraId="5ED7B9AA">
      <w:pPr>
        <w:numPr>
          <w:ilvl w:val="0"/>
          <w:numId w:val="1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招标文件没有不合理条款、招标程序符合规定，需要采用其他采购方式采购的，采购人应当依法报财政部门批准。</w:t>
      </w:r>
    </w:p>
    <w:p w14:paraId="2C82A405">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采购方式</w:t>
      </w:r>
      <w:bookmarkEnd w:id="21"/>
    </w:p>
    <w:p w14:paraId="75A87F23">
      <w:pPr>
        <w:tabs>
          <w:tab w:val="left" w:pos="3780"/>
        </w:tabs>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9"/>
      <w:bookmarkEnd w:id="20"/>
      <w:bookmarkStart w:id="22" w:name="_Hlt68516771"/>
      <w:bookmarkEnd w:id="22"/>
      <w:bookmarkStart w:id="23" w:name="_Hlt74388212"/>
      <w:bookmarkEnd w:id="23"/>
    </w:p>
    <w:p w14:paraId="0222F0FC">
      <w:pPr>
        <w:numPr>
          <w:ilvl w:val="0"/>
          <w:numId w:val="8"/>
        </w:numPr>
        <w:spacing w:line="440" w:lineRule="exact"/>
        <w:ind w:firstLine="482" w:firstLineChars="200"/>
        <w:rPr>
          <w:rFonts w:hint="eastAsia" w:ascii="宋体" w:hAnsi="宋体" w:eastAsia="宋体" w:cs="宋体"/>
          <w:b/>
          <w:color w:val="auto"/>
          <w:sz w:val="24"/>
          <w:highlight w:val="none"/>
        </w:rPr>
      </w:pPr>
      <w:bookmarkStart w:id="24" w:name="_Toc91899877"/>
      <w:bookmarkStart w:id="25" w:name="_Hlt74730303"/>
      <w:r>
        <w:rPr>
          <w:rFonts w:hint="eastAsia" w:ascii="宋体" w:hAnsi="宋体" w:eastAsia="宋体" w:cs="宋体"/>
          <w:b/>
          <w:color w:val="auto"/>
          <w:sz w:val="24"/>
          <w:highlight w:val="none"/>
        </w:rPr>
        <w:t>投标费用</w:t>
      </w:r>
      <w:bookmarkEnd w:id="24"/>
    </w:p>
    <w:bookmarkEnd w:id="25"/>
    <w:p w14:paraId="5627B78B">
      <w:pPr>
        <w:pStyle w:val="2"/>
        <w:ind w:left="0" w:leftChars="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投标人需自行承担涉及投标的一切费用（招标文件有其他相反规定除外）。</w:t>
      </w:r>
    </w:p>
    <w:p w14:paraId="0EB0CABE">
      <w:pPr>
        <w:snapToGrid w:val="0"/>
        <w:spacing w:line="440" w:lineRule="exact"/>
        <w:jc w:val="center"/>
        <w:outlineLvl w:val="0"/>
        <w:rPr>
          <w:rFonts w:hint="eastAsia" w:ascii="宋体" w:hAnsi="宋体" w:eastAsia="宋体" w:cs="宋体"/>
          <w:b/>
          <w:color w:val="auto"/>
          <w:sz w:val="32"/>
          <w:highlight w:val="none"/>
        </w:rPr>
      </w:pPr>
      <w:bookmarkStart w:id="26" w:name="_Toc167700914"/>
      <w:bookmarkStart w:id="27" w:name="_Toc165741208"/>
      <w:bookmarkStart w:id="28" w:name="_Toc30251"/>
      <w:bookmarkStart w:id="29" w:name="_Toc97735522"/>
      <w:bookmarkStart w:id="30" w:name="_Toc23704"/>
      <w:r>
        <w:rPr>
          <w:rFonts w:hint="eastAsia" w:ascii="宋体" w:hAnsi="宋体" w:eastAsia="宋体" w:cs="宋体"/>
          <w:b/>
          <w:color w:val="auto"/>
          <w:sz w:val="32"/>
          <w:highlight w:val="none"/>
        </w:rPr>
        <w:t>二、招标文件</w:t>
      </w:r>
      <w:bookmarkEnd w:id="26"/>
      <w:bookmarkEnd w:id="27"/>
      <w:bookmarkEnd w:id="28"/>
      <w:bookmarkEnd w:id="29"/>
      <w:bookmarkEnd w:id="30"/>
    </w:p>
    <w:p w14:paraId="707AE9A8">
      <w:pPr>
        <w:numPr>
          <w:ilvl w:val="0"/>
          <w:numId w:val="8"/>
        </w:numPr>
        <w:spacing w:line="440" w:lineRule="exact"/>
        <w:ind w:firstLine="482" w:firstLineChars="200"/>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招标文件的构成</w:t>
      </w:r>
      <w:bookmarkEnd w:id="31"/>
    </w:p>
    <w:bookmarkEnd w:id="32"/>
    <w:p w14:paraId="7D4A70C8">
      <w:pPr>
        <w:numPr>
          <w:ilvl w:val="0"/>
          <w:numId w:val="11"/>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招标文件包括下列文件及附件</w:t>
      </w:r>
    </w:p>
    <w:p w14:paraId="51CACCED">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4BD147B0">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投标须知</w:t>
      </w:r>
    </w:p>
    <w:p w14:paraId="084380E2">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评标办法及评分标准</w:t>
      </w:r>
    </w:p>
    <w:p w14:paraId="6457AB87">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采购需求</w:t>
      </w:r>
    </w:p>
    <w:p w14:paraId="2B5BB9BE">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采购合同的一般和特殊条款</w:t>
      </w:r>
    </w:p>
    <w:p w14:paraId="0025F2A8">
      <w:pPr>
        <w:numPr>
          <w:ilvl w:val="0"/>
          <w:numId w:val="1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应提交的有关格式范例</w:t>
      </w:r>
    </w:p>
    <w:p w14:paraId="6DF40692">
      <w:pPr>
        <w:numPr>
          <w:ilvl w:val="0"/>
          <w:numId w:val="11"/>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45BB5712">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招标文件的解释</w:t>
      </w:r>
    </w:p>
    <w:p w14:paraId="36E2CCFF">
      <w:pPr>
        <w:numPr>
          <w:ilvl w:val="0"/>
          <w:numId w:val="1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61233AFB">
      <w:pPr>
        <w:numPr>
          <w:ilvl w:val="0"/>
          <w:numId w:val="1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2C1AC795">
      <w:pPr>
        <w:numPr>
          <w:ilvl w:val="0"/>
          <w:numId w:val="1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不论采购代理机构向投标人发送的资料文件，还是投标人提出的问题，均采用书面形式。</w:t>
      </w:r>
    </w:p>
    <w:p w14:paraId="68632A31">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招标文件的修改、澄清</w:t>
      </w:r>
    </w:p>
    <w:p w14:paraId="5B9DF18E">
      <w:pPr>
        <w:numPr>
          <w:ilvl w:val="0"/>
          <w:numId w:val="14"/>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09C6236B">
      <w:pPr>
        <w:numPr>
          <w:ilvl w:val="0"/>
          <w:numId w:val="14"/>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表述不一致或有明显计算错误等内容，评标委员会将对投标人进行询标，并要求投标人作电子澄清（询标由专家在乐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6552DD9C">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1D56458E">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投标报价统一为人民币计价，投标报价包括但不限于清单中货物的设计、制造、供货、发货、运送到指定工地现场、卸货、保险、税费、安装、调试试验和交付使用、货物（设备）在本文规定的质保期内的维修保养，以及为达到安全、满意的运行所必需的所有装配部件及辅助设施等，并应保证货物（设备）在各方面均能达到正常运行要求的费用，以及招标代理费，以及其它一切不可预见和实际所需的一切其他费用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投标人在编写投标方案时应充分考虑各种风险因素，凡投标人漏项、漏报均认为已包含在报价中，结算时不再增加。</w:t>
      </w:r>
    </w:p>
    <w:p w14:paraId="2D2E2F94">
      <w:pPr>
        <w:numPr>
          <w:ilvl w:val="0"/>
          <w:numId w:val="15"/>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其它费用处理</w:t>
      </w:r>
    </w:p>
    <w:p w14:paraId="418550CF">
      <w:pPr>
        <w:tabs>
          <w:tab w:val="left" w:pos="0"/>
        </w:tabs>
        <w:adjustRightInd w:val="0"/>
        <w:spacing w:after="120" w:line="440" w:lineRule="exact"/>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招标文件未列明，而投标人认为必需的费用也需列入报价。</w:t>
      </w:r>
    </w:p>
    <w:p w14:paraId="08D8F4B3">
      <w:pPr>
        <w:numPr>
          <w:ilvl w:val="0"/>
          <w:numId w:val="15"/>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w:t>
      </w:r>
    </w:p>
    <w:p w14:paraId="1BAFA157">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投标文件中价格全部采用人民币报价。报价应是唯一的, 采购代理机构将不接受有选择的报价。</w:t>
      </w:r>
    </w:p>
    <w:p w14:paraId="333C96F0">
      <w:pPr>
        <w:snapToGrid w:val="0"/>
        <w:spacing w:line="440" w:lineRule="exact"/>
        <w:jc w:val="center"/>
        <w:outlineLvl w:val="0"/>
        <w:rPr>
          <w:rFonts w:hint="eastAsia" w:ascii="宋体" w:hAnsi="宋体" w:eastAsia="宋体" w:cs="宋体"/>
          <w:b/>
          <w:color w:val="auto"/>
          <w:sz w:val="32"/>
          <w:highlight w:val="none"/>
        </w:rPr>
      </w:pPr>
      <w:r>
        <w:rPr>
          <w:rFonts w:hint="eastAsia" w:ascii="宋体" w:hAnsi="宋体" w:eastAsia="宋体" w:cs="宋体"/>
          <w:color w:val="auto"/>
          <w:highlight w:val="none"/>
        </w:rPr>
        <w:t xml:space="preserve">    </w:t>
      </w:r>
      <w:bookmarkStart w:id="33" w:name="_Toc165741209"/>
      <w:bookmarkStart w:id="34" w:name="_Toc167700915"/>
      <w:bookmarkStart w:id="35" w:name="_Toc28756"/>
      <w:bookmarkStart w:id="36" w:name="_Toc91899884"/>
      <w:bookmarkStart w:id="37" w:name="_Toc97735523"/>
      <w:bookmarkStart w:id="38" w:name="_Toc18830"/>
      <w:r>
        <w:rPr>
          <w:rFonts w:hint="eastAsia" w:ascii="宋体" w:hAnsi="宋体" w:eastAsia="宋体" w:cs="宋体"/>
          <w:b/>
          <w:color w:val="auto"/>
          <w:sz w:val="32"/>
          <w:highlight w:val="none"/>
        </w:rPr>
        <w:t>三、投标文件的编制</w:t>
      </w:r>
      <w:bookmarkEnd w:id="33"/>
      <w:bookmarkEnd w:id="34"/>
      <w:bookmarkEnd w:id="35"/>
      <w:bookmarkEnd w:id="36"/>
      <w:bookmarkEnd w:id="37"/>
      <w:bookmarkEnd w:id="38"/>
    </w:p>
    <w:p w14:paraId="6B61FEB7">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w:t>
      </w:r>
    </w:p>
    <w:p w14:paraId="39DF2FD7">
      <w:pPr>
        <w:tabs>
          <w:tab w:val="left" w:pos="0"/>
        </w:tabs>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5E5CA47">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p>
    <w:p w14:paraId="7D809DCB">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投标文件应当包括以下主要内容：资格文件、技术文件、商务文件、报价文件。</w:t>
      </w:r>
    </w:p>
    <w:p w14:paraId="45801DC5">
      <w:pPr>
        <w:numPr>
          <w:ilvl w:val="0"/>
          <w:numId w:val="16"/>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资格文件包括以下内容：</w:t>
      </w:r>
    </w:p>
    <w:p w14:paraId="51A3B1E2">
      <w:pPr>
        <w:numPr>
          <w:ilvl w:val="0"/>
          <w:numId w:val="17"/>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266D9A9D">
      <w:pPr>
        <w:numPr>
          <w:ilvl w:val="0"/>
          <w:numId w:val="17"/>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22836B7A">
      <w:p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非政府采购活动，由单位负责人签署相关文件材料；</w:t>
      </w:r>
    </w:p>
    <w:p w14:paraId="36096813">
      <w:pPr>
        <w:numPr>
          <w:ilvl w:val="0"/>
          <w:numId w:val="17"/>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具有履行合同所必需的产品和专业技术能力的承诺函（格式自拟）；</w:t>
      </w:r>
    </w:p>
    <w:p w14:paraId="11FCDABB">
      <w:pPr>
        <w:numPr>
          <w:ilvl w:val="0"/>
          <w:numId w:val="17"/>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投标人承诺函（格式见附件）。</w:t>
      </w:r>
    </w:p>
    <w:p w14:paraId="04F5644A">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技术文件，本次招标需要投标人提供以下项所列的技术文件：</w:t>
      </w:r>
    </w:p>
    <w:p w14:paraId="2D29D0B3">
      <w:pPr>
        <w:numPr>
          <w:ilvl w:val="0"/>
          <w:numId w:val="18"/>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评分对应表（格式见附件，主要用于评委对应评分内容）</w:t>
      </w:r>
    </w:p>
    <w:p w14:paraId="680AB52C">
      <w:pPr>
        <w:numPr>
          <w:ilvl w:val="0"/>
          <w:numId w:val="18"/>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投标项目明细清单（格式见附件）；</w:t>
      </w:r>
    </w:p>
    <w:p w14:paraId="2BEE1A6B">
      <w:pPr>
        <w:numPr>
          <w:ilvl w:val="0"/>
          <w:numId w:val="18"/>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技术响应及建议表（格式见附件）；</w:t>
      </w:r>
    </w:p>
    <w:p w14:paraId="0B0AD82F">
      <w:pPr>
        <w:numPr>
          <w:ilvl w:val="0"/>
          <w:numId w:val="18"/>
        </w:numPr>
        <w:adjustRightInd w:val="0"/>
        <w:spacing w:after="12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技术</w:t>
      </w:r>
      <w:r>
        <w:rPr>
          <w:rFonts w:hint="eastAsia" w:ascii="宋体" w:hAnsi="宋体" w:eastAsia="宋体" w:cs="宋体"/>
          <w:color w:val="auto"/>
          <w:sz w:val="24"/>
          <w:highlight w:val="none"/>
          <w:lang w:val="en-US" w:eastAsia="zh-CN"/>
        </w:rPr>
        <w:t>指标要求；</w:t>
      </w:r>
    </w:p>
    <w:p w14:paraId="05236398">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组织实施方案和技术措施</w:t>
      </w:r>
      <w:r>
        <w:rPr>
          <w:rFonts w:hint="eastAsia" w:ascii="宋体" w:hAnsi="宋体" w:eastAsia="宋体" w:cs="宋体"/>
          <w:color w:val="auto"/>
          <w:sz w:val="24"/>
          <w:highlight w:val="none"/>
        </w:rPr>
        <w:t>；</w:t>
      </w:r>
    </w:p>
    <w:p w14:paraId="087986EF">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质量保证</w:t>
      </w:r>
      <w:r>
        <w:rPr>
          <w:rFonts w:hint="eastAsia" w:ascii="宋体" w:hAnsi="宋体" w:eastAsia="宋体" w:cs="宋体"/>
          <w:color w:val="auto"/>
          <w:sz w:val="24"/>
          <w:highlight w:val="none"/>
        </w:rPr>
        <w:t>；</w:t>
      </w:r>
    </w:p>
    <w:p w14:paraId="191E7686">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安全服务技术方案；</w:t>
      </w:r>
    </w:p>
    <w:p w14:paraId="63A6A2C7">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数据安全保障</w:t>
      </w:r>
      <w:r>
        <w:rPr>
          <w:rFonts w:hint="eastAsia" w:ascii="宋体" w:hAnsi="宋体" w:eastAsia="宋体" w:cs="宋体"/>
          <w:color w:val="auto"/>
          <w:sz w:val="24"/>
          <w:highlight w:val="none"/>
          <w:lang w:eastAsia="zh-CN"/>
        </w:rPr>
        <w:t>；</w:t>
      </w:r>
    </w:p>
    <w:p w14:paraId="1D4CCFA8">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w:t>
      </w:r>
    </w:p>
    <w:p w14:paraId="718860E6">
      <w:pPr>
        <w:numPr>
          <w:ilvl w:val="0"/>
          <w:numId w:val="18"/>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供应商认为需要的其他文件资料。</w:t>
      </w:r>
    </w:p>
    <w:p w14:paraId="52612115">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 商务文件，本次招标需要投标人提供以下项所列的商务文件：</w:t>
      </w:r>
    </w:p>
    <w:p w14:paraId="63DA619C">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评分对应表（格式见附件）</w:t>
      </w:r>
    </w:p>
    <w:p w14:paraId="28282506">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资信分自评表（格式见附件）；</w:t>
      </w:r>
    </w:p>
    <w:p w14:paraId="1DAE9F9F">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商务响应表（格式见附件）；</w:t>
      </w:r>
    </w:p>
    <w:p w14:paraId="77F64422">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项目组人员清单（格式见附件）；</w:t>
      </w:r>
    </w:p>
    <w:p w14:paraId="18F37C7A">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企业业绩；</w:t>
      </w:r>
    </w:p>
    <w:p w14:paraId="5BD86D42">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团队实力；</w:t>
      </w:r>
    </w:p>
    <w:p w14:paraId="50E7D293">
      <w:pPr>
        <w:numPr>
          <w:ilvl w:val="0"/>
          <w:numId w:val="1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企业资质；</w:t>
      </w:r>
    </w:p>
    <w:p w14:paraId="7108ED53">
      <w:pPr>
        <w:numPr>
          <w:ilvl w:val="0"/>
          <w:numId w:val="19"/>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 xml:space="preserve">供应商认为需要的其他文件资料。 </w:t>
      </w:r>
    </w:p>
    <w:p w14:paraId="44E93387">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注：以上内容应与评标办法中内容具有一致性。</w:t>
      </w:r>
    </w:p>
    <w:p w14:paraId="447AEA03">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14:paraId="6D89A9B1">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eastAsia="宋体" w:cs="宋体"/>
          <w:b/>
          <w:bCs/>
          <w:color w:val="auto"/>
          <w:sz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982A579">
      <w:pPr>
        <w:adjustRightInd w:val="0"/>
        <w:spacing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9.4报价文件包括以下内容：</w:t>
      </w:r>
    </w:p>
    <w:p w14:paraId="49F9AC63">
      <w:pPr>
        <w:numPr>
          <w:ilvl w:val="0"/>
          <w:numId w:val="2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投标函（格式见附件）；</w:t>
      </w:r>
    </w:p>
    <w:p w14:paraId="524208F0">
      <w:pPr>
        <w:numPr>
          <w:ilvl w:val="0"/>
          <w:numId w:val="2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开标一览表（格式见附件）；</w:t>
      </w:r>
    </w:p>
    <w:p w14:paraId="2D830588">
      <w:pPr>
        <w:numPr>
          <w:ilvl w:val="0"/>
          <w:numId w:val="2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投标报价明细表（格式见附件）</w:t>
      </w:r>
      <w:r>
        <w:rPr>
          <w:rFonts w:hint="eastAsia" w:ascii="宋体" w:hAnsi="宋体" w:cs="宋体"/>
          <w:color w:val="auto"/>
          <w:sz w:val="24"/>
          <w:highlight w:val="none"/>
          <w:lang w:eastAsia="zh-CN"/>
        </w:rPr>
        <w:t>。</w:t>
      </w:r>
    </w:p>
    <w:p w14:paraId="044ED44C">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投标有效期</w:t>
      </w:r>
    </w:p>
    <w:p w14:paraId="1F5D95E5">
      <w:pPr>
        <w:numPr>
          <w:ilvl w:val="0"/>
          <w:numId w:val="21"/>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投标文件未在投标截止时间前完成传输的或者未按时解密的，视为放弃投标；投标文件解密失败后未提供备份文件或者备份文件也出现异常情况无法进行评审的，亦视为放弃投标。</w:t>
      </w:r>
    </w:p>
    <w:p w14:paraId="6E102F75">
      <w:pPr>
        <w:numPr>
          <w:ilvl w:val="0"/>
          <w:numId w:val="21"/>
        </w:numPr>
        <w:adjustRightInd w:val="0"/>
        <w:spacing w:after="120"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投标文件上传后，自投标截止日期起，在前附表所列的投标有效期内有效。</w:t>
      </w:r>
    </w:p>
    <w:p w14:paraId="16A6A2D5">
      <w:pPr>
        <w:numPr>
          <w:ilvl w:val="0"/>
          <w:numId w:val="21"/>
        </w:numPr>
        <w:adjustRightInd w:val="0"/>
        <w:spacing w:after="120"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在原定投标有效期满之前，如果出现特殊情况，采购代理机构可以以书面形式通知投标人延长投标有效期。</w:t>
      </w:r>
    </w:p>
    <w:p w14:paraId="51B5081B">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投标保证金</w:t>
      </w:r>
    </w:p>
    <w:p w14:paraId="6CDD90F6">
      <w:pPr>
        <w:tabs>
          <w:tab w:val="left" w:pos="0"/>
        </w:tabs>
        <w:adjustRightInd w:val="0"/>
        <w:spacing w:after="120" w:line="440" w:lineRule="exact"/>
        <w:ind w:left="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本项目不设置投标保证金。</w:t>
      </w:r>
    </w:p>
    <w:p w14:paraId="0CD79083">
      <w:pPr>
        <w:spacing w:line="440" w:lineRule="exact"/>
        <w:ind w:left="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11.1投标人如有下列情况之一者列入不良行为记录：</w:t>
      </w:r>
    </w:p>
    <w:p w14:paraId="5CD53532">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 供应商在有效期内撤回投标的；</w:t>
      </w:r>
    </w:p>
    <w:p w14:paraId="0C4F5A71">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 中标人或中标候选人放弃中标或中标候选人资格的；</w:t>
      </w:r>
    </w:p>
    <w:p w14:paraId="3450FB32">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 擅自修改或拒绝接受已经确认的条款；</w:t>
      </w:r>
    </w:p>
    <w:p w14:paraId="193D8CCB">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中标人未按规定与采购人签订合同；</w:t>
      </w:r>
    </w:p>
    <w:p w14:paraId="1797ECCE">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11.1.5未按规定提供履约保证金；</w:t>
      </w:r>
    </w:p>
    <w:p w14:paraId="67920383">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11.1.6 供应商采取提供虚假资料等不正当手段的；</w:t>
      </w:r>
    </w:p>
    <w:p w14:paraId="56F200AA">
      <w:pPr>
        <w:tabs>
          <w:tab w:val="left" w:pos="0"/>
        </w:tabs>
        <w:adjustRightInd w:val="0"/>
        <w:spacing w:before="156" w:after="120" w:line="440" w:lineRule="exact"/>
        <w:ind w:left="40" w:lef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11.1.7 供应商在投标过程中串通投标的。</w:t>
      </w:r>
    </w:p>
    <w:p w14:paraId="241570B5">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投标文件的编制和签署</w:t>
      </w:r>
    </w:p>
    <w:p w14:paraId="4BB33A3A">
      <w:pPr>
        <w:numPr>
          <w:ilvl w:val="0"/>
          <w:numId w:val="2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按招标文件9.1条、9.2条、9.3条、9.4条要求提供的各种文件，投标文件分为资格文件、技术文件、商务文件和报价文件四部分。</w:t>
      </w:r>
    </w:p>
    <w:p w14:paraId="386D18C8">
      <w:pPr>
        <w:numPr>
          <w:ilvl w:val="0"/>
          <w:numId w:val="2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投标文件须按附件格式要求进行电子签章，投标人应写全称。（电子投标文件中所须加盖公章部分均应采用电子签章）</w:t>
      </w:r>
    </w:p>
    <w:p w14:paraId="6CF47239">
      <w:pPr>
        <w:numPr>
          <w:ilvl w:val="0"/>
          <w:numId w:val="2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079E9B19">
      <w:pPr>
        <w:numPr>
          <w:ilvl w:val="0"/>
          <w:numId w:val="22"/>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由于字迹模糊或表达不清引起的后果由投标人负责。</w:t>
      </w:r>
    </w:p>
    <w:p w14:paraId="45BB0666">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投标文件的形式</w:t>
      </w:r>
    </w:p>
    <w:p w14:paraId="3317E373">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投标文件为电子投标文件，电子投标文件按“乐采云供应商项目采购-电子招投标操作指南”及本招标文件要求制作、加密传输。 </w:t>
      </w:r>
    </w:p>
    <w:p w14:paraId="3A3E58EF">
      <w:pPr>
        <w:snapToGrid w:val="0"/>
        <w:spacing w:line="440" w:lineRule="exact"/>
        <w:jc w:val="center"/>
        <w:outlineLvl w:val="0"/>
        <w:rPr>
          <w:rFonts w:hint="eastAsia" w:ascii="宋体" w:hAnsi="宋体" w:eastAsia="宋体" w:cs="宋体"/>
          <w:b/>
          <w:color w:val="auto"/>
          <w:sz w:val="32"/>
          <w:highlight w:val="none"/>
        </w:rPr>
      </w:pPr>
      <w:bookmarkStart w:id="39" w:name="_Toc167700916"/>
      <w:bookmarkStart w:id="40" w:name="_Toc165741210"/>
      <w:bookmarkStart w:id="41" w:name="_Toc97735524"/>
      <w:bookmarkStart w:id="42" w:name="_Toc779"/>
      <w:bookmarkStart w:id="43" w:name="_Toc21798"/>
      <w:r>
        <w:rPr>
          <w:rFonts w:hint="eastAsia" w:ascii="宋体" w:hAnsi="宋体" w:eastAsia="宋体" w:cs="宋体"/>
          <w:b/>
          <w:color w:val="auto"/>
          <w:sz w:val="32"/>
          <w:highlight w:val="none"/>
        </w:rPr>
        <w:t>四、投标文件的递交</w:t>
      </w:r>
      <w:bookmarkEnd w:id="39"/>
      <w:bookmarkEnd w:id="40"/>
      <w:bookmarkEnd w:id="41"/>
      <w:bookmarkEnd w:id="42"/>
      <w:bookmarkEnd w:id="43"/>
    </w:p>
    <w:p w14:paraId="077882A4">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投标截止期</w:t>
      </w:r>
    </w:p>
    <w:p w14:paraId="0908733F">
      <w:pPr>
        <w:numPr>
          <w:ilvl w:val="0"/>
          <w:numId w:val="2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投标文件必须在规定的投标截止时间前在乐采云系统内完成传输，以纸质、电报、电话、传真形式的投标概不接受。为应对投标文件解密失败等异常情况，投标人可指派授权代表在投标截止时间之前到达开标地点提交备份文件。</w:t>
      </w:r>
    </w:p>
    <w:p w14:paraId="3E359824">
      <w:pPr>
        <w:numPr>
          <w:ilvl w:val="0"/>
          <w:numId w:val="23"/>
        </w:numPr>
        <w:adjustRightInd w:val="0"/>
        <w:spacing w:after="120"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采购人因故推迟投标截止时间，将以公告形式通知。在这种情况下，采购人和投标人的权利和义务将受到新的截止时间的约束。</w:t>
      </w:r>
    </w:p>
    <w:p w14:paraId="46CFDD0B">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投标文件的修改、撤销</w:t>
      </w:r>
    </w:p>
    <w:p w14:paraId="2D8ECC02">
      <w:pPr>
        <w:tabs>
          <w:tab w:val="left" w:pos="0"/>
        </w:tabs>
        <w:adjustRightInd w:val="0"/>
        <w:spacing w:after="120"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73ED6E27">
      <w:pPr>
        <w:snapToGrid w:val="0"/>
        <w:spacing w:line="440" w:lineRule="exact"/>
        <w:jc w:val="center"/>
        <w:outlineLvl w:val="0"/>
        <w:rPr>
          <w:rFonts w:hint="eastAsia" w:ascii="宋体" w:hAnsi="宋体" w:eastAsia="宋体" w:cs="宋体"/>
          <w:b/>
          <w:color w:val="auto"/>
          <w:sz w:val="32"/>
          <w:highlight w:val="none"/>
        </w:rPr>
      </w:pPr>
      <w:bookmarkStart w:id="44" w:name="_Toc165741211"/>
      <w:bookmarkStart w:id="45" w:name="_Toc2830"/>
      <w:bookmarkStart w:id="46" w:name="_Toc167700917"/>
      <w:bookmarkStart w:id="47" w:name="_Toc4691"/>
      <w:bookmarkStart w:id="48" w:name="_Toc97735525"/>
      <w:bookmarkStart w:id="49" w:name="_Toc91899897"/>
      <w:r>
        <w:rPr>
          <w:rFonts w:hint="eastAsia" w:ascii="宋体" w:hAnsi="宋体" w:eastAsia="宋体" w:cs="宋体"/>
          <w:b/>
          <w:color w:val="auto"/>
          <w:sz w:val="32"/>
          <w:highlight w:val="none"/>
        </w:rPr>
        <w:t>五、开标</w:t>
      </w:r>
      <w:bookmarkEnd w:id="44"/>
      <w:bookmarkEnd w:id="45"/>
      <w:bookmarkEnd w:id="46"/>
      <w:bookmarkEnd w:id="47"/>
      <w:bookmarkEnd w:id="48"/>
      <w:bookmarkEnd w:id="49"/>
    </w:p>
    <w:p w14:paraId="328EA012">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w:t>
      </w:r>
    </w:p>
    <w:p w14:paraId="12875393">
      <w:pPr>
        <w:numPr>
          <w:ilvl w:val="0"/>
          <w:numId w:val="2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在投标截止时间前按规定提交投标文件的投标人在三家（含）以上的，由采购人或采购代理机构组织进行开标。</w:t>
      </w:r>
    </w:p>
    <w:p w14:paraId="550E6533">
      <w:pPr>
        <w:numPr>
          <w:ilvl w:val="0"/>
          <w:numId w:val="24"/>
        </w:num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1"/>
          <w:highlight w:val="none"/>
        </w:rPr>
        <w:t>投标人登录乐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ascii="宋体" w:hAnsi="宋体" w:eastAsia="宋体" w:cs="宋体"/>
          <w:color w:val="auto"/>
          <w:sz w:val="24"/>
          <w:highlight w:val="none"/>
        </w:rPr>
        <w:t>备份文件（后缀名为.bfbs）须存储在U盘中，与上传的电子投标文件一致，用信封进行密封并盖章，由授权代表在投标截止时间前递交至开标地点。</w:t>
      </w:r>
    </w:p>
    <w:p w14:paraId="54456AE7">
      <w:pPr>
        <w:numPr>
          <w:ilvl w:val="0"/>
          <w:numId w:val="2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采购人按招标文件规定的时间、地点公开开标。开标仪式由采购人或采购代理机构主持及有关人员参加。</w:t>
      </w:r>
    </w:p>
    <w:p w14:paraId="09931421">
      <w:pPr>
        <w:numPr>
          <w:ilvl w:val="0"/>
          <w:numId w:val="24"/>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ascii="宋体" w:hAnsi="宋体" w:eastAsia="宋体" w:cs="宋体"/>
          <w:color w:val="auto"/>
          <w:sz w:val="24"/>
          <w:szCs w:val="20"/>
          <w:highlight w:val="none"/>
        </w:rPr>
        <w:t xml:space="preserve"> 若电子投标文件正常解锁，则U盘退还给供应商；若解锁失败，则由采购代理机构将U盘中的备份文件上传，该U盘将由采购代理机构保存。</w:t>
      </w:r>
    </w:p>
    <w:p w14:paraId="7DA1889B">
      <w:pPr>
        <w:tabs>
          <w:tab w:val="left" w:pos="0"/>
        </w:tabs>
        <w:adjustRightInd w:val="0"/>
        <w:spacing w:after="120" w:line="440" w:lineRule="exact"/>
        <w:ind w:left="480"/>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国企采购活动的，应当对所有联合体成员进行信用记录查询，联合体成员存在不良信用记录的，视同联合体存在不良信用记录。</w:t>
      </w:r>
    </w:p>
    <w:p w14:paraId="75C7E36D">
      <w:pPr>
        <w:snapToGrid w:val="0"/>
        <w:spacing w:line="440" w:lineRule="exact"/>
        <w:jc w:val="center"/>
        <w:outlineLvl w:val="0"/>
        <w:rPr>
          <w:rFonts w:hint="eastAsia" w:ascii="宋体" w:hAnsi="宋体" w:eastAsia="宋体" w:cs="宋体"/>
          <w:b/>
          <w:color w:val="auto"/>
          <w:sz w:val="32"/>
          <w:highlight w:val="none"/>
        </w:rPr>
      </w:pPr>
      <w:bookmarkStart w:id="50" w:name="_Toc12016"/>
      <w:bookmarkStart w:id="51" w:name="_Toc165741212"/>
      <w:bookmarkStart w:id="52" w:name="_Toc97735526"/>
      <w:bookmarkStart w:id="53" w:name="_Toc167700918"/>
      <w:bookmarkStart w:id="54" w:name="_Toc27954"/>
      <w:r>
        <w:rPr>
          <w:rFonts w:hint="eastAsia" w:ascii="宋体" w:hAnsi="宋体" w:eastAsia="宋体" w:cs="宋体"/>
          <w:b/>
          <w:color w:val="auto"/>
          <w:sz w:val="32"/>
          <w:highlight w:val="none"/>
        </w:rPr>
        <w:t>六、资格审查</w:t>
      </w:r>
      <w:bookmarkEnd w:id="50"/>
      <w:bookmarkEnd w:id="51"/>
      <w:bookmarkEnd w:id="52"/>
      <w:bookmarkEnd w:id="53"/>
      <w:bookmarkEnd w:id="54"/>
    </w:p>
    <w:p w14:paraId="712EADB0">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w:t>
      </w:r>
    </w:p>
    <w:p w14:paraId="1F77C1BB">
      <w:pPr>
        <w:numPr>
          <w:ilvl w:val="0"/>
          <w:numId w:val="25"/>
        </w:numPr>
        <w:adjustRightInd w:val="0"/>
        <w:spacing w:after="120" w:line="440" w:lineRule="exact"/>
        <w:ind w:firstLine="480" w:firstLineChars="200"/>
        <w:rPr>
          <w:rFonts w:hint="eastAsia" w:ascii="宋体" w:hAnsi="宋体" w:eastAsia="宋体" w:cs="宋体"/>
          <w:color w:val="auto"/>
          <w:sz w:val="24"/>
          <w:highlight w:val="none"/>
        </w:rPr>
      </w:pPr>
      <w:bookmarkStart w:id="55" w:name="_Hlt75236101"/>
      <w:bookmarkEnd w:id="55"/>
      <w:r>
        <w:rPr>
          <w:rFonts w:hint="eastAsia" w:ascii="宋体" w:hAnsi="宋体" w:eastAsia="宋体" w:cs="宋体"/>
          <w:color w:val="auto"/>
          <w:sz w:val="24"/>
          <w:highlight w:val="none"/>
        </w:rPr>
        <w:t>开标后，采购人或采购代理机构将依法对投标人的资格进行审查；</w:t>
      </w:r>
    </w:p>
    <w:p w14:paraId="69D2EC42">
      <w:pPr>
        <w:numPr>
          <w:ilvl w:val="0"/>
          <w:numId w:val="25"/>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FE9C805">
      <w:pPr>
        <w:numPr>
          <w:ilvl w:val="0"/>
          <w:numId w:val="25"/>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采购人或采购代理机构将通过“信用中国”网站(www.creditchina.gov.cn)、中国政府采购网(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)渠道查询投标人开标后评标前的信用记录，经查询投标人列入失信被执行人名单、重大税收违法案件当事人名单、政府采购严重违法失信行为记录名单的，其投标无效；</w:t>
      </w:r>
    </w:p>
    <w:p w14:paraId="426EA8BB">
      <w:pPr>
        <w:numPr>
          <w:ilvl w:val="0"/>
          <w:numId w:val="25"/>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0672C91E">
      <w:pPr>
        <w:snapToGrid w:val="0"/>
        <w:spacing w:line="440" w:lineRule="exact"/>
        <w:jc w:val="center"/>
        <w:outlineLvl w:val="0"/>
        <w:rPr>
          <w:rFonts w:hint="eastAsia" w:ascii="宋体" w:hAnsi="宋体" w:eastAsia="宋体" w:cs="宋体"/>
          <w:b/>
          <w:color w:val="auto"/>
          <w:sz w:val="32"/>
          <w:highlight w:val="none"/>
        </w:rPr>
      </w:pPr>
      <w:bookmarkStart w:id="56" w:name="_Toc23150"/>
      <w:bookmarkStart w:id="57" w:name="_Toc97735527"/>
      <w:bookmarkStart w:id="58" w:name="_Toc167700919"/>
      <w:bookmarkStart w:id="59" w:name="_Toc20131"/>
      <w:bookmarkStart w:id="60" w:name="_Toc165741213"/>
      <w:r>
        <w:rPr>
          <w:rFonts w:hint="eastAsia" w:ascii="宋体" w:hAnsi="宋体" w:eastAsia="宋体" w:cs="宋体"/>
          <w:b/>
          <w:color w:val="auto"/>
          <w:sz w:val="32"/>
          <w:highlight w:val="none"/>
        </w:rPr>
        <w:t>七、评标</w:t>
      </w:r>
      <w:bookmarkEnd w:id="56"/>
      <w:bookmarkEnd w:id="57"/>
      <w:bookmarkEnd w:id="58"/>
      <w:bookmarkEnd w:id="59"/>
      <w:bookmarkEnd w:id="60"/>
    </w:p>
    <w:p w14:paraId="57317988">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评标原则</w:t>
      </w:r>
    </w:p>
    <w:p w14:paraId="51C8C617">
      <w:pPr>
        <w:numPr>
          <w:ilvl w:val="0"/>
          <w:numId w:val="26"/>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竞争优选；</w:t>
      </w:r>
    </w:p>
    <w:p w14:paraId="764B8870">
      <w:pPr>
        <w:numPr>
          <w:ilvl w:val="0"/>
          <w:numId w:val="26"/>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坚持公开</w:t>
      </w:r>
      <w:r>
        <w:rPr>
          <w:rFonts w:hint="eastAsia" w:ascii="宋体" w:hAnsi="宋体" w:eastAsia="宋体" w:cs="宋体"/>
          <w:color w:val="auto"/>
          <w:sz w:val="24"/>
          <w:highlight w:val="none"/>
        </w:rPr>
        <w:t>、公平、公正、科学合理</w:t>
      </w:r>
      <w:r>
        <w:rPr>
          <w:rFonts w:hint="eastAsia" w:ascii="宋体" w:hAnsi="宋体" w:eastAsia="宋体" w:cs="宋体"/>
          <w:color w:val="auto"/>
          <w:sz w:val="24"/>
          <w:highlight w:val="none"/>
          <w:lang w:val="zh-CN"/>
        </w:rPr>
        <w:t>的原则；</w:t>
      </w:r>
    </w:p>
    <w:p w14:paraId="17379067">
      <w:pPr>
        <w:numPr>
          <w:ilvl w:val="0"/>
          <w:numId w:val="26"/>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价格合理，方案、产品先进可行；</w:t>
      </w:r>
    </w:p>
    <w:p w14:paraId="72BFFBC2">
      <w:pPr>
        <w:numPr>
          <w:ilvl w:val="0"/>
          <w:numId w:val="26"/>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反对不正当竞争。</w:t>
      </w:r>
    </w:p>
    <w:p w14:paraId="4979DF98">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评标组织</w:t>
      </w:r>
    </w:p>
    <w:p w14:paraId="4BE8D018">
      <w:pPr>
        <w:numPr>
          <w:ilvl w:val="0"/>
          <w:numId w:val="27"/>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评标委员会由采购人代表和评审专家组成，成员人数应当为5人以上单数，其中评审专家不得少于成员总数的三分之二；</w:t>
      </w:r>
    </w:p>
    <w:p w14:paraId="5EA0DF68">
      <w:pPr>
        <w:numPr>
          <w:ilvl w:val="0"/>
          <w:numId w:val="27"/>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评标工作由评标委员会负责，并推选产生的组长主持。</w:t>
      </w:r>
    </w:p>
    <w:p w14:paraId="738C0079">
      <w:pPr>
        <w:numPr>
          <w:ilvl w:val="0"/>
          <w:numId w:val="27"/>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本次评标为在线评标。</w:t>
      </w:r>
    </w:p>
    <w:p w14:paraId="438DADEF">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w:t>
      </w:r>
    </w:p>
    <w:p w14:paraId="11CE5556">
      <w:pPr>
        <w:spacing w:line="440" w:lineRule="exact"/>
        <w:ind w:firstLine="465" w:firstLineChars="194"/>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本项目评标办法是</w:t>
      </w:r>
      <w:r>
        <w:rPr>
          <w:rFonts w:hint="eastAsia" w:ascii="宋体" w:hAnsi="宋体" w:eastAsia="宋体" w:cs="宋体"/>
          <w:b/>
          <w:color w:val="auto"/>
          <w:kern w:val="0"/>
          <w:sz w:val="24"/>
          <w:szCs w:val="20"/>
          <w:highlight w:val="none"/>
        </w:rPr>
        <w:t>综合评分法</w:t>
      </w:r>
      <w:r>
        <w:rPr>
          <w:rFonts w:hint="eastAsia" w:ascii="宋体" w:hAnsi="宋体" w:eastAsia="宋体" w:cs="宋体"/>
          <w:color w:val="auto"/>
          <w:kern w:val="0"/>
          <w:sz w:val="24"/>
          <w:szCs w:val="20"/>
          <w:highlight w:val="none"/>
        </w:rPr>
        <w:t>，具体评标内容及评分标准等详见招标文件第三部分。</w:t>
      </w:r>
    </w:p>
    <w:p w14:paraId="6A26305A">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投标文件符合性审查</w:t>
      </w:r>
    </w:p>
    <w:p w14:paraId="7661244D">
      <w:pPr>
        <w:numPr>
          <w:ilvl w:val="0"/>
          <w:numId w:val="28"/>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47966F05">
      <w:pPr>
        <w:numPr>
          <w:ilvl w:val="0"/>
          <w:numId w:val="28"/>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77176865">
      <w:pPr>
        <w:numPr>
          <w:ilvl w:val="0"/>
          <w:numId w:val="28"/>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4C15EF5B">
      <w:pPr>
        <w:numPr>
          <w:ilvl w:val="0"/>
          <w:numId w:val="28"/>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48CF3474">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修正原则</w:t>
      </w:r>
    </w:p>
    <w:p w14:paraId="7A45B87F">
      <w:pPr>
        <w:adjustRightInd w:val="0"/>
        <w:spacing w:after="120" w:line="440" w:lineRule="exact"/>
        <w:ind w:left="420" w:left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投标文件报价出现前后不一致的，按照下列规定修正：</w:t>
      </w:r>
    </w:p>
    <w:p w14:paraId="5933EA27">
      <w:pPr>
        <w:numPr>
          <w:ilvl w:val="0"/>
          <w:numId w:val="29"/>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投标文件中投标（开标）一览表内容与投标文件中相应内容不一致的，以投标（开标）一览表为准；</w:t>
      </w:r>
    </w:p>
    <w:p w14:paraId="33394710">
      <w:pPr>
        <w:numPr>
          <w:ilvl w:val="0"/>
          <w:numId w:val="29"/>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大写金额和小写金额不一致的，以大写金额为准；</w:t>
      </w:r>
    </w:p>
    <w:p w14:paraId="2CC27F81">
      <w:pPr>
        <w:numPr>
          <w:ilvl w:val="0"/>
          <w:numId w:val="29"/>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单价金额小数点或者百分比有明显错位的，以投标（开标）一览表的总价为准，并修改单价；</w:t>
      </w:r>
    </w:p>
    <w:p w14:paraId="0076E78F">
      <w:pPr>
        <w:numPr>
          <w:ilvl w:val="0"/>
          <w:numId w:val="29"/>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总价金额与按单价汇总金额不一致的，以单价金额计算结果为准。</w:t>
      </w:r>
    </w:p>
    <w:p w14:paraId="7FE5AB91">
      <w:p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0B138297">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投标文件的澄清</w:t>
      </w:r>
    </w:p>
    <w:p w14:paraId="3CABDE17">
      <w:pPr>
        <w:numPr>
          <w:ilvl w:val="0"/>
          <w:numId w:val="30"/>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中因投标文件含义不明、表述不一致或有明显计算错误等内容需要供应商作出澄清、说明或者补正的，评标委员会和供应商应当通过乐采云平台交换数据电文，给予供应商提交澄清说明或补正的时间不少于半小时，供应商已经明确表示澄清说明或补正完毕的除外。</w:t>
      </w:r>
    </w:p>
    <w:p w14:paraId="518A2F87">
      <w:pPr>
        <w:numPr>
          <w:ilvl w:val="0"/>
          <w:numId w:val="30"/>
        </w:numPr>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供应商通过乐采云平台交换的数据电文必须进行电子签章。</w:t>
      </w:r>
    </w:p>
    <w:p w14:paraId="2CFC3081">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无效投标</w:t>
      </w:r>
    </w:p>
    <w:p w14:paraId="04237DA6">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14:paraId="7A1C0E0A">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未按照招标文件规定要求签署、盖章的；</w:t>
      </w:r>
    </w:p>
    <w:p w14:paraId="37135BE7">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 xml:space="preserve">《法定代表人授权书》填写不全、错误、未加盖投标人公章（公章和签字或盖章缺一不可）； </w:t>
      </w:r>
    </w:p>
    <w:p w14:paraId="04462D14">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个体工商户的身份证明与营业执照不一致的；</w:t>
      </w:r>
    </w:p>
    <w:p w14:paraId="49D8AB84">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投标文件中的投标函未加盖投标人的企业公章或填写不全的；</w:t>
      </w:r>
    </w:p>
    <w:p w14:paraId="11D743ED">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报价一经涂改，未在涂改处加盖投标单位公章或者未经法定代表人或其授权代表签字或盖章的；</w:t>
      </w:r>
    </w:p>
    <w:p w14:paraId="4CD47A43">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因未按规定的格式填写，内容不全或主要实质性内容字迹模糊辨认不清,经评标委员会认定为无法评审的；</w:t>
      </w:r>
    </w:p>
    <w:p w14:paraId="683F5FE4">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出现同一标的物或本次招标产品(服务)内的主要产品(重要组成部分)出现技术、商务描述不一致或前后描述不一致，经评标委员会认定后为无法评审的；</w:t>
      </w:r>
    </w:p>
    <w:p w14:paraId="33997CC5">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投标详细配置清单响应表不真实填写或弄虚作假的；改变招标文件提供的清单中的计量单位、工程数量；</w:t>
      </w:r>
    </w:p>
    <w:p w14:paraId="3988804F">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对招标产品技术规格未详细应答，致使其技术文件无法评审的；</w:t>
      </w:r>
    </w:p>
    <w:p w14:paraId="1511CC47">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投标文件有招标方不能接受的条件；</w:t>
      </w:r>
    </w:p>
    <w:p w14:paraId="07D8D98A">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2BD5ADD8">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投标报价超过预算金额或最高限价的；</w:t>
      </w:r>
    </w:p>
    <w:p w14:paraId="7937FEF0">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投标文件“商务技术文件资料”部分中出现《开标一览表》或《投标报价明细表》相关内容的；</w:t>
      </w:r>
    </w:p>
    <w:p w14:paraId="30FD9CE0">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评标委员会认定有重大偏差或实质性不响应招标文件要求的，即“★”的关键性指标及技术参数要求负偏离或缺漏；</w:t>
      </w:r>
    </w:p>
    <w:p w14:paraId="5AAB444D">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投标人拒绝按招标文件规定的修正原则对投标文件进行修改的；</w:t>
      </w:r>
    </w:p>
    <w:p w14:paraId="37176265">
      <w:pPr>
        <w:numPr>
          <w:ilvl w:val="0"/>
          <w:numId w:val="31"/>
        </w:num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有下列情形之一的，视为投标人串通投标，其投标无效：</w:t>
      </w:r>
    </w:p>
    <w:p w14:paraId="48F558CF">
      <w:pPr>
        <w:tabs>
          <w:tab w:val="left" w:pos="0"/>
        </w:tabs>
        <w:spacing w:line="440" w:lineRule="exact"/>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24.16.1不同投标人的投标文件由同一单位或者个人编制；</w:t>
      </w:r>
    </w:p>
    <w:p w14:paraId="3C9B3990">
      <w:pPr>
        <w:tabs>
          <w:tab w:val="left" w:pos="0"/>
        </w:tabs>
        <w:spacing w:line="440" w:lineRule="exact"/>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24.16.2不同投标人委托同一单位或者个人办理投标事宜；</w:t>
      </w:r>
    </w:p>
    <w:p w14:paraId="7FEB873C">
      <w:pPr>
        <w:tabs>
          <w:tab w:val="left" w:pos="0"/>
        </w:tabs>
        <w:spacing w:line="440" w:lineRule="exact"/>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24.16.3不同投标人的投标文件载明的项目管理成员或者联系人员为同一人；</w:t>
      </w:r>
    </w:p>
    <w:p w14:paraId="62289AD4">
      <w:pPr>
        <w:tabs>
          <w:tab w:val="left" w:pos="0"/>
        </w:tabs>
        <w:spacing w:line="440" w:lineRule="exact"/>
        <w:ind w:left="420" w:left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24.16.4不同投标人的投标文件异常一致或者投标报价呈规律性差异；</w:t>
      </w:r>
    </w:p>
    <w:p w14:paraId="218005EE">
      <w:pPr>
        <w:tabs>
          <w:tab w:val="left" w:pos="0"/>
        </w:tabs>
        <w:spacing w:line="440" w:lineRule="exact"/>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 </w:t>
      </w:r>
    </w:p>
    <w:p w14:paraId="7501ADD4">
      <w:pPr>
        <w:tabs>
          <w:tab w:val="left" w:pos="0"/>
        </w:tabs>
        <w:spacing w:line="440" w:lineRule="exact"/>
        <w:ind w:firstLine="472" w:firstLineChars="196"/>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24.17其他违反法律、法规的情形。</w:t>
      </w:r>
    </w:p>
    <w:p w14:paraId="4AD9DE5B">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废标</w:t>
      </w:r>
    </w:p>
    <w:p w14:paraId="1F27178D">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根据《上虞区区属国有企业货物和服务采购管理办法》</w:t>
      </w:r>
      <w:r>
        <w:rPr>
          <w:rFonts w:hint="eastAsia" w:ascii="宋体" w:hAnsi="宋体" w:eastAsia="宋体" w:cs="宋体"/>
          <w:color w:val="auto"/>
          <w:sz w:val="24"/>
          <w:szCs w:val="21"/>
          <w:highlight w:val="none"/>
        </w:rPr>
        <w:t>第四十二条之规定：在公开招标采购中，出现下列情形之一的，应予终止采购程序或废标：</w:t>
      </w:r>
    </w:p>
    <w:p w14:paraId="60E64CE5">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（一）符合专业条件的供应商或者对采购文件作实质响应的供应商不足3家；</w:t>
      </w:r>
    </w:p>
    <w:p w14:paraId="22BD6BD2">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（二）出现影响采购公正的违法、违规行为；</w:t>
      </w:r>
    </w:p>
    <w:p w14:paraId="6F4060C1">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（三）投标人的报价均超过了采购预算；</w:t>
      </w:r>
    </w:p>
    <w:p w14:paraId="654D9397">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（四）因重大变故，采购任务取消。</w:t>
      </w:r>
    </w:p>
    <w:p w14:paraId="3B187B87">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终止采购程序或废标后，采购人应当将决定及相关理由及时通知所有投标供应商；评审现场废标决定由采购人根据评标委员会提出的废标意见作出；非评审现场废标决定原则上由采购人主管部门作出，另有约定的除外。除采购任务取消情形外，应当重新组织招标。</w:t>
      </w:r>
    </w:p>
    <w:p w14:paraId="6204E621">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zh-CN"/>
        </w:rPr>
        <w:t>中止电子交易活动和</w:t>
      </w:r>
      <w:r>
        <w:rPr>
          <w:rFonts w:hint="eastAsia" w:ascii="宋体" w:hAnsi="宋体" w:eastAsia="宋体" w:cs="宋体"/>
          <w:b/>
          <w:color w:val="auto"/>
          <w:sz w:val="24"/>
          <w:highlight w:val="none"/>
        </w:rPr>
        <w:t>重新组织采购</w:t>
      </w:r>
    </w:p>
    <w:p w14:paraId="3DA9C2F4">
      <w:pPr>
        <w:tabs>
          <w:tab w:val="left" w:pos="0"/>
        </w:tabs>
        <w:adjustRightInd w:val="0"/>
        <w:spacing w:after="120"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26.1</w:t>
      </w:r>
      <w:r>
        <w:rPr>
          <w:rFonts w:hint="eastAsia" w:ascii="宋体" w:hAnsi="宋体" w:eastAsia="宋体" w:cs="宋体"/>
          <w:color w:val="auto"/>
          <w:sz w:val="24"/>
          <w:highlight w:val="none"/>
          <w:lang w:val="zh-CN"/>
        </w:rPr>
        <w:t>采购过程中出现以下情形，导致电子交易平台无法正常运行，或者无法保证电子交易的公平、公正和安全时，采购组织机构可中止电子交易活动：</w:t>
      </w:r>
    </w:p>
    <w:p w14:paraId="6125404F">
      <w:pPr>
        <w:numPr>
          <w:ilvl w:val="0"/>
          <w:numId w:val="32"/>
        </w:numPr>
        <w:tabs>
          <w:tab w:val="left" w:pos="0"/>
        </w:tabs>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电子交易平台发生故障而无法登录访问的； </w:t>
      </w:r>
    </w:p>
    <w:p w14:paraId="3D5B1682">
      <w:pPr>
        <w:numPr>
          <w:ilvl w:val="0"/>
          <w:numId w:val="32"/>
        </w:numPr>
        <w:tabs>
          <w:tab w:val="left" w:pos="0"/>
        </w:tabs>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电子交易平台应用或数据库出现错误，不能进行正常操作的；</w:t>
      </w:r>
    </w:p>
    <w:p w14:paraId="4AAE9E13">
      <w:pPr>
        <w:numPr>
          <w:ilvl w:val="0"/>
          <w:numId w:val="32"/>
        </w:numPr>
        <w:tabs>
          <w:tab w:val="left" w:pos="0"/>
        </w:tabs>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电子交易平台发现严重安全漏洞，有潜在泄密危险的；</w:t>
      </w:r>
    </w:p>
    <w:p w14:paraId="7C57AA37">
      <w:pPr>
        <w:numPr>
          <w:ilvl w:val="0"/>
          <w:numId w:val="32"/>
        </w:numPr>
        <w:tabs>
          <w:tab w:val="left" w:pos="0"/>
        </w:tabs>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病毒发作导致不能进行正常操作的； </w:t>
      </w:r>
    </w:p>
    <w:p w14:paraId="67BB3EFA">
      <w:pPr>
        <w:numPr>
          <w:ilvl w:val="0"/>
          <w:numId w:val="32"/>
        </w:numPr>
        <w:tabs>
          <w:tab w:val="left" w:pos="0"/>
        </w:tabs>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其他无法保证电子交易的公平、公正和安全的情况。</w:t>
      </w:r>
    </w:p>
    <w:p w14:paraId="710790B1">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822082">
      <w:pPr>
        <w:numPr>
          <w:ilvl w:val="0"/>
          <w:numId w:val="8"/>
        </w:num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保密及其它注意事项</w:t>
      </w:r>
    </w:p>
    <w:p w14:paraId="62126A5E">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评标是招标工作的重要环节，评标工作由评标委员会独立进行。评标委员会将遵照评标原则，公正、平等地对待所有投标人；</w:t>
      </w:r>
    </w:p>
    <w:p w14:paraId="259E1287">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在开标、投标期间，投标人不得向评委询问评标情况，不得进行旨在影响评标结果的活动。采购人不得在中标人确定前，与投标人就投标价格、投标方案等实质性内容进行谈判；</w:t>
      </w:r>
    </w:p>
    <w:p w14:paraId="1FEEB4DC">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为保证定标的公正性，在评标过程中，评委不得与投标人私下交换意见。在招标工作结束后，凡与评标情况有接触的任何人，不得也不应将评标情况扩散出评委人员之外；</w:t>
      </w:r>
    </w:p>
    <w:p w14:paraId="0AC77D71">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投标人相互之间，或与采购人相互不得串通投标，不得排挤其他投标人的公平竞争，损害采购人或者其他投标人的合法权益；</w:t>
      </w:r>
    </w:p>
    <w:p w14:paraId="680E3EA1">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评标委员会不向投标人解释未中标的原因；</w:t>
      </w:r>
    </w:p>
    <w:p w14:paraId="7ACD7B18">
      <w:pPr>
        <w:numPr>
          <w:ilvl w:val="0"/>
          <w:numId w:val="33"/>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特别说明：乐采云公司如对电子化开标及评审程序有调整的，按调整后的程序操作。</w:t>
      </w:r>
    </w:p>
    <w:p w14:paraId="4AE3C460">
      <w:pPr>
        <w:snapToGrid w:val="0"/>
        <w:spacing w:line="440" w:lineRule="exact"/>
        <w:jc w:val="center"/>
        <w:outlineLvl w:val="0"/>
        <w:rPr>
          <w:rFonts w:hint="eastAsia" w:ascii="宋体" w:hAnsi="宋体" w:eastAsia="宋体" w:cs="宋体"/>
          <w:b/>
          <w:color w:val="auto"/>
          <w:sz w:val="32"/>
          <w:highlight w:val="none"/>
        </w:rPr>
      </w:pPr>
      <w:bookmarkStart w:id="61" w:name="_Toc28560"/>
      <w:bookmarkStart w:id="62" w:name="_Toc167700920"/>
      <w:r>
        <w:rPr>
          <w:rFonts w:hint="eastAsia" w:ascii="宋体" w:hAnsi="宋体" w:eastAsia="宋体" w:cs="宋体"/>
          <w:b/>
          <w:color w:val="auto"/>
          <w:sz w:val="32"/>
          <w:highlight w:val="none"/>
        </w:rPr>
        <w:t>八、定 标</w:t>
      </w:r>
      <w:bookmarkEnd w:id="61"/>
      <w:bookmarkEnd w:id="62"/>
    </w:p>
    <w:p w14:paraId="3B134DBF">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28.1项目由评标委员会根据第三章《评标办法与评分标准》规定提出中标候选人排序。</w:t>
      </w:r>
    </w:p>
    <w:p w14:paraId="168B52FF">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28.2采购代理机构应当在评标结束后2个工作日内将评标报告送采购人。</w:t>
      </w:r>
    </w:p>
    <w:p w14:paraId="3A550360">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2A3AC29">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14:paraId="3F1C8DF0">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28.5中标人应携带介绍信自行前往采购代理机构领取中标通知书。</w:t>
      </w:r>
    </w:p>
    <w:p w14:paraId="701F9BEB">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28.6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382C6382">
      <w:pPr>
        <w:snapToGrid w:val="0"/>
        <w:spacing w:line="440" w:lineRule="exact"/>
        <w:jc w:val="center"/>
        <w:outlineLvl w:val="0"/>
        <w:rPr>
          <w:rFonts w:hint="eastAsia" w:ascii="宋体" w:hAnsi="宋体" w:eastAsia="宋体" w:cs="宋体"/>
          <w:b/>
          <w:color w:val="auto"/>
          <w:sz w:val="32"/>
          <w:highlight w:val="none"/>
        </w:rPr>
      </w:pPr>
      <w:bookmarkStart w:id="63" w:name="_Toc10939"/>
      <w:bookmarkStart w:id="64" w:name="_Toc165741215"/>
      <w:bookmarkStart w:id="65" w:name="_Toc167700921"/>
      <w:r>
        <w:rPr>
          <w:rFonts w:hint="eastAsia" w:ascii="宋体" w:hAnsi="宋体" w:eastAsia="宋体" w:cs="宋体"/>
          <w:b/>
          <w:color w:val="auto"/>
          <w:sz w:val="32"/>
          <w:highlight w:val="none"/>
        </w:rPr>
        <w:t>九、合同签订及其他</w:t>
      </w:r>
      <w:bookmarkEnd w:id="63"/>
      <w:bookmarkEnd w:id="64"/>
      <w:bookmarkEnd w:id="65"/>
    </w:p>
    <w:p w14:paraId="1A197D95">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634EB283">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0C256966">
      <w:pPr>
        <w:spacing w:line="440" w:lineRule="exact"/>
        <w:ind w:left="420" w:left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30.履约保证金</w:t>
      </w:r>
    </w:p>
    <w:p w14:paraId="07B24BB6">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0"/>
          <w:highlight w:val="none"/>
        </w:rPr>
        <w:t>中标人在收到中标通知书后，需向采购人提供合同价</w:t>
      </w:r>
      <w:r>
        <w:rPr>
          <w:rFonts w:hint="eastAsia" w:ascii="宋体" w:hAnsi="宋体" w:eastAsia="宋体" w:cs="宋体"/>
          <w:color w:val="auto"/>
          <w:kern w:val="0"/>
          <w:sz w:val="24"/>
          <w:szCs w:val="20"/>
          <w:highlight w:val="none"/>
          <w:u w:val="single"/>
        </w:rPr>
        <w:t>　1　</w:t>
      </w:r>
      <w:r>
        <w:rPr>
          <w:rFonts w:hint="eastAsia" w:ascii="宋体" w:hAnsi="宋体" w:eastAsia="宋体" w:cs="宋体"/>
          <w:color w:val="auto"/>
          <w:kern w:val="0"/>
          <w:sz w:val="24"/>
          <w:szCs w:val="20"/>
          <w:highlight w:val="none"/>
        </w:rPr>
        <w:t>%的履约保证金，在中标人与采购人签订合同前递交。（投标人应当以支票、汇票、本票或者金融机构、保险公司、担保机构出具的保函等非现金形式提交）。</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货物到场检验合格后无息退还。</w:t>
      </w:r>
    </w:p>
    <w:p w14:paraId="49644E97">
      <w:pPr>
        <w:spacing w:line="440" w:lineRule="exact"/>
        <w:ind w:left="420" w:left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31.验收</w:t>
      </w:r>
    </w:p>
    <w:p w14:paraId="2BCB7688">
      <w:pPr>
        <w:pStyle w:val="35"/>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408FBB">
      <w:pPr>
        <w:pStyle w:val="35"/>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11ACBACF">
      <w:pPr>
        <w:tabs>
          <w:tab w:val="left" w:pos="0"/>
        </w:tabs>
        <w:adjustRightInd w:val="0"/>
        <w:spacing w:after="120"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31.3采购人负责加强对中标人的履约管理，并按照采购合同约定，及时向中标人支付采购资金。对于中标人违反采购合同约定的行为，采购人应当及时处理，依法追究其违约责任。</w:t>
      </w:r>
    </w:p>
    <w:p w14:paraId="5B01B1AC">
      <w:pPr>
        <w:spacing w:line="440" w:lineRule="exact"/>
        <w:ind w:left="420" w:left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32.</w:t>
      </w:r>
      <w:r>
        <w:rPr>
          <w:rFonts w:hint="eastAsia" w:ascii="宋体" w:hAnsi="宋体" w:eastAsia="宋体" w:cs="宋体"/>
          <w:b/>
          <w:color w:val="auto"/>
          <w:sz w:val="24"/>
          <w:highlight w:val="none"/>
          <w:lang w:val="en-US" w:eastAsia="zh-CN"/>
        </w:rPr>
        <w:t>付款方式及要求</w:t>
      </w:r>
    </w:p>
    <w:p w14:paraId="1C5AE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44C542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货物运至采购人指定仓库或者施工现场，</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货物到场检验合格后支付</w:t>
      </w:r>
      <w:r>
        <w:rPr>
          <w:rFonts w:hint="eastAsia" w:ascii="宋体" w:hAnsi="宋体" w:eastAsia="宋体" w:cs="宋体"/>
          <w:color w:val="auto"/>
          <w:sz w:val="24"/>
          <w:highlight w:val="none"/>
          <w:lang w:val="en-US" w:eastAsia="zh-CN"/>
        </w:rPr>
        <w:t>至合同价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全部安装完成并正常使用后支付至合同价的95%并无息退还履约保证金，</w:t>
      </w:r>
      <w:r>
        <w:rPr>
          <w:rFonts w:hint="eastAsia" w:ascii="宋体" w:hAnsi="宋体" w:eastAsia="宋体" w:cs="宋体"/>
          <w:color w:val="auto"/>
          <w:sz w:val="24"/>
          <w:highlight w:val="none"/>
        </w:rPr>
        <w:t>剩余5%</w:t>
      </w:r>
      <w:r>
        <w:rPr>
          <w:rFonts w:hint="eastAsia" w:ascii="宋体" w:hAnsi="宋体" w:eastAsia="宋体" w:cs="宋体"/>
          <w:color w:val="auto"/>
          <w:sz w:val="24"/>
          <w:highlight w:val="none"/>
          <w:lang w:val="en-US" w:eastAsia="zh-CN"/>
        </w:rPr>
        <w:t>合同价款待</w:t>
      </w:r>
      <w:r>
        <w:rPr>
          <w:rFonts w:hint="eastAsia" w:ascii="宋体" w:hAnsi="宋体" w:eastAsia="宋体" w:cs="宋体"/>
          <w:color w:val="auto"/>
          <w:sz w:val="24"/>
          <w:highlight w:val="none"/>
        </w:rPr>
        <w:t>质保期满</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后支付（不计息）。</w:t>
      </w:r>
    </w:p>
    <w:p w14:paraId="214B7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二、付款要求：</w:t>
      </w:r>
    </w:p>
    <w:p w14:paraId="40D21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供应商在收款之前，应向采购人提供等额、合法、有效的增值税发票，采购人凭增值税发票付款。如供应商未按约定提供增值税发票的，采购人有权拒绝付款，直至收到供应商提交的相应增值税发票为止，在此情况下，采购人不承担逾期付款违约责任。</w:t>
      </w:r>
    </w:p>
    <w:p w14:paraId="058A5162">
      <w:pPr>
        <w:spacing w:line="440" w:lineRule="exact"/>
        <w:ind w:left="420" w:left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33.售后服务考核</w:t>
      </w:r>
    </w:p>
    <w:p w14:paraId="622E72C1">
      <w:pPr>
        <w:tabs>
          <w:tab w:val="left" w:pos="0"/>
        </w:tabs>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采购代理机构将配合采购人主管部门不定期对合同的履约情况进行检查，发现弄虚作假，偷工减料，以次充好，达不到国家、行业有关标准和技术文件规定的，一经查实，由有关职能部门给与相应处罚。</w:t>
      </w:r>
    </w:p>
    <w:p w14:paraId="4A984F1C">
      <w:pPr>
        <w:pStyle w:val="2"/>
        <w:ind w:left="0" w:leftChars="0" w:firstLine="0" w:firstLineChars="0"/>
        <w:jc w:val="center"/>
        <w:rPr>
          <w:rFonts w:hint="eastAsia" w:ascii="宋体" w:hAnsi="宋体" w:eastAsia="宋体" w:cs="宋体"/>
          <w:b/>
          <w:color w:val="auto"/>
          <w:sz w:val="32"/>
          <w:highlight w:val="none"/>
        </w:rPr>
      </w:pPr>
      <w:bookmarkStart w:id="66" w:name="_Toc23920"/>
      <w:bookmarkStart w:id="67" w:name="_Toc5717"/>
      <w:bookmarkStart w:id="68" w:name="_Toc10926"/>
      <w:bookmarkStart w:id="69" w:name="_Toc165741216"/>
      <w:r>
        <w:rPr>
          <w:rFonts w:hint="eastAsia" w:ascii="宋体" w:hAnsi="宋体" w:eastAsia="宋体" w:cs="宋体"/>
          <w:b/>
          <w:color w:val="auto"/>
          <w:sz w:val="32"/>
          <w:highlight w:val="none"/>
        </w:rPr>
        <w:t>十、质疑与投诉</w:t>
      </w:r>
      <w:bookmarkEnd w:id="66"/>
      <w:bookmarkEnd w:id="67"/>
      <w:bookmarkEnd w:id="68"/>
      <w:bookmarkEnd w:id="69"/>
    </w:p>
    <w:p w14:paraId="28BA0F17">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参照《上虞区区属国有企业货物和服务采购管理办法》的规定，国企采购供应商可以依法提起质疑和投诉。</w:t>
      </w:r>
    </w:p>
    <w:p w14:paraId="26BF8755">
      <w:pPr>
        <w:spacing w:line="440" w:lineRule="exact"/>
        <w:ind w:left="420" w:left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34.</w:t>
      </w:r>
      <w:r>
        <w:rPr>
          <w:rFonts w:hint="eastAsia" w:ascii="宋体" w:hAnsi="宋体" w:eastAsia="宋体" w:cs="宋体"/>
          <w:b/>
          <w:color w:val="auto"/>
          <w:sz w:val="24"/>
          <w:highlight w:val="none"/>
          <w:lang w:val="zh-CN"/>
        </w:rPr>
        <w:t>供应商询问</w:t>
      </w:r>
    </w:p>
    <w:p w14:paraId="45A92AD8">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供应商对国企采购活动事项有疑问的，可以向采购机构提出询问，采购人或者招标代理机构应当在3个工作日内对供应商依法提出的询问作出答复，但答复的内容不得涉及商业秘密。</w:t>
      </w:r>
    </w:p>
    <w:p w14:paraId="249F4B71">
      <w:pPr>
        <w:spacing w:line="440" w:lineRule="exact"/>
        <w:ind w:left="420" w:left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35.</w:t>
      </w:r>
      <w:r>
        <w:rPr>
          <w:rFonts w:hint="eastAsia" w:ascii="宋体" w:hAnsi="宋体" w:eastAsia="宋体" w:cs="宋体"/>
          <w:b/>
          <w:color w:val="auto"/>
          <w:sz w:val="24"/>
          <w:highlight w:val="none"/>
          <w:lang w:val="zh-CN"/>
        </w:rPr>
        <w:t>供应商质疑</w:t>
      </w:r>
    </w:p>
    <w:p w14:paraId="4CA92614">
      <w:pPr>
        <w:spacing w:line="440" w:lineRule="exact"/>
        <w:ind w:firstLine="482" w:firstLine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参照</w:t>
      </w:r>
      <w:r>
        <w:rPr>
          <w:rFonts w:hint="eastAsia" w:ascii="宋体" w:hAnsi="宋体" w:eastAsia="宋体" w:cs="宋体"/>
          <w:b/>
          <w:color w:val="auto"/>
          <w:sz w:val="24"/>
          <w:szCs w:val="21"/>
          <w:highlight w:val="none"/>
          <w:lang w:val="zh-CN"/>
        </w:rPr>
        <w:t>《上虞区区属国有企业货物和服务采购管理办法》第四十九条</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val="zh-CN"/>
        </w:rPr>
        <w:t>规定</w:t>
      </w:r>
    </w:p>
    <w:p w14:paraId="1A8057AB">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35.1</w:t>
      </w:r>
      <w:r>
        <w:rPr>
          <w:rFonts w:hint="eastAsia" w:ascii="宋体" w:hAnsi="宋体" w:eastAsia="宋体" w:cs="宋体"/>
          <w:color w:val="auto"/>
          <w:sz w:val="24"/>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r>
        <w:rPr>
          <w:rFonts w:hint="eastAsia" w:ascii="宋体" w:hAnsi="宋体" w:eastAsia="宋体" w:cs="宋体"/>
          <w:color w:val="auto"/>
          <w:sz w:val="24"/>
          <w:highlight w:val="none"/>
        </w:rPr>
        <w:br w:type="textWrapping"/>
      </w:r>
      <w:r>
        <w:rPr>
          <w:rFonts w:hint="eastAsia" w:ascii="宋体" w:hAnsi="宋体" w:eastAsia="宋体" w:cs="宋体"/>
          <w:color w:val="auto"/>
          <w:sz w:val="24"/>
          <w:szCs w:val="21"/>
          <w:highlight w:val="none"/>
        </w:rPr>
        <w:t>  《上虞区区属国有企业货物和服务采购管理办法》第四十九条规定的供应商应知其权益受到损害之日，是指：</w:t>
      </w:r>
    </w:p>
    <w:p w14:paraId="26D011DB">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（一）对可以质疑的采购文件提出质疑的，为收到采购文件之日或者采购文件公告期限届满之日（公告期限届满后获取采购文件的，以公告期限届满之日为准）；</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xml:space="preserve">    （二）对采购过程提出质疑的，为各采购程序环节结束之日；</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xml:space="preserve">    （三）对中标或者成交结果提出质疑的，为中标或者成交结果公告期限届满之日。</w:t>
      </w:r>
    </w:p>
    <w:p w14:paraId="0B3D10AF">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采购评审专家（评标委员会、采购小组）应当协助采购人或者采购代理机构答复供应商的询问和质疑。</w:t>
      </w:r>
    </w:p>
    <w:p w14:paraId="2869CA79">
      <w:pPr>
        <w:spacing w:line="440" w:lineRule="exact"/>
        <w:ind w:firstLine="482" w:firstLine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供应商在法定质疑期内应一次性提出针对同一采购程序环节的质疑，否则质疑将不予受理。</w:t>
      </w:r>
    </w:p>
    <w:p w14:paraId="770DA408">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35.2供应商提交的质疑书需一式三份，由法定代表人签字（或盖章）并加盖单位公章。质疑书至少应包括下列主要内容：</w:t>
      </w:r>
    </w:p>
    <w:p w14:paraId="4E5B95CF">
      <w:pPr>
        <w:numPr>
          <w:ilvl w:val="0"/>
          <w:numId w:val="3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质疑人的名称、地址、邮政编码、联系人、联系电话，以及被质疑人名称及联系方式；</w:t>
      </w:r>
    </w:p>
    <w:p w14:paraId="31BD7518">
      <w:pPr>
        <w:numPr>
          <w:ilvl w:val="0"/>
          <w:numId w:val="3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被质疑采购项目名称、编号及采购内容；</w:t>
      </w:r>
    </w:p>
    <w:p w14:paraId="73E62580">
      <w:pPr>
        <w:numPr>
          <w:ilvl w:val="0"/>
          <w:numId w:val="3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具体的质疑事项及事实依据；</w:t>
      </w:r>
    </w:p>
    <w:p w14:paraId="51D3BB47">
      <w:pPr>
        <w:numPr>
          <w:ilvl w:val="0"/>
          <w:numId w:val="3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认为自己合法权益受到损害或可能受到损害的相关证据材料；</w:t>
      </w:r>
    </w:p>
    <w:p w14:paraId="13163B9A">
      <w:pPr>
        <w:numPr>
          <w:ilvl w:val="0"/>
          <w:numId w:val="34"/>
        </w:num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提出质疑的日期。</w:t>
      </w:r>
    </w:p>
    <w:p w14:paraId="34D39536">
      <w:pPr>
        <w:spacing w:line="440" w:lineRule="exact"/>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未按上述内容填写的质疑书将不予受理。</w:t>
      </w:r>
    </w:p>
    <w:p w14:paraId="12185590">
      <w:pPr>
        <w:tabs>
          <w:tab w:val="left" w:pos="0"/>
        </w:tabs>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14:paraId="262A2D1F">
      <w:pPr>
        <w:tabs>
          <w:tab w:val="left" w:pos="0"/>
        </w:tabs>
        <w:adjustRightInd w:val="0"/>
        <w:spacing w:after="120"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35.4询问或者质疑事项可能影响采购结果的，采购人应当暂停签订合同，已经签订合同的，应当中止履行合同。</w:t>
      </w:r>
    </w:p>
    <w:p w14:paraId="70169B39">
      <w:pPr>
        <w:spacing w:line="440" w:lineRule="exact"/>
        <w:ind w:left="420" w:left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36</w:t>
      </w:r>
      <w:r>
        <w:rPr>
          <w:rFonts w:hint="eastAsia" w:ascii="宋体" w:hAnsi="宋体" w:eastAsia="宋体" w:cs="宋体"/>
          <w:b/>
          <w:color w:val="auto"/>
          <w:sz w:val="24"/>
          <w:highlight w:val="none"/>
          <w:lang w:val="zh-CN"/>
        </w:rPr>
        <w:t>供应商投诉</w:t>
      </w:r>
    </w:p>
    <w:p w14:paraId="17CC3130">
      <w:pPr>
        <w:spacing w:line="440" w:lineRule="exact"/>
        <w:ind w:left="420" w:left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参照</w:t>
      </w:r>
      <w:r>
        <w:rPr>
          <w:rFonts w:hint="eastAsia" w:ascii="宋体" w:hAnsi="宋体" w:eastAsia="宋体" w:cs="宋体"/>
          <w:b/>
          <w:color w:val="auto"/>
          <w:sz w:val="24"/>
          <w:highlight w:val="none"/>
          <w:lang w:val="zh-CN"/>
        </w:rPr>
        <w:t>《上虞区区属国有企业货物和服务采购管理办法》第五十条的规定</w:t>
      </w:r>
    </w:p>
    <w:p w14:paraId="78D0E7B1">
      <w:pPr>
        <w:tabs>
          <w:tab w:val="left" w:pos="0"/>
        </w:tabs>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36.1供应商质疑、投诉应当有明确的请求和必要的证明材料，供应商投诉的事项不得超出已质疑事项的范围，不符合上述要求的投诉将不予受理。</w:t>
      </w:r>
    </w:p>
    <w:p w14:paraId="187C2F45">
      <w:pPr>
        <w:tabs>
          <w:tab w:val="left" w:pos="0"/>
        </w:tabs>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36.2质疑供应商对质疑的答复不满意，或者采购人或采购代理机构未在规定时间内答复的，可以在收到答复之日或者答复期满后15个工作日内依法向采购人主管部门投诉。采购人主 管部门应当在30个工作日内调查并回应。投诉事项调查期间，采购人主管部门应当通知采购人暂停采购活动。投诉人提交投诉件时，应当提供相关书面证据、依据和其他有关材料。</w:t>
      </w:r>
    </w:p>
    <w:p w14:paraId="224514F4">
      <w:pPr>
        <w:pStyle w:val="2"/>
        <w:ind w:left="0" w:leftChars="0" w:firstLine="0" w:firstLineChars="0"/>
        <w:jc w:val="both"/>
        <w:rPr>
          <w:rFonts w:hint="eastAsia" w:ascii="宋体" w:hAnsi="宋体" w:eastAsia="宋体" w:cs="宋体"/>
          <w:color w:val="auto"/>
          <w:sz w:val="24"/>
          <w:highlight w:val="none"/>
        </w:rPr>
      </w:pPr>
    </w:p>
    <w:p w14:paraId="14BF9C2A">
      <w:pPr>
        <w:spacing w:after="156" w:afterLines="50" w:line="360" w:lineRule="auto"/>
        <w:jc w:val="center"/>
        <w:outlineLvl w:val="0"/>
        <w:rPr>
          <w:rFonts w:hint="eastAsia" w:ascii="宋体" w:hAnsi="宋体" w:eastAsia="宋体" w:cs="宋体"/>
          <w:b/>
          <w:color w:val="auto"/>
          <w:sz w:val="36"/>
          <w:szCs w:val="36"/>
          <w:highlight w:val="none"/>
        </w:rPr>
      </w:pPr>
      <w:bookmarkStart w:id="70" w:name="_Toc22368"/>
      <w:bookmarkStart w:id="71" w:name="_Toc167700922"/>
      <w:bookmarkStart w:id="72" w:name="_Toc165741217"/>
      <w:r>
        <w:rPr>
          <w:rFonts w:hint="eastAsia" w:ascii="宋体" w:hAnsi="宋体" w:eastAsia="宋体" w:cs="宋体"/>
          <w:b/>
          <w:color w:val="auto"/>
          <w:sz w:val="36"/>
          <w:szCs w:val="36"/>
          <w:highlight w:val="none"/>
        </w:rPr>
        <w:t xml:space="preserve">第三部分 </w:t>
      </w:r>
      <w:bookmarkStart w:id="73" w:name="_Toc184308051"/>
      <w:bookmarkEnd w:id="73"/>
      <w:bookmarkStart w:id="74" w:name="_Toc184308064"/>
      <w:bookmarkEnd w:id="74"/>
      <w:bookmarkStart w:id="75" w:name="_Toc184308082"/>
      <w:bookmarkEnd w:id="75"/>
      <w:bookmarkStart w:id="76" w:name="_Toc184312093"/>
      <w:bookmarkEnd w:id="76"/>
      <w:bookmarkStart w:id="77" w:name="_Toc184314440"/>
      <w:bookmarkEnd w:id="77"/>
      <w:bookmarkStart w:id="78" w:name="_Toc184310328"/>
      <w:bookmarkEnd w:id="78"/>
      <w:bookmarkStart w:id="79" w:name="_Toc184313302"/>
      <w:bookmarkEnd w:id="79"/>
      <w:bookmarkStart w:id="80" w:name="_Toc184313252"/>
      <w:bookmarkEnd w:id="80"/>
      <w:bookmarkStart w:id="81" w:name="_Toc184312067"/>
      <w:bookmarkEnd w:id="81"/>
      <w:bookmarkStart w:id="82" w:name="_Toc184313254"/>
      <w:bookmarkEnd w:id="82"/>
      <w:bookmarkStart w:id="83" w:name="_Toc184310318"/>
      <w:bookmarkEnd w:id="83"/>
      <w:bookmarkStart w:id="84" w:name="_Toc184312088"/>
      <w:bookmarkEnd w:id="84"/>
      <w:bookmarkStart w:id="85" w:name="_Toc184314427"/>
      <w:bookmarkEnd w:id="85"/>
      <w:bookmarkStart w:id="86" w:name="_Toc184314421"/>
      <w:bookmarkEnd w:id="86"/>
      <w:bookmarkStart w:id="87" w:name="_Toc184314473"/>
      <w:bookmarkEnd w:id="87"/>
      <w:bookmarkStart w:id="88" w:name="_Toc184310291"/>
      <w:bookmarkEnd w:id="88"/>
      <w:bookmarkStart w:id="89" w:name="_Toc184310334"/>
      <w:bookmarkEnd w:id="89"/>
      <w:bookmarkStart w:id="90" w:name="_Toc184308089"/>
      <w:bookmarkEnd w:id="90"/>
      <w:bookmarkStart w:id="91" w:name="_Toc184314459"/>
      <w:bookmarkEnd w:id="91"/>
      <w:bookmarkStart w:id="92" w:name="_Toc184308061"/>
      <w:bookmarkEnd w:id="92"/>
      <w:bookmarkStart w:id="93" w:name="_Toc184313290"/>
      <w:bookmarkEnd w:id="93"/>
      <w:bookmarkStart w:id="94" w:name="_Toc184310313"/>
      <w:bookmarkEnd w:id="94"/>
      <w:bookmarkStart w:id="95" w:name="_Toc184308103"/>
      <w:bookmarkEnd w:id="95"/>
      <w:bookmarkStart w:id="96" w:name="_Toc184313262"/>
      <w:bookmarkEnd w:id="96"/>
      <w:bookmarkStart w:id="97" w:name="_Toc184312106"/>
      <w:bookmarkEnd w:id="97"/>
      <w:bookmarkStart w:id="98" w:name="_Toc184314472"/>
      <w:bookmarkEnd w:id="98"/>
      <w:bookmarkStart w:id="99" w:name="_Toc184314475"/>
      <w:bookmarkEnd w:id="99"/>
      <w:bookmarkStart w:id="100" w:name="_Toc184310321"/>
      <w:bookmarkEnd w:id="100"/>
      <w:bookmarkStart w:id="101" w:name="_Toc184313275"/>
      <w:bookmarkEnd w:id="101"/>
      <w:bookmarkStart w:id="102" w:name="_Toc184312098"/>
      <w:bookmarkEnd w:id="102"/>
      <w:bookmarkStart w:id="103" w:name="_Toc184308056"/>
      <w:bookmarkEnd w:id="103"/>
      <w:bookmarkStart w:id="104" w:name="_Toc184308101"/>
      <w:bookmarkEnd w:id="104"/>
      <w:bookmarkStart w:id="105" w:name="_Toc184310333"/>
      <w:bookmarkEnd w:id="105"/>
      <w:bookmarkStart w:id="106" w:name="_Toc184313293"/>
      <w:bookmarkEnd w:id="106"/>
      <w:bookmarkStart w:id="107" w:name="_Toc184312080"/>
      <w:bookmarkEnd w:id="107"/>
      <w:bookmarkStart w:id="108" w:name="_Toc184313255"/>
      <w:bookmarkEnd w:id="108"/>
      <w:bookmarkStart w:id="109" w:name="_Toc184308041"/>
      <w:bookmarkEnd w:id="109"/>
      <w:bookmarkStart w:id="110" w:name="_Toc184310288"/>
      <w:bookmarkEnd w:id="110"/>
      <w:bookmarkStart w:id="111" w:name="_Toc184312133"/>
      <w:bookmarkEnd w:id="111"/>
      <w:bookmarkStart w:id="112" w:name="_Toc184313297"/>
      <w:bookmarkEnd w:id="112"/>
      <w:bookmarkStart w:id="113" w:name="_Toc184312102"/>
      <w:bookmarkEnd w:id="113"/>
      <w:bookmarkStart w:id="114" w:name="_Toc184314414"/>
      <w:bookmarkEnd w:id="114"/>
      <w:bookmarkStart w:id="115" w:name="_Toc184314424"/>
      <w:bookmarkEnd w:id="115"/>
      <w:bookmarkStart w:id="116" w:name="_Toc184312111"/>
      <w:bookmarkEnd w:id="116"/>
      <w:bookmarkStart w:id="117" w:name="_Toc184312095"/>
      <w:bookmarkEnd w:id="117"/>
      <w:bookmarkStart w:id="118" w:name="_Toc184314448"/>
      <w:bookmarkEnd w:id="118"/>
      <w:bookmarkStart w:id="119" w:name="_Toc184314480"/>
      <w:bookmarkEnd w:id="119"/>
      <w:bookmarkStart w:id="120" w:name="_Toc184314455"/>
      <w:bookmarkEnd w:id="120"/>
      <w:bookmarkStart w:id="121" w:name="_Toc184314462"/>
      <w:bookmarkEnd w:id="121"/>
      <w:bookmarkStart w:id="122" w:name="_Toc184312114"/>
      <w:bookmarkEnd w:id="122"/>
      <w:bookmarkStart w:id="123" w:name="_Toc184312116"/>
      <w:bookmarkEnd w:id="123"/>
      <w:bookmarkStart w:id="124" w:name="_Toc184310280"/>
      <w:bookmarkEnd w:id="124"/>
      <w:bookmarkStart w:id="125" w:name="_Toc184314418"/>
      <w:bookmarkEnd w:id="125"/>
      <w:bookmarkStart w:id="126" w:name="_Toc184313303"/>
      <w:bookmarkEnd w:id="126"/>
      <w:bookmarkStart w:id="127" w:name="_Toc184314482"/>
      <w:bookmarkEnd w:id="127"/>
      <w:bookmarkStart w:id="128" w:name="_Toc184310294"/>
      <w:bookmarkEnd w:id="128"/>
      <w:bookmarkStart w:id="129" w:name="_Toc184310343"/>
      <w:bookmarkEnd w:id="129"/>
      <w:bookmarkStart w:id="130" w:name="_Toc184314470"/>
      <w:bookmarkEnd w:id="130"/>
      <w:bookmarkStart w:id="131" w:name="_Toc184310274"/>
      <w:bookmarkEnd w:id="131"/>
      <w:bookmarkStart w:id="132" w:name="_Toc184312136"/>
      <w:bookmarkEnd w:id="132"/>
      <w:bookmarkStart w:id="133" w:name="_Toc184310272"/>
      <w:bookmarkEnd w:id="133"/>
      <w:bookmarkStart w:id="134" w:name="_Toc184310308"/>
      <w:bookmarkEnd w:id="134"/>
      <w:bookmarkStart w:id="135" w:name="_Toc184312125"/>
      <w:bookmarkEnd w:id="135"/>
      <w:bookmarkStart w:id="136" w:name="_Toc184312096"/>
      <w:bookmarkEnd w:id="136"/>
      <w:bookmarkStart w:id="137" w:name="_Toc184313308"/>
      <w:bookmarkEnd w:id="137"/>
      <w:bookmarkStart w:id="138" w:name="_Toc184308071"/>
      <w:bookmarkEnd w:id="138"/>
      <w:bookmarkStart w:id="139" w:name="_Toc184312068"/>
      <w:bookmarkEnd w:id="139"/>
      <w:bookmarkStart w:id="140" w:name="_Toc184308047"/>
      <w:bookmarkEnd w:id="140"/>
      <w:bookmarkStart w:id="141" w:name="_Toc184312120"/>
      <w:bookmarkEnd w:id="141"/>
      <w:bookmarkStart w:id="142" w:name="_Toc184312135"/>
      <w:bookmarkEnd w:id="142"/>
      <w:bookmarkStart w:id="143" w:name="_Toc184312090"/>
      <w:bookmarkEnd w:id="143"/>
      <w:bookmarkStart w:id="144" w:name="_Toc184310298"/>
      <w:bookmarkEnd w:id="144"/>
      <w:bookmarkStart w:id="145" w:name="_Toc184312073"/>
      <w:bookmarkEnd w:id="145"/>
      <w:bookmarkStart w:id="146" w:name="_Toc184308043"/>
      <w:bookmarkEnd w:id="146"/>
      <w:bookmarkStart w:id="147" w:name="_Toc184310325"/>
      <w:bookmarkEnd w:id="147"/>
      <w:bookmarkStart w:id="148" w:name="_Toc184308106"/>
      <w:bookmarkEnd w:id="148"/>
      <w:bookmarkStart w:id="149" w:name="_Toc184314413"/>
      <w:bookmarkEnd w:id="149"/>
      <w:bookmarkStart w:id="150" w:name="_Toc184308087"/>
      <w:bookmarkEnd w:id="150"/>
      <w:bookmarkStart w:id="151" w:name="_Toc184308062"/>
      <w:bookmarkEnd w:id="151"/>
      <w:bookmarkStart w:id="152" w:name="_Toc184310336"/>
      <w:bookmarkEnd w:id="152"/>
      <w:bookmarkStart w:id="153" w:name="_Toc184312122"/>
      <w:bookmarkEnd w:id="153"/>
      <w:bookmarkStart w:id="154" w:name="_Toc184308065"/>
      <w:bookmarkEnd w:id="154"/>
      <w:bookmarkStart w:id="155" w:name="_Toc184314479"/>
      <w:bookmarkEnd w:id="155"/>
      <w:bookmarkStart w:id="156" w:name="_Toc184314457"/>
      <w:bookmarkEnd w:id="156"/>
      <w:bookmarkStart w:id="157" w:name="_Toc184312103"/>
      <w:bookmarkEnd w:id="157"/>
      <w:bookmarkStart w:id="158" w:name="_Toc184312118"/>
      <w:bookmarkEnd w:id="158"/>
      <w:bookmarkStart w:id="159" w:name="_Toc184314433"/>
      <w:bookmarkEnd w:id="159"/>
      <w:bookmarkStart w:id="160" w:name="_Toc184314481"/>
      <w:bookmarkEnd w:id="160"/>
      <w:bookmarkStart w:id="161" w:name="_Toc184310317"/>
      <w:bookmarkEnd w:id="161"/>
      <w:bookmarkStart w:id="162" w:name="_Toc184312075"/>
      <w:bookmarkEnd w:id="162"/>
      <w:bookmarkStart w:id="163" w:name="_Toc184313239"/>
      <w:bookmarkEnd w:id="163"/>
      <w:bookmarkStart w:id="164" w:name="_Toc184313269"/>
      <w:bookmarkEnd w:id="164"/>
      <w:bookmarkStart w:id="165" w:name="_Toc184313281"/>
      <w:bookmarkEnd w:id="165"/>
      <w:bookmarkStart w:id="166" w:name="_Toc184313289"/>
      <w:bookmarkEnd w:id="166"/>
      <w:bookmarkStart w:id="167" w:name="_Toc184312099"/>
      <w:bookmarkEnd w:id="167"/>
      <w:bookmarkStart w:id="168" w:name="_Toc184314429"/>
      <w:bookmarkEnd w:id="168"/>
      <w:bookmarkStart w:id="169" w:name="_Toc184314460"/>
      <w:bookmarkEnd w:id="169"/>
      <w:bookmarkStart w:id="170" w:name="_Toc184314466"/>
      <w:bookmarkEnd w:id="170"/>
      <w:bookmarkStart w:id="171" w:name="_Toc184314467"/>
      <w:bookmarkEnd w:id="171"/>
      <w:bookmarkStart w:id="172" w:name="_Toc184308063"/>
      <w:bookmarkEnd w:id="172"/>
      <w:bookmarkStart w:id="173" w:name="_Toc184314423"/>
      <w:bookmarkEnd w:id="173"/>
      <w:bookmarkStart w:id="174" w:name="_Toc184314410"/>
      <w:bookmarkEnd w:id="174"/>
      <w:bookmarkStart w:id="175" w:name="_Toc184314411"/>
      <w:bookmarkEnd w:id="175"/>
      <w:bookmarkStart w:id="176" w:name="_Toc184314442"/>
      <w:bookmarkEnd w:id="176"/>
      <w:bookmarkStart w:id="177" w:name="_Toc184308094"/>
      <w:bookmarkEnd w:id="177"/>
      <w:bookmarkStart w:id="178" w:name="_Toc184313276"/>
      <w:bookmarkEnd w:id="178"/>
      <w:bookmarkStart w:id="179" w:name="_Toc184308104"/>
      <w:bookmarkEnd w:id="179"/>
      <w:bookmarkStart w:id="180" w:name="_Toc184313296"/>
      <w:bookmarkEnd w:id="180"/>
      <w:bookmarkStart w:id="181" w:name="_Toc184314426"/>
      <w:bookmarkEnd w:id="181"/>
      <w:bookmarkStart w:id="182" w:name="_Toc184308108"/>
      <w:bookmarkEnd w:id="182"/>
      <w:bookmarkStart w:id="183" w:name="_Toc184308099"/>
      <w:bookmarkEnd w:id="183"/>
      <w:bookmarkStart w:id="184" w:name="_Toc184312109"/>
      <w:bookmarkEnd w:id="184"/>
      <w:bookmarkStart w:id="185" w:name="_Toc184312069"/>
      <w:bookmarkEnd w:id="185"/>
      <w:bookmarkStart w:id="186" w:name="_Toc184313277"/>
      <w:bookmarkEnd w:id="186"/>
      <w:bookmarkStart w:id="187" w:name="_Toc184308090"/>
      <w:bookmarkEnd w:id="187"/>
      <w:bookmarkStart w:id="188" w:name="_Toc184313261"/>
      <w:bookmarkEnd w:id="188"/>
      <w:bookmarkStart w:id="189" w:name="_Toc184314471"/>
      <w:bookmarkEnd w:id="189"/>
      <w:bookmarkStart w:id="190" w:name="_Toc184314412"/>
      <w:bookmarkEnd w:id="190"/>
      <w:bookmarkStart w:id="191" w:name="_Toc184312101"/>
      <w:bookmarkEnd w:id="191"/>
      <w:bookmarkStart w:id="192" w:name="_Toc184308073"/>
      <w:bookmarkEnd w:id="192"/>
      <w:bookmarkStart w:id="193" w:name="_Toc184308048"/>
      <w:bookmarkEnd w:id="193"/>
      <w:bookmarkStart w:id="194" w:name="_Toc184312104"/>
      <w:bookmarkEnd w:id="194"/>
      <w:bookmarkStart w:id="195" w:name="_Toc184313267"/>
      <w:bookmarkEnd w:id="195"/>
      <w:bookmarkStart w:id="196" w:name="_Toc184313295"/>
      <w:bookmarkEnd w:id="196"/>
      <w:bookmarkStart w:id="197" w:name="_Toc184308068"/>
      <w:bookmarkEnd w:id="197"/>
      <w:bookmarkStart w:id="198" w:name="_Toc184308044"/>
      <w:bookmarkEnd w:id="198"/>
      <w:bookmarkStart w:id="199" w:name="_Toc184312134"/>
      <w:bookmarkEnd w:id="199"/>
      <w:bookmarkStart w:id="200" w:name="_Toc184314477"/>
      <w:bookmarkEnd w:id="200"/>
      <w:bookmarkStart w:id="201" w:name="_Toc184310335"/>
      <w:bookmarkEnd w:id="201"/>
      <w:bookmarkStart w:id="202" w:name="_Toc184310311"/>
      <w:bookmarkEnd w:id="202"/>
      <w:bookmarkStart w:id="203" w:name="_Toc184314415"/>
      <w:bookmarkEnd w:id="203"/>
      <w:bookmarkStart w:id="204" w:name="_Toc184312130"/>
      <w:bookmarkEnd w:id="204"/>
      <w:bookmarkStart w:id="205" w:name="_Toc184314445"/>
      <w:bookmarkEnd w:id="205"/>
      <w:bookmarkStart w:id="206" w:name="_Toc184312076"/>
      <w:bookmarkEnd w:id="206"/>
      <w:bookmarkStart w:id="207" w:name="_Toc184310304"/>
      <w:bookmarkEnd w:id="207"/>
      <w:bookmarkStart w:id="208" w:name="_Toc184310286"/>
      <w:bookmarkEnd w:id="208"/>
      <w:bookmarkStart w:id="209" w:name="_Toc184313250"/>
      <w:bookmarkEnd w:id="209"/>
      <w:bookmarkStart w:id="210" w:name="_Toc184310338"/>
      <w:bookmarkEnd w:id="210"/>
      <w:bookmarkStart w:id="211" w:name="_Toc184308102"/>
      <w:bookmarkEnd w:id="211"/>
      <w:bookmarkStart w:id="212" w:name="_Toc184310285"/>
      <w:bookmarkEnd w:id="212"/>
      <w:bookmarkStart w:id="213" w:name="_Toc184314422"/>
      <w:bookmarkEnd w:id="213"/>
      <w:bookmarkStart w:id="214" w:name="_Toc184310320"/>
      <w:bookmarkEnd w:id="214"/>
      <w:bookmarkStart w:id="215" w:name="_Toc184313291"/>
      <w:bookmarkEnd w:id="215"/>
      <w:bookmarkStart w:id="216" w:name="_Toc184312078"/>
      <w:bookmarkEnd w:id="216"/>
      <w:bookmarkStart w:id="217" w:name="_Toc184308050"/>
      <w:bookmarkEnd w:id="217"/>
      <w:bookmarkStart w:id="218" w:name="_Toc184314478"/>
      <w:bookmarkEnd w:id="218"/>
      <w:bookmarkStart w:id="219" w:name="_Toc184310306"/>
      <w:bookmarkEnd w:id="219"/>
      <w:bookmarkStart w:id="220" w:name="_Toc184308045"/>
      <w:bookmarkEnd w:id="220"/>
      <w:bookmarkStart w:id="221" w:name="_Toc184313279"/>
      <w:bookmarkEnd w:id="221"/>
      <w:bookmarkStart w:id="222" w:name="_Toc184312127"/>
      <w:bookmarkEnd w:id="222"/>
      <w:bookmarkStart w:id="223" w:name="_Toc184308059"/>
      <w:bookmarkEnd w:id="223"/>
      <w:bookmarkStart w:id="224" w:name="_Toc184313257"/>
      <w:bookmarkEnd w:id="224"/>
      <w:bookmarkStart w:id="225" w:name="_Toc184310322"/>
      <w:bookmarkEnd w:id="225"/>
      <w:bookmarkStart w:id="226" w:name="_Toc184310287"/>
      <w:bookmarkEnd w:id="226"/>
      <w:bookmarkStart w:id="227" w:name="_Toc184313258"/>
      <w:bookmarkEnd w:id="227"/>
      <w:bookmarkStart w:id="228" w:name="_Toc184310309"/>
      <w:bookmarkEnd w:id="228"/>
      <w:bookmarkStart w:id="229" w:name="_Toc184310295"/>
      <w:bookmarkEnd w:id="229"/>
      <w:bookmarkStart w:id="230" w:name="_Toc184313273"/>
      <w:bookmarkEnd w:id="230"/>
      <w:bookmarkStart w:id="231" w:name="_Toc184308083"/>
      <w:bookmarkEnd w:id="231"/>
      <w:bookmarkStart w:id="232" w:name="_Toc184308076"/>
      <w:bookmarkEnd w:id="232"/>
      <w:bookmarkStart w:id="233" w:name="_Toc184310305"/>
      <w:bookmarkEnd w:id="233"/>
      <w:bookmarkStart w:id="234" w:name="_Toc184312105"/>
      <w:bookmarkEnd w:id="234"/>
      <w:bookmarkStart w:id="235" w:name="_Toc184313304"/>
      <w:bookmarkEnd w:id="235"/>
      <w:bookmarkStart w:id="236" w:name="_Toc184313256"/>
      <w:bookmarkEnd w:id="236"/>
      <w:bookmarkStart w:id="237" w:name="_Toc184308057"/>
      <w:bookmarkEnd w:id="237"/>
      <w:bookmarkStart w:id="238" w:name="_Toc184312107"/>
      <w:bookmarkEnd w:id="238"/>
      <w:bookmarkStart w:id="239" w:name="_Toc184308036"/>
      <w:bookmarkEnd w:id="239"/>
      <w:bookmarkStart w:id="240" w:name="_Toc184313306"/>
      <w:bookmarkEnd w:id="240"/>
      <w:bookmarkStart w:id="241" w:name="_Toc184313283"/>
      <w:bookmarkEnd w:id="241"/>
      <w:bookmarkStart w:id="242" w:name="_Toc184313284"/>
      <w:bookmarkEnd w:id="242"/>
      <w:bookmarkStart w:id="243" w:name="_Toc184310327"/>
      <w:bookmarkEnd w:id="243"/>
      <w:bookmarkStart w:id="244" w:name="_Toc184308053"/>
      <w:bookmarkEnd w:id="244"/>
      <w:bookmarkStart w:id="245" w:name="_Toc184313280"/>
      <w:bookmarkEnd w:id="245"/>
      <w:bookmarkStart w:id="246" w:name="_Toc184312108"/>
      <w:bookmarkEnd w:id="246"/>
      <w:bookmarkStart w:id="247" w:name="_Toc184310307"/>
      <w:bookmarkEnd w:id="247"/>
      <w:bookmarkStart w:id="248" w:name="_Toc184308085"/>
      <w:bookmarkEnd w:id="248"/>
      <w:bookmarkStart w:id="249" w:name="_Toc184313274"/>
      <w:bookmarkEnd w:id="249"/>
      <w:bookmarkStart w:id="250" w:name="_Toc184313243"/>
      <w:bookmarkEnd w:id="250"/>
      <w:bookmarkStart w:id="251" w:name="_Toc184314464"/>
      <w:bookmarkEnd w:id="251"/>
      <w:bookmarkStart w:id="252" w:name="_Toc184313259"/>
      <w:bookmarkEnd w:id="252"/>
      <w:bookmarkStart w:id="253" w:name="_Toc184308039"/>
      <w:bookmarkEnd w:id="253"/>
      <w:bookmarkStart w:id="254" w:name="_Toc184308049"/>
      <w:bookmarkEnd w:id="254"/>
      <w:bookmarkStart w:id="255" w:name="_Toc184310292"/>
      <w:bookmarkEnd w:id="255"/>
      <w:bookmarkStart w:id="256" w:name="_Toc184312131"/>
      <w:bookmarkEnd w:id="256"/>
      <w:bookmarkStart w:id="257" w:name="_Toc184313305"/>
      <w:bookmarkEnd w:id="257"/>
      <w:bookmarkStart w:id="258" w:name="_Toc184308098"/>
      <w:bookmarkEnd w:id="258"/>
      <w:bookmarkStart w:id="259" w:name="_Toc184313278"/>
      <w:bookmarkEnd w:id="259"/>
      <w:bookmarkStart w:id="260" w:name="_Toc184308081"/>
      <w:bookmarkEnd w:id="260"/>
      <w:bookmarkStart w:id="261" w:name="_Toc184312084"/>
      <w:bookmarkEnd w:id="261"/>
      <w:bookmarkStart w:id="262" w:name="_Toc184308097"/>
      <w:bookmarkEnd w:id="262"/>
      <w:bookmarkStart w:id="263" w:name="_Toc184310296"/>
      <w:bookmarkEnd w:id="263"/>
      <w:bookmarkStart w:id="264" w:name="_Toc184308075"/>
      <w:bookmarkEnd w:id="264"/>
      <w:bookmarkStart w:id="265" w:name="_Toc184310276"/>
      <w:bookmarkEnd w:id="265"/>
      <w:bookmarkStart w:id="266" w:name="_Toc184314469"/>
      <w:bookmarkEnd w:id="266"/>
      <w:bookmarkStart w:id="267" w:name="_Toc184308037"/>
      <w:bookmarkEnd w:id="267"/>
      <w:bookmarkStart w:id="268" w:name="_Toc184308095"/>
      <w:bookmarkEnd w:id="268"/>
      <w:bookmarkStart w:id="269" w:name="_Toc184314453"/>
      <w:bookmarkEnd w:id="269"/>
      <w:bookmarkStart w:id="270" w:name="_Toc184310279"/>
      <w:bookmarkEnd w:id="270"/>
      <w:bookmarkStart w:id="271" w:name="_Toc184308107"/>
      <w:bookmarkEnd w:id="271"/>
      <w:bookmarkStart w:id="272" w:name="_Toc184314417"/>
      <w:bookmarkEnd w:id="272"/>
      <w:bookmarkStart w:id="273" w:name="_Toc184312087"/>
      <w:bookmarkEnd w:id="273"/>
      <w:bookmarkStart w:id="274" w:name="_Toc184313247"/>
      <w:bookmarkEnd w:id="274"/>
      <w:bookmarkStart w:id="275" w:name="_Toc184308092"/>
      <w:bookmarkEnd w:id="275"/>
      <w:bookmarkStart w:id="276" w:name="_Toc184310337"/>
      <w:bookmarkEnd w:id="276"/>
      <w:bookmarkStart w:id="277" w:name="_Toc184313299"/>
      <w:bookmarkEnd w:id="277"/>
      <w:bookmarkStart w:id="278" w:name="_Toc184312137"/>
      <w:bookmarkEnd w:id="278"/>
      <w:bookmarkStart w:id="279" w:name="_Toc184313241"/>
      <w:bookmarkEnd w:id="279"/>
      <w:bookmarkStart w:id="280" w:name="_Toc184314431"/>
      <w:bookmarkEnd w:id="280"/>
      <w:bookmarkStart w:id="281" w:name="_Toc184312132"/>
      <w:bookmarkEnd w:id="281"/>
      <w:bookmarkStart w:id="282" w:name="_Toc184312083"/>
      <w:bookmarkEnd w:id="282"/>
      <w:bookmarkStart w:id="283" w:name="_Toc184313244"/>
      <w:bookmarkEnd w:id="283"/>
      <w:bookmarkStart w:id="284" w:name="_Toc184313300"/>
      <w:bookmarkEnd w:id="284"/>
      <w:bookmarkStart w:id="285" w:name="_Toc184313242"/>
      <w:bookmarkEnd w:id="285"/>
      <w:bookmarkStart w:id="286" w:name="_Toc184314437"/>
      <w:bookmarkEnd w:id="286"/>
      <w:bookmarkStart w:id="287" w:name="_Toc184314432"/>
      <w:bookmarkEnd w:id="287"/>
      <w:bookmarkStart w:id="288" w:name="_Toc184312091"/>
      <w:bookmarkEnd w:id="288"/>
      <w:bookmarkStart w:id="289" w:name="_Toc184310344"/>
      <w:bookmarkEnd w:id="289"/>
      <w:bookmarkStart w:id="290" w:name="_Toc184312086"/>
      <w:bookmarkEnd w:id="290"/>
      <w:bookmarkStart w:id="291" w:name="_Toc184308096"/>
      <w:bookmarkEnd w:id="291"/>
      <w:bookmarkStart w:id="292" w:name="_Toc184313264"/>
      <w:bookmarkEnd w:id="292"/>
      <w:bookmarkStart w:id="293" w:name="_Toc184308105"/>
      <w:bookmarkEnd w:id="293"/>
      <w:bookmarkStart w:id="294" w:name="_Toc184313268"/>
      <w:bookmarkEnd w:id="294"/>
      <w:bookmarkStart w:id="295" w:name="_Toc184310316"/>
      <w:bookmarkEnd w:id="295"/>
      <w:bookmarkStart w:id="296" w:name="_Toc184313271"/>
      <w:bookmarkEnd w:id="296"/>
      <w:bookmarkStart w:id="297" w:name="_Toc184308079"/>
      <w:bookmarkEnd w:id="297"/>
      <w:bookmarkStart w:id="298" w:name="_Toc184310310"/>
      <w:bookmarkEnd w:id="298"/>
      <w:bookmarkStart w:id="299" w:name="_Toc184310330"/>
      <w:bookmarkEnd w:id="299"/>
      <w:bookmarkStart w:id="300" w:name="_Toc184312082"/>
      <w:bookmarkEnd w:id="300"/>
      <w:bookmarkStart w:id="301" w:name="_Toc184312117"/>
      <w:bookmarkEnd w:id="301"/>
      <w:bookmarkStart w:id="302" w:name="_Toc184314450"/>
      <w:bookmarkEnd w:id="302"/>
      <w:bookmarkStart w:id="303" w:name="_Toc184308060"/>
      <w:bookmarkEnd w:id="303"/>
      <w:bookmarkStart w:id="304" w:name="_Toc184312071"/>
      <w:bookmarkEnd w:id="304"/>
      <w:bookmarkStart w:id="305" w:name="_Toc184314452"/>
      <w:bookmarkEnd w:id="305"/>
      <w:bookmarkStart w:id="306" w:name="_Toc184313248"/>
      <w:bookmarkEnd w:id="306"/>
      <w:bookmarkStart w:id="307" w:name="_Toc184308070"/>
      <w:bookmarkEnd w:id="307"/>
      <w:bookmarkStart w:id="308" w:name="_Toc184308086"/>
      <w:bookmarkEnd w:id="308"/>
      <w:bookmarkStart w:id="309" w:name="_Toc184310324"/>
      <w:bookmarkEnd w:id="309"/>
      <w:bookmarkStart w:id="310" w:name="_Toc184308093"/>
      <w:bookmarkEnd w:id="310"/>
      <w:bookmarkStart w:id="311" w:name="_Toc184308080"/>
      <w:bookmarkEnd w:id="311"/>
      <w:bookmarkStart w:id="312" w:name="_Toc184308054"/>
      <w:bookmarkEnd w:id="312"/>
      <w:bookmarkStart w:id="313" w:name="_Toc184310284"/>
      <w:bookmarkEnd w:id="313"/>
      <w:bookmarkStart w:id="314" w:name="_Toc184310278"/>
      <w:bookmarkEnd w:id="314"/>
      <w:bookmarkStart w:id="315" w:name="_Toc184314468"/>
      <w:bookmarkEnd w:id="315"/>
      <w:bookmarkStart w:id="316" w:name="_Toc184313292"/>
      <w:bookmarkEnd w:id="316"/>
      <w:bookmarkStart w:id="317" w:name="_Toc184314476"/>
      <w:bookmarkEnd w:id="317"/>
      <w:bookmarkStart w:id="318" w:name="_Toc184312115"/>
      <w:bookmarkEnd w:id="318"/>
      <w:bookmarkStart w:id="319" w:name="_Toc184310331"/>
      <w:bookmarkEnd w:id="319"/>
      <w:bookmarkStart w:id="320" w:name="_Toc184313251"/>
      <w:bookmarkEnd w:id="320"/>
      <w:bookmarkStart w:id="321" w:name="_Toc184313253"/>
      <w:bookmarkEnd w:id="321"/>
      <w:bookmarkStart w:id="322" w:name="_Toc184313238"/>
      <w:bookmarkEnd w:id="322"/>
      <w:bookmarkStart w:id="323" w:name="_Toc184313288"/>
      <w:bookmarkEnd w:id="323"/>
      <w:bookmarkStart w:id="324" w:name="_Toc184310319"/>
      <w:bookmarkEnd w:id="324"/>
      <w:bookmarkStart w:id="325" w:name="_Toc184310273"/>
      <w:bookmarkEnd w:id="325"/>
      <w:bookmarkStart w:id="326" w:name="_Toc184314436"/>
      <w:bookmarkEnd w:id="326"/>
      <w:bookmarkStart w:id="327" w:name="_Toc184310281"/>
      <w:bookmarkEnd w:id="327"/>
      <w:bookmarkStart w:id="328" w:name="_Toc184308072"/>
      <w:bookmarkEnd w:id="328"/>
      <w:bookmarkStart w:id="329" w:name="_Toc184310341"/>
      <w:bookmarkEnd w:id="329"/>
      <w:bookmarkStart w:id="330" w:name="_Toc184314428"/>
      <w:bookmarkEnd w:id="330"/>
      <w:bookmarkStart w:id="331" w:name="_Toc184313263"/>
      <w:bookmarkEnd w:id="331"/>
      <w:bookmarkStart w:id="332" w:name="_Toc184310282"/>
      <w:bookmarkEnd w:id="332"/>
      <w:bookmarkStart w:id="333" w:name="_Toc184310329"/>
      <w:bookmarkEnd w:id="333"/>
      <w:bookmarkStart w:id="334" w:name="_Toc184312085"/>
      <w:bookmarkEnd w:id="334"/>
      <w:bookmarkStart w:id="335" w:name="_Toc184312094"/>
      <w:bookmarkEnd w:id="335"/>
      <w:bookmarkStart w:id="336" w:name="_Toc184313310"/>
      <w:bookmarkEnd w:id="336"/>
      <w:bookmarkStart w:id="337" w:name="_Toc184310332"/>
      <w:bookmarkEnd w:id="337"/>
      <w:bookmarkStart w:id="338" w:name="_Toc184312079"/>
      <w:bookmarkEnd w:id="338"/>
      <w:bookmarkStart w:id="339" w:name="_Toc184312121"/>
      <w:bookmarkEnd w:id="339"/>
      <w:bookmarkStart w:id="340" w:name="_Toc184312089"/>
      <w:bookmarkEnd w:id="340"/>
      <w:bookmarkStart w:id="341" w:name="_Toc184308100"/>
      <w:bookmarkEnd w:id="341"/>
      <w:bookmarkStart w:id="342" w:name="_Toc184314454"/>
      <w:bookmarkEnd w:id="342"/>
      <w:bookmarkStart w:id="343" w:name="_Toc184313270"/>
      <w:bookmarkEnd w:id="343"/>
      <w:bookmarkStart w:id="344" w:name="_Toc184312077"/>
      <w:bookmarkEnd w:id="344"/>
      <w:bookmarkStart w:id="345" w:name="_Toc184310303"/>
      <w:bookmarkEnd w:id="345"/>
      <w:bookmarkStart w:id="346" w:name="_Toc184308084"/>
      <w:bookmarkEnd w:id="346"/>
      <w:bookmarkStart w:id="347" w:name="_Toc184314438"/>
      <w:bookmarkEnd w:id="347"/>
      <w:bookmarkStart w:id="348" w:name="_Toc184308066"/>
      <w:bookmarkEnd w:id="348"/>
      <w:bookmarkStart w:id="349" w:name="_Toc184313282"/>
      <w:bookmarkEnd w:id="349"/>
      <w:bookmarkStart w:id="350" w:name="_Toc184313249"/>
      <w:bookmarkEnd w:id="350"/>
      <w:bookmarkStart w:id="351" w:name="_Toc184314441"/>
      <w:bookmarkEnd w:id="351"/>
      <w:bookmarkStart w:id="352" w:name="_Toc184310326"/>
      <w:bookmarkEnd w:id="352"/>
      <w:bookmarkStart w:id="353" w:name="_Toc184314420"/>
      <w:bookmarkEnd w:id="353"/>
      <w:bookmarkStart w:id="354" w:name="_Toc184310297"/>
      <w:bookmarkEnd w:id="354"/>
      <w:bookmarkStart w:id="355" w:name="_Toc184314451"/>
      <w:bookmarkEnd w:id="355"/>
      <w:bookmarkStart w:id="356" w:name="_Toc184310289"/>
      <w:bookmarkEnd w:id="356"/>
      <w:bookmarkStart w:id="357" w:name="_Toc184313260"/>
      <w:bookmarkEnd w:id="357"/>
      <w:bookmarkStart w:id="358" w:name="_Toc184313287"/>
      <w:bookmarkEnd w:id="358"/>
      <w:bookmarkStart w:id="359" w:name="_Toc184313246"/>
      <w:bookmarkEnd w:id="359"/>
      <w:bookmarkStart w:id="360" w:name="_Toc184312072"/>
      <w:bookmarkEnd w:id="360"/>
      <w:bookmarkStart w:id="361" w:name="_Toc184312129"/>
      <w:bookmarkEnd w:id="361"/>
      <w:bookmarkStart w:id="362" w:name="_Toc184314465"/>
      <w:bookmarkEnd w:id="362"/>
      <w:bookmarkStart w:id="363" w:name="_Toc184308040"/>
      <w:bookmarkEnd w:id="363"/>
      <w:bookmarkStart w:id="364" w:name="_Toc184312097"/>
      <w:bookmarkEnd w:id="364"/>
      <w:bookmarkStart w:id="365" w:name="_Toc184310302"/>
      <w:bookmarkEnd w:id="365"/>
      <w:bookmarkStart w:id="366" w:name="_Toc184314463"/>
      <w:bookmarkEnd w:id="366"/>
      <w:bookmarkStart w:id="367" w:name="_Toc184314456"/>
      <w:bookmarkEnd w:id="367"/>
      <w:bookmarkStart w:id="368" w:name="_Toc184314435"/>
      <w:bookmarkEnd w:id="368"/>
      <w:bookmarkStart w:id="369" w:name="_Toc184312139"/>
      <w:bookmarkEnd w:id="369"/>
      <w:bookmarkStart w:id="370" w:name="_Toc184310314"/>
      <w:bookmarkEnd w:id="370"/>
      <w:bookmarkStart w:id="371" w:name="_Toc184313245"/>
      <w:bookmarkEnd w:id="371"/>
      <w:bookmarkStart w:id="372" w:name="_Toc184314416"/>
      <w:bookmarkEnd w:id="372"/>
      <w:bookmarkStart w:id="373" w:name="_Toc184313285"/>
      <w:bookmarkEnd w:id="373"/>
      <w:bookmarkStart w:id="374" w:name="_Toc184313266"/>
      <w:bookmarkEnd w:id="374"/>
      <w:bookmarkStart w:id="375" w:name="_Toc184314458"/>
      <w:bookmarkEnd w:id="375"/>
      <w:bookmarkStart w:id="376" w:name="_Toc184310293"/>
      <w:bookmarkEnd w:id="376"/>
      <w:bookmarkStart w:id="377" w:name="_Toc184310315"/>
      <w:bookmarkEnd w:id="377"/>
      <w:bookmarkStart w:id="378" w:name="_Toc184312126"/>
      <w:bookmarkEnd w:id="378"/>
      <w:bookmarkStart w:id="379" w:name="_Toc184308088"/>
      <w:bookmarkEnd w:id="379"/>
      <w:bookmarkStart w:id="380" w:name="_Toc184312110"/>
      <w:bookmarkEnd w:id="380"/>
      <w:bookmarkStart w:id="381" w:name="_Toc184313272"/>
      <w:bookmarkEnd w:id="381"/>
      <w:bookmarkStart w:id="382" w:name="_Toc184308067"/>
      <w:bookmarkEnd w:id="382"/>
      <w:bookmarkStart w:id="383" w:name="_Toc184310277"/>
      <w:bookmarkEnd w:id="383"/>
      <w:bookmarkStart w:id="384" w:name="_Toc184312074"/>
      <w:bookmarkEnd w:id="384"/>
      <w:bookmarkStart w:id="385" w:name="_Toc184312124"/>
      <w:bookmarkEnd w:id="385"/>
      <w:bookmarkStart w:id="386" w:name="_Toc184312112"/>
      <w:bookmarkEnd w:id="386"/>
      <w:bookmarkStart w:id="387" w:name="_Toc184312119"/>
      <w:bookmarkEnd w:id="387"/>
      <w:bookmarkStart w:id="388" w:name="_Toc184308091"/>
      <w:bookmarkEnd w:id="388"/>
      <w:bookmarkStart w:id="389" w:name="_Toc184308077"/>
      <w:bookmarkEnd w:id="389"/>
      <w:bookmarkStart w:id="390" w:name="_Toc184313301"/>
      <w:bookmarkEnd w:id="390"/>
      <w:bookmarkStart w:id="391" w:name="_Toc184312123"/>
      <w:bookmarkEnd w:id="391"/>
      <w:bookmarkStart w:id="392" w:name="_Toc184314419"/>
      <w:bookmarkEnd w:id="392"/>
      <w:bookmarkStart w:id="393" w:name="_Toc184310283"/>
      <w:bookmarkEnd w:id="393"/>
      <w:bookmarkStart w:id="394" w:name="_Toc184308078"/>
      <w:bookmarkEnd w:id="394"/>
      <w:bookmarkStart w:id="395" w:name="_Toc184308055"/>
      <w:bookmarkEnd w:id="395"/>
      <w:bookmarkStart w:id="396" w:name="_Toc184314446"/>
      <w:bookmarkEnd w:id="396"/>
      <w:bookmarkStart w:id="397" w:name="_Toc184310300"/>
      <w:bookmarkEnd w:id="397"/>
      <w:bookmarkStart w:id="398" w:name="_Toc184312092"/>
      <w:bookmarkEnd w:id="398"/>
      <w:bookmarkStart w:id="399" w:name="_Toc184308052"/>
      <w:bookmarkEnd w:id="399"/>
      <w:bookmarkStart w:id="400" w:name="_Toc184314430"/>
      <w:bookmarkEnd w:id="400"/>
      <w:bookmarkStart w:id="401" w:name="_Toc184314449"/>
      <w:bookmarkEnd w:id="401"/>
      <w:bookmarkStart w:id="402" w:name="_Toc184314461"/>
      <w:bookmarkEnd w:id="402"/>
      <w:bookmarkStart w:id="403" w:name="_Toc184312070"/>
      <w:bookmarkEnd w:id="403"/>
      <w:bookmarkStart w:id="404" w:name="_Toc184308074"/>
      <w:bookmarkEnd w:id="404"/>
      <w:bookmarkStart w:id="405" w:name="_Toc184312100"/>
      <w:bookmarkEnd w:id="405"/>
      <w:bookmarkStart w:id="406" w:name="_Toc184314425"/>
      <w:bookmarkEnd w:id="406"/>
      <w:bookmarkStart w:id="407" w:name="_Toc184308042"/>
      <w:bookmarkEnd w:id="407"/>
      <w:bookmarkStart w:id="408" w:name="_Toc184310342"/>
      <w:bookmarkEnd w:id="408"/>
      <w:bookmarkStart w:id="409" w:name="_Toc184314443"/>
      <w:bookmarkEnd w:id="409"/>
      <w:bookmarkStart w:id="410" w:name="_Toc184310290"/>
      <w:bookmarkEnd w:id="410"/>
      <w:bookmarkStart w:id="411" w:name="_Toc184313286"/>
      <w:bookmarkEnd w:id="411"/>
      <w:bookmarkStart w:id="412" w:name="_Toc184310340"/>
      <w:bookmarkEnd w:id="412"/>
      <w:bookmarkStart w:id="413" w:name="_Toc184313240"/>
      <w:bookmarkEnd w:id="413"/>
      <w:bookmarkStart w:id="414" w:name="_Toc184314444"/>
      <w:bookmarkEnd w:id="414"/>
      <w:bookmarkStart w:id="415" w:name="_Toc184308046"/>
      <w:bookmarkEnd w:id="415"/>
      <w:bookmarkStart w:id="416" w:name="_Toc184310301"/>
      <w:bookmarkEnd w:id="416"/>
      <w:bookmarkStart w:id="417" w:name="_Toc184310312"/>
      <w:bookmarkEnd w:id="417"/>
      <w:bookmarkStart w:id="418" w:name="_Toc184310275"/>
      <w:bookmarkEnd w:id="418"/>
      <w:bookmarkStart w:id="419" w:name="_Toc184310299"/>
      <w:bookmarkEnd w:id="419"/>
      <w:bookmarkStart w:id="420" w:name="_Toc184312138"/>
      <w:bookmarkEnd w:id="420"/>
      <w:bookmarkStart w:id="421" w:name="_Toc184312128"/>
      <w:bookmarkEnd w:id="421"/>
      <w:bookmarkStart w:id="422" w:name="_Toc184314439"/>
      <w:bookmarkEnd w:id="422"/>
      <w:bookmarkStart w:id="423" w:name="_Toc184314447"/>
      <w:bookmarkEnd w:id="423"/>
      <w:bookmarkStart w:id="424" w:name="_Toc184308038"/>
      <w:bookmarkEnd w:id="424"/>
      <w:bookmarkStart w:id="425" w:name="_Toc184313298"/>
      <w:bookmarkEnd w:id="425"/>
      <w:bookmarkStart w:id="426" w:name="_Toc184310323"/>
      <w:bookmarkEnd w:id="426"/>
      <w:bookmarkStart w:id="427" w:name="_Toc184314434"/>
      <w:bookmarkEnd w:id="427"/>
      <w:bookmarkStart w:id="428" w:name="_Toc184308069"/>
      <w:bookmarkEnd w:id="428"/>
      <w:bookmarkStart w:id="429" w:name="_Toc184312081"/>
      <w:bookmarkEnd w:id="429"/>
      <w:bookmarkStart w:id="430" w:name="_Toc184314474"/>
      <w:bookmarkEnd w:id="430"/>
      <w:bookmarkStart w:id="431" w:name="_Toc184310339"/>
      <w:bookmarkEnd w:id="431"/>
      <w:bookmarkStart w:id="432" w:name="_Toc184313294"/>
      <w:bookmarkEnd w:id="432"/>
      <w:bookmarkStart w:id="433" w:name="_Toc184313307"/>
      <w:bookmarkEnd w:id="433"/>
      <w:bookmarkStart w:id="434" w:name="_Toc184313265"/>
      <w:bookmarkEnd w:id="434"/>
      <w:bookmarkStart w:id="435" w:name="_Toc184312113"/>
      <w:bookmarkEnd w:id="435"/>
      <w:bookmarkStart w:id="436" w:name="_Toc184308058"/>
      <w:bookmarkEnd w:id="436"/>
      <w:bookmarkStart w:id="437" w:name="_Toc184313309"/>
      <w:bookmarkEnd w:id="437"/>
      <w:r>
        <w:rPr>
          <w:rFonts w:hint="eastAsia" w:ascii="宋体" w:hAnsi="宋体" w:eastAsia="宋体" w:cs="宋体"/>
          <w:b/>
          <w:color w:val="auto"/>
          <w:sz w:val="36"/>
          <w:szCs w:val="36"/>
          <w:highlight w:val="none"/>
        </w:rPr>
        <w:t>评标办法及评分标准</w:t>
      </w:r>
      <w:bookmarkEnd w:id="70"/>
      <w:bookmarkEnd w:id="71"/>
      <w:bookmarkEnd w:id="72"/>
    </w:p>
    <w:p w14:paraId="2307B1E0">
      <w:pPr>
        <w:keepNext/>
        <w:spacing w:line="500" w:lineRule="exact"/>
        <w:jc w:val="center"/>
        <w:outlineLvl w:val="1"/>
        <w:rPr>
          <w:rFonts w:hint="eastAsia" w:ascii="宋体" w:hAnsi="宋体" w:eastAsia="宋体" w:cs="宋体"/>
          <w:b/>
          <w:bCs/>
          <w:color w:val="auto"/>
          <w:sz w:val="28"/>
          <w:szCs w:val="20"/>
          <w:highlight w:val="none"/>
        </w:rPr>
      </w:pPr>
      <w:bookmarkStart w:id="438" w:name="_Toc167700923"/>
      <w:bookmarkStart w:id="439" w:name="_Toc165741218"/>
      <w:bookmarkStart w:id="440" w:name="_Toc1764"/>
      <w:bookmarkStart w:id="441" w:name="_Toc97735532"/>
      <w:bookmarkStart w:id="442" w:name="_Toc14117"/>
      <w:r>
        <w:rPr>
          <w:rFonts w:hint="eastAsia" w:ascii="宋体" w:hAnsi="宋体" w:eastAsia="宋体" w:cs="宋体"/>
          <w:b/>
          <w:bCs/>
          <w:color w:val="auto"/>
          <w:sz w:val="28"/>
          <w:szCs w:val="20"/>
          <w:highlight w:val="none"/>
        </w:rPr>
        <w:t>第一章　评标办法</w:t>
      </w:r>
      <w:bookmarkEnd w:id="438"/>
      <w:bookmarkEnd w:id="439"/>
      <w:bookmarkEnd w:id="440"/>
      <w:bookmarkEnd w:id="441"/>
      <w:bookmarkEnd w:id="442"/>
    </w:p>
    <w:p w14:paraId="5B82716C">
      <w:pPr>
        <w:spacing w:line="50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一、本次招标将按下列第</w:t>
      </w:r>
      <w:r>
        <w:rPr>
          <w:rFonts w:hint="eastAsia" w:ascii="宋体" w:hAnsi="宋体" w:eastAsia="宋体" w:cs="宋体"/>
          <w:b/>
          <w:bCs/>
          <w:color w:val="auto"/>
          <w:sz w:val="24"/>
          <w:szCs w:val="21"/>
          <w:highlight w:val="none"/>
          <w:u w:val="single"/>
        </w:rPr>
        <w:t xml:space="preserve">  1 </w:t>
      </w:r>
      <w:r>
        <w:rPr>
          <w:rFonts w:hint="eastAsia" w:ascii="宋体" w:hAnsi="宋体" w:eastAsia="宋体" w:cs="宋体"/>
          <w:b/>
          <w:bCs/>
          <w:color w:val="auto"/>
          <w:sz w:val="24"/>
          <w:szCs w:val="21"/>
          <w:highlight w:val="none"/>
        </w:rPr>
        <w:t>种评标办法进行评标：</w:t>
      </w:r>
    </w:p>
    <w:p w14:paraId="3483CEE5">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综合评分法。即在最大限度地满足招标文件实质性要求的前提下，按照《评分标准》规定的评分因素对各投标人的投标文件进行综合评审，以技术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6F329636">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49E4463A">
      <w:pPr>
        <w:spacing w:line="50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二、本次评标采用百分制计分，计算时四舍五入保留到小数点后两位。</w:t>
      </w:r>
    </w:p>
    <w:p w14:paraId="2D636DB9">
      <w:pPr>
        <w:keepNext/>
        <w:spacing w:line="500" w:lineRule="exact"/>
        <w:jc w:val="center"/>
        <w:outlineLvl w:val="1"/>
        <w:rPr>
          <w:rFonts w:hint="eastAsia" w:ascii="宋体" w:hAnsi="宋体" w:eastAsia="宋体" w:cs="宋体"/>
          <w:b/>
          <w:bCs/>
          <w:color w:val="auto"/>
          <w:sz w:val="28"/>
          <w:szCs w:val="20"/>
          <w:highlight w:val="none"/>
        </w:rPr>
      </w:pPr>
      <w:bookmarkStart w:id="443" w:name="_Toc25558"/>
      <w:bookmarkStart w:id="444" w:name="_Toc97735533"/>
      <w:bookmarkStart w:id="445" w:name="_Toc165741219"/>
      <w:bookmarkStart w:id="446" w:name="_Toc167700924"/>
      <w:r>
        <w:rPr>
          <w:rFonts w:hint="eastAsia" w:ascii="宋体" w:hAnsi="宋体" w:eastAsia="宋体" w:cs="宋体"/>
          <w:b/>
          <w:bCs/>
          <w:color w:val="auto"/>
          <w:sz w:val="28"/>
          <w:szCs w:val="20"/>
          <w:highlight w:val="none"/>
        </w:rPr>
        <w:t>第二章　评分标准</w:t>
      </w:r>
      <w:bookmarkEnd w:id="443"/>
      <w:bookmarkEnd w:id="444"/>
      <w:bookmarkEnd w:id="445"/>
      <w:bookmarkEnd w:id="446"/>
    </w:p>
    <w:p w14:paraId="1B78D699">
      <w:pPr>
        <w:spacing w:line="440" w:lineRule="exact"/>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一、报价文件评分标准（</w:t>
      </w:r>
      <w:r>
        <w:rPr>
          <w:rFonts w:hint="eastAsia" w:ascii="宋体" w:hAnsi="宋体" w:eastAsia="宋体" w:cs="宋体"/>
          <w:b/>
          <w:bCs/>
          <w:color w:val="auto"/>
          <w:sz w:val="24"/>
          <w:szCs w:val="21"/>
          <w:highlight w:val="none"/>
          <w:lang w:val="en-US" w:eastAsia="zh-CN"/>
        </w:rPr>
        <w:t>30</w:t>
      </w:r>
      <w:r>
        <w:rPr>
          <w:rFonts w:hint="eastAsia" w:ascii="宋体" w:hAnsi="宋体" w:eastAsia="宋体" w:cs="宋体"/>
          <w:b/>
          <w:bCs/>
          <w:color w:val="auto"/>
          <w:sz w:val="24"/>
          <w:szCs w:val="21"/>
          <w:highlight w:val="none"/>
        </w:rPr>
        <w:t>分）</w:t>
      </w:r>
    </w:p>
    <w:p w14:paraId="7CF3BEA2">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报价文件主要是对投标人的有效报价进行评议，其评分标准及分值设置规则如下：</w:t>
      </w:r>
    </w:p>
    <w:p w14:paraId="72891111">
      <w:pPr>
        <w:pStyle w:val="2"/>
        <w:spacing w:line="440" w:lineRule="exact"/>
        <w:ind w:left="0" w:leftChars="0"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1、本次招标最高限价规定如下：</w:t>
      </w:r>
    </w:p>
    <w:p w14:paraId="6883D4EA">
      <w:pPr>
        <w:pStyle w:val="2"/>
        <w:spacing w:line="440" w:lineRule="exact"/>
        <w:ind w:left="0" w:leftChars="0" w:firstLine="482"/>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本项目投标报价的最高限价为</w:t>
      </w:r>
      <w:r>
        <w:rPr>
          <w:rFonts w:hint="eastAsia" w:ascii="宋体" w:hAnsi="宋体" w:eastAsia="宋体" w:cs="宋体"/>
          <w:b/>
          <w:color w:val="auto"/>
          <w:sz w:val="24"/>
          <w:szCs w:val="21"/>
          <w:highlight w:val="none"/>
          <w:u w:val="single"/>
        </w:rPr>
        <w:t xml:space="preserve"> </w:t>
      </w:r>
      <w:r>
        <w:rPr>
          <w:rFonts w:hint="eastAsia" w:ascii="宋体" w:hAnsi="宋体" w:eastAsia="宋体" w:cs="宋体"/>
          <w:b/>
          <w:color w:val="auto"/>
          <w:sz w:val="24"/>
          <w:szCs w:val="21"/>
          <w:highlight w:val="none"/>
          <w:u w:val="single"/>
          <w:lang w:val="en-US" w:eastAsia="zh-CN"/>
        </w:rPr>
        <w:t>玖拾捌万</w:t>
      </w:r>
      <w:r>
        <w:rPr>
          <w:rFonts w:hint="eastAsia" w:ascii="宋体" w:hAnsi="宋体" w:eastAsia="宋体" w:cs="宋体"/>
          <w:b/>
          <w:color w:val="auto"/>
          <w:sz w:val="24"/>
          <w:szCs w:val="21"/>
          <w:highlight w:val="none"/>
          <w:u w:val="single"/>
        </w:rPr>
        <w:t>元整</w:t>
      </w:r>
      <w:r>
        <w:rPr>
          <w:rFonts w:hint="eastAsia" w:ascii="宋体" w:hAnsi="宋体" w:eastAsia="宋体" w:cs="宋体"/>
          <w:b/>
          <w:color w:val="auto"/>
          <w:sz w:val="24"/>
          <w:szCs w:val="21"/>
          <w:highlight w:val="none"/>
        </w:rPr>
        <w:t>（小写：</w:t>
      </w:r>
      <w:r>
        <w:rPr>
          <w:rFonts w:hint="eastAsia" w:ascii="宋体" w:hAnsi="宋体" w:eastAsia="宋体" w:cs="宋体"/>
          <w:b/>
          <w:color w:val="auto"/>
          <w:sz w:val="24"/>
          <w:szCs w:val="21"/>
          <w:highlight w:val="none"/>
          <w:u w:val="single"/>
          <w:lang w:eastAsia="zh-CN"/>
        </w:rPr>
        <w:t>980000</w:t>
      </w:r>
      <w:r>
        <w:rPr>
          <w:rFonts w:hint="eastAsia" w:ascii="宋体" w:hAnsi="宋体" w:eastAsia="宋体" w:cs="宋体"/>
          <w:b/>
          <w:color w:val="auto"/>
          <w:sz w:val="24"/>
          <w:szCs w:val="21"/>
          <w:highlight w:val="none"/>
          <w:u w:val="single"/>
          <w:lang w:val="en-US" w:eastAsia="zh-CN"/>
        </w:rPr>
        <w:t>.00</w:t>
      </w:r>
      <w:r>
        <w:rPr>
          <w:rFonts w:hint="eastAsia" w:ascii="宋体" w:hAnsi="宋体" w:eastAsia="宋体" w:cs="宋体"/>
          <w:b/>
          <w:color w:val="auto"/>
          <w:sz w:val="24"/>
          <w:szCs w:val="21"/>
          <w:highlight w:val="none"/>
          <w:u w:val="single"/>
        </w:rPr>
        <w:t>元</w:t>
      </w:r>
      <w:r>
        <w:rPr>
          <w:rFonts w:hint="eastAsia" w:ascii="宋体" w:hAnsi="宋体" w:eastAsia="宋体" w:cs="宋体"/>
          <w:b/>
          <w:color w:val="auto"/>
          <w:sz w:val="24"/>
          <w:szCs w:val="21"/>
          <w:highlight w:val="none"/>
        </w:rPr>
        <w:t xml:space="preserve"> ）。最高限价由采购人根据市场价格的调查设定。</w:t>
      </w:r>
    </w:p>
    <w:p w14:paraId="19C20FC8">
      <w:pPr>
        <w:spacing w:line="440" w:lineRule="exact"/>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2、投标人的报价在最高限价内（单价和总价）的，为有效报价。</w:t>
      </w:r>
    </w:p>
    <w:p w14:paraId="0851B42C">
      <w:pPr>
        <w:keepLines w:val="0"/>
        <w:pageBreakBefore w:val="0"/>
        <w:kinsoku/>
        <w:topLinePunct w:val="0"/>
        <w:bidi w:val="0"/>
        <w:spacing w:line="360" w:lineRule="auto"/>
        <w:ind w:firstLine="480" w:firstLineChars="200"/>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3.本次评标设有最佳报价。最佳报价确定方式：</w:t>
      </w:r>
      <w:r>
        <w:rPr>
          <w:rFonts w:hint="eastAsia" w:ascii="宋体" w:hAnsi="宋体" w:eastAsia="宋体" w:cs="宋体"/>
          <w:b/>
          <w:bCs/>
          <w:color w:val="auto"/>
          <w:sz w:val="24"/>
          <w:szCs w:val="21"/>
          <w:highlight w:val="none"/>
        </w:rPr>
        <w:t>所有入围投标人有效报价</w:t>
      </w:r>
      <w:r>
        <w:rPr>
          <w:rFonts w:hint="eastAsia" w:ascii="宋体" w:hAnsi="宋体" w:eastAsia="宋体" w:cs="宋体"/>
          <w:b/>
          <w:bCs/>
          <w:color w:val="auto"/>
          <w:sz w:val="24"/>
          <w:szCs w:val="21"/>
          <w:highlight w:val="none"/>
          <w:lang w:eastAsia="zh-CN"/>
        </w:rPr>
        <w:t>的</w:t>
      </w:r>
      <w:r>
        <w:rPr>
          <w:rFonts w:hint="eastAsia" w:ascii="宋体" w:hAnsi="宋体" w:eastAsia="宋体" w:cs="宋体"/>
          <w:b/>
          <w:bCs/>
          <w:color w:val="auto"/>
          <w:sz w:val="24"/>
          <w:szCs w:val="21"/>
          <w:highlight w:val="none"/>
          <w:lang w:val="en-US" w:eastAsia="zh-CN"/>
        </w:rPr>
        <w:t>平均价</w:t>
      </w:r>
      <w:r>
        <w:rPr>
          <w:rFonts w:hint="eastAsia" w:ascii="宋体" w:hAnsi="宋体" w:eastAsia="宋体" w:cs="宋体"/>
          <w:b/>
          <w:bCs/>
          <w:color w:val="auto"/>
          <w:sz w:val="24"/>
          <w:szCs w:val="21"/>
          <w:highlight w:val="none"/>
        </w:rPr>
        <w:t>作为最佳报价</w:t>
      </w:r>
      <w:r>
        <w:rPr>
          <w:rFonts w:hint="eastAsia" w:ascii="宋体" w:hAnsi="宋体" w:eastAsia="宋体" w:cs="宋体"/>
          <w:b w:val="0"/>
          <w:bCs w:val="0"/>
          <w:color w:val="auto"/>
          <w:sz w:val="24"/>
          <w:szCs w:val="21"/>
          <w:highlight w:val="none"/>
        </w:rPr>
        <w:t>。</w:t>
      </w:r>
    </w:p>
    <w:p w14:paraId="7D810888">
      <w:pPr>
        <w:keepLines w:val="0"/>
        <w:pageBreakBefore w:val="0"/>
        <w:kinsoku/>
        <w:topLinePunct w:val="0"/>
        <w:bidi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4.最佳报价者的报价分为满分，其他投标人的有效报价与最佳报价相比，按下列方法计算其报价分：</w:t>
      </w:r>
    </w:p>
    <w:p w14:paraId="1BED46B3">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当</w:t>
      </w:r>
      <w:r>
        <w:rPr>
          <w:rFonts w:hint="eastAsia" w:ascii="宋体" w:hAnsi="宋体" w:eastAsia="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等于</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，投标人的价格评分为</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w:t>
      </w:r>
    </w:p>
    <w:p w14:paraId="44670158">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当</w:t>
      </w:r>
      <w:r>
        <w:rPr>
          <w:rFonts w:hint="eastAsia" w:ascii="宋体" w:hAnsi="宋体" w:eastAsia="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高于</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，投标人的价格评分按下式计算</w:t>
      </w:r>
    </w:p>
    <w:p w14:paraId="5CA55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投标人的价格评分=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-（投标人的</w:t>
      </w:r>
      <w:r>
        <w:rPr>
          <w:rFonts w:hint="eastAsia" w:ascii="宋体" w:hAnsi="宋体" w:eastAsia="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×100×</w:t>
      </w:r>
      <w:r>
        <w:rPr>
          <w:rFonts w:hint="eastAsia" w:ascii="宋体" w:hAnsi="宋体" w:eastAsia="宋体" w:cs="宋体"/>
          <w:b w:val="0"/>
          <w:bCs w:val="0"/>
          <w:color w:val="auto"/>
          <w:sz w:val="24"/>
          <w:szCs w:val="24"/>
          <w:highlight w:val="none"/>
          <w:lang w:val="en-US" w:eastAsia="zh-CN"/>
        </w:rPr>
        <w:t xml:space="preserve">0.5  </w:t>
      </w:r>
      <w:r>
        <w:rPr>
          <w:rFonts w:hint="eastAsia" w:ascii="宋体" w:hAnsi="宋体" w:eastAsia="宋体" w:cs="宋体"/>
          <w:b w:val="0"/>
          <w:bCs w:val="0"/>
          <w:color w:val="auto"/>
          <w:sz w:val="24"/>
          <w:szCs w:val="24"/>
          <w:highlight w:val="none"/>
        </w:rPr>
        <w:t>（得分精确到小数点后2位，第三位四舍五入）</w:t>
      </w:r>
    </w:p>
    <w:p w14:paraId="1C622240">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当</w:t>
      </w:r>
      <w:r>
        <w:rPr>
          <w:rFonts w:hint="eastAsia" w:ascii="宋体" w:hAnsi="宋体" w:eastAsia="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低于</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，投标人的价格评分按下式计算</w:t>
      </w:r>
    </w:p>
    <w:p w14:paraId="0AC06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投标人的价格评分=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-投标人的</w:t>
      </w:r>
      <w:r>
        <w:rPr>
          <w:rFonts w:hint="eastAsia" w:ascii="宋体" w:hAnsi="宋体" w:eastAsia="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最佳报价</w:t>
      </w:r>
      <w:r>
        <w:rPr>
          <w:rFonts w:hint="eastAsia" w:ascii="宋体" w:hAnsi="宋体" w:eastAsia="宋体" w:cs="宋体"/>
          <w:b w:val="0"/>
          <w:bCs w:val="0"/>
          <w:color w:val="auto"/>
          <w:sz w:val="24"/>
          <w:szCs w:val="24"/>
          <w:highlight w:val="none"/>
        </w:rPr>
        <w:t>×100×</w:t>
      </w:r>
      <w:r>
        <w:rPr>
          <w:rFonts w:hint="eastAsia" w:ascii="宋体" w:hAnsi="宋体" w:eastAsia="宋体" w:cs="宋体"/>
          <w:b w:val="0"/>
          <w:bCs w:val="0"/>
          <w:color w:val="auto"/>
          <w:sz w:val="24"/>
          <w:szCs w:val="24"/>
          <w:highlight w:val="none"/>
          <w:lang w:val="en-US" w:eastAsia="zh-CN"/>
        </w:rPr>
        <w:t>0.25</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（得分精确到小数点后2位，第三位四舍五入）</w:t>
      </w:r>
    </w:p>
    <w:p w14:paraId="52119710">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14:paraId="1BC5C10A">
      <w:pPr>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eastAsia="宋体" w:cs="宋体"/>
          <w:b/>
          <w:bCs/>
          <w:color w:val="auto"/>
          <w:sz w:val="24"/>
          <w:szCs w:val="21"/>
          <w:highlight w:val="none"/>
        </w:rPr>
        <w:t>无效投标</w:t>
      </w:r>
      <w:r>
        <w:rPr>
          <w:rFonts w:hint="eastAsia" w:ascii="宋体" w:hAnsi="宋体" w:eastAsia="宋体" w:cs="宋体"/>
          <w:color w:val="auto"/>
          <w:sz w:val="24"/>
          <w:szCs w:val="21"/>
          <w:highlight w:val="none"/>
        </w:rPr>
        <w:t>处理。</w:t>
      </w:r>
    </w:p>
    <w:p w14:paraId="32321000">
      <w:pPr>
        <w:pStyle w:val="2"/>
        <w:spacing w:line="360" w:lineRule="auto"/>
        <w:ind w:left="0" w:leftChars="0" w:firstLine="480"/>
        <w:rPr>
          <w:rFonts w:hint="eastAsia" w:ascii="宋体" w:hAnsi="宋体" w:eastAsia="宋体" w:cs="宋体"/>
          <w:b/>
          <w:color w:val="auto"/>
          <w:sz w:val="24"/>
          <w:szCs w:val="21"/>
          <w:highlight w:val="none"/>
        </w:rPr>
      </w:pPr>
      <w:r>
        <w:rPr>
          <w:rFonts w:hint="eastAsia" w:ascii="宋体" w:hAnsi="宋体" w:eastAsia="宋体" w:cs="宋体"/>
          <w:color w:val="auto"/>
          <w:sz w:val="24"/>
          <w:szCs w:val="21"/>
          <w:highlight w:val="none"/>
        </w:rPr>
        <w:t>7、</w:t>
      </w:r>
      <w:r>
        <w:rPr>
          <w:rFonts w:hint="eastAsia" w:ascii="宋体" w:hAnsi="宋体" w:eastAsia="宋体" w:cs="宋体"/>
          <w:b/>
          <w:color w:val="auto"/>
          <w:sz w:val="24"/>
          <w:highlight w:val="none"/>
        </w:rPr>
        <w:t>投标价格的合理性</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1E7AD9">
      <w:pPr>
        <w:spacing w:line="24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1"/>
          <w:highlight w:val="none"/>
        </w:rPr>
        <w:t>二、技术文件评标内容及标准（</w:t>
      </w:r>
      <w:r>
        <w:rPr>
          <w:rFonts w:hint="eastAsia" w:ascii="宋体" w:hAnsi="宋体" w:cs="宋体"/>
          <w:b/>
          <w:bCs/>
          <w:color w:val="auto"/>
          <w:sz w:val="24"/>
          <w:szCs w:val="21"/>
          <w:highlight w:val="none"/>
          <w:lang w:val="en-US" w:eastAsia="zh-CN"/>
        </w:rPr>
        <w:t>7</w:t>
      </w:r>
      <w:r>
        <w:rPr>
          <w:rFonts w:hint="eastAsia" w:ascii="宋体" w:hAnsi="宋体" w:eastAsia="宋体" w:cs="宋体"/>
          <w:b/>
          <w:bCs/>
          <w:color w:val="auto"/>
          <w:sz w:val="24"/>
          <w:szCs w:val="21"/>
          <w:highlight w:val="none"/>
          <w:lang w:val="en-US" w:eastAsia="zh-CN"/>
        </w:rPr>
        <w:t>0</w:t>
      </w:r>
      <w:r>
        <w:rPr>
          <w:rFonts w:hint="eastAsia" w:ascii="宋体" w:hAnsi="宋体" w:eastAsia="宋体" w:cs="宋体"/>
          <w:b/>
          <w:bCs/>
          <w:color w:val="auto"/>
          <w:sz w:val="24"/>
          <w:szCs w:val="21"/>
          <w:highlight w:val="none"/>
        </w:rPr>
        <w:t>分）</w:t>
      </w:r>
    </w:p>
    <w:tbl>
      <w:tblPr>
        <w:tblStyle w:val="18"/>
        <w:tblW w:w="5329" w:type="pct"/>
        <w:jc w:val="center"/>
        <w:tblLayout w:type="fixed"/>
        <w:tblCellMar>
          <w:top w:w="0" w:type="dxa"/>
          <w:left w:w="108" w:type="dxa"/>
          <w:bottom w:w="0" w:type="dxa"/>
          <w:right w:w="108" w:type="dxa"/>
        </w:tblCellMar>
      </w:tblPr>
      <w:tblGrid>
        <w:gridCol w:w="1144"/>
        <w:gridCol w:w="1351"/>
        <w:gridCol w:w="6601"/>
        <w:gridCol w:w="801"/>
      </w:tblGrid>
      <w:tr w14:paraId="155353AA">
        <w:trPr>
          <w:trHeight w:val="275" w:hRule="atLeast"/>
          <w:jc w:val="center"/>
        </w:trPr>
        <w:tc>
          <w:tcPr>
            <w:tcW w:w="1260" w:type="pct"/>
            <w:gridSpan w:val="2"/>
            <w:tcBorders>
              <w:top w:val="single" w:color="000000" w:sz="4" w:space="0"/>
              <w:left w:val="single" w:color="000000" w:sz="4" w:space="0"/>
              <w:bottom w:val="single" w:color="auto" w:sz="4" w:space="0"/>
              <w:right w:val="single" w:color="000000" w:sz="4" w:space="0"/>
            </w:tcBorders>
            <w:noWrap w:val="0"/>
            <w:vAlign w:val="center"/>
          </w:tcPr>
          <w:p w14:paraId="4BAA82D3">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3335" w:type="pct"/>
            <w:tcBorders>
              <w:top w:val="single" w:color="000000" w:sz="4" w:space="0"/>
              <w:left w:val="single" w:color="000000" w:sz="4" w:space="0"/>
              <w:bottom w:val="single" w:color="auto" w:sz="4" w:space="0"/>
              <w:right w:val="single" w:color="000000" w:sz="4" w:space="0"/>
            </w:tcBorders>
            <w:noWrap w:val="0"/>
            <w:vAlign w:val="center"/>
          </w:tcPr>
          <w:p w14:paraId="5F64B76C">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723B2C7">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r>
      <w:tr w14:paraId="6AF89640">
        <w:tblPrEx>
          <w:tblCellMar>
            <w:top w:w="0" w:type="dxa"/>
            <w:left w:w="108" w:type="dxa"/>
            <w:bottom w:w="0" w:type="dxa"/>
            <w:right w:w="108" w:type="dxa"/>
          </w:tblCellMar>
        </w:tblPrEx>
        <w:trPr>
          <w:trHeight w:val="2492" w:hRule="atLeast"/>
          <w:jc w:val="center"/>
        </w:trPr>
        <w:tc>
          <w:tcPr>
            <w:tcW w:w="577" w:type="pct"/>
            <w:vMerge w:val="restart"/>
            <w:tcBorders>
              <w:top w:val="single" w:color="auto" w:sz="4" w:space="0"/>
              <w:left w:val="single" w:color="auto" w:sz="4" w:space="0"/>
              <w:bottom w:val="single" w:color="auto" w:sz="4" w:space="0"/>
              <w:right w:val="single" w:color="auto" w:sz="4" w:space="0"/>
            </w:tcBorders>
            <w:noWrap w:val="0"/>
            <w:vAlign w:val="center"/>
          </w:tcPr>
          <w:p w14:paraId="47EE5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w:t>
            </w:r>
          </w:p>
          <w:p w14:paraId="657431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60分）</w:t>
            </w:r>
          </w:p>
        </w:tc>
        <w:tc>
          <w:tcPr>
            <w:tcW w:w="682" w:type="pct"/>
            <w:vMerge w:val="restart"/>
            <w:tcBorders>
              <w:top w:val="single" w:color="auto" w:sz="4" w:space="0"/>
              <w:left w:val="single" w:color="auto" w:sz="4" w:space="0"/>
              <w:bottom w:val="single" w:color="auto" w:sz="4" w:space="0"/>
              <w:right w:val="single" w:color="auto" w:sz="4" w:space="0"/>
            </w:tcBorders>
            <w:noWrap w:val="0"/>
            <w:vAlign w:val="center"/>
          </w:tcPr>
          <w:p w14:paraId="717B4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技术</w:t>
            </w:r>
            <w:r>
              <w:rPr>
                <w:rFonts w:hint="eastAsia" w:ascii="宋体" w:hAnsi="宋体" w:eastAsia="宋体" w:cs="宋体"/>
                <w:color w:val="auto"/>
                <w:sz w:val="21"/>
                <w:szCs w:val="21"/>
                <w:highlight w:val="none"/>
              </w:rPr>
              <w:t>指标</w:t>
            </w:r>
          </w:p>
          <w:p w14:paraId="418A6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要求</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38CC3D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评委根据投标产品的关键性、重要性技术参数与招标文件“规格参数要求”的偏离情况进行打分：</w:t>
            </w:r>
          </w:p>
          <w:p w14:paraId="5B4942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①完全满足招标文件技术参数配置要求得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500D2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②“★”为关键性指标及技术参数要求，负偏离或缺漏一项则作</w:t>
            </w:r>
            <w:r>
              <w:rPr>
                <w:rFonts w:hint="eastAsia" w:ascii="宋体" w:hAnsi="宋体" w:eastAsia="宋体" w:cs="宋体"/>
                <w:color w:val="auto"/>
                <w:sz w:val="21"/>
                <w:szCs w:val="21"/>
                <w:highlight w:val="none"/>
                <w:lang w:val="en-US" w:eastAsia="zh-CN"/>
              </w:rPr>
              <w:t>否决投</w:t>
            </w:r>
            <w:r>
              <w:rPr>
                <w:rFonts w:hint="eastAsia" w:ascii="宋体" w:hAnsi="宋体" w:eastAsia="宋体" w:cs="宋体"/>
                <w:color w:val="auto"/>
                <w:sz w:val="21"/>
                <w:szCs w:val="21"/>
                <w:highlight w:val="none"/>
              </w:rPr>
              <w:t>标处理；</w:t>
            </w:r>
          </w:p>
          <w:p w14:paraId="6EF8D7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③“▲”为重要性指标及技术参数要求，技术参数要求条</w:t>
            </w:r>
            <w:r>
              <w:rPr>
                <w:rFonts w:hint="eastAsia" w:ascii="宋体" w:hAnsi="宋体" w:eastAsia="宋体" w:cs="宋体"/>
                <w:color w:val="auto"/>
                <w:sz w:val="21"/>
                <w:szCs w:val="21"/>
                <w:highlight w:val="none"/>
                <w:lang w:eastAsia="zh-CN"/>
              </w:rPr>
              <w:t>款响应得分</w:t>
            </w:r>
            <w:r>
              <w:rPr>
                <w:rFonts w:hint="eastAsia" w:ascii="宋体" w:hAnsi="宋体" w:eastAsia="宋体" w:cs="宋体"/>
                <w:color w:val="auto"/>
                <w:sz w:val="21"/>
                <w:szCs w:val="21"/>
                <w:highlight w:val="none"/>
                <w:lang w:val="en-US" w:eastAsia="zh-CN"/>
              </w:rPr>
              <w:t>=（供应商满足技术参数要求条款的数量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技术参数要求条款的总数量）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rPr>
              <w:t>（如遇到小数情况，保留两位小数）</w:t>
            </w:r>
          </w:p>
          <w:p w14:paraId="109260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④“▲”以外的其他非关键性技术参数与招标文件“规格参数要求”</w:t>
            </w:r>
            <w:r>
              <w:rPr>
                <w:rFonts w:hint="eastAsia" w:ascii="宋体" w:hAnsi="宋体" w:eastAsia="宋体" w:cs="宋体"/>
                <w:color w:val="auto"/>
                <w:sz w:val="21"/>
                <w:szCs w:val="21"/>
                <w:highlight w:val="none"/>
              </w:rPr>
              <w:t>，非关键技术参数要求条款响应得分=(供应商满足非关键技术参数要求条款的数量÷非关键技术参数要求条款的总数量)</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（如遇到小数情况，保留两位小数）</w:t>
            </w:r>
          </w:p>
          <w:p w14:paraId="3A19F9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技术要求及参数需在“技术响应及建议表”中逐条列出，以上指标需提供相关佐证材料（如官网截图、产品彩页、原厂技术说明、检测报告等）扫描件并加盖公章，表内响应内容为空头或仅拷贝粘贴响应均不得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448EB0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1</w:t>
            </w:r>
          </w:p>
        </w:tc>
      </w:tr>
      <w:tr w14:paraId="6EC46986">
        <w:tblPrEx>
          <w:tblCellMar>
            <w:top w:w="0" w:type="dxa"/>
            <w:left w:w="108" w:type="dxa"/>
            <w:bottom w:w="0" w:type="dxa"/>
            <w:right w:w="108" w:type="dxa"/>
          </w:tblCellMar>
        </w:tblPrEx>
        <w:trPr>
          <w:trHeight w:val="3682" w:hRule="atLeast"/>
          <w:jc w:val="center"/>
        </w:trPr>
        <w:tc>
          <w:tcPr>
            <w:tcW w:w="577" w:type="pct"/>
            <w:vMerge w:val="continue"/>
            <w:tcBorders>
              <w:top w:val="single" w:color="auto" w:sz="4" w:space="0"/>
              <w:left w:val="single" w:color="auto" w:sz="4" w:space="0"/>
              <w:right w:val="single" w:color="auto" w:sz="4" w:space="0"/>
            </w:tcBorders>
            <w:noWrap w:val="0"/>
            <w:vAlign w:val="center"/>
          </w:tcPr>
          <w:p w14:paraId="5A858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452BA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17BA71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根据投标人所设计的方案是否具备</w:t>
            </w:r>
            <w:r>
              <w:rPr>
                <w:rFonts w:hint="eastAsia" w:ascii="宋体" w:hAnsi="宋体" w:eastAsia="宋体" w:cs="宋体"/>
                <w:color w:val="auto"/>
                <w:sz w:val="21"/>
                <w:szCs w:val="21"/>
                <w:highlight w:val="none"/>
                <w:lang w:val="en-US" w:eastAsia="zh-CN"/>
              </w:rPr>
              <w:t>系统统计首页、小区数字孪生、二供泵房监控、小区水平衡分析、水质监测分析、人文关怀管理、系统管理等模块与子系统且功能设置的合理性、完整性，使用维护的便捷性，数据接口设计方案的规范化与标准化，技术先进性，界面美观性、案例经验</w:t>
            </w:r>
            <w:r>
              <w:rPr>
                <w:rFonts w:hint="eastAsia" w:ascii="宋体" w:hAnsi="宋体" w:eastAsia="宋体" w:cs="宋体"/>
                <w:color w:val="auto"/>
                <w:sz w:val="21"/>
                <w:szCs w:val="21"/>
                <w:highlight w:val="none"/>
              </w:rPr>
              <w:t>等方面结合演示情况，酌情打分。</w:t>
            </w:r>
          </w:p>
          <w:p w14:paraId="6B7677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视频（以U盘为媒体单独密封，投标人应当确保U盘能够打开运行并正常使用。U盘请准备2个，一个为备用并标注备用二字，请投标人确保两只U盘的内容一致。未提供视频或2个U盘中的视频都无法打开，该项得0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6453A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p>
        </w:tc>
      </w:tr>
      <w:tr w14:paraId="22AEC266">
        <w:tblPrEx>
          <w:tblCellMar>
            <w:top w:w="0" w:type="dxa"/>
            <w:left w:w="108" w:type="dxa"/>
            <w:bottom w:w="0" w:type="dxa"/>
            <w:right w:w="108" w:type="dxa"/>
          </w:tblCellMar>
        </w:tblPrEx>
        <w:trPr>
          <w:trHeight w:val="872" w:hRule="atLeast"/>
          <w:jc w:val="center"/>
        </w:trPr>
        <w:tc>
          <w:tcPr>
            <w:tcW w:w="577" w:type="pct"/>
            <w:vMerge w:val="continue"/>
            <w:tcBorders>
              <w:left w:val="single" w:color="auto" w:sz="4" w:space="0"/>
              <w:right w:val="single" w:color="auto" w:sz="4" w:space="0"/>
            </w:tcBorders>
            <w:noWrap w:val="0"/>
            <w:vAlign w:val="center"/>
          </w:tcPr>
          <w:p w14:paraId="3E3E0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64D5D1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2C72A8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根据投标人提供的摄像无磁表电磁环境等级情况（是否达到E2级或以上等级），由评委进行综合评分。提供具有CNAS或CMA资质的第三方检验报告并加盖投标人公章，不提供不得分。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67640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212F1003">
        <w:tblPrEx>
          <w:tblCellMar>
            <w:top w:w="0" w:type="dxa"/>
            <w:left w:w="108" w:type="dxa"/>
            <w:bottom w:w="0" w:type="dxa"/>
            <w:right w:w="108" w:type="dxa"/>
          </w:tblCellMar>
        </w:tblPrEx>
        <w:trPr>
          <w:trHeight w:val="872" w:hRule="atLeast"/>
          <w:jc w:val="center"/>
        </w:trPr>
        <w:tc>
          <w:tcPr>
            <w:tcW w:w="577" w:type="pct"/>
            <w:vMerge w:val="continue"/>
            <w:tcBorders>
              <w:left w:val="single" w:color="auto" w:sz="4" w:space="0"/>
              <w:right w:val="single" w:color="auto" w:sz="4" w:space="0"/>
            </w:tcBorders>
            <w:noWrap w:val="0"/>
            <w:vAlign w:val="center"/>
          </w:tcPr>
          <w:p w14:paraId="6DE317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1D075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069EF6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根据投标人提供的超声水表量程比情况（是否达到R≥400或以上），由评委进行综合评分。</w:t>
            </w:r>
          </w:p>
          <w:p w14:paraId="219895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提供具有CNAS或CMA资质的第三方检验报告并加盖投标人公章，不提供不得分。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23AA6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6AAC959A">
        <w:tblPrEx>
          <w:tblCellMar>
            <w:top w:w="0" w:type="dxa"/>
            <w:left w:w="108" w:type="dxa"/>
            <w:bottom w:w="0" w:type="dxa"/>
            <w:right w:w="108" w:type="dxa"/>
          </w:tblCellMar>
        </w:tblPrEx>
        <w:trPr>
          <w:trHeight w:val="1088" w:hRule="atLeast"/>
          <w:jc w:val="center"/>
        </w:trPr>
        <w:tc>
          <w:tcPr>
            <w:tcW w:w="577" w:type="pct"/>
            <w:vMerge w:val="continue"/>
            <w:tcBorders>
              <w:left w:val="single" w:color="auto" w:sz="4" w:space="0"/>
              <w:right w:val="single" w:color="auto" w:sz="4" w:space="0"/>
            </w:tcBorders>
            <w:noWrap w:val="0"/>
            <w:vAlign w:val="center"/>
          </w:tcPr>
          <w:p w14:paraId="59E1BE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596069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zh-CN"/>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2B6D67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根据投标人提供的超声水表压力损失等级情况（是否达到≤△P25或以上等级），由评委进行综合评分。</w:t>
            </w:r>
          </w:p>
          <w:p w14:paraId="4E481A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提供具有CNAS或CMA资质的第三方检验报告并加盖投标人公章，不提供不得分。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53F3F1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5CCDBC6E">
        <w:tblPrEx>
          <w:tblCellMar>
            <w:top w:w="0" w:type="dxa"/>
            <w:left w:w="108" w:type="dxa"/>
            <w:bottom w:w="0" w:type="dxa"/>
            <w:right w:w="108" w:type="dxa"/>
          </w:tblCellMar>
        </w:tblPrEx>
        <w:trPr>
          <w:trHeight w:val="462" w:hRule="atLeast"/>
          <w:jc w:val="center"/>
        </w:trPr>
        <w:tc>
          <w:tcPr>
            <w:tcW w:w="577" w:type="pct"/>
            <w:vMerge w:val="continue"/>
            <w:tcBorders>
              <w:left w:val="single" w:color="auto" w:sz="4" w:space="0"/>
              <w:right w:val="single" w:color="auto" w:sz="4" w:space="0"/>
            </w:tcBorders>
            <w:noWrap w:val="0"/>
            <w:vAlign w:val="center"/>
          </w:tcPr>
          <w:p w14:paraId="6E76BF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vMerge w:val="restart"/>
            <w:tcBorders>
              <w:top w:val="single" w:color="auto" w:sz="4" w:space="0"/>
              <w:left w:val="single" w:color="auto" w:sz="4" w:space="0"/>
              <w:bottom w:val="single" w:color="auto" w:sz="4" w:space="0"/>
              <w:right w:val="single" w:color="auto" w:sz="4" w:space="0"/>
            </w:tcBorders>
            <w:noWrap w:val="0"/>
            <w:vAlign w:val="center"/>
          </w:tcPr>
          <w:p w14:paraId="36B13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组织实施方案和技术措施</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420850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根据投标人所设计的软件方案是否具</w:t>
            </w:r>
            <w:r>
              <w:rPr>
                <w:rFonts w:hint="eastAsia" w:ascii="宋体" w:hAnsi="宋体" w:eastAsia="宋体" w:cs="宋体"/>
                <w:color w:val="auto"/>
                <w:sz w:val="21"/>
                <w:szCs w:val="21"/>
                <w:highlight w:val="none"/>
              </w:rPr>
              <w:t>备</w:t>
            </w:r>
            <w:r>
              <w:rPr>
                <w:rFonts w:hint="eastAsia" w:ascii="宋体" w:hAnsi="宋体" w:eastAsia="宋体" w:cs="宋体"/>
                <w:color w:val="auto"/>
                <w:sz w:val="21"/>
                <w:szCs w:val="21"/>
                <w:highlight w:val="none"/>
                <w:lang w:val="en-US" w:eastAsia="zh-CN"/>
              </w:rPr>
              <w:t>系统统计首页、小区数字孪生、二供泵房监控、小区水平衡分析、水质监测分析、人文关怀管理、系统管理等模块与子系统且功能设置的合理性、完整性，使用维护的便捷性，数据接口设计方案的规范化与标准化，技术先进性，界面美观性、案例经验等进行综合评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357E2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w:t>
            </w:r>
          </w:p>
        </w:tc>
      </w:tr>
      <w:tr w14:paraId="2628B788">
        <w:tblPrEx>
          <w:tblCellMar>
            <w:top w:w="0" w:type="dxa"/>
            <w:left w:w="108" w:type="dxa"/>
            <w:bottom w:w="0" w:type="dxa"/>
            <w:right w:w="108" w:type="dxa"/>
          </w:tblCellMar>
        </w:tblPrEx>
        <w:trPr>
          <w:trHeight w:val="872" w:hRule="atLeast"/>
          <w:jc w:val="center"/>
        </w:trPr>
        <w:tc>
          <w:tcPr>
            <w:tcW w:w="577" w:type="pct"/>
            <w:vMerge w:val="continue"/>
            <w:tcBorders>
              <w:left w:val="single" w:color="auto" w:sz="4" w:space="0"/>
              <w:right w:val="single" w:color="auto" w:sz="4" w:space="0"/>
            </w:tcBorders>
            <w:noWrap w:val="0"/>
            <w:vAlign w:val="center"/>
          </w:tcPr>
          <w:p w14:paraId="5C408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6BD931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340551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根据项目进度安排的合理性与保证措施、目标质量控制措施的可行性；数据对接方案、维护方案、培训时间、培训方式的可行性；软件测试和验收方案的可行性等方面内容，进行综合评分。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5681E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w:t>
            </w:r>
          </w:p>
        </w:tc>
      </w:tr>
      <w:tr w14:paraId="706ADB08">
        <w:tblPrEx>
          <w:tblCellMar>
            <w:top w:w="0" w:type="dxa"/>
            <w:left w:w="108" w:type="dxa"/>
            <w:bottom w:w="0" w:type="dxa"/>
            <w:right w:w="108" w:type="dxa"/>
          </w:tblCellMar>
        </w:tblPrEx>
        <w:trPr>
          <w:trHeight w:val="590" w:hRule="atLeast"/>
          <w:jc w:val="center"/>
        </w:trPr>
        <w:tc>
          <w:tcPr>
            <w:tcW w:w="577" w:type="pct"/>
            <w:vMerge w:val="continue"/>
            <w:tcBorders>
              <w:left w:val="single" w:color="auto" w:sz="4" w:space="0"/>
              <w:right w:val="single" w:color="auto" w:sz="4" w:space="0"/>
            </w:tcBorders>
            <w:noWrap w:val="0"/>
            <w:vAlign w:val="center"/>
          </w:tcPr>
          <w:p w14:paraId="4BD23D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304A4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质量保证</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41D544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投标人提供完善的质量管理方案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方案的描述、产品质量</w:t>
            </w:r>
            <w:r>
              <w:rPr>
                <w:rFonts w:hint="eastAsia" w:ascii="宋体" w:hAnsi="宋体" w:eastAsia="宋体" w:cs="宋体"/>
                <w:color w:val="auto"/>
                <w:sz w:val="21"/>
                <w:szCs w:val="21"/>
                <w:highlight w:val="none"/>
                <w:lang w:val="en-US" w:eastAsia="zh-CN"/>
              </w:rPr>
              <w:t>等方面内容），由评委</w:t>
            </w:r>
            <w:r>
              <w:rPr>
                <w:rFonts w:hint="eastAsia" w:ascii="宋体" w:hAnsi="宋体" w:eastAsia="宋体" w:cs="宋体"/>
                <w:color w:val="auto"/>
                <w:sz w:val="21"/>
                <w:szCs w:val="21"/>
                <w:highlight w:val="none"/>
              </w:rPr>
              <w:t>酌情打分</w:t>
            </w:r>
            <w:r>
              <w:rPr>
                <w:rFonts w:hint="eastAsia" w:ascii="宋体" w:hAnsi="宋体" w:cs="宋体"/>
                <w:color w:val="auto"/>
                <w:sz w:val="21"/>
                <w:szCs w:val="21"/>
                <w:highlight w:val="none"/>
                <w:lang w:eastAsia="zh-CN"/>
              </w:rPr>
              <w:t>。</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187705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w:t>
            </w:r>
          </w:p>
        </w:tc>
      </w:tr>
      <w:tr w14:paraId="17B3F4AA">
        <w:tblPrEx>
          <w:tblCellMar>
            <w:top w:w="0" w:type="dxa"/>
            <w:left w:w="108" w:type="dxa"/>
            <w:bottom w:w="0" w:type="dxa"/>
            <w:right w:w="108" w:type="dxa"/>
          </w:tblCellMar>
        </w:tblPrEx>
        <w:trPr>
          <w:trHeight w:val="463" w:hRule="atLeast"/>
          <w:jc w:val="center"/>
        </w:trPr>
        <w:tc>
          <w:tcPr>
            <w:tcW w:w="577" w:type="pct"/>
            <w:vMerge w:val="continue"/>
            <w:tcBorders>
              <w:left w:val="single" w:color="auto" w:sz="4" w:space="0"/>
              <w:right w:val="single" w:color="auto" w:sz="4" w:space="0"/>
            </w:tcBorders>
            <w:noWrap w:val="0"/>
            <w:vAlign w:val="center"/>
          </w:tcPr>
          <w:p w14:paraId="0FA5D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54834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安全服务技术方案</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356AFC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评委根据投标人项目整体安全服务框架设计情况以及服务方案描述的详细程度进行综合打分。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3218D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r>
      <w:tr w14:paraId="60B06B6E">
        <w:tblPrEx>
          <w:tblCellMar>
            <w:top w:w="0" w:type="dxa"/>
            <w:left w:w="108" w:type="dxa"/>
            <w:bottom w:w="0" w:type="dxa"/>
            <w:right w:w="108" w:type="dxa"/>
          </w:tblCellMar>
        </w:tblPrEx>
        <w:trPr>
          <w:trHeight w:val="503" w:hRule="atLeast"/>
          <w:jc w:val="center"/>
        </w:trPr>
        <w:tc>
          <w:tcPr>
            <w:tcW w:w="577" w:type="pct"/>
            <w:vMerge w:val="continue"/>
            <w:tcBorders>
              <w:left w:val="single" w:color="auto" w:sz="4" w:space="0"/>
              <w:right w:val="single" w:color="auto" w:sz="4" w:space="0"/>
            </w:tcBorders>
            <w:noWrap w:val="0"/>
            <w:vAlign w:val="center"/>
          </w:tcPr>
          <w:p w14:paraId="44688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52525F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数据安全保障</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562A68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评委根据投标人提供的数据安全保障措施完整性、合理性内容进行综合打分。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63140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r>
      <w:tr w14:paraId="4A8ECABA">
        <w:tblPrEx>
          <w:tblCellMar>
            <w:top w:w="0" w:type="dxa"/>
            <w:left w:w="108" w:type="dxa"/>
            <w:bottom w:w="0" w:type="dxa"/>
            <w:right w:w="108" w:type="dxa"/>
          </w:tblCellMar>
        </w:tblPrEx>
        <w:trPr>
          <w:trHeight w:val="872" w:hRule="atLeast"/>
          <w:jc w:val="center"/>
        </w:trPr>
        <w:tc>
          <w:tcPr>
            <w:tcW w:w="577" w:type="pct"/>
            <w:vMerge w:val="continue"/>
            <w:tcBorders>
              <w:left w:val="single" w:color="auto" w:sz="4" w:space="0"/>
              <w:right w:val="single" w:color="auto" w:sz="4" w:space="0"/>
            </w:tcBorders>
            <w:noWrap w:val="0"/>
            <w:vAlign w:val="center"/>
          </w:tcPr>
          <w:p w14:paraId="27A9A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vMerge w:val="restart"/>
            <w:tcBorders>
              <w:top w:val="single" w:color="auto" w:sz="4" w:space="0"/>
              <w:left w:val="single" w:color="auto" w:sz="4" w:space="0"/>
              <w:bottom w:val="single" w:color="auto" w:sz="4" w:space="0"/>
              <w:right w:val="single" w:color="auto" w:sz="4" w:space="0"/>
            </w:tcBorders>
            <w:noWrap w:val="0"/>
            <w:vAlign w:val="center"/>
          </w:tcPr>
          <w:p w14:paraId="4B408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14:paraId="23E07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35" w:type="pct"/>
            <w:tcBorders>
              <w:top w:val="single" w:color="auto" w:sz="4" w:space="0"/>
              <w:left w:val="single" w:color="auto" w:sz="4" w:space="0"/>
              <w:bottom w:val="single" w:color="auto" w:sz="4" w:space="0"/>
              <w:right w:val="single" w:color="auto" w:sz="4" w:space="0"/>
            </w:tcBorders>
            <w:noWrap w:val="0"/>
            <w:vAlign w:val="center"/>
          </w:tcPr>
          <w:p w14:paraId="6DE190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根据投标人是否具有较强的服务能力、售后服务承诺、提供的售后服务方案的可行性、完整性以及服务承诺落实的保障措施；由评标委员会根据相关方案及证明材料综合评分。</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6388C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w:t>
            </w:r>
          </w:p>
        </w:tc>
      </w:tr>
      <w:tr w14:paraId="7B98FED8">
        <w:tblPrEx>
          <w:tblCellMar>
            <w:top w:w="0" w:type="dxa"/>
            <w:left w:w="108" w:type="dxa"/>
            <w:bottom w:w="0" w:type="dxa"/>
            <w:right w:w="108" w:type="dxa"/>
          </w:tblCellMar>
        </w:tblPrEx>
        <w:trPr>
          <w:trHeight w:val="1031" w:hRule="atLeast"/>
          <w:jc w:val="center"/>
        </w:trPr>
        <w:tc>
          <w:tcPr>
            <w:tcW w:w="577" w:type="pct"/>
            <w:vMerge w:val="continue"/>
            <w:tcBorders>
              <w:left w:val="single" w:color="auto" w:sz="4" w:space="0"/>
              <w:right w:val="single" w:color="auto" w:sz="4" w:space="0"/>
            </w:tcBorders>
            <w:noWrap w:val="0"/>
            <w:vAlign w:val="center"/>
          </w:tcPr>
          <w:p w14:paraId="6BAAE1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14:paraId="0D92A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35" w:type="pct"/>
            <w:tcBorders>
              <w:top w:val="single" w:color="auto" w:sz="4" w:space="0"/>
              <w:left w:val="single" w:color="auto" w:sz="4" w:space="0"/>
              <w:bottom w:val="single" w:color="000000" w:sz="4" w:space="0"/>
              <w:right w:val="single" w:color="000000" w:sz="4" w:space="0"/>
            </w:tcBorders>
            <w:noWrap w:val="0"/>
            <w:vAlign w:val="center"/>
          </w:tcPr>
          <w:p w14:paraId="4A734B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质保期延续：投标人在投标文件中承诺的二年质保期基础上每增加一年的，得1分，不足一年的不加分，此项目最多得2分。</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043BB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2</w:t>
            </w:r>
          </w:p>
        </w:tc>
      </w:tr>
      <w:tr w14:paraId="36C1C925">
        <w:tblPrEx>
          <w:tblCellMar>
            <w:top w:w="0" w:type="dxa"/>
            <w:left w:w="108" w:type="dxa"/>
            <w:bottom w:w="0" w:type="dxa"/>
            <w:right w:w="108" w:type="dxa"/>
          </w:tblCellMar>
        </w:tblPrEx>
        <w:trPr>
          <w:trHeight w:val="421" w:hRule="atLeast"/>
          <w:jc w:val="center"/>
        </w:trPr>
        <w:tc>
          <w:tcPr>
            <w:tcW w:w="577" w:type="pct"/>
            <w:vMerge w:val="restart"/>
            <w:tcBorders>
              <w:top w:val="single" w:color="auto" w:sz="4" w:space="0"/>
              <w:left w:val="single" w:color="auto" w:sz="4" w:space="0"/>
              <w:right w:val="single" w:color="auto" w:sz="4" w:space="0"/>
            </w:tcBorders>
            <w:noWrap w:val="0"/>
            <w:vAlign w:val="center"/>
          </w:tcPr>
          <w:p w14:paraId="2AC7D3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商务资信（10分）</w:t>
            </w:r>
          </w:p>
        </w:tc>
        <w:tc>
          <w:tcPr>
            <w:tcW w:w="682" w:type="pct"/>
            <w:tcBorders>
              <w:top w:val="single" w:color="auto" w:sz="4" w:space="0"/>
              <w:left w:val="single" w:color="auto" w:sz="4" w:space="0"/>
              <w:bottom w:val="single" w:color="auto" w:sz="4" w:space="0"/>
              <w:right w:val="single" w:color="auto" w:sz="4" w:space="0"/>
            </w:tcBorders>
            <w:noWrap w:val="0"/>
            <w:vAlign w:val="center"/>
          </w:tcPr>
          <w:p w14:paraId="63F44A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769DB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详见商务要求表</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16128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28FE4C30">
        <w:tblPrEx>
          <w:tblCellMar>
            <w:top w:w="0" w:type="dxa"/>
            <w:left w:w="108" w:type="dxa"/>
            <w:bottom w:w="0" w:type="dxa"/>
            <w:right w:w="108" w:type="dxa"/>
          </w:tblCellMar>
        </w:tblPrEx>
        <w:trPr>
          <w:trHeight w:val="421" w:hRule="atLeast"/>
          <w:jc w:val="center"/>
        </w:trPr>
        <w:tc>
          <w:tcPr>
            <w:tcW w:w="577" w:type="pct"/>
            <w:vMerge w:val="continue"/>
            <w:tcBorders>
              <w:left w:val="single" w:color="auto" w:sz="4" w:space="0"/>
              <w:right w:val="single" w:color="auto" w:sz="4" w:space="0"/>
            </w:tcBorders>
            <w:noWrap w:val="0"/>
            <w:vAlign w:val="center"/>
          </w:tcPr>
          <w:p w14:paraId="15491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13436D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团队实力</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7CC54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详见商务要求表</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26129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FEE4A22">
        <w:tblPrEx>
          <w:tblCellMar>
            <w:top w:w="0" w:type="dxa"/>
            <w:left w:w="108" w:type="dxa"/>
            <w:bottom w:w="0" w:type="dxa"/>
            <w:right w:w="108" w:type="dxa"/>
          </w:tblCellMar>
        </w:tblPrEx>
        <w:trPr>
          <w:trHeight w:val="434" w:hRule="atLeast"/>
          <w:jc w:val="center"/>
        </w:trPr>
        <w:tc>
          <w:tcPr>
            <w:tcW w:w="577" w:type="pct"/>
            <w:vMerge w:val="continue"/>
            <w:tcBorders>
              <w:left w:val="single" w:color="auto" w:sz="4" w:space="0"/>
              <w:bottom w:val="single" w:color="auto" w:sz="4" w:space="0"/>
              <w:right w:val="single" w:color="auto" w:sz="4" w:space="0"/>
            </w:tcBorders>
            <w:noWrap w:val="0"/>
            <w:vAlign w:val="center"/>
          </w:tcPr>
          <w:p w14:paraId="52B2E7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noWrap w:val="0"/>
            <w:vAlign w:val="center"/>
          </w:tcPr>
          <w:p w14:paraId="166C7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w:t>
            </w:r>
          </w:p>
        </w:tc>
        <w:tc>
          <w:tcPr>
            <w:tcW w:w="3335" w:type="pct"/>
            <w:tcBorders>
              <w:top w:val="single" w:color="auto" w:sz="4" w:space="0"/>
              <w:left w:val="single" w:color="auto" w:sz="4" w:space="0"/>
              <w:bottom w:val="single" w:color="auto" w:sz="4" w:space="0"/>
              <w:right w:val="single" w:color="auto" w:sz="4" w:space="0"/>
            </w:tcBorders>
            <w:noWrap w:val="0"/>
            <w:vAlign w:val="center"/>
          </w:tcPr>
          <w:p w14:paraId="522D13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详见商务要求表</w:t>
            </w:r>
          </w:p>
        </w:tc>
        <w:tc>
          <w:tcPr>
            <w:tcW w:w="404" w:type="pct"/>
            <w:tcBorders>
              <w:top w:val="single" w:color="000000" w:sz="4" w:space="0"/>
              <w:left w:val="single" w:color="auto" w:sz="4" w:space="0"/>
              <w:bottom w:val="single" w:color="000000" w:sz="4" w:space="0"/>
              <w:right w:val="single" w:color="000000" w:sz="4" w:space="0"/>
            </w:tcBorders>
            <w:noWrap w:val="0"/>
            <w:vAlign w:val="center"/>
          </w:tcPr>
          <w:p w14:paraId="6DE8ED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r>
    </w:tbl>
    <w:p w14:paraId="2B5C8A81">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商务要求表</w:t>
      </w:r>
      <w:r>
        <w:rPr>
          <w:rFonts w:hint="eastAsia" w:ascii="宋体" w:hAnsi="宋体" w:eastAsia="宋体" w:cs="宋体"/>
          <w:color w:val="auto"/>
          <w:sz w:val="21"/>
          <w:szCs w:val="21"/>
          <w:highlight w:val="none"/>
        </w:rPr>
        <w:t>（对应评分标准）</w:t>
      </w:r>
    </w:p>
    <w:tbl>
      <w:tblPr>
        <w:tblStyle w:val="1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753"/>
        <w:gridCol w:w="6297"/>
        <w:gridCol w:w="791"/>
      </w:tblGrid>
      <w:tr w14:paraId="2F30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40" w:type="dxa"/>
            <w:vMerge w:val="restart"/>
            <w:tcBorders>
              <w:left w:val="single" w:color="auto" w:sz="4" w:space="0"/>
              <w:right w:val="single" w:color="auto" w:sz="4" w:space="0"/>
            </w:tcBorders>
            <w:noWrap w:val="0"/>
            <w:vAlign w:val="center"/>
          </w:tcPr>
          <w:p w14:paraId="42A930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资信分</w:t>
            </w:r>
          </w:p>
          <w:p w14:paraId="1ED614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753" w:type="dxa"/>
            <w:tcBorders>
              <w:left w:val="single" w:color="auto" w:sz="4" w:space="0"/>
              <w:right w:val="single" w:color="auto" w:sz="4" w:space="0"/>
            </w:tcBorders>
            <w:noWrap w:val="0"/>
            <w:vAlign w:val="center"/>
          </w:tcPr>
          <w:p w14:paraId="2D1B90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297" w:type="dxa"/>
            <w:tcBorders>
              <w:top w:val="single" w:color="auto" w:sz="4" w:space="0"/>
              <w:left w:val="single" w:color="auto" w:sz="4" w:space="0"/>
              <w:bottom w:val="single" w:color="auto" w:sz="4" w:space="0"/>
              <w:right w:val="single" w:color="auto" w:sz="4" w:space="0"/>
            </w:tcBorders>
            <w:noWrap w:val="0"/>
            <w:vAlign w:val="center"/>
          </w:tcPr>
          <w:p w14:paraId="113598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投标人自2022年1月1日（以合同签订时间为准）以来完成软件类项目合同业绩单个合同金额在60万元及以上业绩的，</w:t>
            </w:r>
            <w:r>
              <w:rPr>
                <w:rFonts w:hint="eastAsia" w:ascii="宋体" w:hAnsi="宋体" w:eastAsia="宋体" w:cs="宋体"/>
                <w:color w:val="auto"/>
                <w:sz w:val="21"/>
                <w:szCs w:val="21"/>
                <w:highlight w:val="none"/>
                <w:lang w:val="zh-CN" w:eastAsia="zh-CN"/>
              </w:rPr>
              <w:t>每</w:t>
            </w:r>
            <w:r>
              <w:rPr>
                <w:rFonts w:hint="eastAsia" w:ascii="宋体" w:hAnsi="宋体" w:eastAsia="宋体" w:cs="宋体"/>
                <w:color w:val="auto"/>
                <w:sz w:val="21"/>
                <w:szCs w:val="21"/>
                <w:highlight w:val="none"/>
                <w:lang w:val="en-US" w:eastAsia="zh-CN"/>
              </w:rPr>
              <w:t>提供一个</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eastAsia="zh-CN"/>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w:t>
            </w:r>
          </w:p>
          <w:p w14:paraId="1F018A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zh-CN" w:eastAsia="zh-CN"/>
              </w:rPr>
              <w:t>提供合同复印件、发票和验收报告复印件并加盖公章，如</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中不能体现相应特征，另需提供业主证明材料并加盖公章，</w:t>
            </w:r>
            <w:r>
              <w:rPr>
                <w:rFonts w:hint="eastAsia" w:ascii="宋体" w:hAnsi="宋体" w:eastAsia="宋体" w:cs="宋体"/>
                <w:color w:val="auto"/>
                <w:sz w:val="21"/>
                <w:szCs w:val="21"/>
                <w:highlight w:val="none"/>
                <w:lang w:val="en-US" w:eastAsia="zh-CN"/>
              </w:rPr>
              <w:t>未提供或资料提供不全不得分。</w:t>
            </w:r>
          </w:p>
        </w:tc>
        <w:tc>
          <w:tcPr>
            <w:tcW w:w="791" w:type="dxa"/>
            <w:tcBorders>
              <w:left w:val="single" w:color="auto" w:sz="4" w:space="0"/>
              <w:right w:val="single" w:color="auto" w:sz="4" w:space="0"/>
            </w:tcBorders>
            <w:noWrap w:val="0"/>
            <w:vAlign w:val="center"/>
          </w:tcPr>
          <w:p w14:paraId="285393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208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0" w:type="dxa"/>
            <w:vMerge w:val="continue"/>
            <w:tcBorders>
              <w:left w:val="single" w:color="auto" w:sz="4" w:space="0"/>
              <w:right w:val="single" w:color="auto" w:sz="4" w:space="0"/>
            </w:tcBorders>
            <w:noWrap w:val="0"/>
            <w:vAlign w:val="center"/>
          </w:tcPr>
          <w:p w14:paraId="2BEC9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tcBorders>
              <w:left w:val="single" w:color="auto" w:sz="4" w:space="0"/>
              <w:right w:val="single" w:color="auto" w:sz="4" w:space="0"/>
            </w:tcBorders>
            <w:noWrap w:val="0"/>
            <w:vAlign w:val="center"/>
          </w:tcPr>
          <w:p w14:paraId="7FDD5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团队实力</w:t>
            </w:r>
          </w:p>
        </w:tc>
        <w:tc>
          <w:tcPr>
            <w:tcW w:w="6297" w:type="dxa"/>
            <w:tcBorders>
              <w:top w:val="single" w:color="auto" w:sz="4" w:space="0"/>
              <w:left w:val="single" w:color="auto" w:sz="4" w:space="0"/>
              <w:bottom w:val="single" w:color="auto" w:sz="4" w:space="0"/>
              <w:right w:val="single" w:color="auto" w:sz="4" w:space="0"/>
            </w:tcBorders>
            <w:noWrap w:val="0"/>
            <w:vAlign w:val="center"/>
          </w:tcPr>
          <w:p w14:paraId="235862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项目开发实施团队成员中：具有高级信息系统项目管理师证书、</w:t>
            </w:r>
            <w:bookmarkStart w:id="447" w:name="OLE_LINK2"/>
            <w:r>
              <w:rPr>
                <w:rFonts w:hint="eastAsia" w:ascii="宋体" w:hAnsi="宋体" w:eastAsia="宋体" w:cs="宋体"/>
                <w:color w:val="auto"/>
                <w:sz w:val="21"/>
                <w:szCs w:val="21"/>
                <w:highlight w:val="none"/>
                <w:lang w:val="en-US" w:eastAsia="zh-CN"/>
              </w:rPr>
              <w:t>高级</w:t>
            </w:r>
            <w:bookmarkStart w:id="448" w:name="OLE_LINK1"/>
            <w:r>
              <w:rPr>
                <w:rFonts w:hint="eastAsia" w:ascii="宋体" w:hAnsi="宋体" w:eastAsia="宋体" w:cs="宋体"/>
                <w:color w:val="auto"/>
                <w:sz w:val="21"/>
                <w:szCs w:val="21"/>
                <w:highlight w:val="none"/>
                <w:lang w:val="en-US" w:eastAsia="zh-CN"/>
              </w:rPr>
              <w:t>网络安全工程师</w:t>
            </w:r>
            <w:bookmarkEnd w:id="447"/>
            <w:bookmarkEnd w:id="448"/>
            <w:r>
              <w:rPr>
                <w:rFonts w:hint="eastAsia" w:ascii="宋体" w:hAnsi="宋体" w:eastAsia="宋体" w:cs="宋体"/>
                <w:color w:val="auto"/>
                <w:sz w:val="21"/>
                <w:szCs w:val="21"/>
                <w:highlight w:val="none"/>
                <w:lang w:val="en-US" w:eastAsia="zh-CN"/>
              </w:rPr>
              <w:t>证书、</w:t>
            </w:r>
            <w:bookmarkStart w:id="449" w:name="OLE_LINK5"/>
            <w:r>
              <w:rPr>
                <w:rFonts w:hint="eastAsia" w:ascii="宋体" w:hAnsi="宋体" w:eastAsia="宋体" w:cs="宋体"/>
                <w:color w:val="auto"/>
                <w:sz w:val="21"/>
                <w:szCs w:val="21"/>
                <w:highlight w:val="none"/>
                <w:lang w:val="en-US" w:eastAsia="zh-CN"/>
              </w:rPr>
              <w:t>电子产品开发专业高级工程师</w:t>
            </w:r>
            <w:bookmarkEnd w:id="449"/>
            <w:r>
              <w:rPr>
                <w:rFonts w:hint="eastAsia" w:ascii="宋体" w:hAnsi="宋体" w:eastAsia="宋体" w:cs="宋体"/>
                <w:color w:val="auto"/>
                <w:sz w:val="21"/>
                <w:szCs w:val="21"/>
                <w:highlight w:val="none"/>
                <w:lang w:val="en-US" w:eastAsia="zh-CN"/>
              </w:rPr>
              <w:t>证书、中级及以上</w:t>
            </w:r>
            <w:bookmarkStart w:id="450" w:name="OLE_LINK3"/>
            <w:r>
              <w:rPr>
                <w:rFonts w:hint="eastAsia" w:ascii="宋体" w:hAnsi="宋体" w:eastAsia="宋体" w:cs="宋体"/>
                <w:color w:val="auto"/>
                <w:sz w:val="21"/>
                <w:szCs w:val="21"/>
                <w:highlight w:val="none"/>
                <w:lang w:val="en-US" w:eastAsia="zh-CN"/>
              </w:rPr>
              <w:t>软件设计师</w:t>
            </w:r>
            <w:bookmarkEnd w:id="450"/>
            <w:r>
              <w:rPr>
                <w:rFonts w:hint="eastAsia" w:ascii="宋体" w:hAnsi="宋体" w:eastAsia="宋体" w:cs="宋体"/>
                <w:color w:val="auto"/>
                <w:sz w:val="21"/>
                <w:szCs w:val="21"/>
                <w:highlight w:val="none"/>
                <w:lang w:val="en-US" w:eastAsia="zh-CN"/>
              </w:rPr>
              <w:t>或</w:t>
            </w:r>
            <w:bookmarkStart w:id="451" w:name="OLE_LINK4"/>
            <w:r>
              <w:rPr>
                <w:rFonts w:hint="eastAsia" w:ascii="宋体" w:hAnsi="宋体" w:eastAsia="宋体" w:cs="宋体"/>
                <w:color w:val="auto"/>
                <w:sz w:val="21"/>
                <w:szCs w:val="21"/>
                <w:highlight w:val="none"/>
                <w:lang w:val="en-US" w:eastAsia="zh-CN"/>
              </w:rPr>
              <w:t>软件工程师</w:t>
            </w:r>
            <w:bookmarkEnd w:id="451"/>
            <w:r>
              <w:rPr>
                <w:rFonts w:hint="eastAsia" w:ascii="宋体" w:hAnsi="宋体" w:eastAsia="宋体" w:cs="宋体"/>
                <w:color w:val="auto"/>
                <w:sz w:val="21"/>
                <w:szCs w:val="21"/>
                <w:highlight w:val="none"/>
                <w:lang w:val="en-US" w:eastAsia="zh-CN"/>
              </w:rPr>
              <w:t>证书，每项证书得0.5分，最高得2分。</w:t>
            </w:r>
          </w:p>
          <w:p w14:paraId="62C100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提供有效证书彩印扫描件并加盖投标人公章，不提供不得分，同一人如有多个证书的不重复得分，同种证书不重复得分。</w:t>
            </w:r>
          </w:p>
        </w:tc>
        <w:tc>
          <w:tcPr>
            <w:tcW w:w="791" w:type="dxa"/>
            <w:tcBorders>
              <w:left w:val="single" w:color="auto" w:sz="4" w:space="0"/>
              <w:right w:val="single" w:color="auto" w:sz="4" w:space="0"/>
            </w:tcBorders>
            <w:noWrap w:val="0"/>
            <w:vAlign w:val="center"/>
          </w:tcPr>
          <w:p w14:paraId="5DB4D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9EB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40" w:type="dxa"/>
            <w:vMerge w:val="continue"/>
            <w:tcBorders>
              <w:left w:val="single" w:color="auto" w:sz="4" w:space="0"/>
              <w:right w:val="single" w:color="auto" w:sz="4" w:space="0"/>
            </w:tcBorders>
            <w:noWrap w:val="0"/>
            <w:vAlign w:val="center"/>
          </w:tcPr>
          <w:p w14:paraId="6B170D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vMerge w:val="restart"/>
            <w:tcBorders>
              <w:left w:val="single" w:color="auto" w:sz="4" w:space="0"/>
              <w:right w:val="single" w:color="auto" w:sz="4" w:space="0"/>
            </w:tcBorders>
            <w:noWrap w:val="0"/>
            <w:vAlign w:val="center"/>
          </w:tcPr>
          <w:p w14:paraId="5EBF0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w:t>
            </w:r>
          </w:p>
        </w:tc>
        <w:tc>
          <w:tcPr>
            <w:tcW w:w="6297" w:type="dxa"/>
            <w:tcBorders>
              <w:top w:val="single" w:color="auto" w:sz="4" w:space="0"/>
              <w:left w:val="single" w:color="auto" w:sz="4" w:space="0"/>
              <w:bottom w:val="single" w:color="auto" w:sz="4" w:space="0"/>
              <w:right w:val="single" w:color="auto" w:sz="4" w:space="0"/>
            </w:tcBorders>
            <w:noWrap w:val="0"/>
            <w:vAlign w:val="center"/>
          </w:tcPr>
          <w:p w14:paraId="11782D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投标人或</w:t>
            </w:r>
            <w:r>
              <w:rPr>
                <w:rFonts w:hint="eastAsia" w:ascii="宋体" w:hAnsi="宋体" w:eastAsia="宋体" w:cs="宋体"/>
                <w:color w:val="auto"/>
                <w:sz w:val="21"/>
                <w:szCs w:val="21"/>
                <w:highlight w:val="none"/>
                <w:lang w:val="en-US" w:eastAsia="zh-CN"/>
              </w:rPr>
              <w:t>所投产品制造商</w:t>
            </w:r>
            <w:r>
              <w:rPr>
                <w:rFonts w:hint="eastAsia" w:ascii="宋体" w:hAnsi="宋体" w:eastAsia="宋体" w:cs="宋体"/>
                <w:color w:val="auto"/>
                <w:sz w:val="21"/>
                <w:szCs w:val="21"/>
                <w:highlight w:val="none"/>
              </w:rPr>
              <w:t>通过ISO质量管理体系、ISO环境管理认证体系、ISO职业健康安全管理体系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在有效期内的</w:t>
            </w:r>
            <w:r>
              <w:rPr>
                <w:rFonts w:hint="eastAsia" w:ascii="宋体" w:hAnsi="宋体" w:eastAsia="宋体" w:cs="宋体"/>
                <w:color w:val="auto"/>
                <w:sz w:val="21"/>
                <w:szCs w:val="21"/>
                <w:highlight w:val="none"/>
              </w:rPr>
              <w:t>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0ECD2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提供上述认证证书原件的扫描件，并加盖</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单位公章，否则不得分</w:t>
            </w:r>
            <w:r>
              <w:rPr>
                <w:rFonts w:hint="eastAsia" w:ascii="宋体" w:hAnsi="宋体" w:eastAsia="宋体" w:cs="宋体"/>
                <w:color w:val="auto"/>
                <w:sz w:val="21"/>
                <w:szCs w:val="21"/>
                <w:highlight w:val="none"/>
                <w:lang w:eastAsia="zh-CN"/>
              </w:rPr>
              <w:t>。</w:t>
            </w:r>
          </w:p>
        </w:tc>
        <w:tc>
          <w:tcPr>
            <w:tcW w:w="791" w:type="dxa"/>
            <w:tcBorders>
              <w:left w:val="single" w:color="auto" w:sz="4" w:space="0"/>
              <w:right w:val="single" w:color="auto" w:sz="4" w:space="0"/>
            </w:tcBorders>
            <w:noWrap w:val="0"/>
            <w:vAlign w:val="center"/>
          </w:tcPr>
          <w:p w14:paraId="7EF60A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r>
      <w:tr w14:paraId="7B3D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40" w:type="dxa"/>
            <w:vMerge w:val="continue"/>
            <w:tcBorders>
              <w:left w:val="single" w:color="auto" w:sz="4" w:space="0"/>
              <w:right w:val="single" w:color="auto" w:sz="4" w:space="0"/>
            </w:tcBorders>
            <w:noWrap w:val="0"/>
            <w:vAlign w:val="center"/>
          </w:tcPr>
          <w:p w14:paraId="0CABA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vMerge w:val="continue"/>
            <w:tcBorders>
              <w:left w:val="single" w:color="auto" w:sz="4" w:space="0"/>
              <w:right w:val="single" w:color="auto" w:sz="4" w:space="0"/>
            </w:tcBorders>
            <w:noWrap w:val="0"/>
            <w:vAlign w:val="center"/>
          </w:tcPr>
          <w:p w14:paraId="321B5F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297" w:type="dxa"/>
            <w:tcBorders>
              <w:top w:val="single" w:color="auto" w:sz="4" w:space="0"/>
              <w:left w:val="single" w:color="auto" w:sz="4" w:space="0"/>
              <w:bottom w:val="single" w:color="auto" w:sz="4" w:space="0"/>
              <w:right w:val="single" w:color="auto" w:sz="4" w:space="0"/>
            </w:tcBorders>
            <w:noWrap w:val="0"/>
            <w:vAlign w:val="top"/>
          </w:tcPr>
          <w:p w14:paraId="5C914A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投标人取得智水家园管理平台或管理系统的软件著作权登记证书，在有效期内的</w:t>
            </w:r>
            <w:r>
              <w:rPr>
                <w:rFonts w:hint="eastAsia" w:ascii="宋体" w:hAnsi="宋体" w:eastAsia="宋体" w:cs="宋体"/>
                <w:color w:val="auto"/>
                <w:sz w:val="21"/>
                <w:szCs w:val="21"/>
                <w:highlight w:val="none"/>
              </w:rPr>
              <w:t>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791" w:type="dxa"/>
            <w:tcBorders>
              <w:left w:val="single" w:color="auto" w:sz="4" w:space="0"/>
              <w:right w:val="single" w:color="auto" w:sz="4" w:space="0"/>
            </w:tcBorders>
            <w:noWrap w:val="0"/>
            <w:vAlign w:val="center"/>
          </w:tcPr>
          <w:p w14:paraId="3F763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7A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40" w:type="dxa"/>
            <w:vMerge w:val="continue"/>
            <w:tcBorders>
              <w:left w:val="single" w:color="auto" w:sz="4" w:space="0"/>
              <w:right w:val="single" w:color="auto" w:sz="4" w:space="0"/>
            </w:tcBorders>
            <w:noWrap w:val="0"/>
            <w:vAlign w:val="center"/>
          </w:tcPr>
          <w:p w14:paraId="5C95A1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vMerge w:val="continue"/>
            <w:tcBorders>
              <w:left w:val="single" w:color="auto" w:sz="4" w:space="0"/>
              <w:right w:val="single" w:color="auto" w:sz="4" w:space="0"/>
            </w:tcBorders>
            <w:noWrap w:val="0"/>
            <w:vAlign w:val="center"/>
          </w:tcPr>
          <w:p w14:paraId="427478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297" w:type="dxa"/>
            <w:tcBorders>
              <w:top w:val="single" w:color="auto" w:sz="4" w:space="0"/>
              <w:left w:val="single" w:color="auto" w:sz="4" w:space="0"/>
              <w:bottom w:val="single" w:color="auto" w:sz="4" w:space="0"/>
              <w:right w:val="single" w:color="auto" w:sz="4" w:space="0"/>
            </w:tcBorders>
            <w:noWrap w:val="0"/>
            <w:vAlign w:val="top"/>
          </w:tcPr>
          <w:p w14:paraId="4A1F99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投标人具有省住房和城乡建设厅颁发的电子与智能化工程专业承包二级及以上资质得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6570C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（投标文件中提供有效证书复印件并加盖投标人公章，不提供不得分）</w:t>
            </w:r>
          </w:p>
        </w:tc>
        <w:tc>
          <w:tcPr>
            <w:tcW w:w="791" w:type="dxa"/>
            <w:tcBorders>
              <w:left w:val="single" w:color="auto" w:sz="4" w:space="0"/>
              <w:right w:val="single" w:color="auto" w:sz="4" w:space="0"/>
            </w:tcBorders>
            <w:noWrap w:val="0"/>
            <w:vAlign w:val="center"/>
          </w:tcPr>
          <w:p w14:paraId="7EF0E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87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40" w:type="dxa"/>
            <w:vMerge w:val="continue"/>
            <w:tcBorders>
              <w:left w:val="single" w:color="auto" w:sz="4" w:space="0"/>
              <w:right w:val="single" w:color="auto" w:sz="4" w:space="0"/>
            </w:tcBorders>
            <w:noWrap w:val="0"/>
            <w:vAlign w:val="center"/>
          </w:tcPr>
          <w:p w14:paraId="59AC62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vMerge w:val="continue"/>
            <w:tcBorders>
              <w:left w:val="single" w:color="auto" w:sz="4" w:space="0"/>
              <w:right w:val="single" w:color="auto" w:sz="4" w:space="0"/>
            </w:tcBorders>
            <w:noWrap w:val="0"/>
            <w:vAlign w:val="center"/>
          </w:tcPr>
          <w:p w14:paraId="64AD0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297" w:type="dxa"/>
            <w:tcBorders>
              <w:top w:val="single" w:color="auto" w:sz="4" w:space="0"/>
              <w:left w:val="single" w:color="auto" w:sz="4" w:space="0"/>
              <w:bottom w:val="single" w:color="auto" w:sz="4" w:space="0"/>
              <w:right w:val="single" w:color="auto" w:sz="4" w:space="0"/>
            </w:tcBorders>
            <w:noWrap w:val="0"/>
            <w:vAlign w:val="top"/>
          </w:tcPr>
          <w:p w14:paraId="1BB238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投标人所投产品获得国家网络与信息系统安全产品质量检验检测中心颁发的信息技术产品源代码备案证书的得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905D3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（投标文件中提供有效证书复印件并加盖投标人公章，不提供不得分，原件核查）</w:t>
            </w:r>
          </w:p>
        </w:tc>
        <w:tc>
          <w:tcPr>
            <w:tcW w:w="791" w:type="dxa"/>
            <w:tcBorders>
              <w:left w:val="single" w:color="auto" w:sz="4" w:space="0"/>
              <w:right w:val="single" w:color="auto" w:sz="4" w:space="0"/>
            </w:tcBorders>
            <w:noWrap w:val="0"/>
            <w:vAlign w:val="center"/>
          </w:tcPr>
          <w:p w14:paraId="23100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2C6D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40" w:type="dxa"/>
            <w:vMerge w:val="continue"/>
            <w:tcBorders>
              <w:left w:val="single" w:color="auto" w:sz="4" w:space="0"/>
              <w:right w:val="single" w:color="auto" w:sz="4" w:space="0"/>
            </w:tcBorders>
            <w:noWrap w:val="0"/>
            <w:vAlign w:val="center"/>
          </w:tcPr>
          <w:p w14:paraId="25B98D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753" w:type="dxa"/>
            <w:vMerge w:val="continue"/>
            <w:tcBorders>
              <w:left w:val="single" w:color="auto" w:sz="4" w:space="0"/>
              <w:right w:val="single" w:color="auto" w:sz="4" w:space="0"/>
            </w:tcBorders>
            <w:noWrap w:val="0"/>
            <w:vAlign w:val="center"/>
          </w:tcPr>
          <w:p w14:paraId="2AEA50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6297" w:type="dxa"/>
            <w:tcBorders>
              <w:top w:val="single" w:color="auto" w:sz="4" w:space="0"/>
              <w:left w:val="single" w:color="auto" w:sz="4" w:space="0"/>
              <w:bottom w:val="single" w:color="auto" w:sz="4" w:space="0"/>
              <w:right w:val="single" w:color="auto" w:sz="4" w:space="0"/>
            </w:tcBorders>
            <w:noWrap w:val="0"/>
            <w:vAlign w:val="top"/>
          </w:tcPr>
          <w:p w14:paraId="519C4A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投标人获得CMMI软件能力成熟度3级及以下的得1分，获得4级及以上认证的得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分。（须提供https：//cmmiinstitute.com/pars 网上查询截图加盖公章，不提供不得分，原件核查）</w:t>
            </w:r>
          </w:p>
        </w:tc>
        <w:tc>
          <w:tcPr>
            <w:tcW w:w="791" w:type="dxa"/>
            <w:tcBorders>
              <w:left w:val="single" w:color="auto" w:sz="4" w:space="0"/>
              <w:right w:val="single" w:color="auto" w:sz="4" w:space="0"/>
            </w:tcBorders>
            <w:noWrap w:val="0"/>
            <w:vAlign w:val="center"/>
          </w:tcPr>
          <w:p w14:paraId="3A0E04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bl>
    <w:p w14:paraId="4DAED8D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kern w:val="0"/>
          <w:sz w:val="24"/>
          <w:highlight w:val="none"/>
        </w:rPr>
        <w:t>1、评标委员会各成员应当独立对每个供应商的响应文件进行评价，并汇总每个供应</w:t>
      </w:r>
      <w:r>
        <w:rPr>
          <w:rFonts w:hint="eastAsia" w:ascii="宋体" w:hAnsi="宋体" w:eastAsia="宋体" w:cs="宋体"/>
          <w:color w:val="auto"/>
          <w:sz w:val="24"/>
          <w:szCs w:val="21"/>
          <w:highlight w:val="none"/>
        </w:rPr>
        <w:t>商的得分。资信分为客观分，也需独立进行评价并核对分值，最终分值需一致。</w:t>
      </w:r>
    </w:p>
    <w:p w14:paraId="7070B3B3">
      <w:pPr>
        <w:pStyle w:val="2"/>
        <w:spacing w:line="360" w:lineRule="auto"/>
        <w:ind w:left="0" w:leftChars="0"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2、所有文件、合同、证书、资质等需要真实有效。成交供应商在中标后签订合同时需提供以上证明文件原件，若发现资料作假的取消中标资格。</w:t>
      </w:r>
    </w:p>
    <w:p w14:paraId="7EB7CDC6">
      <w:pPr>
        <w:pStyle w:val="2"/>
        <w:spacing w:line="360" w:lineRule="auto"/>
        <w:ind w:left="0" w:leftChars="0" w:firstLine="480"/>
        <w:rPr>
          <w:rFonts w:hint="eastAsia" w:ascii="宋体" w:hAnsi="宋体" w:eastAsia="宋体" w:cs="宋体"/>
          <w:color w:val="auto"/>
          <w:sz w:val="24"/>
          <w:szCs w:val="21"/>
          <w:highlight w:val="none"/>
        </w:rPr>
      </w:pPr>
    </w:p>
    <w:p w14:paraId="4F4DDD02">
      <w:pPr>
        <w:pStyle w:val="2"/>
        <w:spacing w:line="360" w:lineRule="auto"/>
        <w:ind w:left="0" w:leftChars="0" w:firstLine="480"/>
        <w:rPr>
          <w:rFonts w:hint="eastAsia" w:ascii="宋体" w:hAnsi="宋体" w:eastAsia="宋体" w:cs="宋体"/>
          <w:color w:val="auto"/>
          <w:sz w:val="24"/>
          <w:szCs w:val="21"/>
          <w:highlight w:val="none"/>
        </w:rPr>
      </w:pPr>
    </w:p>
    <w:p w14:paraId="0D90FA29">
      <w:pPr>
        <w:rPr>
          <w:rFonts w:hint="eastAsia" w:ascii="宋体" w:hAnsi="宋体" w:eastAsia="宋体" w:cs="宋体"/>
          <w:b/>
          <w:color w:val="auto"/>
          <w:sz w:val="36"/>
          <w:szCs w:val="36"/>
          <w:highlight w:val="none"/>
        </w:rPr>
      </w:pPr>
      <w:bookmarkStart w:id="452" w:name="_Toc165741220"/>
      <w:bookmarkStart w:id="453" w:name="_Toc167700925"/>
      <w:bookmarkStart w:id="454" w:name="_Toc7094"/>
      <w:r>
        <w:rPr>
          <w:rFonts w:hint="eastAsia" w:ascii="宋体" w:hAnsi="宋体" w:eastAsia="宋体" w:cs="宋体"/>
          <w:b/>
          <w:color w:val="auto"/>
          <w:sz w:val="36"/>
          <w:szCs w:val="36"/>
          <w:highlight w:val="none"/>
        </w:rPr>
        <w:br w:type="page"/>
      </w:r>
    </w:p>
    <w:p w14:paraId="121B5762">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bookmarkEnd w:id="452"/>
      <w:bookmarkEnd w:id="453"/>
      <w:bookmarkEnd w:id="454"/>
    </w:p>
    <w:p w14:paraId="2BFAF9F6">
      <w:pPr>
        <w:widowControl/>
        <w:spacing w:before="100" w:after="100" w:line="360" w:lineRule="atLeast"/>
        <w:jc w:val="center"/>
        <w:outlineLvl w:val="0"/>
        <w:rPr>
          <w:rFonts w:hint="eastAsia" w:ascii="宋体" w:hAnsi="宋体" w:eastAsia="宋体" w:cs="宋体"/>
          <w:b/>
          <w:snapToGrid/>
          <w:color w:val="auto"/>
          <w:kern w:val="44"/>
          <w:sz w:val="32"/>
          <w:highlight w:val="none"/>
        </w:rPr>
      </w:pPr>
      <w:bookmarkStart w:id="455" w:name="_Toc27972"/>
      <w:bookmarkStart w:id="456" w:name="_Toc8584"/>
      <w:r>
        <w:rPr>
          <w:rFonts w:hint="eastAsia" w:ascii="宋体" w:hAnsi="宋体" w:eastAsia="宋体" w:cs="宋体"/>
          <w:b/>
          <w:snapToGrid/>
          <w:color w:val="auto"/>
          <w:kern w:val="44"/>
          <w:sz w:val="32"/>
          <w:highlight w:val="none"/>
        </w:rPr>
        <w:t xml:space="preserve"> </w:t>
      </w:r>
      <w:bookmarkEnd w:id="455"/>
      <w:bookmarkStart w:id="457" w:name="_Toc7312"/>
      <w:bookmarkStart w:id="458" w:name="_Toc154221151"/>
      <w:r>
        <w:rPr>
          <w:rFonts w:hint="eastAsia" w:ascii="宋体" w:hAnsi="宋体" w:eastAsia="宋体" w:cs="宋体"/>
          <w:b/>
          <w:snapToGrid/>
          <w:color w:val="auto"/>
          <w:kern w:val="44"/>
          <w:sz w:val="32"/>
          <w:highlight w:val="none"/>
        </w:rPr>
        <w:t>第一章 采购内容及要求</w:t>
      </w:r>
      <w:bookmarkEnd w:id="457"/>
      <w:bookmarkEnd w:id="458"/>
    </w:p>
    <w:p w14:paraId="265A34E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项目</w:t>
      </w:r>
      <w:bookmarkEnd w:id="456"/>
      <w:r>
        <w:rPr>
          <w:rFonts w:hint="eastAsia" w:ascii="宋体" w:hAnsi="宋体" w:eastAsia="宋体" w:cs="宋体"/>
          <w:b/>
          <w:color w:val="auto"/>
          <w:sz w:val="24"/>
          <w:highlight w:val="none"/>
        </w:rPr>
        <w:t>背景</w:t>
      </w:r>
    </w:p>
    <w:p w14:paraId="035648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随着城市化进程加速、水资源紧张加剧以及数字化转型浪潮的席卷，供水企业的运营与服务模式亟待革新，以应对一系列长期存在的痛点问题，从而提升管理效率，确保服务质量，满足社会公众对优质、高效、智能化供水服务的期待。</w:t>
      </w:r>
    </w:p>
    <w:p w14:paraId="0EEB45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基于此背景，绍兴市上虞区水务集团有限公司（以下简称“公司”）致力于通过技术创新和服务优化，全面提升公司的供水服务质量和效率，提升用户用水获得感。</w:t>
      </w:r>
    </w:p>
    <w:p w14:paraId="1EA6E965">
      <w:pPr>
        <w:rPr>
          <w:rFonts w:hint="eastAsia" w:ascii="宋体" w:hAnsi="宋体" w:eastAsia="宋体" w:cs="宋体"/>
          <w:b/>
          <w:color w:val="auto"/>
          <w:sz w:val="24"/>
          <w:highlight w:val="none"/>
        </w:rPr>
      </w:pPr>
      <w:bookmarkStart w:id="459" w:name="_Toc20916"/>
      <w:bookmarkStart w:id="460" w:name="_Toc4103"/>
      <w:bookmarkStart w:id="461" w:name="_Toc13875"/>
      <w:r>
        <w:rPr>
          <w:rFonts w:hint="eastAsia" w:ascii="宋体" w:hAnsi="宋体" w:eastAsia="宋体" w:cs="宋体"/>
          <w:b/>
          <w:color w:val="auto"/>
          <w:sz w:val="24"/>
          <w:highlight w:val="none"/>
        </w:rPr>
        <w:t>2. 项目意义</w:t>
      </w:r>
      <w:bookmarkEnd w:id="459"/>
      <w:bookmarkEnd w:id="460"/>
      <w:bookmarkEnd w:id="461"/>
    </w:p>
    <w:p w14:paraId="3F9A8867">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智水家园项目旨在通过智能化手段提升小区水务管理效率与服务质量，解决传统供水模式中存在的水质保障难、漏损控制差、管理成本高以及居民用水体验不佳等问题。借助物联网、大数据分析等先进技术，实现供水设施的远程监控、精准调控与智能运维，不仅能有效降低供水漏损率，减少资源浪费与企业运营成本，还能为居民提供更稳定、安全的用水环境，同时，通过搭建居民与水司的快速沟通平台，加快水务问题响应与处理速度，提升居民生活品质与满意度，助力城市水务管理向智能化、精细化迈进。</w:t>
      </w:r>
    </w:p>
    <w:p w14:paraId="1732E1E8">
      <w:pPr>
        <w:rPr>
          <w:rFonts w:hint="eastAsia" w:ascii="宋体" w:hAnsi="宋体" w:eastAsia="宋体" w:cs="宋体"/>
          <w:b/>
          <w:color w:val="auto"/>
          <w:sz w:val="24"/>
          <w:highlight w:val="none"/>
        </w:rPr>
      </w:pPr>
      <w:bookmarkStart w:id="462" w:name="_Toc12519"/>
      <w:bookmarkStart w:id="463" w:name="_Toc32260"/>
      <w:r>
        <w:rPr>
          <w:rFonts w:hint="eastAsia" w:ascii="宋体" w:hAnsi="宋体" w:eastAsia="宋体" w:cs="宋体"/>
          <w:b/>
          <w:color w:val="auto"/>
          <w:sz w:val="24"/>
          <w:highlight w:val="none"/>
        </w:rPr>
        <w:t>3. 指导思想</w:t>
      </w:r>
      <w:bookmarkEnd w:id="462"/>
      <w:bookmarkEnd w:id="463"/>
    </w:p>
    <w:p w14:paraId="515EC95F">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本着科学性、实用性和前瞻性原则，必须以满足供水安全性和经济性这两个条件为基本出发点，系统的设计必须遵循：</w:t>
      </w:r>
    </w:p>
    <w:p w14:paraId="1A6AA988">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Hans"/>
        </w:rPr>
        <w:t>先进性与实用性并重。系统建设应采用成熟的、先进的，并符合行业发展趋势的技术、软件产品和硬件设备。在追求技术先进性的同时，需遵循实用性的原则，保护已有资源，急用先行。</w:t>
      </w:r>
    </w:p>
    <w:p w14:paraId="26E49449">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Hans"/>
        </w:rPr>
        <w:t>统一集成、可扩展性强。系统规划要考虑到未来发展的需要，尽可能设计简明，降低模块耦合度，并充分考虑兼容性，以保证系统具有长久的生命力和扩展能力。</w:t>
      </w:r>
    </w:p>
    <w:p w14:paraId="7AAFCAB4">
      <w:pPr>
        <w:jc w:val="center"/>
        <w:rPr>
          <w:rFonts w:hint="eastAsia" w:ascii="宋体" w:hAnsi="宋体" w:eastAsia="宋体" w:cs="宋体"/>
          <w:b/>
          <w:color w:val="auto"/>
          <w:sz w:val="28"/>
          <w:szCs w:val="28"/>
          <w:highlight w:val="none"/>
        </w:rPr>
      </w:pPr>
      <w:bookmarkStart w:id="464" w:name="_Toc26054"/>
      <w:r>
        <w:rPr>
          <w:rFonts w:hint="eastAsia" w:ascii="宋体" w:hAnsi="宋体" w:eastAsia="宋体" w:cs="宋体"/>
          <w:b/>
          <w:color w:val="auto"/>
          <w:sz w:val="28"/>
          <w:szCs w:val="28"/>
          <w:highlight w:val="none"/>
        </w:rPr>
        <w:t>二、建设方案</w:t>
      </w:r>
      <w:bookmarkEnd w:id="464"/>
    </w:p>
    <w:p w14:paraId="30E846A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建设目标</w:t>
      </w:r>
    </w:p>
    <w:p w14:paraId="6956EEEB">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本项目选中5个小区（家天下、金地悦峯里、万固越珑府、都会云上府、天荟江南府），打造“智水家园”智慧化供水应用场景。智水家园系统包括小区数字孪生、二供泵房监控、小区水平衡分析、小区水平衡报警、水质监测分析、最不利压力测试、物联网数据统一管理、人文关怀管理等模块，将管网基础信息进行标准化管理，并在标准化的基础上打通各系统之间的数据孤岛，通过物联网和数字孪生技术，构建全面且精细的小区数据全方位视图，辅助水务精细化管理，实现对小区状况的精准把控与智能化管理，打造智慧水务示范项目。</w:t>
      </w:r>
    </w:p>
    <w:p w14:paraId="47FD4684">
      <w:pPr>
        <w:rPr>
          <w:rFonts w:hint="eastAsia" w:ascii="宋体" w:hAnsi="宋体" w:eastAsia="宋体" w:cs="宋体"/>
          <w:b/>
          <w:color w:val="auto"/>
          <w:sz w:val="24"/>
          <w:highlight w:val="none"/>
        </w:rPr>
      </w:pPr>
      <w:bookmarkStart w:id="465" w:name="_Toc127717484"/>
      <w:bookmarkEnd w:id="465"/>
      <w:bookmarkStart w:id="466" w:name="_Toc127717541"/>
      <w:bookmarkEnd w:id="466"/>
      <w:bookmarkStart w:id="467" w:name="_Toc127879275"/>
      <w:bookmarkEnd w:id="467"/>
      <w:r>
        <w:rPr>
          <w:rFonts w:hint="eastAsia" w:ascii="宋体" w:hAnsi="宋体" w:eastAsia="宋体" w:cs="宋体"/>
          <w:b/>
          <w:color w:val="auto"/>
          <w:sz w:val="24"/>
          <w:highlight w:val="none"/>
        </w:rPr>
        <w:t>2. 建设原则</w:t>
      </w:r>
    </w:p>
    <w:p w14:paraId="09247C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智水家园系统建设应遵循整体规划、分布实施，需求牵引、技术驱动，系统集成、确保安全，建管并重、协同推动的基本原则。</w:t>
      </w:r>
    </w:p>
    <w:p w14:paraId="542AF03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2.1整体规划，分步实施</w:t>
      </w:r>
    </w:p>
    <w:p w14:paraId="55A47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小区水务数字化建设现状、目标需求与行业和技术趋势综合制定智水家园建设顶层设计，制定标准与规范，保障智水家园在技术上统一标准、框架，在充分利用现有的信息化资产的基础上实现系统打通，确保数据与信息的互联互通，促进资源的整合、共用、共享。统筹安排建设任务，分阶段逐步落实，稳步推进各项建设内容既满足实际需求，提升业务和决策支撑能力，建立以平台构建系统，系统支撑业务应用为框架，以应用需求为导向、信息技术应用服从供水管理单位事务和业务需求为目标的科学发展模式，在保障系统可扩展性的基础上，确保系统尽快发挥效益。</w:t>
      </w:r>
    </w:p>
    <w:p w14:paraId="61FB55C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2.2需求牵引，技术驱动</w:t>
      </w:r>
    </w:p>
    <w:p w14:paraId="34384D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满足实际需求，提升业务支撑能力为目的，智水家园系统建立以应用需求为导向、信息技术应用服从于建设需求的科学发展模式，在保障系统可扩展性的基础上，选择实用先进的信息技术，建立可配置、易扩充和能演化的系统，注重实用、好用、够用，确保系统尽快发挥效益。</w:t>
      </w:r>
    </w:p>
    <w:p w14:paraId="71ECD4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新一代信息技术正与各行业深度融合，对行业发展产生巨大的推动作用，新技术的发展与应用显著提升了行业信息化水平。监测感知手段的提升、物联网技术的发展、在线监控技术的应用，使万物互联和监测感知更加透彻；大数据与智能分析技术的应用使预测预报、业务管理、分析评估、辅助决策、行业监管更加科学智能。</w:t>
      </w:r>
    </w:p>
    <w:p w14:paraId="72C096D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系统集成，确保安全</w:t>
      </w:r>
    </w:p>
    <w:p w14:paraId="42B070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智水家园建设过程中，应充分考虑与现行抄表系统、办公系统、控制系统的兼容互通，强化数据双向衔接，做到数据与功能集成，高度重视安全体系及安全系统的建设与运用。智水家园数字化工程，必须将确保系统及信息安全放在需求的首位，严格遵守相关建设管理规定，并将安全需求作为工程设计的基本依据。已经投入运行的系统，进行必要的安全等级要求和安全状况评估，建设有效的安全管理制度，确保系统长期安全运行。</w:t>
      </w:r>
    </w:p>
    <w:p w14:paraId="38127C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网络安全与系统建设同步规划、同步建设、同步运行，建立数据安全责任制和关键信息基础设施保护制，保障关键信息系统和公共数据安全。</w:t>
      </w:r>
    </w:p>
    <w:p w14:paraId="5DA5E59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2.4建管并重，协同推动</w:t>
      </w:r>
    </w:p>
    <w:p w14:paraId="35AB2F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加强信息化建设项目的规范化过程管理与科学评估，明确各类信息基础设施及业务应用的合理生命周期，将工程所建系统的运行维护管理方案纳入工程设计内容，落实运行维护经费和维护组织方式，强化日常管理，保障供水管理单位信息系统建得成、用得好、可持续。</w:t>
      </w:r>
    </w:p>
    <w:p w14:paraId="137B79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强化智水家园建设进程中数据资源的整合汇聚、开放兼容，通过大数据运用，实现预警预报，为城乡供水管理单位及水利、建设、生态环境、卫生健康等部门业务协同监管提供数据支撑。</w:t>
      </w:r>
    </w:p>
    <w:p w14:paraId="39B36EB1">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三、建设内容清单</w:t>
      </w:r>
    </w:p>
    <w:p w14:paraId="1AC8D3E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采购清单：</w:t>
      </w:r>
    </w:p>
    <w:tbl>
      <w:tblPr>
        <w:tblStyle w:val="1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8"/>
        <w:gridCol w:w="1559"/>
        <w:gridCol w:w="850"/>
        <w:gridCol w:w="1418"/>
        <w:gridCol w:w="1417"/>
        <w:gridCol w:w="3198"/>
      </w:tblGrid>
      <w:tr w14:paraId="2E2A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800" w:type="dxa"/>
            <w:gridSpan w:val="6"/>
            <w:shd w:val="clear" w:color="auto" w:fill="auto"/>
            <w:vAlign w:val="center"/>
          </w:tcPr>
          <w:p w14:paraId="546CBD9E">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物联感知改造</w:t>
            </w:r>
          </w:p>
        </w:tc>
      </w:tr>
      <w:tr w14:paraId="50644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2917" w:type="dxa"/>
            <w:gridSpan w:val="2"/>
            <w:shd w:val="clear" w:color="auto" w:fill="auto"/>
            <w:vAlign w:val="center"/>
          </w:tcPr>
          <w:p w14:paraId="039A83B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分类</w:t>
            </w:r>
          </w:p>
        </w:tc>
        <w:tc>
          <w:tcPr>
            <w:tcW w:w="850" w:type="dxa"/>
            <w:shd w:val="clear" w:color="auto" w:fill="auto"/>
            <w:vAlign w:val="center"/>
          </w:tcPr>
          <w:p w14:paraId="6BDCF6DC">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shd w:val="clear" w:color="auto" w:fill="auto"/>
            <w:vAlign w:val="center"/>
          </w:tcPr>
          <w:p w14:paraId="6337938D">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最高单价限价（元）</w:t>
            </w:r>
          </w:p>
        </w:tc>
        <w:tc>
          <w:tcPr>
            <w:tcW w:w="1417" w:type="dxa"/>
            <w:shd w:val="clear" w:color="auto" w:fill="auto"/>
            <w:vAlign w:val="center"/>
          </w:tcPr>
          <w:p w14:paraId="01E4351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最高总价限价</w:t>
            </w:r>
          </w:p>
          <w:p w14:paraId="44DC22DD">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3198" w:type="dxa"/>
            <w:shd w:val="clear" w:color="auto" w:fill="auto"/>
            <w:vAlign w:val="center"/>
          </w:tcPr>
          <w:p w14:paraId="04986132">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DF3D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358" w:type="dxa"/>
            <w:vMerge w:val="restart"/>
            <w:tcBorders>
              <w:bottom w:val="nil"/>
            </w:tcBorders>
            <w:shd w:val="clear" w:color="auto" w:fill="auto"/>
            <w:vAlign w:val="center"/>
          </w:tcPr>
          <w:p w14:paraId="1C2248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无线水表</w:t>
            </w:r>
          </w:p>
          <w:p w14:paraId="0B7032D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（地面）</w:t>
            </w:r>
          </w:p>
        </w:tc>
        <w:tc>
          <w:tcPr>
            <w:tcW w:w="1559" w:type="dxa"/>
            <w:shd w:val="clear" w:color="auto" w:fill="auto"/>
            <w:vAlign w:val="center"/>
          </w:tcPr>
          <w:p w14:paraId="319254C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DN15</w:t>
            </w:r>
          </w:p>
        </w:tc>
        <w:tc>
          <w:tcPr>
            <w:tcW w:w="850" w:type="dxa"/>
            <w:shd w:val="clear" w:color="auto" w:fill="auto"/>
            <w:vAlign w:val="center"/>
          </w:tcPr>
          <w:p w14:paraId="2049613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418" w:type="dxa"/>
            <w:shd w:val="clear" w:color="auto" w:fill="auto"/>
            <w:vAlign w:val="center"/>
          </w:tcPr>
          <w:p w14:paraId="389413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292.00</w:t>
            </w:r>
          </w:p>
        </w:tc>
        <w:tc>
          <w:tcPr>
            <w:tcW w:w="1417" w:type="dxa"/>
            <w:shd w:val="clear" w:color="auto" w:fill="auto"/>
            <w:vAlign w:val="center"/>
          </w:tcPr>
          <w:p w14:paraId="336F30A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3504.00</w:t>
            </w:r>
          </w:p>
        </w:tc>
        <w:tc>
          <w:tcPr>
            <w:tcW w:w="3198" w:type="dxa"/>
            <w:vMerge w:val="restart"/>
            <w:tcBorders>
              <w:bottom w:val="nil"/>
            </w:tcBorders>
            <w:shd w:val="clear" w:color="auto" w:fill="auto"/>
            <w:vAlign w:val="center"/>
          </w:tcPr>
          <w:p w14:paraId="549DC0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通讯盒+基表</w:t>
            </w:r>
          </w:p>
        </w:tc>
      </w:tr>
      <w:tr w14:paraId="3A19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bottom w:val="nil"/>
            </w:tcBorders>
            <w:shd w:val="clear" w:color="auto" w:fill="auto"/>
            <w:vAlign w:val="center"/>
          </w:tcPr>
          <w:p w14:paraId="341891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4D3EB5B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DN20</w:t>
            </w:r>
          </w:p>
        </w:tc>
        <w:tc>
          <w:tcPr>
            <w:tcW w:w="850" w:type="dxa"/>
            <w:shd w:val="clear" w:color="auto" w:fill="auto"/>
            <w:vAlign w:val="center"/>
          </w:tcPr>
          <w:p w14:paraId="386EF6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17</w:t>
            </w:r>
          </w:p>
        </w:tc>
        <w:tc>
          <w:tcPr>
            <w:tcW w:w="1418" w:type="dxa"/>
            <w:shd w:val="clear" w:color="auto" w:fill="auto"/>
            <w:vAlign w:val="center"/>
          </w:tcPr>
          <w:p w14:paraId="33DF909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292.00</w:t>
            </w:r>
          </w:p>
        </w:tc>
        <w:tc>
          <w:tcPr>
            <w:tcW w:w="1417" w:type="dxa"/>
            <w:shd w:val="clear" w:color="auto" w:fill="auto"/>
            <w:vAlign w:val="center"/>
          </w:tcPr>
          <w:p w14:paraId="5CDAF6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4964.00</w:t>
            </w:r>
          </w:p>
        </w:tc>
        <w:tc>
          <w:tcPr>
            <w:tcW w:w="3198" w:type="dxa"/>
            <w:vMerge w:val="continue"/>
            <w:tcBorders>
              <w:top w:val="nil"/>
              <w:bottom w:val="nil"/>
            </w:tcBorders>
            <w:shd w:val="clear" w:color="auto" w:fill="auto"/>
            <w:vAlign w:val="center"/>
          </w:tcPr>
          <w:p w14:paraId="6BA2A2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r>
      <w:tr w14:paraId="0F2ED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bottom w:val="nil"/>
            </w:tcBorders>
            <w:shd w:val="clear" w:color="auto" w:fill="auto"/>
            <w:vAlign w:val="center"/>
          </w:tcPr>
          <w:p w14:paraId="17446F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1F12FE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DN25</w:t>
            </w:r>
          </w:p>
        </w:tc>
        <w:tc>
          <w:tcPr>
            <w:tcW w:w="850" w:type="dxa"/>
            <w:shd w:val="clear" w:color="auto" w:fill="auto"/>
            <w:vAlign w:val="center"/>
          </w:tcPr>
          <w:p w14:paraId="7E7BA16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24</w:t>
            </w:r>
          </w:p>
        </w:tc>
        <w:tc>
          <w:tcPr>
            <w:tcW w:w="1418" w:type="dxa"/>
            <w:shd w:val="clear" w:color="auto" w:fill="auto"/>
            <w:vAlign w:val="center"/>
          </w:tcPr>
          <w:p w14:paraId="581FF1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298.00</w:t>
            </w:r>
          </w:p>
        </w:tc>
        <w:tc>
          <w:tcPr>
            <w:tcW w:w="1417" w:type="dxa"/>
            <w:shd w:val="clear" w:color="auto" w:fill="auto"/>
            <w:vAlign w:val="center"/>
          </w:tcPr>
          <w:p w14:paraId="1DAD74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7152.00</w:t>
            </w:r>
          </w:p>
        </w:tc>
        <w:tc>
          <w:tcPr>
            <w:tcW w:w="3198" w:type="dxa"/>
            <w:vMerge w:val="continue"/>
            <w:tcBorders>
              <w:top w:val="nil"/>
            </w:tcBorders>
            <w:shd w:val="clear" w:color="auto" w:fill="auto"/>
            <w:vAlign w:val="center"/>
          </w:tcPr>
          <w:p w14:paraId="2EC24C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r>
      <w:tr w14:paraId="73D4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bottom w:val="nil"/>
            </w:tcBorders>
            <w:shd w:val="clear" w:color="auto" w:fill="auto"/>
            <w:vAlign w:val="center"/>
          </w:tcPr>
          <w:p w14:paraId="0B8207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6CFCC8F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DN40</w:t>
            </w:r>
          </w:p>
        </w:tc>
        <w:tc>
          <w:tcPr>
            <w:tcW w:w="850" w:type="dxa"/>
            <w:shd w:val="clear" w:color="auto" w:fill="auto"/>
            <w:vAlign w:val="center"/>
          </w:tcPr>
          <w:p w14:paraId="28B607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418" w:type="dxa"/>
            <w:shd w:val="clear" w:color="auto" w:fill="auto"/>
            <w:vAlign w:val="center"/>
          </w:tcPr>
          <w:p w14:paraId="0CAEBAA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3888.00</w:t>
            </w:r>
          </w:p>
        </w:tc>
        <w:tc>
          <w:tcPr>
            <w:tcW w:w="1417" w:type="dxa"/>
            <w:shd w:val="clear" w:color="auto" w:fill="auto"/>
            <w:vAlign w:val="center"/>
          </w:tcPr>
          <w:p w14:paraId="1344FC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66096.00</w:t>
            </w:r>
          </w:p>
        </w:tc>
        <w:tc>
          <w:tcPr>
            <w:tcW w:w="3198" w:type="dxa"/>
            <w:vMerge w:val="restart"/>
            <w:tcBorders>
              <w:bottom w:val="nil"/>
            </w:tcBorders>
            <w:shd w:val="clear" w:color="auto" w:fill="auto"/>
            <w:vAlign w:val="center"/>
          </w:tcPr>
          <w:p w14:paraId="21A0AC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改造为超声波远传表</w:t>
            </w:r>
          </w:p>
        </w:tc>
      </w:tr>
      <w:tr w14:paraId="4094E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bottom w:val="nil"/>
            </w:tcBorders>
            <w:shd w:val="clear" w:color="auto" w:fill="auto"/>
            <w:vAlign w:val="center"/>
          </w:tcPr>
          <w:p w14:paraId="2BB15AA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44F82FE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DN50</w:t>
            </w:r>
          </w:p>
        </w:tc>
        <w:tc>
          <w:tcPr>
            <w:tcW w:w="850" w:type="dxa"/>
            <w:shd w:val="clear" w:color="auto" w:fill="auto"/>
            <w:vAlign w:val="center"/>
          </w:tcPr>
          <w:p w14:paraId="14357D9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3</w:t>
            </w:r>
          </w:p>
        </w:tc>
        <w:tc>
          <w:tcPr>
            <w:tcW w:w="1418" w:type="dxa"/>
            <w:shd w:val="clear" w:color="auto" w:fill="auto"/>
            <w:vAlign w:val="center"/>
          </w:tcPr>
          <w:p w14:paraId="60FDEE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4259.00</w:t>
            </w:r>
          </w:p>
        </w:tc>
        <w:tc>
          <w:tcPr>
            <w:tcW w:w="1417" w:type="dxa"/>
            <w:shd w:val="clear" w:color="auto" w:fill="auto"/>
            <w:vAlign w:val="center"/>
          </w:tcPr>
          <w:p w14:paraId="21E8E2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12777.00</w:t>
            </w:r>
          </w:p>
        </w:tc>
        <w:tc>
          <w:tcPr>
            <w:tcW w:w="3198" w:type="dxa"/>
            <w:vMerge w:val="continue"/>
            <w:tcBorders>
              <w:top w:val="nil"/>
              <w:bottom w:val="nil"/>
            </w:tcBorders>
            <w:shd w:val="clear" w:color="auto" w:fill="auto"/>
            <w:vAlign w:val="center"/>
          </w:tcPr>
          <w:p w14:paraId="12FD880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r>
      <w:tr w14:paraId="6C97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bottom w:val="nil"/>
            </w:tcBorders>
            <w:shd w:val="clear" w:color="auto" w:fill="auto"/>
            <w:vAlign w:val="center"/>
          </w:tcPr>
          <w:p w14:paraId="60508E2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572AC6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DN80</w:t>
            </w:r>
          </w:p>
        </w:tc>
        <w:tc>
          <w:tcPr>
            <w:tcW w:w="850" w:type="dxa"/>
            <w:shd w:val="clear" w:color="auto" w:fill="auto"/>
            <w:vAlign w:val="center"/>
          </w:tcPr>
          <w:p w14:paraId="546F76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p>
        </w:tc>
        <w:tc>
          <w:tcPr>
            <w:tcW w:w="1418" w:type="dxa"/>
            <w:shd w:val="clear" w:color="auto" w:fill="auto"/>
            <w:vAlign w:val="center"/>
          </w:tcPr>
          <w:p w14:paraId="2F2978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5277.00</w:t>
            </w:r>
          </w:p>
        </w:tc>
        <w:tc>
          <w:tcPr>
            <w:tcW w:w="1417" w:type="dxa"/>
            <w:shd w:val="clear" w:color="auto" w:fill="auto"/>
            <w:vAlign w:val="center"/>
          </w:tcPr>
          <w:p w14:paraId="1A8936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5277.00</w:t>
            </w:r>
          </w:p>
        </w:tc>
        <w:tc>
          <w:tcPr>
            <w:tcW w:w="3198" w:type="dxa"/>
            <w:vMerge w:val="continue"/>
            <w:tcBorders>
              <w:top w:val="nil"/>
            </w:tcBorders>
            <w:shd w:val="clear" w:color="auto" w:fill="auto"/>
            <w:vAlign w:val="center"/>
          </w:tcPr>
          <w:p w14:paraId="0118AD6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r>
      <w:tr w14:paraId="3586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58" w:type="dxa"/>
            <w:vMerge w:val="continue"/>
            <w:tcBorders>
              <w:top w:val="nil"/>
            </w:tcBorders>
            <w:shd w:val="clear" w:color="auto" w:fill="auto"/>
            <w:vAlign w:val="center"/>
          </w:tcPr>
          <w:p w14:paraId="59A0F0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p>
        </w:tc>
        <w:tc>
          <w:tcPr>
            <w:tcW w:w="1559" w:type="dxa"/>
            <w:shd w:val="clear" w:color="auto" w:fill="auto"/>
            <w:vAlign w:val="center"/>
          </w:tcPr>
          <w:p w14:paraId="3E6539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DN100</w:t>
            </w:r>
          </w:p>
        </w:tc>
        <w:tc>
          <w:tcPr>
            <w:tcW w:w="850" w:type="dxa"/>
            <w:shd w:val="clear" w:color="auto" w:fill="auto"/>
            <w:vAlign w:val="center"/>
          </w:tcPr>
          <w:p w14:paraId="540C1B6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418" w:type="dxa"/>
            <w:shd w:val="clear" w:color="auto" w:fill="auto"/>
            <w:vAlign w:val="center"/>
          </w:tcPr>
          <w:p w14:paraId="4CAC02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6111.00</w:t>
            </w:r>
          </w:p>
        </w:tc>
        <w:tc>
          <w:tcPr>
            <w:tcW w:w="1417" w:type="dxa"/>
            <w:shd w:val="clear" w:color="auto" w:fill="auto"/>
            <w:vAlign w:val="center"/>
          </w:tcPr>
          <w:p w14:paraId="0E90D4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30555.00</w:t>
            </w:r>
          </w:p>
        </w:tc>
        <w:tc>
          <w:tcPr>
            <w:tcW w:w="3198" w:type="dxa"/>
            <w:shd w:val="clear" w:color="auto" w:fill="auto"/>
            <w:vAlign w:val="center"/>
          </w:tcPr>
          <w:p w14:paraId="4B9113B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家天下剩余地面表改造</w:t>
            </w:r>
          </w:p>
        </w:tc>
      </w:tr>
      <w:tr w14:paraId="4342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1358" w:type="dxa"/>
            <w:shd w:val="clear" w:color="auto" w:fill="auto"/>
            <w:vAlign w:val="center"/>
          </w:tcPr>
          <w:p w14:paraId="13CB7C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智能井盖</w:t>
            </w:r>
          </w:p>
        </w:tc>
        <w:tc>
          <w:tcPr>
            <w:tcW w:w="1559" w:type="dxa"/>
            <w:shd w:val="clear" w:color="auto" w:fill="auto"/>
            <w:vAlign w:val="center"/>
          </w:tcPr>
          <w:p w14:paraId="73F9926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智能终端</w:t>
            </w:r>
          </w:p>
        </w:tc>
        <w:tc>
          <w:tcPr>
            <w:tcW w:w="850" w:type="dxa"/>
            <w:shd w:val="clear" w:color="auto" w:fill="auto"/>
            <w:vAlign w:val="center"/>
          </w:tcPr>
          <w:p w14:paraId="1C2AEF2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418" w:type="dxa"/>
            <w:shd w:val="clear" w:color="auto" w:fill="auto"/>
            <w:vAlign w:val="center"/>
          </w:tcPr>
          <w:p w14:paraId="60C838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1388.00</w:t>
            </w:r>
          </w:p>
        </w:tc>
        <w:tc>
          <w:tcPr>
            <w:tcW w:w="1417" w:type="dxa"/>
            <w:shd w:val="clear" w:color="auto" w:fill="auto"/>
            <w:vAlign w:val="center"/>
          </w:tcPr>
          <w:p w14:paraId="6F7163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20820.00</w:t>
            </w:r>
          </w:p>
        </w:tc>
        <w:tc>
          <w:tcPr>
            <w:tcW w:w="3198" w:type="dxa"/>
            <w:shd w:val="clear" w:color="auto" w:fill="auto"/>
            <w:vAlign w:val="center"/>
          </w:tcPr>
          <w:p w14:paraId="123DA37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每个小区 3 个</w:t>
            </w:r>
          </w:p>
          <w:p w14:paraId="63A063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（流量计井盖和阀门井盖）</w:t>
            </w:r>
          </w:p>
        </w:tc>
      </w:tr>
      <w:tr w14:paraId="012C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1358" w:type="dxa"/>
            <w:shd w:val="clear" w:color="auto" w:fill="auto"/>
            <w:vAlign w:val="center"/>
          </w:tcPr>
          <w:p w14:paraId="403B2D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压力仪</w:t>
            </w:r>
          </w:p>
        </w:tc>
        <w:tc>
          <w:tcPr>
            <w:tcW w:w="1559" w:type="dxa"/>
            <w:shd w:val="clear" w:color="auto" w:fill="auto"/>
            <w:vAlign w:val="center"/>
          </w:tcPr>
          <w:p w14:paraId="1BEA8A3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智能压力仪</w:t>
            </w:r>
          </w:p>
        </w:tc>
        <w:tc>
          <w:tcPr>
            <w:tcW w:w="850" w:type="dxa"/>
            <w:shd w:val="clear" w:color="auto" w:fill="auto"/>
            <w:vAlign w:val="center"/>
          </w:tcPr>
          <w:p w14:paraId="46F001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418" w:type="dxa"/>
            <w:shd w:val="clear" w:color="auto" w:fill="auto"/>
            <w:vAlign w:val="center"/>
          </w:tcPr>
          <w:p w14:paraId="1F5699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1851.00</w:t>
            </w:r>
          </w:p>
        </w:tc>
        <w:tc>
          <w:tcPr>
            <w:tcW w:w="1417" w:type="dxa"/>
            <w:shd w:val="clear" w:color="auto" w:fill="auto"/>
            <w:vAlign w:val="center"/>
          </w:tcPr>
          <w:p w14:paraId="3828DB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25914.00</w:t>
            </w:r>
          </w:p>
        </w:tc>
        <w:tc>
          <w:tcPr>
            <w:tcW w:w="3198" w:type="dxa"/>
            <w:shd w:val="clear" w:color="auto" w:fill="auto"/>
            <w:vAlign w:val="center"/>
          </w:tcPr>
          <w:p w14:paraId="2B45A1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二供分区末端+市政直供末端</w:t>
            </w:r>
          </w:p>
          <w:p w14:paraId="0FA675E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（电池式）</w:t>
            </w:r>
          </w:p>
        </w:tc>
      </w:tr>
      <w:tr w14:paraId="3BC0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1358" w:type="dxa"/>
            <w:shd w:val="clear" w:color="auto" w:fill="auto"/>
            <w:vAlign w:val="center"/>
          </w:tcPr>
          <w:p w14:paraId="1A9F84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有线远传模块</w:t>
            </w:r>
          </w:p>
        </w:tc>
        <w:tc>
          <w:tcPr>
            <w:tcW w:w="1559" w:type="dxa"/>
            <w:shd w:val="clear" w:color="auto" w:fill="auto"/>
            <w:vAlign w:val="center"/>
          </w:tcPr>
          <w:p w14:paraId="7EA07E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摄像远传模块</w:t>
            </w:r>
          </w:p>
        </w:tc>
        <w:tc>
          <w:tcPr>
            <w:tcW w:w="850" w:type="dxa"/>
            <w:shd w:val="clear" w:color="auto" w:fill="auto"/>
            <w:vAlign w:val="center"/>
          </w:tcPr>
          <w:p w14:paraId="2C7087E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w:t>
            </w:r>
          </w:p>
        </w:tc>
        <w:tc>
          <w:tcPr>
            <w:tcW w:w="1418" w:type="dxa"/>
            <w:shd w:val="clear" w:color="auto" w:fill="auto"/>
            <w:vAlign w:val="center"/>
          </w:tcPr>
          <w:p w14:paraId="5F2BF9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250.00</w:t>
            </w:r>
          </w:p>
        </w:tc>
        <w:tc>
          <w:tcPr>
            <w:tcW w:w="1417" w:type="dxa"/>
            <w:shd w:val="clear" w:color="auto" w:fill="auto"/>
            <w:vAlign w:val="center"/>
          </w:tcPr>
          <w:p w14:paraId="236F97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385250.00</w:t>
            </w:r>
          </w:p>
        </w:tc>
        <w:tc>
          <w:tcPr>
            <w:tcW w:w="3198" w:type="dxa"/>
            <w:shd w:val="clear" w:color="auto" w:fill="auto"/>
            <w:vAlign w:val="center"/>
          </w:tcPr>
          <w:p w14:paraId="0D22947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都会云上府、天荟江南府户表</w:t>
            </w:r>
          </w:p>
        </w:tc>
      </w:tr>
      <w:tr w14:paraId="0ABC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800" w:type="dxa"/>
            <w:gridSpan w:val="6"/>
            <w:shd w:val="clear" w:color="auto" w:fill="auto"/>
            <w:vAlign w:val="center"/>
          </w:tcPr>
          <w:p w14:paraId="3FA3F36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智水家园平台</w:t>
            </w:r>
          </w:p>
        </w:tc>
      </w:tr>
      <w:tr w14:paraId="7DAC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jc w:val="center"/>
        </w:trPr>
        <w:tc>
          <w:tcPr>
            <w:tcW w:w="2917" w:type="dxa"/>
            <w:gridSpan w:val="2"/>
            <w:shd w:val="clear" w:color="auto" w:fill="auto"/>
            <w:vAlign w:val="center"/>
          </w:tcPr>
          <w:p w14:paraId="44E66E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智水家园管理平台管理端</w:t>
            </w:r>
          </w:p>
        </w:tc>
        <w:tc>
          <w:tcPr>
            <w:tcW w:w="850" w:type="dxa"/>
            <w:shd w:val="clear" w:color="auto" w:fill="auto"/>
            <w:vAlign w:val="center"/>
          </w:tcPr>
          <w:p w14:paraId="6BB758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8" w:type="dxa"/>
            <w:shd w:val="clear" w:color="auto" w:fill="auto"/>
            <w:vAlign w:val="center"/>
          </w:tcPr>
          <w:p w14:paraId="56BCB8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278803.00</w:t>
            </w:r>
          </w:p>
        </w:tc>
        <w:tc>
          <w:tcPr>
            <w:tcW w:w="1417" w:type="dxa"/>
            <w:shd w:val="clear" w:color="auto" w:fill="auto"/>
            <w:vAlign w:val="center"/>
          </w:tcPr>
          <w:p w14:paraId="585154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278803.00</w:t>
            </w:r>
          </w:p>
        </w:tc>
        <w:tc>
          <w:tcPr>
            <w:tcW w:w="3198" w:type="dxa"/>
            <w:shd w:val="clear" w:color="auto" w:fill="auto"/>
            <w:vAlign w:val="center"/>
          </w:tcPr>
          <w:p w14:paraId="24846AA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系统统计首页、小区数字孪生、小区水平衡分析、二供泵房监控分析、人文关怀管理、小区水质监测分析、用水综合查询与统计、物联网数据统一管理、系统基础配置管理</w:t>
            </w:r>
          </w:p>
        </w:tc>
      </w:tr>
      <w:tr w14:paraId="5874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2917" w:type="dxa"/>
            <w:gridSpan w:val="2"/>
            <w:shd w:val="clear" w:color="auto" w:fill="auto"/>
            <w:vAlign w:val="center"/>
          </w:tcPr>
          <w:p w14:paraId="5F4FAB7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3D 建模&amp;数据集成</w:t>
            </w:r>
          </w:p>
        </w:tc>
        <w:tc>
          <w:tcPr>
            <w:tcW w:w="850" w:type="dxa"/>
            <w:shd w:val="clear" w:color="auto" w:fill="auto"/>
            <w:vAlign w:val="center"/>
          </w:tcPr>
          <w:p w14:paraId="36F1019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8" w:type="dxa"/>
            <w:shd w:val="clear" w:color="auto" w:fill="auto"/>
            <w:vAlign w:val="center"/>
          </w:tcPr>
          <w:p w14:paraId="7D7350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138888.00</w:t>
            </w:r>
          </w:p>
        </w:tc>
        <w:tc>
          <w:tcPr>
            <w:tcW w:w="1417" w:type="dxa"/>
            <w:shd w:val="clear" w:color="auto" w:fill="auto"/>
            <w:vAlign w:val="center"/>
          </w:tcPr>
          <w:p w14:paraId="7ED02E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138888.00</w:t>
            </w:r>
          </w:p>
        </w:tc>
        <w:tc>
          <w:tcPr>
            <w:tcW w:w="3198" w:type="dxa"/>
            <w:shd w:val="clear" w:color="auto" w:fill="auto"/>
            <w:vAlign w:val="center"/>
          </w:tcPr>
          <w:p w14:paraId="7DE758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个小区 3D 建模</w:t>
            </w:r>
          </w:p>
        </w:tc>
      </w:tr>
      <w:tr w14:paraId="59B8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5185" w:type="dxa"/>
            <w:gridSpan w:val="4"/>
            <w:shd w:val="clear" w:color="auto" w:fill="auto"/>
            <w:vAlign w:val="center"/>
          </w:tcPr>
          <w:p w14:paraId="35B42A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（物联感知改造+智水家园平台）</w:t>
            </w:r>
            <w:r>
              <w:rPr>
                <w:rFonts w:hint="eastAsia" w:ascii="宋体" w:hAnsi="宋体" w:eastAsia="宋体" w:cs="宋体"/>
                <w:b/>
                <w:bCs/>
                <w:color w:val="auto"/>
                <w:szCs w:val="21"/>
                <w:highlight w:val="none"/>
              </w:rPr>
              <w:t>最高总价限价合计：</w:t>
            </w:r>
          </w:p>
        </w:tc>
        <w:tc>
          <w:tcPr>
            <w:tcW w:w="4615" w:type="dxa"/>
            <w:gridSpan w:val="2"/>
            <w:shd w:val="clear" w:color="auto" w:fill="auto"/>
            <w:vAlign w:val="center"/>
          </w:tcPr>
          <w:p w14:paraId="558908A6">
            <w:pPr>
              <w:ind w:firstLine="103" w:firstLineChars="49"/>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980000</w:t>
            </w:r>
            <w:r>
              <w:rPr>
                <w:rFonts w:hint="eastAsia" w:ascii="宋体" w:hAnsi="宋体" w:eastAsia="宋体" w:cs="宋体"/>
                <w:b/>
                <w:bCs/>
                <w:color w:val="auto"/>
                <w:szCs w:val="21"/>
                <w:highlight w:val="none"/>
                <w:lang w:val="en-US" w:eastAsia="zh-CN"/>
              </w:rPr>
              <w:t>.00</w:t>
            </w:r>
          </w:p>
        </w:tc>
      </w:tr>
    </w:tbl>
    <w:p w14:paraId="0A7508B9">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 建设清单内容：</w:t>
      </w:r>
    </w:p>
    <w:tbl>
      <w:tblPr>
        <w:tblStyle w:val="18"/>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29"/>
        <w:gridCol w:w="1620"/>
        <w:gridCol w:w="2976"/>
        <w:gridCol w:w="2460"/>
        <w:gridCol w:w="659"/>
        <w:gridCol w:w="709"/>
      </w:tblGrid>
      <w:tr w14:paraId="4881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3"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AD58F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30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10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F9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AE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EB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B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r>
      <w:tr w14:paraId="38C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73" w:type="dxa"/>
            <w:vMerge w:val="restart"/>
            <w:tcBorders>
              <w:top w:val="single" w:color="000000" w:sz="4" w:space="0"/>
              <w:left w:val="single" w:color="000000" w:sz="4" w:space="0"/>
              <w:right w:val="single" w:color="000000" w:sz="4" w:space="0"/>
            </w:tcBorders>
            <w:shd w:val="clear" w:color="auto" w:fill="FFFFFF"/>
            <w:vAlign w:val="center"/>
          </w:tcPr>
          <w:p w14:paraId="66B297B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851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3D76">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lang w:bidi="ar"/>
              </w:rPr>
              <w:t>系统统计首页</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E21D">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 小区建设总览数据</w:t>
            </w:r>
          </w:p>
          <w:p w14:paraId="363D12B2">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 展示小区的水质和和二次供水信息</w:t>
            </w:r>
          </w:p>
          <w:p w14:paraId="673837DF">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 展示总的漏损趋势、最新一天的供水量、用水量、漏损量、漏损量</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4953">
            <w:pPr>
              <w:keepNext w:val="0"/>
              <w:keepLines w:val="0"/>
              <w:pageBreakBefore w:val="0"/>
              <w:widowControl/>
              <w:kinsoku/>
              <w:wordWrap/>
              <w:overflowPunct/>
              <w:topLinePunct w:val="0"/>
              <w:bidi w:val="0"/>
              <w:adjustRightInd/>
              <w:snapToGrid/>
              <w:spacing w:line="4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对不同维度的数据进行综合统计和分析展示。打造成数据实时监控版面。通过3D地图的烘托、渲染，提升整个展示效果。</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6E9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194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465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673" w:type="dxa"/>
            <w:vMerge w:val="continue"/>
            <w:tcBorders>
              <w:left w:val="single" w:color="000000" w:sz="4" w:space="0"/>
              <w:right w:val="single" w:color="000000" w:sz="4" w:space="0"/>
            </w:tcBorders>
            <w:shd w:val="clear" w:color="auto" w:fill="FFFFFF"/>
            <w:vAlign w:val="center"/>
          </w:tcPr>
          <w:p w14:paraId="5B35F595">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6431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2E5E">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小区数字孪生</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BA96">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1. 设备在三维模型定位及数据展示</w:t>
            </w:r>
          </w:p>
          <w:p w14:paraId="1662F2C6">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2. 展示数字小区的楼宇数量、设备数量泵房监控</w:t>
            </w:r>
          </w:p>
          <w:p w14:paraId="465809C7">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3. 展示数字小区的泵房设备数据、泵机实时运行状态、泵房温湿度、泵房视频监控以及进出水压力；能够实时掌握泵房的运行情况</w:t>
            </w:r>
          </w:p>
          <w:p w14:paraId="5DA0C2D0">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4. 展示数字小区的最新水质信息以及历史水质趋势</w:t>
            </w:r>
          </w:p>
          <w:p w14:paraId="661A653C">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5. 展示数字小区的最新漏损量和漏损率</w:t>
            </w:r>
          </w:p>
          <w:p w14:paraId="766B9478">
            <w:pPr>
              <w:keepNext w:val="0"/>
              <w:keepLines w:val="0"/>
              <w:pageBreakBefore w:val="0"/>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szCs w:val="21"/>
                <w:highlight w:val="none"/>
              </w:rPr>
              <w:t>6. 展示</w:t>
            </w:r>
            <w:r>
              <w:rPr>
                <w:rFonts w:hint="eastAsia" w:ascii="宋体" w:hAnsi="宋体" w:eastAsia="宋体" w:cs="宋体"/>
                <w:snapToGrid w:val="0"/>
                <w:color w:val="auto"/>
                <w:szCs w:val="21"/>
                <w:highlight w:val="none"/>
                <w:lang w:val="zh-CN"/>
              </w:rPr>
              <w:t>管网的分布</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9740">
            <w:pPr>
              <w:keepNext w:val="0"/>
              <w:keepLines w:val="0"/>
              <w:pageBreakBefore w:val="0"/>
              <w:widowControl/>
              <w:kinsoku/>
              <w:wordWrap/>
              <w:overflowPunct/>
              <w:topLinePunct w:val="0"/>
              <w:bidi w:val="0"/>
              <w:adjustRightInd/>
              <w:snapToGrid/>
              <w:spacing w:line="440" w:lineRule="exact"/>
              <w:textAlignment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bidi="ar"/>
              </w:rPr>
              <w:t>以小区为单位展示数据，对数字小区的涉水业务模块进行更详细的展示，并对数字小区进行三维建模，能够在小区三维场景中查看数字小区的设备分布、供水管网分布、楼宇分布以及设备的实时数据。</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8D5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5C6B">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078A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73" w:type="dxa"/>
            <w:vMerge w:val="continue"/>
            <w:tcBorders>
              <w:left w:val="single" w:color="000000" w:sz="4" w:space="0"/>
              <w:right w:val="single" w:color="000000" w:sz="4" w:space="0"/>
            </w:tcBorders>
            <w:shd w:val="clear" w:color="auto" w:fill="FFFFFF"/>
            <w:vAlign w:val="center"/>
          </w:tcPr>
          <w:p w14:paraId="6F8F42E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AD7B">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D44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二供泵房监控</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C4A0">
            <w:pPr>
              <w:keepNext w:val="0"/>
              <w:keepLines w:val="0"/>
              <w:pageBreakBefore w:val="0"/>
              <w:numPr>
                <w:ilvl w:val="0"/>
                <w:numId w:val="37"/>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泵房视频监控</w:t>
            </w:r>
          </w:p>
          <w:p w14:paraId="661916CE">
            <w:pPr>
              <w:keepNext w:val="0"/>
              <w:keepLines w:val="0"/>
              <w:pageBreakBefore w:val="0"/>
              <w:numPr>
                <w:ilvl w:val="0"/>
                <w:numId w:val="37"/>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数据实时监控</w:t>
            </w:r>
          </w:p>
          <w:p w14:paraId="31B3BAB4">
            <w:pPr>
              <w:keepNext w:val="0"/>
              <w:keepLines w:val="0"/>
              <w:pageBreakBefore w:val="0"/>
              <w:numPr>
                <w:ilvl w:val="0"/>
                <w:numId w:val="37"/>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历史数据分析</w:t>
            </w:r>
          </w:p>
          <w:p w14:paraId="6A260C4B">
            <w:pPr>
              <w:keepNext w:val="0"/>
              <w:keepLines w:val="0"/>
              <w:pageBreakBefore w:val="0"/>
              <w:numPr>
                <w:ilvl w:val="0"/>
                <w:numId w:val="37"/>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kern w:val="0"/>
                <w:szCs w:val="21"/>
                <w:highlight w:val="none"/>
                <w:lang w:bidi="ar"/>
              </w:rPr>
              <w:t>泵站3d建模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6B02F">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5C8A">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2B4B">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28FA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673" w:type="dxa"/>
            <w:vMerge w:val="continue"/>
            <w:tcBorders>
              <w:left w:val="single" w:color="000000" w:sz="4" w:space="0"/>
              <w:right w:val="single" w:color="000000" w:sz="4" w:space="0"/>
            </w:tcBorders>
            <w:shd w:val="clear" w:color="auto" w:fill="FFFFFF"/>
            <w:vAlign w:val="center"/>
          </w:tcPr>
          <w:p w14:paraId="310C5B1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A42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0CA0">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小区水平衡分析</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40D0">
            <w:pPr>
              <w:keepNext w:val="0"/>
              <w:keepLines w:val="0"/>
              <w:pageBreakBefore w:val="0"/>
              <w:numPr>
                <w:ilvl w:val="0"/>
                <w:numId w:val="38"/>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DMA分区管理</w:t>
            </w:r>
          </w:p>
          <w:p w14:paraId="55A7E191">
            <w:pPr>
              <w:keepNext w:val="0"/>
              <w:keepLines w:val="0"/>
              <w:pageBreakBefore w:val="0"/>
              <w:numPr>
                <w:ilvl w:val="0"/>
                <w:numId w:val="38"/>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展示分区的供水、用水、漏损等数据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C5EA">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构建一个判别阈值矩阵，利用全天流量趋势来诊断漏损。这种方法可以与夜间最小流量移动平均隔差法结合，形成一种组合型漏损诊断预警法，提高识别准确率。</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E50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3E7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2942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vMerge w:val="continue"/>
            <w:tcBorders>
              <w:left w:val="single" w:color="000000" w:sz="4" w:space="0"/>
              <w:right w:val="single" w:color="000000" w:sz="4" w:space="0"/>
            </w:tcBorders>
            <w:shd w:val="clear" w:color="auto" w:fill="FFFFFF"/>
            <w:vAlign w:val="center"/>
          </w:tcPr>
          <w:p w14:paraId="29EB0CE9">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0F4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70F1">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小区水平衡报警</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3B3D">
            <w:pPr>
              <w:keepNext w:val="0"/>
              <w:keepLines w:val="0"/>
              <w:pageBreakBefore w:val="0"/>
              <w:numPr>
                <w:ilvl w:val="0"/>
                <w:numId w:val="39"/>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全天流量趋势分析</w:t>
            </w:r>
          </w:p>
          <w:p w14:paraId="7AEEA830">
            <w:pPr>
              <w:keepNext w:val="0"/>
              <w:keepLines w:val="0"/>
              <w:pageBreakBefore w:val="0"/>
              <w:numPr>
                <w:ilvl w:val="0"/>
                <w:numId w:val="39"/>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kern w:val="0"/>
                <w:szCs w:val="21"/>
                <w:highlight w:val="none"/>
                <w:lang w:bidi="ar"/>
              </w:rPr>
              <w:t>实时监控与预警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F5AAC">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40B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72A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7956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73" w:type="dxa"/>
            <w:vMerge w:val="continue"/>
            <w:tcBorders>
              <w:left w:val="single" w:color="000000" w:sz="4" w:space="0"/>
              <w:right w:val="single" w:color="000000" w:sz="4" w:space="0"/>
            </w:tcBorders>
            <w:shd w:val="clear" w:color="auto" w:fill="FFFFFF"/>
            <w:vAlign w:val="center"/>
          </w:tcPr>
          <w:p w14:paraId="5125C9C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right w:val="single" w:color="000000" w:sz="4" w:space="0"/>
            </w:tcBorders>
            <w:shd w:val="clear" w:color="auto" w:fill="FFFFFF"/>
            <w:vAlign w:val="center"/>
          </w:tcPr>
          <w:p w14:paraId="124CF1F2">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1620" w:type="dxa"/>
            <w:tcBorders>
              <w:top w:val="single" w:color="000000" w:sz="4" w:space="0"/>
              <w:left w:val="single" w:color="000000" w:sz="4" w:space="0"/>
              <w:right w:val="single" w:color="000000" w:sz="4" w:space="0"/>
            </w:tcBorders>
            <w:shd w:val="clear" w:color="auto" w:fill="FFFFFF"/>
            <w:vAlign w:val="center"/>
          </w:tcPr>
          <w:p w14:paraId="383B749C">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水质监测分析</w:t>
            </w:r>
          </w:p>
        </w:tc>
        <w:tc>
          <w:tcPr>
            <w:tcW w:w="2976" w:type="dxa"/>
            <w:tcBorders>
              <w:top w:val="single" w:color="000000" w:sz="4" w:space="0"/>
              <w:left w:val="single" w:color="000000" w:sz="4" w:space="0"/>
              <w:right w:val="single" w:color="000000" w:sz="4" w:space="0"/>
            </w:tcBorders>
            <w:shd w:val="clear" w:color="auto" w:fill="FFFFFF"/>
            <w:vAlign w:val="center"/>
          </w:tcPr>
          <w:p w14:paraId="070417B5">
            <w:pPr>
              <w:keepNext w:val="0"/>
              <w:keepLines w:val="0"/>
              <w:pageBreakBefore w:val="0"/>
              <w:numPr>
                <w:ilvl w:val="0"/>
                <w:numId w:val="40"/>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水质实时监测</w:t>
            </w:r>
          </w:p>
          <w:p w14:paraId="33C3C62B">
            <w:pPr>
              <w:keepNext w:val="0"/>
              <w:keepLines w:val="0"/>
              <w:pageBreakBefore w:val="0"/>
              <w:numPr>
                <w:ilvl w:val="0"/>
                <w:numId w:val="40"/>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水质数据分析汇总</w:t>
            </w:r>
          </w:p>
        </w:tc>
        <w:tc>
          <w:tcPr>
            <w:tcW w:w="2460" w:type="dxa"/>
            <w:tcBorders>
              <w:top w:val="single" w:color="000000" w:sz="4" w:space="0"/>
              <w:left w:val="single" w:color="000000" w:sz="4" w:space="0"/>
              <w:right w:val="single" w:color="000000" w:sz="4" w:space="0"/>
            </w:tcBorders>
            <w:shd w:val="clear" w:color="auto" w:fill="FFFFFF"/>
            <w:vAlign w:val="center"/>
          </w:tcPr>
          <w:p w14:paraId="51ED862B">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right w:val="single" w:color="000000" w:sz="4" w:space="0"/>
            </w:tcBorders>
            <w:shd w:val="clear" w:color="auto" w:fill="FFFFFF"/>
            <w:vAlign w:val="center"/>
          </w:tcPr>
          <w:p w14:paraId="6EAB97B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right w:val="single" w:color="000000" w:sz="4" w:space="0"/>
            </w:tcBorders>
            <w:shd w:val="clear" w:color="auto" w:fill="FFFFFF"/>
            <w:vAlign w:val="center"/>
          </w:tcPr>
          <w:p w14:paraId="6529C64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16F9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73" w:type="dxa"/>
            <w:vMerge w:val="continue"/>
            <w:tcBorders>
              <w:left w:val="single" w:color="000000" w:sz="4" w:space="0"/>
              <w:right w:val="single" w:color="000000" w:sz="4" w:space="0"/>
            </w:tcBorders>
            <w:shd w:val="clear" w:color="auto" w:fill="FFFFFF"/>
            <w:vAlign w:val="center"/>
          </w:tcPr>
          <w:p w14:paraId="15CB6B5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E767">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E56D">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最不利压力监测</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3E7F">
            <w:pPr>
              <w:keepNext w:val="0"/>
              <w:keepLines w:val="0"/>
              <w:pageBreakBefore w:val="0"/>
              <w:numPr>
                <w:ilvl w:val="0"/>
                <w:numId w:val="41"/>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kern w:val="0"/>
                <w:szCs w:val="21"/>
                <w:highlight w:val="none"/>
                <w:lang w:bidi="ar"/>
              </w:rPr>
              <w:t>实时监测最不利点的压力</w:t>
            </w:r>
          </w:p>
          <w:p w14:paraId="1E9BBB20">
            <w:pPr>
              <w:keepNext w:val="0"/>
              <w:keepLines w:val="0"/>
              <w:pageBreakBefore w:val="0"/>
              <w:numPr>
                <w:ilvl w:val="0"/>
                <w:numId w:val="41"/>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水压异常预警</w:t>
            </w:r>
          </w:p>
          <w:p w14:paraId="58E0BDE8">
            <w:pPr>
              <w:keepNext w:val="0"/>
              <w:keepLines w:val="0"/>
              <w:pageBreakBefore w:val="0"/>
              <w:numPr>
                <w:ilvl w:val="0"/>
                <w:numId w:val="41"/>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历史数据分析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65EA">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小区最不利压力监测功能通过关键点位的连续监控，确保供水系统能够满足居民的最低压力条件下的稳定供水，预防供水压力不足。</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554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0AB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142C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73" w:type="dxa"/>
            <w:vMerge w:val="continue"/>
            <w:tcBorders>
              <w:left w:val="single" w:color="000000" w:sz="4" w:space="0"/>
              <w:right w:val="single" w:color="000000" w:sz="4" w:space="0"/>
            </w:tcBorders>
            <w:shd w:val="clear" w:color="auto" w:fill="FFFFFF"/>
            <w:vAlign w:val="center"/>
          </w:tcPr>
          <w:p w14:paraId="7BD42F05">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4DF7">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C0F1">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物联网数据统一管理</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0D4">
            <w:pPr>
              <w:keepNext w:val="0"/>
              <w:keepLines w:val="0"/>
              <w:pageBreakBefore w:val="0"/>
              <w:numPr>
                <w:ilvl w:val="0"/>
                <w:numId w:val="42"/>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数据标准化</w:t>
            </w:r>
          </w:p>
          <w:p w14:paraId="15F2ACEF">
            <w:pPr>
              <w:keepNext w:val="0"/>
              <w:keepLines w:val="0"/>
              <w:pageBreakBefore w:val="0"/>
              <w:numPr>
                <w:ilvl w:val="0"/>
                <w:numId w:val="42"/>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跨系统集成</w:t>
            </w:r>
          </w:p>
          <w:p w14:paraId="4D66191F">
            <w:pPr>
              <w:keepNext w:val="0"/>
              <w:keepLines w:val="0"/>
              <w:pageBreakBefore w:val="0"/>
              <w:numPr>
                <w:ilvl w:val="0"/>
                <w:numId w:val="42"/>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实时数据同步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05DE">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构建一个统一的数据管理平台，将来自多个系统的水表数据进行集中管理和处理。</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F6E4">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348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4BFE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673" w:type="dxa"/>
            <w:vMerge w:val="continue"/>
            <w:tcBorders>
              <w:left w:val="single" w:color="000000" w:sz="4" w:space="0"/>
              <w:right w:val="single" w:color="000000" w:sz="4" w:space="0"/>
            </w:tcBorders>
            <w:shd w:val="clear" w:color="auto" w:fill="FFFFFF"/>
            <w:vAlign w:val="center"/>
          </w:tcPr>
          <w:p w14:paraId="0499D55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174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E8C4">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人文关怀管理</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EAAA">
            <w:pPr>
              <w:keepNext w:val="0"/>
              <w:keepLines w:val="0"/>
              <w:pageBreakBefore w:val="0"/>
              <w:numPr>
                <w:ilvl w:val="0"/>
                <w:numId w:val="43"/>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建立独居老人信息资料库</w:t>
            </w:r>
          </w:p>
          <w:p w14:paraId="150B57EA">
            <w:pPr>
              <w:keepNext w:val="0"/>
              <w:keepLines w:val="0"/>
              <w:pageBreakBefore w:val="0"/>
              <w:numPr>
                <w:ilvl w:val="0"/>
                <w:numId w:val="43"/>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在线监控独居老人日常用水情况</w:t>
            </w:r>
          </w:p>
          <w:p w14:paraId="6B709A63">
            <w:pPr>
              <w:keepNext w:val="0"/>
              <w:keepLines w:val="0"/>
              <w:pageBreakBefore w:val="0"/>
              <w:numPr>
                <w:ilvl w:val="0"/>
                <w:numId w:val="43"/>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异常用水报警</w:t>
            </w:r>
          </w:p>
          <w:p w14:paraId="31E468A7">
            <w:pPr>
              <w:keepNext w:val="0"/>
              <w:keepLines w:val="0"/>
              <w:pageBreakBefore w:val="0"/>
              <w:widowControl/>
              <w:kinsoku/>
              <w:wordWrap/>
              <w:overflowPunct/>
              <w:topLinePunct w:val="0"/>
              <w:bidi w:val="0"/>
              <w:adjustRightInd/>
              <w:snapToGrid/>
              <w:spacing w:line="440" w:lineRule="exact"/>
              <w:jc w:val="left"/>
              <w:textAlignment w:val="center"/>
              <w:rPr>
                <w:rFonts w:hint="eastAsia" w:ascii="宋体" w:hAnsi="宋体" w:eastAsia="宋体" w:cs="宋体"/>
                <w:color w:val="auto"/>
                <w:szCs w:val="21"/>
                <w:highlight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33DA">
            <w:pPr>
              <w:keepNext w:val="0"/>
              <w:keepLines w:val="0"/>
              <w:pageBreakBefore w:val="0"/>
              <w:kinsoku/>
              <w:wordWrap/>
              <w:overflowPunct/>
              <w:topLinePunct w:val="0"/>
              <w:autoSpaceDE w:val="0"/>
              <w:autoSpaceDN w:val="0"/>
              <w:bidi w:val="0"/>
              <w:adjustRightInd/>
              <w:snapToGrid/>
              <w:spacing w:line="44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立独居老人信息资料库，作为平台中的重点关注用户，并单独为其设定策略告警，经过大数据分析后判断其为用水异常（如长时间无用水或持续用水、24小时用水偏高等），将通过联动的形式进行多渠道告警提醒。</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042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F4D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r>
      <w:tr w14:paraId="7AA2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vMerge w:val="continue"/>
            <w:tcBorders>
              <w:left w:val="single" w:color="000000" w:sz="4" w:space="0"/>
              <w:right w:val="single" w:color="000000" w:sz="4" w:space="0"/>
            </w:tcBorders>
            <w:shd w:val="clear" w:color="auto" w:fill="FFFFFF"/>
            <w:vAlign w:val="center"/>
          </w:tcPr>
          <w:p w14:paraId="1784580B">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9741">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7C21">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用水综合查询与统计</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5BE1">
            <w:pPr>
              <w:keepNext w:val="0"/>
              <w:keepLines w:val="0"/>
              <w:pageBreakBefore w:val="0"/>
              <w:numPr>
                <w:ilvl w:val="0"/>
                <w:numId w:val="44"/>
              </w:numPr>
              <w:kinsoku/>
              <w:wordWrap/>
              <w:overflowPunct/>
              <w:topLinePunct w:val="0"/>
              <w:bidi w:val="0"/>
              <w:adjustRightInd/>
              <w:snapToGrid/>
              <w:spacing w:line="4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kern w:val="0"/>
                <w:szCs w:val="21"/>
                <w:highlight w:val="none"/>
                <w:lang w:bidi="ar"/>
              </w:rPr>
              <w:t>单表用水查询和多表用水统计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8F4D">
            <w:pPr>
              <w:keepNext w:val="0"/>
              <w:keepLines w:val="0"/>
              <w:pageBreakBefore w:val="0"/>
              <w:kinsoku/>
              <w:wordWrap/>
              <w:overflowPunct/>
              <w:topLinePunct w:val="0"/>
              <w:autoSpaceDE w:val="0"/>
              <w:autoSpaceDN w:val="0"/>
              <w:bidi w:val="0"/>
              <w:adjustRightInd/>
              <w:snapToGrid/>
              <w:spacing w:line="440" w:lineRule="exact"/>
              <w:jc w:val="center"/>
              <w:rPr>
                <w:rFonts w:hint="eastAsia" w:ascii="宋体" w:hAnsi="宋体" w:eastAsia="宋体" w:cs="宋体"/>
                <w:color w:val="auto"/>
                <w:kern w:val="0"/>
                <w:szCs w:val="21"/>
                <w:highlight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BBC1">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9B18">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r>
      <w:tr w14:paraId="1145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73" w:type="dxa"/>
            <w:vMerge w:val="continue"/>
            <w:tcBorders>
              <w:left w:val="single" w:color="000000" w:sz="4" w:space="0"/>
              <w:right w:val="single" w:color="000000" w:sz="4" w:space="0"/>
            </w:tcBorders>
            <w:shd w:val="clear" w:color="auto" w:fill="FFFFFF"/>
            <w:vAlign w:val="center"/>
          </w:tcPr>
          <w:p w14:paraId="3BFF896B">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00A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622B">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基础配置</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0A0C">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片区管理</w:t>
            </w:r>
          </w:p>
          <w:p w14:paraId="497F7C51">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区域角色</w:t>
            </w:r>
          </w:p>
          <w:p w14:paraId="5A191245">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菜单角色</w:t>
            </w:r>
          </w:p>
          <w:p w14:paraId="74D3AD6D">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用户管理</w:t>
            </w:r>
          </w:p>
          <w:p w14:paraId="21F95753">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菜单管理</w:t>
            </w:r>
          </w:p>
          <w:p w14:paraId="6B8F4844">
            <w:pPr>
              <w:keepNext w:val="0"/>
              <w:keepLines w:val="0"/>
              <w:pageBreakBefore w:val="0"/>
              <w:numPr>
                <w:ilvl w:val="0"/>
                <w:numId w:val="45"/>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档案管理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6975">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F91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4385">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r>
      <w:tr w14:paraId="7120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3" w:type="dxa"/>
            <w:vMerge w:val="continue"/>
            <w:tcBorders>
              <w:left w:val="single" w:color="000000" w:sz="4" w:space="0"/>
              <w:right w:val="single" w:color="000000" w:sz="4" w:space="0"/>
            </w:tcBorders>
            <w:shd w:val="clear" w:color="auto" w:fill="FFFFFF"/>
            <w:vAlign w:val="center"/>
          </w:tcPr>
          <w:p w14:paraId="74ECFCD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3C8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27C4">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3D建模&amp;数据集成</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E9A3">
            <w:pPr>
              <w:keepNext w:val="0"/>
              <w:keepLines w:val="0"/>
              <w:pageBreakBefore w:val="0"/>
              <w:numPr>
                <w:ilvl w:val="0"/>
                <w:numId w:val="46"/>
              </w:numPr>
              <w:kinsoku/>
              <w:wordWrap/>
              <w:overflowPunct/>
              <w:topLinePunct w:val="0"/>
              <w:bidi w:val="0"/>
              <w:adjustRightInd/>
              <w:snapToGrid/>
              <w:spacing w:line="440" w:lineRule="exact"/>
              <w:jc w:val="left"/>
              <w:rPr>
                <w:rFonts w:hint="eastAsia" w:ascii="宋体" w:hAnsi="宋体" w:eastAsia="宋体" w:cs="宋体"/>
                <w:snapToGrid w:val="0"/>
                <w:color w:val="auto"/>
                <w:kern w:val="0"/>
                <w:szCs w:val="21"/>
                <w:highlight w:val="none"/>
                <w:lang w:bidi="ar"/>
              </w:rPr>
            </w:pPr>
            <w:r>
              <w:rPr>
                <w:rFonts w:hint="eastAsia" w:ascii="宋体" w:hAnsi="宋体" w:eastAsia="宋体" w:cs="宋体"/>
                <w:snapToGrid w:val="0"/>
                <w:color w:val="auto"/>
                <w:kern w:val="0"/>
                <w:szCs w:val="21"/>
                <w:highlight w:val="none"/>
                <w:lang w:bidi="ar"/>
              </w:rPr>
              <w:t>5个小区3D建模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1D69">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7EE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4199">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r>
      <w:tr w14:paraId="4CE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73" w:type="dxa"/>
            <w:vMerge w:val="restart"/>
            <w:tcBorders>
              <w:top w:val="single" w:color="000000" w:sz="4" w:space="0"/>
              <w:left w:val="single" w:color="000000" w:sz="4" w:space="0"/>
              <w:right w:val="single" w:color="000000" w:sz="4" w:space="0"/>
            </w:tcBorders>
            <w:shd w:val="clear" w:color="auto" w:fill="FFFFFF"/>
            <w:vAlign w:val="center"/>
          </w:tcPr>
          <w:p w14:paraId="2DBB4864">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D44E">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0" w:type="dxa"/>
            <w:vMerge w:val="restart"/>
            <w:tcBorders>
              <w:top w:val="single" w:color="000000" w:sz="4" w:space="0"/>
              <w:left w:val="single" w:color="000000" w:sz="4" w:space="0"/>
              <w:right w:val="single" w:color="000000" w:sz="4" w:space="0"/>
            </w:tcBorders>
            <w:shd w:val="clear" w:color="auto" w:fill="FFFFFF"/>
            <w:vAlign w:val="center"/>
          </w:tcPr>
          <w:p w14:paraId="2BE44CA5">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无线通讯盒</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8938">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3C9E">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5751">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EDC5">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5052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3" w:type="dxa"/>
            <w:vMerge w:val="continue"/>
            <w:tcBorders>
              <w:left w:val="single" w:color="000000" w:sz="4" w:space="0"/>
              <w:right w:val="single" w:color="000000" w:sz="4" w:space="0"/>
            </w:tcBorders>
            <w:shd w:val="clear" w:color="auto" w:fill="FFFFFF"/>
            <w:vAlign w:val="center"/>
          </w:tcPr>
          <w:p w14:paraId="0CB6D836">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CFA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20" w:type="dxa"/>
            <w:vMerge w:val="continue"/>
            <w:tcBorders>
              <w:left w:val="single" w:color="000000" w:sz="4" w:space="0"/>
              <w:right w:val="single" w:color="000000" w:sz="4" w:space="0"/>
            </w:tcBorders>
            <w:shd w:val="clear" w:color="auto" w:fill="FFFFFF"/>
            <w:vAlign w:val="center"/>
          </w:tcPr>
          <w:p w14:paraId="79E87D43">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A1B1">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DN20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F9AD">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7342">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D32A">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622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 w:type="dxa"/>
            <w:vMerge w:val="continue"/>
            <w:tcBorders>
              <w:left w:val="single" w:color="000000" w:sz="4" w:space="0"/>
              <w:right w:val="single" w:color="000000" w:sz="4" w:space="0"/>
            </w:tcBorders>
            <w:shd w:val="clear" w:color="auto" w:fill="FFFFFF"/>
            <w:vAlign w:val="center"/>
          </w:tcPr>
          <w:p w14:paraId="1AE18CD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EE9A">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20" w:type="dxa"/>
            <w:vMerge w:val="continue"/>
            <w:tcBorders>
              <w:left w:val="single" w:color="000000" w:sz="4" w:space="0"/>
              <w:bottom w:val="single" w:color="000000" w:sz="4" w:space="0"/>
              <w:right w:val="single" w:color="000000" w:sz="4" w:space="0"/>
            </w:tcBorders>
            <w:shd w:val="clear" w:color="auto" w:fill="FFFFFF"/>
            <w:vAlign w:val="center"/>
          </w:tcPr>
          <w:p w14:paraId="118D9EE3">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F9A0">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DN25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7042">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31E3">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536E">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5F45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3" w:type="dxa"/>
            <w:vMerge w:val="continue"/>
            <w:tcBorders>
              <w:left w:val="single" w:color="000000" w:sz="4" w:space="0"/>
              <w:right w:val="single" w:color="000000" w:sz="4" w:space="0"/>
            </w:tcBorders>
            <w:shd w:val="clear" w:color="auto" w:fill="FFFFFF"/>
            <w:vAlign w:val="center"/>
          </w:tcPr>
          <w:p w14:paraId="0FAF1F4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B45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20" w:type="dxa"/>
            <w:vMerge w:val="restart"/>
            <w:tcBorders>
              <w:top w:val="single" w:color="000000" w:sz="4" w:space="0"/>
              <w:left w:val="single" w:color="000000" w:sz="4" w:space="0"/>
              <w:right w:val="single" w:color="000000" w:sz="4" w:space="0"/>
            </w:tcBorders>
            <w:shd w:val="clear" w:color="auto" w:fill="FFFFFF"/>
            <w:vAlign w:val="center"/>
          </w:tcPr>
          <w:p w14:paraId="5AB4997E">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超声波远传表</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1D37">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DN40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C8DE">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2F07">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ED78">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r>
      <w:tr w14:paraId="6868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73" w:type="dxa"/>
            <w:vMerge w:val="continue"/>
            <w:tcBorders>
              <w:left w:val="single" w:color="000000" w:sz="4" w:space="0"/>
              <w:right w:val="single" w:color="000000" w:sz="4" w:space="0"/>
            </w:tcBorders>
            <w:shd w:val="clear" w:color="auto" w:fill="FFFFFF"/>
            <w:vAlign w:val="center"/>
          </w:tcPr>
          <w:p w14:paraId="61E6F76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509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20" w:type="dxa"/>
            <w:vMerge w:val="continue"/>
            <w:tcBorders>
              <w:left w:val="single" w:color="000000" w:sz="4" w:space="0"/>
              <w:right w:val="single" w:color="000000" w:sz="4" w:space="0"/>
            </w:tcBorders>
            <w:shd w:val="clear" w:color="auto" w:fill="FFFFFF"/>
            <w:vAlign w:val="center"/>
          </w:tcPr>
          <w:p w14:paraId="79C8ECB9">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1F9B">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DN50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9E54">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07EF">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017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r>
      <w:tr w14:paraId="1C66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673" w:type="dxa"/>
            <w:vMerge w:val="continue"/>
            <w:tcBorders>
              <w:left w:val="single" w:color="000000" w:sz="4" w:space="0"/>
              <w:right w:val="single" w:color="000000" w:sz="4" w:space="0"/>
            </w:tcBorders>
            <w:shd w:val="clear" w:color="auto" w:fill="FFFFFF"/>
            <w:vAlign w:val="center"/>
          </w:tcPr>
          <w:p w14:paraId="5531A1D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3080">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20" w:type="dxa"/>
            <w:vMerge w:val="continue"/>
            <w:tcBorders>
              <w:left w:val="single" w:color="000000" w:sz="4" w:space="0"/>
              <w:right w:val="single" w:color="000000" w:sz="4" w:space="0"/>
            </w:tcBorders>
            <w:shd w:val="clear" w:color="auto" w:fill="FFFFFF"/>
            <w:vAlign w:val="center"/>
          </w:tcPr>
          <w:p w14:paraId="26E56CEF">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11BF">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DN80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A59C">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1798">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A432">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r>
      <w:tr w14:paraId="2DE4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73" w:type="dxa"/>
            <w:vMerge w:val="continue"/>
            <w:tcBorders>
              <w:left w:val="single" w:color="000000" w:sz="4" w:space="0"/>
              <w:right w:val="single" w:color="000000" w:sz="4" w:space="0"/>
            </w:tcBorders>
            <w:shd w:val="clear" w:color="auto" w:fill="FFFFFF"/>
            <w:vAlign w:val="center"/>
          </w:tcPr>
          <w:p w14:paraId="2E20F233">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FA76">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20" w:type="dxa"/>
            <w:vMerge w:val="continue"/>
            <w:tcBorders>
              <w:left w:val="single" w:color="000000" w:sz="4" w:space="0"/>
              <w:bottom w:val="single" w:color="000000" w:sz="4" w:space="0"/>
              <w:right w:val="single" w:color="000000" w:sz="4" w:space="0"/>
            </w:tcBorders>
            <w:shd w:val="clear" w:color="auto" w:fill="FFFFFF"/>
            <w:vAlign w:val="center"/>
          </w:tcPr>
          <w:p w14:paraId="04879DD3">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77C9">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D398">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94CC">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1D1E">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r>
      <w:tr w14:paraId="32A7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3" w:type="dxa"/>
            <w:vMerge w:val="continue"/>
            <w:tcBorders>
              <w:left w:val="single" w:color="000000" w:sz="4" w:space="0"/>
              <w:right w:val="single" w:color="000000" w:sz="4" w:space="0"/>
            </w:tcBorders>
            <w:shd w:val="clear" w:color="auto" w:fill="FFFFFF"/>
            <w:vAlign w:val="center"/>
          </w:tcPr>
          <w:p w14:paraId="1DF2FBB9">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9EF9">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5BD8">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摄像远传模块</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CB86">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摄像式智能传感器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B809">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7FCA">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7A7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3DF5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3" w:type="dxa"/>
            <w:vMerge w:val="continue"/>
            <w:tcBorders>
              <w:left w:val="single" w:color="000000" w:sz="4" w:space="0"/>
              <w:right w:val="single" w:color="000000" w:sz="4" w:space="0"/>
            </w:tcBorders>
            <w:shd w:val="clear" w:color="auto" w:fill="FFFFFF"/>
            <w:vAlign w:val="center"/>
          </w:tcPr>
          <w:p w14:paraId="327D3ECF">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C08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01CB">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井盖智能终端</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8FEB">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井盖安全监测终端</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0B8D">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F6A8">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AB96">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r w14:paraId="5A03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3" w:type="dxa"/>
            <w:vMerge w:val="continue"/>
            <w:tcBorders>
              <w:left w:val="single" w:color="000000" w:sz="4" w:space="0"/>
              <w:right w:val="single" w:color="000000" w:sz="4" w:space="0"/>
            </w:tcBorders>
            <w:shd w:val="clear" w:color="auto" w:fill="FFFFFF"/>
            <w:vAlign w:val="center"/>
          </w:tcPr>
          <w:p w14:paraId="145580CD">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ADDC">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CB0A">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智能压力仪</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1EDA">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一体式远传压力仪</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6FF3">
            <w:pPr>
              <w:keepNext w:val="0"/>
              <w:keepLines w:val="0"/>
              <w:pageBreakBefore w:val="0"/>
              <w:widowControl/>
              <w:kinsoku/>
              <w:wordWrap/>
              <w:overflowPunct/>
              <w:topLinePunct w:val="0"/>
              <w:bidi w:val="0"/>
              <w:adjustRightInd/>
              <w:snapToGrid/>
              <w:spacing w:line="440" w:lineRule="exact"/>
              <w:jc w:val="center"/>
              <w:textAlignment w:val="center"/>
              <w:rPr>
                <w:rFonts w:hint="eastAsia" w:ascii="宋体" w:hAnsi="宋体" w:eastAsia="宋体" w:cs="宋体"/>
                <w:color w:val="auto"/>
                <w:kern w:val="0"/>
                <w:szCs w:val="21"/>
                <w:highlight w:val="none"/>
                <w:lang w:bidi="ar"/>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2457">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DF2E">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r>
    </w:tbl>
    <w:p w14:paraId="008E3EE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707B4D0">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四、软件总体设计要求</w:t>
      </w:r>
    </w:p>
    <w:p w14:paraId="39A5C872">
      <w:pPr>
        <w:widowControl/>
        <w:snapToGrid w:val="0"/>
        <w:spacing w:line="360" w:lineRule="auto"/>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 总体技术架构</w:t>
      </w:r>
    </w:p>
    <w:p w14:paraId="7055C01C">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需采用以云计算、大数据、物联网、微服务技术为基础，规划分层分级的技术体系架构，通过分布式技术，实现弹性计算和线性扩容，保障系统的稳定性、高可用和可扩展能力。平台同时借鉴SOA开放、标准、解耦的面向服务体系思想，采用业务与数据解耦、存储与计算分离的设计理念。</w:t>
      </w:r>
    </w:p>
    <w:p w14:paraId="5782E4FE">
      <w:pPr>
        <w:pStyle w:val="28"/>
        <w:widowControl/>
        <w:numPr>
          <w:ilvl w:val="0"/>
          <w:numId w:val="46"/>
        </w:numPr>
        <w:snapToGrid w:val="0"/>
        <w:spacing w:line="360" w:lineRule="auto"/>
        <w:ind w:firstLineChars="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支持多样化部署</w:t>
      </w:r>
    </w:p>
    <w:p w14:paraId="27761C42">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包括物理机、虚拟机和云主机等部署方式，能够部署在私有云上，也能够随时向政务云，或者混合云和公有云的架构上迁移，提升了平台部署的效率，以及灵活性和便捷性。采取B/S架构，支持主流浏览器的使用。</w:t>
      </w:r>
    </w:p>
    <w:p w14:paraId="00646C77">
      <w:pPr>
        <w:pStyle w:val="28"/>
        <w:widowControl/>
        <w:numPr>
          <w:ilvl w:val="0"/>
          <w:numId w:val="46"/>
        </w:numPr>
        <w:snapToGrid w:val="0"/>
        <w:spacing w:line="360" w:lineRule="auto"/>
        <w:ind w:firstLineChars="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界面风格</w:t>
      </w:r>
    </w:p>
    <w:p w14:paraId="3923A234">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系统界面要体现出美观友好，应采用人体工程学设计，使得界面美观、容易上手、可操作性强，促进人机交互，给人予美观、舒适、大方的感觉。</w:t>
      </w:r>
    </w:p>
    <w:p w14:paraId="0D14FB2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①一致性</w:t>
      </w:r>
    </w:p>
    <w:p w14:paraId="0C63FD4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界面设计强调使用相同的设计模式和相同的操作秩序来处理类似的情况。 不仅在用户浏览系统的时候，在提示屏幕中重要区域运用合适的颜色、排版、字体也是一致性的设计。</w:t>
      </w:r>
    </w:p>
    <w:p w14:paraId="125D3E9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②允许高频用户使用快捷键</w:t>
      </w:r>
    </w:p>
    <w:p w14:paraId="1D8D9B74">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使用快捷操作作为界面设计规则，用户也将受益于快捷键，特别是那些高频用户需要经常完成的相同的任务。</w:t>
      </w:r>
    </w:p>
    <w:p w14:paraId="5615D838">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③提供明确的反馈</w:t>
      </w:r>
    </w:p>
    <w:p w14:paraId="2DCEF288">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让用户了解他们操作步骤的每个阶段所发生的事情。 这种反馈需要有意义、相关、清晰、符合上下文。</w:t>
      </w:r>
    </w:p>
    <w:p w14:paraId="16DF437B">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④设计对话框产生反馈信息</w:t>
      </w:r>
    </w:p>
    <w:p w14:paraId="1D91E2B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一个系列行动最好需要有一个开始，中间过程和结束的提示。 一旦任务完成，通过为用户提供明确的信息反馈和选择，向用户提供一个缓和心情的过程，不会让用户在任务过程中过多的分散注意力。</w:t>
      </w:r>
    </w:p>
    <w:p w14:paraId="0C0C2E3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⑤错误提示</w:t>
      </w:r>
    </w:p>
    <w:p w14:paraId="0C4BB70A">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厂商软件界面尽量避免错误。 但是当错误发生时，厂商系统需要让用户更容易理解问题并知道如何解决。 处理错误的简单方法包括显示清晰的错误提示通知以及展示解决问题的描述性提示。</w:t>
      </w:r>
    </w:p>
    <w:p w14:paraId="0B3AD39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⑥允许简单的撤回操作</w:t>
      </w:r>
    </w:p>
    <w:p w14:paraId="5BFD30ED">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厂商界面设计时在错误发生后找到撤销选项能让用户不再焦虑。 如果用户知道有一种快捷的方法来撤回错误操作，他们会感到轻松许多，更有可能去放心大胆的去试错，探索各种功能。此规则可应用于任何操作、操作组或数据输入。 撤回操作可以从简单的按钮到涉及整个操作系列的操作历史。</w:t>
      </w:r>
    </w:p>
    <w:p w14:paraId="55901FED">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⑦用户应有控制权</w:t>
      </w:r>
    </w:p>
    <w:p w14:paraId="2E69771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把控制权和自由交给用户，避免意外、中断或任何未给用户提示的事情。用户应该是操作的发起者，而不是响应者。</w:t>
      </w:r>
    </w:p>
    <w:p w14:paraId="140D75A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⑧减轻用户的记忆负担</w:t>
      </w:r>
    </w:p>
    <w:p w14:paraId="032A9DA8">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用户更容易识别信息而不是记忆信息。尽量采取选择信息而不是填写信息。</w:t>
      </w:r>
    </w:p>
    <w:p w14:paraId="0631CF0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⑨页面消息提示</w:t>
      </w:r>
    </w:p>
    <w:p w14:paraId="63F7ACB6">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包括闪烁提示、语音提示。</w:t>
      </w:r>
    </w:p>
    <w:p w14:paraId="0CB20F9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五、软件功能内容</w:t>
      </w:r>
    </w:p>
    <w:p w14:paraId="44F7E8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系统统计首页</w:t>
      </w:r>
    </w:p>
    <w:p w14:paraId="54D8DE55">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对不同维度的数据进行综合统计和分析展示。打造成数据实时监控版面。通过3D地图的烘托、渲染，提升整个展示效果。</w:t>
      </w:r>
    </w:p>
    <w:p w14:paraId="48DC874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（1）展示数字小区建设的总览数据，建设数字小区总数、不同设备数量；展示每个数字小区的基本情况，包括数字小区的楼宇数、定位、设备信息、告警数量。</w:t>
      </w:r>
    </w:p>
    <w:p w14:paraId="7A0C7C4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（2）展示数字小区的水质和二次供水信息，能够直观的提现数字小区的供水质量、高层供水是否稳定情况。</w:t>
      </w:r>
    </w:p>
    <w:p w14:paraId="4A4D8F6A">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（3）展示数字小区的泵房泵机数量、水泵实时运行状态、视频监控数量、水压状态。</w:t>
      </w:r>
    </w:p>
    <w:p w14:paraId="7CAF3E7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（4）展示数字小区的最新水质信息以及历史水质趋势。</w:t>
      </w:r>
    </w:p>
    <w:p w14:paraId="064E0141">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（5）展示总的漏损趋势、最新一天的供水量、用水量、漏损量、漏损量。</w:t>
      </w:r>
    </w:p>
    <w:p w14:paraId="420CD27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小区数字孪生</w:t>
      </w:r>
    </w:p>
    <w:p w14:paraId="406A454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以小区为单位展示数据，对数字小区的涉水业务模块进行更详细的展示，并对数字小区进行三维建模，能够在小区三维场景中查看数字小区的设备分布、供水管网分布、楼宇分布以及设备的实时数据。</w:t>
      </w:r>
    </w:p>
    <w:p w14:paraId="30E53BEB">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（1）展示数字小区的楼宇数量、设备数量泵房监控。</w:t>
      </w:r>
    </w:p>
    <w:p w14:paraId="70F6C04C">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（2）展示数字小区的泵房设备数据、泵机实时运行状态、泵房温湿度、泵房视频监控以及进出水压力。</w:t>
      </w:r>
    </w:p>
    <w:p w14:paraId="5ECB8C0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（3）展示数字小区的最新水质信息以及历史水质趋势。</w:t>
      </w:r>
    </w:p>
    <w:p w14:paraId="46BC0CC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（4）展示数字小区的最新漏损量和漏损率。</w:t>
      </w:r>
    </w:p>
    <w:p w14:paraId="4FC6170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（5）小区三维场景建模。</w:t>
      </w:r>
    </w:p>
    <w:p w14:paraId="65BF576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（6）楼宇区域3D建模，实现数字孪生。</w:t>
      </w:r>
    </w:p>
    <w:p w14:paraId="6CD15B9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（7）设备在三维模型定位及数据展示。</w:t>
      </w:r>
    </w:p>
    <w:p w14:paraId="7E9D3FD8">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（8）展示管网的分布。</w:t>
      </w:r>
    </w:p>
    <w:p w14:paraId="1D6A28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二供泵房监控</w:t>
      </w:r>
    </w:p>
    <w:p w14:paraId="56DF14B7">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二供泵房进行3D建模，采用视频实时监控，实现二供的无人值守，远程采集运行数据并进行分析，实现供水管理企业日常办公便捷化、工作管理精细化、指挥决策智能化，有效提升供水企业的管理效率与社会服务水平。</w:t>
      </w:r>
    </w:p>
    <w:p w14:paraId="225FF5A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（1）泵房视频监控。</w:t>
      </w:r>
    </w:p>
    <w:p w14:paraId="5C7956B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（2）数据实时监控：远程采集泵设备运行数据、进出水压力、流量。</w:t>
      </w:r>
    </w:p>
    <w:p w14:paraId="147402B7">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（3）历史数据分析：能够分析不同时段流量、压力数据。</w:t>
      </w:r>
    </w:p>
    <w:p w14:paraId="1642CC9A">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（4）泵站3d建模：三维形式真实还原泵房布局，做到看画面如临现场。</w:t>
      </w:r>
    </w:p>
    <w:p w14:paraId="3E055F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小区水平衡分析</w:t>
      </w:r>
    </w:p>
    <w:p w14:paraId="765C017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让用户对所有小区进行DMA分区管理，并监测分区的供水、用水、漏损等数据，做到便捷、快速、直观查询呈现，为用户在多分区之间进行数据对比、分析做业务支撑。</w:t>
      </w:r>
    </w:p>
    <w:p w14:paraId="435C6C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小区水平衡报警</w:t>
      </w:r>
    </w:p>
    <w:p w14:paraId="63CE4EFD">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构建一个判别阈值矩阵，利用全天流量趋势来诊断漏损。这种方法可以与夜间最小流量移动平均隔差法结合，形成一种组合型漏损诊断预警法，提高识别准确率。</w:t>
      </w:r>
    </w:p>
    <w:p w14:paraId="7133EA7D">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（1）全天流量趋势分析：分析每个DMA分区的全天流量变化，设置合理的阈值范围。</w:t>
      </w:r>
    </w:p>
    <w:p w14:paraId="619428A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（2）实时监控与预警：实时采集并分析流量数据，一旦检测到异常情况，立即触发报警，并通知相关人员进行处理。</w:t>
      </w:r>
    </w:p>
    <w:p w14:paraId="1CC55F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水质监测分析</w:t>
      </w:r>
    </w:p>
    <w:p w14:paraId="6EA1149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小区水质监测分析功能提供实时数据采集与深入分析，确保小区居民享有安全、达标的饮用水质。</w:t>
      </w:r>
    </w:p>
    <w:p w14:paraId="14744497">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（1）实时监测：稳定实时不间断采集水质数据。</w:t>
      </w:r>
    </w:p>
    <w:p w14:paraId="487B5D65">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（2）分析汇总：对历史数据进行分析汇总，在页面上展示分析结果。</w:t>
      </w:r>
    </w:p>
    <w:p w14:paraId="684596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最不利压力监测</w:t>
      </w:r>
    </w:p>
    <w:p w14:paraId="27AC1958">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小区最不利压力监测功能通过关键点位的连续监控，确保供水系统能够满足居民的最低压力条件下的稳定供水，预防供水压力不足。</w:t>
      </w:r>
    </w:p>
    <w:p w14:paraId="18FAC7CB">
      <w:pPr>
        <w:widowControl/>
        <w:snapToGrid w:val="0"/>
        <w:spacing w:line="360" w:lineRule="auto"/>
        <w:ind w:left="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（1）实时监测最不利点的压力。</w:t>
      </w:r>
    </w:p>
    <w:p w14:paraId="0F30202C">
      <w:pPr>
        <w:widowControl/>
        <w:snapToGrid w:val="0"/>
        <w:spacing w:line="360" w:lineRule="auto"/>
        <w:ind w:left="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（2）对历史数据进行深度挖掘。</w:t>
      </w:r>
    </w:p>
    <w:p w14:paraId="19AFAF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人文关怀管理</w:t>
      </w:r>
    </w:p>
    <w:p w14:paraId="71C02A56">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立独居老人信息资料库，作为平台中的重点关注用户，并单独为其设定策略告警，经过大数据分析后判断其为用水异常（如长时间无用水或持续用水、24小时用水偏高等），将通过联动的形式进行多渠道告警提醒。</w:t>
      </w:r>
    </w:p>
    <w:p w14:paraId="27FC266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用水综合查询与统计</w:t>
      </w:r>
    </w:p>
    <w:p w14:paraId="7FC22DC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支持单表用水查询和多表用水统计。</w:t>
      </w:r>
    </w:p>
    <w:p w14:paraId="1406F68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物联网数据统一管理</w:t>
      </w:r>
    </w:p>
    <w:p w14:paraId="0E0859CA">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多系统智能水表数据进行统一集中管理。</w:t>
      </w:r>
    </w:p>
    <w:p w14:paraId="6183B9D5">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（1）数据标准化：制定统一的数据标准和接口规范，确保各系统水表数据能够无缝接入平台。</w:t>
      </w:r>
    </w:p>
    <w:p w14:paraId="3DDF1897">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（2）跨系统集成：通过中间件技术，实现不同品牌、不同型号水表系统的互联互通，打破信息孤岛。</w:t>
      </w:r>
    </w:p>
    <w:p w14:paraId="145FF63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（3）实时数据同步：保证平台能够实时获取并更新各个水表系统的最新数据，提供准确、及时的信息支持。</w:t>
      </w:r>
    </w:p>
    <w:p w14:paraId="7EDA6A2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系统基础配置管理</w:t>
      </w:r>
    </w:p>
    <w:p w14:paraId="6D137EAA">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系统基础配置功能，包括片区管理、区域角色、菜单角色、用户管理、菜单管理、档案管理等。</w:t>
      </w:r>
    </w:p>
    <w:p w14:paraId="7A75AE66">
      <w:pPr>
        <w:widowControl/>
        <w:snapToGrid w:val="0"/>
        <w:spacing w:line="360" w:lineRule="auto"/>
        <w:ind w:left="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（1）片区管理：实现对IOT设备所属小区、区域进行创建。</w:t>
      </w:r>
    </w:p>
    <w:p w14:paraId="6B5E86B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（2）区域角色：实现对片区查看的权限按照角色分类进行区分。</w:t>
      </w:r>
    </w:p>
    <w:p w14:paraId="00B57441">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（3）菜单角色：实现系统菜单角色的分类创建及管理。</w:t>
      </w:r>
    </w:p>
    <w:p w14:paraId="63559045">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（4）用户管理：支持系统用户的创建、菜单/区域角色的选取以及用户的增删改查。</w:t>
      </w:r>
    </w:p>
    <w:p w14:paraId="4D3E4CA1">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（5）菜单管理：实现对系统所有菜单的统一管理认证，包括菜单访问路径，路由信息等。</w:t>
      </w:r>
    </w:p>
    <w:p w14:paraId="1D55F21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（6）档案管理：实现对智能设备信息、通道信息的管理。</w:t>
      </w:r>
    </w:p>
    <w:p w14:paraId="66CE39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3D建模&amp;数据集成</w:t>
      </w:r>
    </w:p>
    <w:p w14:paraId="10B447D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对项目中5个小区进行场景</w:t>
      </w:r>
      <w:r>
        <w:rPr>
          <w:rFonts w:hint="eastAsia" w:ascii="宋体" w:hAnsi="宋体" w:eastAsia="宋体" w:cs="宋体"/>
          <w:b/>
          <w:bCs/>
          <w:color w:val="auto"/>
          <w:sz w:val="24"/>
          <w:highlight w:val="none"/>
        </w:rPr>
        <w:t>3D</w:t>
      </w:r>
      <w:r>
        <w:rPr>
          <w:rFonts w:hint="eastAsia" w:ascii="宋体" w:hAnsi="宋体" w:eastAsia="宋体" w:cs="宋体"/>
          <w:color w:val="auto"/>
          <w:kern w:val="0"/>
          <w:sz w:val="24"/>
          <w:highlight w:val="none"/>
        </w:rPr>
        <w:t>建模。</w:t>
      </w:r>
    </w:p>
    <w:p w14:paraId="0B896E9B">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六、硬件设备技术参数</w:t>
      </w:r>
    </w:p>
    <w:p w14:paraId="398CD4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★投标人或所投水表生产厂家具有省级及以上市场监督管理局（质量技术监督部门）出具的计量器具型式批准证书（提供型式批准证书原件扫描件并加盖公章）。</w:t>
      </w:r>
    </w:p>
    <w:p w14:paraId="250C52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★投标人或所投水表生产厂家承诺水表首检合格率大于99.5%,若首检合格率低于99.5%（含）采购方有权单方面终止合同（提供承诺函）。</w:t>
      </w:r>
    </w:p>
    <w:p w14:paraId="26C056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无线通讯盒技术要求</w:t>
      </w:r>
    </w:p>
    <w:p w14:paraId="1CE40BAB">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1.1技术标准</w:t>
      </w:r>
    </w:p>
    <w:p w14:paraId="76E5FDAA">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产品所有指标应符合以下国家或行业标准</w:t>
      </w:r>
    </w:p>
    <w:p w14:paraId="61F6FD1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CJ/T 224-2012《电子远传水表》</w:t>
      </w:r>
    </w:p>
    <w:p w14:paraId="383D06B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JG/T 162</w:t>
      </w:r>
      <w:r>
        <w:rPr>
          <w:rFonts w:hint="eastAsia" w:ascii="宋体" w:hAnsi="宋体" w:eastAsia="宋体" w:cs="宋体"/>
          <w:color w:val="auto"/>
          <w:sz w:val="24"/>
          <w:highlight w:val="none"/>
        </w:rPr>
        <w:t>-2009</w:t>
      </w:r>
      <w:r>
        <w:rPr>
          <w:rFonts w:hint="eastAsia" w:ascii="宋体" w:hAnsi="宋体" w:eastAsia="宋体" w:cs="宋体"/>
          <w:color w:val="auto"/>
          <w:sz w:val="24"/>
          <w:highlight w:val="none"/>
          <w:lang w:val="zh-CN"/>
        </w:rPr>
        <w:t xml:space="preserve">  《住宅远传抄表系统》</w:t>
      </w:r>
    </w:p>
    <w:p w14:paraId="114457B6">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1.2无线通讯盒技术要求</w:t>
      </w:r>
    </w:p>
    <w:p w14:paraId="383273A3">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▲无线通讯盒可适配招标方双霍尔原理的远传水表，可正常采集远传水表数据，并通过NB-IoT上传至远传水表抄表平台。（需要提供承诺书）</w:t>
      </w:r>
    </w:p>
    <w:p w14:paraId="44A9E79C">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日上报成功率：＞99.9% ，抄读准确率：＞99.9%。</w:t>
      </w:r>
    </w:p>
    <w:p w14:paraId="74377FAC">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年故障率＜1%。</w:t>
      </w:r>
    </w:p>
    <w:p w14:paraId="56F2381F">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温度范围：适应工作环境温度范围，0.1℃～55℃。</w:t>
      </w:r>
    </w:p>
    <w:p w14:paraId="74A6A232">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湿度范围：水表适应工作环境湿度范围， 40℃时为 0%～100%，远传读数装置在 40℃至少为 93%。</w:t>
      </w:r>
    </w:p>
    <w:p w14:paraId="515EB2F9">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安装环境等级：户外 C 级、建筑物类 B 级。</w:t>
      </w:r>
    </w:p>
    <w:p w14:paraId="16B42373">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电磁环境等级：E1级。</w:t>
      </w:r>
    </w:p>
    <w:p w14:paraId="47DE9962">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防水等级：IP68，不进灰尘，满足长期浸水的要求。 </w:t>
      </w:r>
    </w:p>
    <w:p w14:paraId="3CC947D6">
      <w:pPr>
        <w:numPr>
          <w:ilvl w:val="0"/>
          <w:numId w:val="0"/>
        </w:numPr>
        <w:tabs>
          <w:tab w:val="left" w:pos="-200"/>
        </w:tabs>
        <w:spacing w:line="360" w:lineRule="auto"/>
        <w:ind w:leftChars="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）内置电池：电池可独立更换，在上报频次为 1 次/日时，保证使用 6 年。</w:t>
      </w:r>
    </w:p>
    <w:p w14:paraId="04F15DD2">
      <w:pPr>
        <w:numPr>
          <w:ilvl w:val="0"/>
          <w:numId w:val="0"/>
        </w:numPr>
        <w:tabs>
          <w:tab w:val="left" w:pos="-200"/>
        </w:tabs>
        <w:spacing w:line="360" w:lineRule="auto"/>
        <w:ind w:leftChars="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数据存储：可存储数据≥30 天，当存满存储介质时，新采集的数据自动覆盖最早数据远传水表应能人工抄读，水表电子设备不得破坏基表结构，不得影响人工抄。</w:t>
      </w:r>
    </w:p>
    <w:p w14:paraId="4A7298E0">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通讯方式：采用本地通信运营商的 NB-IoT 网络实现数据传输，并提供属地化日常通信运维服务；必须可无缝接入远传水表管理平台,按采购方制定的通讯协议标准生产。</w:t>
      </w:r>
    </w:p>
    <w:p w14:paraId="21A68D77">
      <w:pPr>
        <w:numPr>
          <w:ilvl w:val="0"/>
          <w:numId w:val="0"/>
        </w:numPr>
        <w:tabs>
          <w:tab w:val="left" w:pos="-200"/>
        </w:tabs>
        <w:spacing w:line="360" w:lineRule="auto"/>
        <w:ind w:left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模块标识的印刷：在电子模块上按采购人要求印制相关标识和条形码。</w:t>
      </w:r>
    </w:p>
    <w:p w14:paraId="4B6D828B">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1.3电子设备功能要求</w:t>
      </w:r>
    </w:p>
    <w:p w14:paraId="4E39782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电子设备功能所涉及的数据内容和格式，应符合DN15-DN20口径智能水表（NB-IoT）型式的功能技术要求。</w:t>
      </w:r>
    </w:p>
    <w:p w14:paraId="7DB4702B">
      <w:pPr>
        <w:numPr>
          <w:ilvl w:val="0"/>
          <w:numId w:val="47"/>
        </w:numPr>
        <w:tabs>
          <w:tab w:val="left" w:pos="-2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周期上报：</w:t>
      </w:r>
    </w:p>
    <w:p w14:paraId="00FB7C04">
      <w:pPr>
        <w:widowControl/>
        <w:numPr>
          <w:ilvl w:val="0"/>
          <w:numId w:val="48"/>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每日周期上报：上报前一天 24 小时数据，数据包含每 30 分钟记录一次的数据，共 48个记录信息等。</w:t>
      </w:r>
    </w:p>
    <w:p w14:paraId="1057BED4">
      <w:pPr>
        <w:widowControl/>
        <w:numPr>
          <w:ilvl w:val="0"/>
          <w:numId w:val="48"/>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高频周期上报：可通过平台设置或更改发送频率，最小做到每小时周期上报，数据包含上报周期内的每 30 分钟记录一次的数据信息等。</w:t>
      </w:r>
    </w:p>
    <w:p w14:paraId="42EDB3B9">
      <w:pPr>
        <w:numPr>
          <w:ilvl w:val="0"/>
          <w:numId w:val="47"/>
        </w:numPr>
        <w:tabs>
          <w:tab w:val="left" w:pos="-2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补包功能：当本次数据上报不成功时，下个上报周期数据自动补包，在数据有效保存期内的数据都可以补包。</w:t>
      </w:r>
    </w:p>
    <w:p w14:paraId="4D8A6A33">
      <w:pPr>
        <w:numPr>
          <w:ilvl w:val="0"/>
          <w:numId w:val="47"/>
        </w:numPr>
        <w:tabs>
          <w:tab w:val="left" w:pos="-2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数据上报消息：数据上报消息要求在一个完整的消息报文中上送。</w:t>
      </w:r>
    </w:p>
    <w:p w14:paraId="24A10C80">
      <w:pPr>
        <w:numPr>
          <w:ilvl w:val="0"/>
          <w:numId w:val="47"/>
        </w:numPr>
        <w:tabs>
          <w:tab w:val="left" w:pos="-2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设置功能：可通过应用平台或手持设备进行设置。</w:t>
      </w:r>
    </w:p>
    <w:p w14:paraId="30A2BCDB">
      <w:pPr>
        <w:widowControl/>
        <w:numPr>
          <w:ilvl w:val="0"/>
          <w:numId w:val="49"/>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周期上报离散设置：通过随机离散，把上报的时间点离散，最小估长10S， 默认0点到8点内离散。</w:t>
      </w:r>
    </w:p>
    <w:p w14:paraId="5D2777A4">
      <w:pPr>
        <w:widowControl/>
        <w:numPr>
          <w:ilvl w:val="0"/>
          <w:numId w:val="49"/>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上报重发机制设置：上报不成功，水表数据进行重发，重发次数可设。</w:t>
      </w:r>
    </w:p>
    <w:p w14:paraId="3953FC99">
      <w:pPr>
        <w:widowControl/>
        <w:numPr>
          <w:ilvl w:val="0"/>
          <w:numId w:val="49"/>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水表编号设置：可通过近端手持设备或应用平台，设置水表内电子编号。</w:t>
      </w:r>
    </w:p>
    <w:p w14:paraId="441FB886">
      <w:pPr>
        <w:widowControl/>
        <w:numPr>
          <w:ilvl w:val="0"/>
          <w:numId w:val="49"/>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IP、端口设置：可通过近端手持设备或应用平台，设置 IP、端口。</w:t>
      </w:r>
    </w:p>
    <w:p w14:paraId="601DC199">
      <w:pPr>
        <w:widowControl/>
        <w:numPr>
          <w:ilvl w:val="0"/>
          <w:numId w:val="49"/>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报警功能：可对电池欠压、过流流量、反流流量进行告警。</w:t>
      </w:r>
    </w:p>
    <w:p w14:paraId="7FA91225">
      <w:pPr>
        <w:numPr>
          <w:ilvl w:val="0"/>
          <w:numId w:val="47"/>
        </w:numPr>
        <w:tabs>
          <w:tab w:val="left" w:pos="-2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时间校对：数据周期上报时，可通过 NB-IoT 芯片进行校对。</w:t>
      </w:r>
    </w:p>
    <w:p w14:paraId="0BAE3807">
      <w:pPr>
        <w:pStyle w:val="28"/>
        <w:numPr>
          <w:ilvl w:val="0"/>
          <w:numId w:val="44"/>
        </w:numPr>
        <w:spacing w:line="360" w:lineRule="auto"/>
        <w:ind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超声波水表</w:t>
      </w:r>
    </w:p>
    <w:p w14:paraId="0CEF6596">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2.1技术标准</w:t>
      </w:r>
    </w:p>
    <w:p w14:paraId="4714E771">
      <w:pPr>
        <w:widowControl/>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产品所有指标应符合以下国家或行业标准</w:t>
      </w:r>
    </w:p>
    <w:p w14:paraId="2F651874">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（1）《饮用冷水水表和热水水表》GB/T778-2018</w:t>
      </w:r>
    </w:p>
    <w:p w14:paraId="41235338">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（2）《饮用冷水水表检定规程》JJG162-2019</w:t>
      </w:r>
    </w:p>
    <w:p w14:paraId="53981A05">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（3）《户用计量仪表数据传输技术条件》CJ/T188-2018</w:t>
      </w:r>
    </w:p>
    <w:p w14:paraId="4BC64F0F">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（4)《超声波水表》CJ/T343-2013</w:t>
      </w:r>
    </w:p>
    <w:p w14:paraId="1937F0CF">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（5）《外壳防护等级(IP代码)》GB/T 4208-2017</w:t>
      </w:r>
    </w:p>
    <w:p w14:paraId="37CA56DA">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（6)《电子远传水表》CJ/T 224-2012</w:t>
      </w:r>
    </w:p>
    <w:p w14:paraId="7635B98B">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（7）《民用建筑远传抄表系统》JG/T162-2017</w:t>
      </w:r>
    </w:p>
    <w:p w14:paraId="4B2259B4">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（8）《饮用水冷水水表安全规则》 CJ 266-2008</w:t>
      </w:r>
    </w:p>
    <w:p w14:paraId="1613E525">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常用流量（Q3），量程比（Q3/Q1）的值按下表执行</w:t>
      </w:r>
    </w:p>
    <w:tbl>
      <w:tblPr>
        <w:tblStyle w:val="18"/>
        <w:tblW w:w="0" w:type="auto"/>
        <w:jc w:val="center"/>
        <w:tblLayout w:type="fixed"/>
        <w:tblCellMar>
          <w:top w:w="0" w:type="dxa"/>
          <w:left w:w="0" w:type="dxa"/>
          <w:bottom w:w="0" w:type="dxa"/>
          <w:right w:w="0" w:type="dxa"/>
        </w:tblCellMar>
      </w:tblPr>
      <w:tblGrid>
        <w:gridCol w:w="2056"/>
        <w:gridCol w:w="2090"/>
        <w:gridCol w:w="2066"/>
        <w:gridCol w:w="2066"/>
      </w:tblGrid>
      <w:tr w14:paraId="45D6E01C">
        <w:tblPrEx>
          <w:tblCellMar>
            <w:top w:w="0" w:type="dxa"/>
            <w:left w:w="0" w:type="dxa"/>
            <w:bottom w:w="0" w:type="dxa"/>
            <w:right w:w="0" w:type="dxa"/>
          </w:tblCellMar>
        </w:tblPrEx>
        <w:trPr>
          <w:trHeight w:val="376"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BD71EC">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口径</w:t>
            </w:r>
          </w:p>
        </w:tc>
        <w:tc>
          <w:tcPr>
            <w:tcW w:w="20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3455EC">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Q3(m3/h)</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96F6F8">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Q3/Q1</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77ABC">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Q2/Q1</w:t>
            </w:r>
          </w:p>
        </w:tc>
      </w:tr>
      <w:tr w14:paraId="07F75756">
        <w:tblPrEx>
          <w:tblCellMar>
            <w:top w:w="0" w:type="dxa"/>
            <w:left w:w="0" w:type="dxa"/>
            <w:bottom w:w="0" w:type="dxa"/>
            <w:right w:w="0" w:type="dxa"/>
          </w:tblCellMar>
        </w:tblPrEx>
        <w:trPr>
          <w:trHeight w:val="376"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311A8E">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DN15</w:t>
            </w:r>
          </w:p>
        </w:tc>
        <w:tc>
          <w:tcPr>
            <w:tcW w:w="20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C5FB45">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A4BF93">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≥250</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C8AD29">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r>
      <w:tr w14:paraId="1BACB4B1">
        <w:tblPrEx>
          <w:tblCellMar>
            <w:top w:w="0" w:type="dxa"/>
            <w:left w:w="0" w:type="dxa"/>
            <w:bottom w:w="0" w:type="dxa"/>
            <w:right w:w="0" w:type="dxa"/>
          </w:tblCellMar>
        </w:tblPrEx>
        <w:trPr>
          <w:trHeight w:val="376"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1885E3">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DN40</w:t>
            </w:r>
          </w:p>
        </w:tc>
        <w:tc>
          <w:tcPr>
            <w:tcW w:w="20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57A563">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CF3106">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≥250</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89FE9C">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r>
      <w:tr w14:paraId="1E6C19D0">
        <w:tblPrEx>
          <w:tblCellMar>
            <w:top w:w="0" w:type="dxa"/>
            <w:left w:w="0" w:type="dxa"/>
            <w:bottom w:w="0" w:type="dxa"/>
            <w:right w:w="0" w:type="dxa"/>
          </w:tblCellMar>
        </w:tblPrEx>
        <w:trPr>
          <w:trHeight w:val="392"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DA4820">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DN100</w:t>
            </w:r>
          </w:p>
        </w:tc>
        <w:tc>
          <w:tcPr>
            <w:tcW w:w="20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00F7C">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160</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5E9D6B">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≥250</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8237A0">
            <w:pPr>
              <w:widowControl/>
              <w:snapToGrid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r>
    </w:tbl>
    <w:p w14:paraId="22BFF9D4">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（1）测量方式：超声波计量；DN15、DN40采用单声道测量，DN100口径不少于4声道。 （2） DN15、DN40口径超声水表管段材质为HPb59-1铜，DN100口径超声水表管段材质采用304不锈钢材质。 </w:t>
      </w:r>
    </w:p>
    <w:p w14:paraId="53B3B49C">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 准确度等级: 2级； </w:t>
      </w:r>
    </w:p>
    <w:p w14:paraId="39C23C3D">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 最大允许工作压力: 1.6MPa，压力损失等级≤△P63； </w:t>
      </w:r>
    </w:p>
    <w:p w14:paraId="30783C8E">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 防护等级：IP68； </w:t>
      </w:r>
    </w:p>
    <w:p w14:paraId="33E5384D">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（6）显示内容: 累积流量（m³）、瞬时流量（m³/h）、累积有效运行时间（h）、日期（年/月/日）、时钟（时/分/秒）； </w:t>
      </w:r>
    </w:p>
    <w:p w14:paraId="3F326ECE">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（7）累积流量显示分辨力: 累积流量0.001m³； </w:t>
      </w:r>
    </w:p>
    <w:p w14:paraId="7CA9E703">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（8）显示范围: DN15、DN40累积流量：0 m³—999999.999 m³；DN100及以上累积流量：0 m³—99999999.999 m³ </w:t>
      </w:r>
    </w:p>
    <w:p w14:paraId="2F72F45D">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（9）具有水温测量，显示分辨率为0.1℃；</w:t>
      </w:r>
    </w:p>
    <w:p w14:paraId="4C7DBB53">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（10）红外脉冲输出，输出频率可设置；</w:t>
      </w:r>
    </w:p>
    <w:p w14:paraId="587DB8DE">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 数据通讯: NB-IoT，通讯具有光学接口（如红外）； </w:t>
      </w:r>
    </w:p>
    <w:p w14:paraId="3BB6D149">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（12）工作环境: -25℃—+55℃； </w:t>
      </w:r>
    </w:p>
    <w:p w14:paraId="7D02FDA5">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（13） 数据存储：断电后数据可保存20年以上，可自动存储最近24个月的数据； </w:t>
      </w:r>
    </w:p>
    <w:p w14:paraId="158ECFF8">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（14）工作电源：电池供电DC3.6V，电池可供电；</w:t>
      </w:r>
    </w:p>
    <w:p w14:paraId="31140B89">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（15）温度等级：T30； </w:t>
      </w:r>
    </w:p>
    <w:p w14:paraId="4C4A0B08">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（16）安装方式：DN15、DN40螺纹连接，DN100口径采用法兰连接；水表上、下游流场敏感度等级（直管段要求）达到U0、D0； </w:t>
      </w:r>
    </w:p>
    <w:p w14:paraId="67817C94">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（17）环境等级：户外 O 级或C级、建筑物类 B 级； </w:t>
      </w:r>
    </w:p>
    <w:p w14:paraId="353C01DC">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（18）电磁环境等级：E2；</w:t>
      </w:r>
    </w:p>
    <w:p w14:paraId="5E8E2673">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 DN100口径超声水表可选装压力传感器。</w:t>
      </w:r>
    </w:p>
    <w:p w14:paraId="18D935F1">
      <w:pPr>
        <w:widowControl/>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3、远传功能要求</w:t>
      </w:r>
      <w:r>
        <w:rPr>
          <w:rFonts w:hint="eastAsia" w:ascii="宋体" w:hAnsi="宋体" w:eastAsia="宋体" w:cs="宋体"/>
          <w:color w:val="auto"/>
          <w:kern w:val="0"/>
          <w:sz w:val="24"/>
          <w:highlight w:val="none"/>
        </w:rPr>
        <w:cr/>
      </w:r>
      <w:r>
        <w:rPr>
          <w:rFonts w:hint="eastAsia" w:ascii="宋体" w:hAnsi="宋体" w:eastAsia="宋体" w:cs="宋体"/>
          <w:color w:val="auto"/>
          <w:kern w:val="0"/>
          <w:sz w:val="24"/>
          <w:highlight w:val="none"/>
        </w:rPr>
        <w:t>（1）日上报成功率：＞99.9% ，抄读准确率：＞99.9%；</w:t>
      </w:r>
    </w:p>
    <w:p w14:paraId="05EAFC25">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（2）周期上报：</w:t>
      </w:r>
    </w:p>
    <w:p w14:paraId="4FC9F683">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①每日周期上报：上报前一天 24 小时数据，数据包含每 30 分钟记录一次的数据，共 48个记录信息等。</w:t>
      </w:r>
    </w:p>
    <w:p w14:paraId="01ED3FB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②高频周期上报：可通过平台设置或更改发送频率，最小做到每小时周期上报，数据包含上报周期内的每 30 分钟记录一次的数据信息等。</w:t>
      </w:r>
    </w:p>
    <w:p w14:paraId="1E8D856F">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（3）密集数据采集：从设置的起始时间算起4个小时，每5分钟一个点，共48个点累计流量。</w:t>
      </w:r>
    </w:p>
    <w:p w14:paraId="63F37B8A">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（4）补包功能：当本次数据上报不成功时，下个上报周期数据自动补包，在数据有效保存期内的数据都可以补包。</w:t>
      </w:r>
    </w:p>
    <w:p w14:paraId="3484BC56">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（5）数据上报消息：数据上报消息要求在一个完整的消息报文中上送。</w:t>
      </w:r>
    </w:p>
    <w:p w14:paraId="6DA147A7">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（6）设置功能：可通过应用平台或手持设备进行设置。</w:t>
      </w:r>
    </w:p>
    <w:p w14:paraId="6F7C74AC">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①周期上报离散设置：通过随机离散，把上报的时间点离散，最小估长10S， 默认0点到8点内离散。</w:t>
      </w:r>
    </w:p>
    <w:p w14:paraId="1CA444E4">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②上报重发机制设置：上报不成功，水表数据进行重发，重发次数可设。</w:t>
      </w:r>
    </w:p>
    <w:p w14:paraId="3B6BCE1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 水表编号设置：可通过近端手持设备或应用平台，设置水表内电子编号。</w:t>
      </w:r>
    </w:p>
    <w:p w14:paraId="0B0BD785">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 IP、端口设置：可通过近端手持设备或应用平台，设置 IP、端口。</w:t>
      </w:r>
    </w:p>
    <w:p w14:paraId="21AD5DEF">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 报警功能：可对电池欠压、过流流量、反流流量进行告警。</w:t>
      </w:r>
    </w:p>
    <w:p w14:paraId="63990FED">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 时间校对：数据周期上报时，可通过 NB-IoT 芯片进行校对。</w:t>
      </w:r>
    </w:p>
    <w:p w14:paraId="050C8365">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（8）数据加密：采用 128 位高级加密标准，AES-128 加密、解密算法。</w:t>
      </w:r>
    </w:p>
    <w:p w14:paraId="77ADDC21">
      <w:pPr>
        <w:widowControl/>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sz w:val="24"/>
          <w:highlight w:val="none"/>
        </w:rPr>
        <w:t>摄像式智能传感器</w:t>
      </w:r>
    </w:p>
    <w:p w14:paraId="05F6029E">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3.1技术标准：</w:t>
      </w:r>
    </w:p>
    <w:p w14:paraId="7B47306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产品所有指标应符合以下国家或行业标准：</w:t>
      </w:r>
    </w:p>
    <w:p w14:paraId="39B4C79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《饮用冷水和热水水表》GB/T  778-2018</w:t>
      </w:r>
    </w:p>
    <w:p w14:paraId="00BEC46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《饮用水冷水水表安全规则》CJ 266-2008</w:t>
      </w:r>
    </w:p>
    <w:p w14:paraId="2B9C4D6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《冷水水表检定规程》 JJG 162-2019</w:t>
      </w:r>
    </w:p>
    <w:p w14:paraId="7932EB9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《民用建筑远传抄表系统》 JG/T 162-2017</w:t>
      </w:r>
    </w:p>
    <w:p w14:paraId="606CADE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《户用计量仪表数据传输技术条件》 CJ/T 188-2018</w:t>
      </w:r>
    </w:p>
    <w:p w14:paraId="59823E2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《电子直读式水表》CJ/T 383-2011</w:t>
      </w:r>
    </w:p>
    <w:p w14:paraId="753C30D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《电子远传水表》CJ/T224-2012</w:t>
      </w:r>
    </w:p>
    <w:p w14:paraId="7BD09D4E">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以上标准中要求不相同时，采用高要求。</w:t>
      </w:r>
    </w:p>
    <w:p w14:paraId="164A6C51">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3.2产品的性能、参数及功能总体要求：</w:t>
      </w:r>
    </w:p>
    <w:p w14:paraId="363F922A">
      <w:pPr>
        <w:numPr>
          <w:ilvl w:val="0"/>
          <w:numId w:val="50"/>
        </w:numPr>
        <w:spacing w:line="360" w:lineRule="auto"/>
        <w:rPr>
          <w:rFonts w:hint="eastAsia" w:ascii="宋体" w:hAnsi="宋体" w:eastAsia="宋体" w:cs="宋体"/>
          <w:bCs/>
          <w:color w:val="auto"/>
          <w:sz w:val="24"/>
          <w:highlight w:val="none"/>
        </w:rPr>
      </w:pPr>
      <w:bookmarkStart w:id="468" w:name="_Toc479622299"/>
      <w:r>
        <w:rPr>
          <w:rFonts w:hint="eastAsia" w:ascii="宋体" w:hAnsi="宋体" w:eastAsia="宋体" w:cs="宋体"/>
          <w:bCs/>
          <w:color w:val="auto"/>
          <w:sz w:val="24"/>
          <w:highlight w:val="none"/>
        </w:rPr>
        <w:t>系统结构</w:t>
      </w:r>
      <w:bookmarkEnd w:id="468"/>
    </w:p>
    <w:p w14:paraId="2847114F">
      <w:pPr>
        <w:numPr>
          <w:ilvl w:val="0"/>
          <w:numId w:val="51"/>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由远传水表、采集器或集中器、服务器通过移动运营商及互联网连接起来，运行抄表系统软件，能实现远传水表抄读、查询、统计、分析的系统。</w:t>
      </w:r>
    </w:p>
    <w:p w14:paraId="62F6E967">
      <w:pPr>
        <w:numPr>
          <w:ilvl w:val="0"/>
          <w:numId w:val="51"/>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远传水表与采集机或集中器间采用有线连接方式，采集机或集中器与数据服务器采用4G/GPRS等通讯方式移动运营商连接。</w:t>
      </w:r>
    </w:p>
    <w:p w14:paraId="061B1FB2">
      <w:pPr>
        <w:numPr>
          <w:ilvl w:val="0"/>
          <w:numId w:val="51"/>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数据专线传输采用M-BUS总线接口，通讯协议符合CJ/T 188-2018标准要求。</w:t>
      </w:r>
    </w:p>
    <w:p w14:paraId="7C69690A">
      <w:pPr>
        <w:numPr>
          <w:ilvl w:val="0"/>
          <w:numId w:val="51"/>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可由表端和后台识别水表读数，可通过掌上机等实现现场抄读。</w:t>
      </w:r>
    </w:p>
    <w:p w14:paraId="5E0115D4">
      <w:pPr>
        <w:numPr>
          <w:ilvl w:val="0"/>
          <w:numId w:val="51"/>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有手持抄表机单独和集中抄表功能（红外或蓝牙等方式），数据能按招标方要求导入导出。手机app抄表软件可实时抄读。</w:t>
      </w:r>
    </w:p>
    <w:p w14:paraId="518D3BDB">
      <w:pPr>
        <w:numPr>
          <w:ilvl w:val="0"/>
          <w:numId w:val="51"/>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rPr>
        <w:t>智能水表远传系统应能够耐高低温，抄读速率不低于每分钟150条，抄读的原始图片大小不大于600字节，能够兼容4家以上不同单位生产的智能水表。（需要提供省级及以上检测机构出具的检测报告。）</w:t>
      </w:r>
    </w:p>
    <w:p w14:paraId="05809BFE">
      <w:pPr>
        <w:numPr>
          <w:ilvl w:val="0"/>
          <w:numId w:val="50"/>
        </w:numPr>
        <w:spacing w:line="360" w:lineRule="auto"/>
        <w:rPr>
          <w:rFonts w:hint="eastAsia" w:ascii="宋体" w:hAnsi="宋体" w:eastAsia="宋体" w:cs="宋体"/>
          <w:bCs/>
          <w:color w:val="auto"/>
          <w:sz w:val="24"/>
          <w:highlight w:val="none"/>
        </w:rPr>
      </w:pPr>
      <w:bookmarkStart w:id="469" w:name="_Toc479622300"/>
      <w:r>
        <w:rPr>
          <w:rFonts w:hint="eastAsia" w:ascii="宋体" w:hAnsi="宋体" w:eastAsia="宋体" w:cs="宋体"/>
          <w:bCs/>
          <w:color w:val="auto"/>
          <w:sz w:val="24"/>
          <w:highlight w:val="none"/>
        </w:rPr>
        <w:t>系统供电方式</w:t>
      </w:r>
      <w:bookmarkEnd w:id="469"/>
      <w:r>
        <w:rPr>
          <w:rFonts w:hint="eastAsia" w:ascii="宋体" w:hAnsi="宋体" w:eastAsia="宋体" w:cs="宋体"/>
          <w:bCs/>
          <w:color w:val="auto"/>
          <w:sz w:val="24"/>
          <w:highlight w:val="none"/>
        </w:rPr>
        <w:t>：系统采用220V市电统一供电方式，即采集器、集中器采用220V市电统一供电，无需蓄电池供电或其他外部设备供电抄表。远传水表平时无需供电只需在抄表瞬间供电。停电及线路损坏对数据不得产生任何影响，也不得丢失数据。</w:t>
      </w:r>
    </w:p>
    <w:p w14:paraId="7265437A">
      <w:pPr>
        <w:numPr>
          <w:ilvl w:val="0"/>
          <w:numId w:val="50"/>
        </w:numPr>
        <w:spacing w:line="360" w:lineRule="auto"/>
        <w:rPr>
          <w:rFonts w:hint="eastAsia" w:ascii="宋体" w:hAnsi="宋体" w:eastAsia="宋体" w:cs="宋体"/>
          <w:bCs/>
          <w:color w:val="auto"/>
          <w:sz w:val="24"/>
          <w:highlight w:val="none"/>
        </w:rPr>
      </w:pPr>
      <w:bookmarkStart w:id="470" w:name="_Toc479622301"/>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rPr>
        <w:t>精确度要求：</w:t>
      </w:r>
      <w:bookmarkEnd w:id="470"/>
      <w:r>
        <w:rPr>
          <w:rFonts w:hint="eastAsia" w:ascii="宋体" w:hAnsi="宋体" w:eastAsia="宋体" w:cs="宋体"/>
          <w:bCs/>
          <w:color w:val="auto"/>
          <w:sz w:val="24"/>
          <w:highlight w:val="none"/>
        </w:rPr>
        <w:t>摄像式直读传感器能直接抄读水表读数，也能拍摄读数及读数下方水表钢号图片。上传读数图片为二值化图片，并可通过设置修改为上传原图。（需要提供软件截图）</w:t>
      </w:r>
    </w:p>
    <w:p w14:paraId="359C8FDF">
      <w:pPr>
        <w:numPr>
          <w:ilvl w:val="0"/>
          <w:numId w:val="50"/>
        </w:numPr>
        <w:spacing w:line="360" w:lineRule="auto"/>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rPr>
        <w:t>机电转换误差不应超过±1最小转换分度值，单位为立方米；智能表的读取成功率≥99.9%；系统数据抄读总差错率≤0.1%（成功率与差错率需要提供省级及以上检测机构出具的检测报告）；</w:t>
      </w:r>
      <w:bookmarkStart w:id="471" w:name="_Toc479622302"/>
    </w:p>
    <w:p w14:paraId="2D0741E9">
      <w:pPr>
        <w:numPr>
          <w:ilvl w:val="0"/>
          <w:numId w:val="50"/>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安全要求</w:t>
      </w:r>
      <w:bookmarkEnd w:id="471"/>
      <w:r>
        <w:rPr>
          <w:rFonts w:hint="eastAsia" w:ascii="宋体" w:hAnsi="宋体" w:eastAsia="宋体" w:cs="宋体"/>
          <w:bCs/>
          <w:color w:val="auto"/>
          <w:sz w:val="24"/>
          <w:highlight w:val="none"/>
        </w:rPr>
        <w:t>：系统设备防护功能不低于IP65。安装与楼道表箱（井）等环境下的电子直读装置的外壳防护等级应符合GB 4208中IP65等级的要求，安装于地表或地埋表箱（井）等环境下的电子直读装置的外壳防护等级应符合IP68等级的要求。当其中有数只远传水表端存在短路、断路等故障时，不应影响整体系统抄表。信道和电源开闭、短路、采集器（集中器）故障等，计算机终端能实时发出报警信息和发送短信提醒，并能查询历史报警信息。</w:t>
      </w:r>
    </w:p>
    <w:p w14:paraId="23566AE9">
      <w:pPr>
        <w:numPr>
          <w:ilvl w:val="0"/>
          <w:numId w:val="52"/>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应确保摄像式直读表被不同厂家的采集机读取数据，通讯协议符合CJ/T 188-2018标准要求。</w:t>
      </w:r>
    </w:p>
    <w:p w14:paraId="40BD4A28">
      <w:pPr>
        <w:numPr>
          <w:ilvl w:val="0"/>
          <w:numId w:val="52"/>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应确保数据线可被不同类型、不同厂家的远传直读水表所使用。</w:t>
      </w:r>
    </w:p>
    <w:p w14:paraId="2005337C">
      <w:pPr>
        <w:numPr>
          <w:ilvl w:val="0"/>
          <w:numId w:val="50"/>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远传水表电子部分不得遮挡基表的计数器、表身号，不得对人工识别读数造成影响。</w:t>
      </w:r>
    </w:p>
    <w:p w14:paraId="44E2BE7F">
      <w:pPr>
        <w:numPr>
          <w:ilvl w:val="0"/>
          <w:numId w:val="50"/>
        </w:numPr>
        <w:spacing w:line="360" w:lineRule="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摄像</w:t>
      </w:r>
      <w:r>
        <w:rPr>
          <w:rFonts w:hint="eastAsia" w:ascii="宋体" w:hAnsi="宋体" w:eastAsia="宋体" w:cs="宋体"/>
          <w:color w:val="auto"/>
          <w:kern w:val="0"/>
          <w:sz w:val="24"/>
          <w:highlight w:val="none"/>
        </w:rPr>
        <w:t>传感器与基表采用分体式结构设计，可不停水实现安装拆卸及维护，并不得影响机械表计量。基表更换时，远传电子装置能够重复使用。</w:t>
      </w:r>
    </w:p>
    <w:p w14:paraId="735607C7">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3.3电子设备技术要求</w:t>
      </w:r>
    </w:p>
    <w:p w14:paraId="3B4A2598">
      <w:pPr>
        <w:numPr>
          <w:ilvl w:val="0"/>
          <w:numId w:val="53"/>
        </w:num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抄读电子设备部分</w:t>
      </w:r>
    </w:p>
    <w:p w14:paraId="40F674FD">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水表信号传感器为摄像类型，可适配招标方提供DN15-DN25水平旋翼湿式半液封水表</w:t>
      </w:r>
    </w:p>
    <w:p w14:paraId="01F6BA8C">
      <w:pPr>
        <w:numPr>
          <w:ilvl w:val="0"/>
          <w:numId w:val="54"/>
        </w:num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机电转换方式为摄像直读式。要求所有字轮必须全部采用直读方式，无需初始化，无累计误差。</w:t>
      </w:r>
    </w:p>
    <w:p w14:paraId="649269F0">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远传水表唯一的地址码为基本表身号，以保证地址唯一性。</w:t>
      </w:r>
    </w:p>
    <w:p w14:paraId="7B01004D">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远传水表结构为分体式，内部基表与机电转换单元信号是两个相对独立的部分，可以在不破坏基本计量特性的前提下，方便拆卸机电转化单元。</w:t>
      </w:r>
    </w:p>
    <w:p w14:paraId="28D14CAE">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电子设备的数据引出线长度不小于0.7米，0.5平方以上的防水铜质护套线，电缆需装有不锈钢金属软管，长度覆盖从水表到接线盒。</w:t>
      </w:r>
    </w:p>
    <w:p w14:paraId="24B3B12A">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采用低功耗、低数据流设计，减少能耗及数据流量消耗。</w:t>
      </w:r>
    </w:p>
    <w:p w14:paraId="30ACADBB">
      <w:pPr>
        <w:numPr>
          <w:ilvl w:val="0"/>
          <w:numId w:val="54"/>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通讯协议符合《户用计量仪表数据传输技术条件》CJ/T 188-2018。</w:t>
      </w:r>
    </w:p>
    <w:p w14:paraId="4F5B1EA5">
      <w:pPr>
        <w:numPr>
          <w:ilvl w:val="0"/>
          <w:numId w:val="53"/>
        </w:numPr>
        <w:spacing w:line="360" w:lineRule="auto"/>
        <w:rPr>
          <w:rFonts w:hint="eastAsia" w:ascii="宋体" w:hAnsi="宋体" w:eastAsia="宋体" w:cs="宋体"/>
          <w:bCs/>
          <w:color w:val="auto"/>
          <w:sz w:val="24"/>
          <w:highlight w:val="none"/>
        </w:rPr>
      </w:pPr>
      <w:bookmarkStart w:id="472" w:name="_Toc479622304"/>
      <w:r>
        <w:rPr>
          <w:rFonts w:hint="eastAsia" w:ascii="宋体" w:hAnsi="宋体" w:eastAsia="宋体" w:cs="宋体"/>
          <w:bCs/>
          <w:color w:val="auto"/>
          <w:sz w:val="24"/>
          <w:highlight w:val="none"/>
        </w:rPr>
        <w:t>采集器（集中器</w:t>
      </w:r>
      <w:bookmarkEnd w:id="472"/>
      <w:r>
        <w:rPr>
          <w:rFonts w:hint="eastAsia" w:ascii="宋体" w:hAnsi="宋体" w:eastAsia="宋体" w:cs="宋体"/>
          <w:bCs/>
          <w:color w:val="auto"/>
          <w:sz w:val="24"/>
          <w:highlight w:val="none"/>
        </w:rPr>
        <w:t>）</w:t>
      </w:r>
    </w:p>
    <w:p w14:paraId="29E80561">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数据处理及存储功能：应具备对采集的数据进行排序、储存、信号转发等功能，能保存近12个月的水表抄读数据。</w:t>
      </w:r>
    </w:p>
    <w:p w14:paraId="2DCD94DF">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通讯功能：采集器应完成远传数据的采集和读取，具有和主集中器或主站双向通讯的功能(即：能接收和响应集中器或主站发出的数据采集和参数设置等命令)，并应将设备故障信息上报给集中器或主站等。</w:t>
      </w:r>
    </w:p>
    <w:p w14:paraId="46273827">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系统采集器与集中器之间采用M-BUS总线布线。</w:t>
      </w:r>
    </w:p>
    <w:p w14:paraId="4B045779">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设置功能：应具备设置采集器和集中器的地址、远传表计量信息、设置参数、初始值等参数的功能。</w:t>
      </w:r>
    </w:p>
    <w:p w14:paraId="40BA8829">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设备故障记录功能和电源转换功能应符合JG/T 162-2017的相关规定。</w:t>
      </w:r>
    </w:p>
    <w:p w14:paraId="2F5836AA">
      <w:pPr>
        <w:numPr>
          <w:ilvl w:val="0"/>
          <w:numId w:val="55"/>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带保护箱及电源保护装置。保护箱外壳上按招标方要求标注标识。</w:t>
      </w:r>
    </w:p>
    <w:p w14:paraId="1C66B7DD">
      <w:pPr>
        <w:numPr>
          <w:ilvl w:val="0"/>
          <w:numId w:val="55"/>
        </w:numPr>
        <w:spacing w:line="360" w:lineRule="auto"/>
        <w:ind w:firstLine="420" w:firstLineChars="200"/>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 w:val="24"/>
          <w:highlight w:val="none"/>
        </w:rPr>
        <w:t>集中器可无缝接入招标方远传水表管理平台,按采购方制定的通讯协议标准生产。（需要提供承诺书）</w:t>
      </w:r>
    </w:p>
    <w:p w14:paraId="7A3C0A55">
      <w:pPr>
        <w:pStyle w:val="28"/>
        <w:numPr>
          <w:ilvl w:val="0"/>
          <w:numId w:val="46"/>
        </w:numPr>
        <w:spacing w:line="360" w:lineRule="auto"/>
        <w:ind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井盖安全监测终端</w:t>
      </w:r>
    </w:p>
    <w:tbl>
      <w:tblPr>
        <w:tblStyle w:val="18"/>
        <w:tblW w:w="8496" w:type="dxa"/>
        <w:tblInd w:w="93" w:type="dxa"/>
        <w:tblLayout w:type="autofit"/>
        <w:tblCellMar>
          <w:top w:w="0" w:type="dxa"/>
          <w:left w:w="108" w:type="dxa"/>
          <w:bottom w:w="0" w:type="dxa"/>
          <w:right w:w="108" w:type="dxa"/>
        </w:tblCellMar>
      </w:tblPr>
      <w:tblGrid>
        <w:gridCol w:w="718"/>
        <w:gridCol w:w="1529"/>
        <w:gridCol w:w="6249"/>
      </w:tblGrid>
      <w:tr w14:paraId="3891DCBA">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4A88A73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1867B09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类别</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32D3FF5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规格参数</w:t>
            </w:r>
          </w:p>
        </w:tc>
      </w:tr>
      <w:tr w14:paraId="5592B167">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5648C83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7CD25B2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供电方式</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691E519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电池供电</w:t>
            </w:r>
          </w:p>
        </w:tc>
      </w:tr>
      <w:tr w14:paraId="787AAA9F">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40A64AF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529009C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工作温度</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4DD838E5">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-40℃～+80℃</w:t>
            </w:r>
          </w:p>
        </w:tc>
      </w:tr>
      <w:tr w14:paraId="5A3F6928">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7F5C6C2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3294E90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IP防水等级</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1241F066">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IP68</w:t>
            </w:r>
          </w:p>
        </w:tc>
      </w:tr>
      <w:tr w14:paraId="56A01E5F">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3BBD61D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75F6B75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通讯方式</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1ABFC8F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NB-IOT等</w:t>
            </w:r>
          </w:p>
        </w:tc>
      </w:tr>
      <w:tr w14:paraId="250682D6">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6A4CB4D1">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2688F82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电池寿命</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3316E51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3-5年（视数据通讯频次）。</w:t>
            </w:r>
          </w:p>
        </w:tc>
      </w:tr>
      <w:tr w14:paraId="142416DE">
        <w:tblPrEx>
          <w:tblCellMar>
            <w:top w:w="0" w:type="dxa"/>
            <w:left w:w="108" w:type="dxa"/>
            <w:bottom w:w="0" w:type="dxa"/>
            <w:right w:w="108" w:type="dxa"/>
          </w:tblCellMar>
        </w:tblPrEx>
        <w:trPr>
          <w:trHeight w:val="90" w:hRule="atLeast"/>
        </w:trPr>
        <w:tc>
          <w:tcPr>
            <w:tcW w:w="718" w:type="dxa"/>
            <w:tcBorders>
              <w:top w:val="single" w:color="000000" w:sz="4" w:space="0"/>
              <w:left w:val="single" w:color="000000" w:sz="8" w:space="0"/>
              <w:bottom w:val="single" w:color="000000" w:sz="4" w:space="0"/>
              <w:right w:val="single" w:color="000000" w:sz="4" w:space="0"/>
            </w:tcBorders>
            <w:noWrap/>
            <w:vAlign w:val="center"/>
          </w:tcPr>
          <w:p w14:paraId="30B57DC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1529" w:type="dxa"/>
            <w:tcBorders>
              <w:top w:val="single" w:color="000000" w:sz="4" w:space="0"/>
              <w:left w:val="single" w:color="000000" w:sz="4" w:space="0"/>
              <w:bottom w:val="single" w:color="000000" w:sz="4" w:space="0"/>
              <w:right w:val="single" w:color="000000" w:sz="4" w:space="0"/>
            </w:tcBorders>
            <w:noWrap/>
            <w:vAlign w:val="center"/>
          </w:tcPr>
          <w:p w14:paraId="62F57F19">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基本功能</w:t>
            </w:r>
          </w:p>
        </w:tc>
        <w:tc>
          <w:tcPr>
            <w:tcW w:w="6249" w:type="dxa"/>
            <w:tcBorders>
              <w:top w:val="single" w:color="000000" w:sz="4" w:space="0"/>
              <w:left w:val="single" w:color="000000" w:sz="4" w:space="0"/>
              <w:bottom w:val="single" w:color="000000" w:sz="4" w:space="0"/>
              <w:right w:val="single" w:color="000000" w:sz="4" w:space="0"/>
            </w:tcBorders>
            <w:noWrap/>
            <w:vAlign w:val="center"/>
          </w:tcPr>
          <w:p w14:paraId="26EE700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报警定位、倾斜报警、满水报警。</w:t>
            </w:r>
          </w:p>
        </w:tc>
      </w:tr>
    </w:tbl>
    <w:p w14:paraId="256910D4">
      <w:pPr>
        <w:pStyle w:val="28"/>
        <w:numPr>
          <w:ilvl w:val="0"/>
          <w:numId w:val="46"/>
        </w:numPr>
        <w:spacing w:line="360" w:lineRule="auto"/>
        <w:ind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一体式远传压力仪</w:t>
      </w:r>
    </w:p>
    <w:p w14:paraId="6B83CC15">
      <w:pPr>
        <w:keepNext/>
        <w:keepLines/>
        <w:numPr>
          <w:ilvl w:val="1"/>
          <w:numId w:val="0"/>
        </w:numPr>
        <w:spacing w:line="360" w:lineRule="auto"/>
        <w:ind w:left="567" w:hanging="56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5.1技术参数</w:t>
      </w:r>
    </w:p>
    <w:p w14:paraId="2C6634AB">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量程范围：</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0-1.6MPa</w:t>
      </w:r>
    </w:p>
    <w:p w14:paraId="1A9D877A">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过载压力：</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200%FS</w:t>
      </w:r>
    </w:p>
    <w:p w14:paraId="3D7F4F1F">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过程连接：</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M20*1.5等，可根据现场接口定制</w:t>
      </w:r>
    </w:p>
    <w:p w14:paraId="20C15795">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综合精度：</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不低于±0.5%</w:t>
      </w:r>
    </w:p>
    <w:p w14:paraId="7FA1928B">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温度补偿范围：</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-10~70℃</w:t>
      </w:r>
    </w:p>
    <w:p w14:paraId="7B30CB1D">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长期稳定性</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：±0.3%FS/年</w:t>
      </w:r>
    </w:p>
    <w:p w14:paraId="321FC6F6">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工作温度：</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-40~85℃</w:t>
      </w:r>
    </w:p>
    <w:p w14:paraId="651BF331">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供电电源：内置锂电池供电，电池使用寿命不低于3年</w:t>
      </w:r>
    </w:p>
    <w:p w14:paraId="2C9B8B57">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通讯方式：NB-IoT</w:t>
      </w:r>
      <w:r>
        <w:rPr>
          <w:rFonts w:hint="eastAsia" w:ascii="宋体" w:hAnsi="宋体" w:eastAsia="宋体" w:cs="宋体"/>
          <w:color w:val="auto"/>
          <w:kern w:val="0"/>
          <w:sz w:val="24"/>
          <w:highlight w:val="none"/>
        </w:rPr>
        <w:tab/>
      </w:r>
    </w:p>
    <w:p w14:paraId="5AA00E78">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通讯协议:</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按采购人通讯协议生产，可无缝接入招标方指定平台</w:t>
      </w:r>
    </w:p>
    <w:p w14:paraId="1DEE6F3F">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通讯间隔:</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1分钟-24小时可设，最小单位1分钟</w:t>
      </w:r>
    </w:p>
    <w:p w14:paraId="0E8FA7FF">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防护等级:</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不低于IP65</w:t>
      </w:r>
    </w:p>
    <w:p w14:paraId="3A2F63D2">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材质：304不锈钢</w:t>
      </w:r>
    </w:p>
    <w:p w14:paraId="59037883">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绝缘:</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大于100MΩ@250VDC</w:t>
      </w:r>
    </w:p>
    <w:p w14:paraId="6A202809">
      <w:pPr>
        <w:widowControl/>
        <w:numPr>
          <w:ilvl w:val="0"/>
          <w:numId w:val="56"/>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响应时间:</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小于1ms(@90%FS)</w:t>
      </w:r>
    </w:p>
    <w:p w14:paraId="30F66F74">
      <w:pPr>
        <w:widowControl/>
        <w:spacing w:before="100" w:after="100" w:line="360" w:lineRule="atLeast"/>
        <w:jc w:val="center"/>
        <w:outlineLvl w:val="0"/>
        <w:rPr>
          <w:rFonts w:hint="eastAsia" w:ascii="宋体" w:hAnsi="宋体" w:eastAsia="宋体" w:cs="宋体"/>
          <w:b/>
          <w:snapToGrid/>
          <w:color w:val="auto"/>
          <w:kern w:val="44"/>
          <w:sz w:val="32"/>
          <w:highlight w:val="none"/>
        </w:rPr>
      </w:pPr>
      <w:r>
        <w:rPr>
          <w:rFonts w:hint="eastAsia" w:ascii="宋体" w:hAnsi="宋体" w:eastAsia="宋体" w:cs="宋体"/>
          <w:b/>
          <w:snapToGrid/>
          <w:color w:val="auto"/>
          <w:kern w:val="44"/>
          <w:sz w:val="32"/>
          <w:highlight w:val="none"/>
        </w:rPr>
        <w:t>第</w:t>
      </w:r>
      <w:r>
        <w:rPr>
          <w:rFonts w:hint="eastAsia" w:ascii="宋体" w:hAnsi="宋体" w:eastAsia="宋体" w:cs="宋体"/>
          <w:b/>
          <w:snapToGrid/>
          <w:color w:val="auto"/>
          <w:kern w:val="44"/>
          <w:sz w:val="32"/>
          <w:highlight w:val="none"/>
          <w:lang w:val="en-US" w:eastAsia="zh-CN"/>
        </w:rPr>
        <w:t>二</w:t>
      </w:r>
      <w:r>
        <w:rPr>
          <w:rFonts w:hint="eastAsia" w:ascii="宋体" w:hAnsi="宋体" w:eastAsia="宋体" w:cs="宋体"/>
          <w:b/>
          <w:snapToGrid/>
          <w:color w:val="auto"/>
          <w:kern w:val="44"/>
          <w:sz w:val="32"/>
          <w:highlight w:val="none"/>
        </w:rPr>
        <w:t>章　付款方式</w:t>
      </w:r>
    </w:p>
    <w:p w14:paraId="42E85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06ACC00D">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1、合同签订前，卖方须交纳合同总价1%的履约保证金，</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货物到场检验合格后无息退还。</w:t>
      </w:r>
    </w:p>
    <w:p w14:paraId="67D143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2、货物运至采购人指定仓库或者施工现场，</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货物到场检验合格后支付</w:t>
      </w:r>
      <w:r>
        <w:rPr>
          <w:rFonts w:hint="eastAsia" w:ascii="宋体" w:hAnsi="宋体" w:eastAsia="宋体" w:cs="宋体"/>
          <w:color w:val="auto"/>
          <w:sz w:val="24"/>
          <w:highlight w:val="none"/>
          <w:lang w:val="en-US" w:eastAsia="zh-CN"/>
        </w:rPr>
        <w:t>至合同价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全部安装完成并正常使用后支付至合同价的95%并无息退还履约保证金，</w:t>
      </w:r>
      <w:r>
        <w:rPr>
          <w:rFonts w:hint="eastAsia" w:ascii="宋体" w:hAnsi="宋体" w:eastAsia="宋体" w:cs="宋体"/>
          <w:color w:val="auto"/>
          <w:sz w:val="24"/>
          <w:highlight w:val="none"/>
        </w:rPr>
        <w:t>剩余5%</w:t>
      </w:r>
      <w:r>
        <w:rPr>
          <w:rFonts w:hint="eastAsia" w:ascii="宋体" w:hAnsi="宋体" w:eastAsia="宋体" w:cs="宋体"/>
          <w:color w:val="auto"/>
          <w:sz w:val="24"/>
          <w:highlight w:val="none"/>
          <w:lang w:val="en-US" w:eastAsia="zh-CN"/>
        </w:rPr>
        <w:t>合同价款待</w:t>
      </w:r>
      <w:r>
        <w:rPr>
          <w:rFonts w:hint="eastAsia" w:ascii="宋体" w:hAnsi="宋体" w:eastAsia="宋体" w:cs="宋体"/>
          <w:color w:val="auto"/>
          <w:sz w:val="24"/>
          <w:highlight w:val="none"/>
        </w:rPr>
        <w:t>质保期满</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后支付（不计息）。</w:t>
      </w:r>
    </w:p>
    <w:p w14:paraId="04024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二、付款要求：</w:t>
      </w:r>
    </w:p>
    <w:p w14:paraId="14FAE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供应商在收款之前，应向采购人提供等额、合法、有效的增值税发票，采购人凭增值税发票付款。如供应商未按约定提供增值税发票的，采购人有权拒绝付款，直至收到供应商提交的相应增值税发票为止，在此情况下，采购人不承担逾期付款违约责任。</w:t>
      </w:r>
    </w:p>
    <w:p w14:paraId="64792C4A">
      <w:pPr>
        <w:pStyle w:val="2"/>
        <w:spacing w:line="440" w:lineRule="exact"/>
        <w:ind w:left="0" w:leftChars="0" w:firstLine="828" w:firstLineChars="345"/>
        <w:rPr>
          <w:rFonts w:hint="eastAsia" w:ascii="宋体" w:hAnsi="宋体" w:eastAsia="宋体" w:cs="宋体"/>
          <w:color w:val="auto"/>
          <w:sz w:val="24"/>
          <w:highlight w:val="none"/>
        </w:rPr>
      </w:pPr>
    </w:p>
    <w:p w14:paraId="5096A3B4">
      <w:pPr>
        <w:pStyle w:val="2"/>
        <w:spacing w:line="440" w:lineRule="exact"/>
        <w:ind w:left="0" w:leftChars="0" w:firstLine="828" w:firstLineChars="345"/>
        <w:rPr>
          <w:rFonts w:hint="eastAsia" w:ascii="宋体" w:hAnsi="宋体" w:eastAsia="宋体" w:cs="宋体"/>
          <w:color w:val="auto"/>
          <w:sz w:val="24"/>
          <w:highlight w:val="none"/>
        </w:rPr>
      </w:pPr>
    </w:p>
    <w:p w14:paraId="0A731431">
      <w:pPr>
        <w:rPr>
          <w:rFonts w:hint="eastAsia" w:ascii="宋体" w:hAnsi="宋体" w:eastAsia="宋体" w:cs="宋体"/>
          <w:b/>
          <w:color w:val="auto"/>
          <w:sz w:val="36"/>
          <w:szCs w:val="36"/>
          <w:highlight w:val="none"/>
        </w:rPr>
      </w:pPr>
      <w:bookmarkStart w:id="473" w:name="_Toc167700927"/>
      <w:r>
        <w:rPr>
          <w:rFonts w:hint="eastAsia" w:ascii="宋体" w:hAnsi="宋体" w:eastAsia="宋体" w:cs="宋体"/>
          <w:b/>
          <w:color w:val="auto"/>
          <w:sz w:val="36"/>
          <w:szCs w:val="36"/>
          <w:highlight w:val="none"/>
        </w:rPr>
        <w:br w:type="page"/>
      </w:r>
    </w:p>
    <w:p w14:paraId="462E49D7">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采购合同</w:t>
      </w:r>
      <w:bookmarkEnd w:id="473"/>
    </w:p>
    <w:p w14:paraId="4F2DFF5A">
      <w:pPr>
        <w:autoSpaceDE w:val="0"/>
        <w:adjustRightInd w:val="0"/>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bidi="ar"/>
        </w:rPr>
        <w:t>买方：</w:t>
      </w:r>
      <w:r>
        <w:rPr>
          <w:rFonts w:hint="eastAsia" w:ascii="宋体" w:hAnsi="宋体" w:eastAsia="宋体" w:cs="宋体"/>
          <w:b/>
          <w:color w:val="auto"/>
          <w:sz w:val="24"/>
          <w:highlight w:val="none"/>
          <w:u w:val="single"/>
          <w:lang w:bidi="ar"/>
        </w:rPr>
        <w:t>绍兴市上虞区水环环保科技有限公司</w:t>
      </w:r>
    </w:p>
    <w:p w14:paraId="09D32C04">
      <w:pPr>
        <w:autoSpaceDE w:val="0"/>
        <w:adjustRightInd w:val="0"/>
        <w:snapToGrid w:val="0"/>
        <w:spacing w:line="360" w:lineRule="auto"/>
        <w:ind w:firstLine="482" w:firstLineChars="200"/>
        <w:rPr>
          <w:rFonts w:hint="eastAsia" w:ascii="宋体" w:hAnsi="宋体" w:eastAsia="宋体" w:cs="宋体"/>
          <w:b/>
          <w:color w:val="auto"/>
          <w:sz w:val="24"/>
          <w:highlight w:val="none"/>
          <w:lang w:val="en-US" w:eastAsia="zh-CN" w:bidi="ar"/>
        </w:rPr>
      </w:pPr>
      <w:r>
        <w:rPr>
          <w:rFonts w:hint="eastAsia" w:ascii="宋体" w:hAnsi="宋体" w:eastAsia="宋体" w:cs="宋体"/>
          <w:b/>
          <w:color w:val="auto"/>
          <w:sz w:val="24"/>
          <w:highlight w:val="none"/>
          <w:lang w:bidi="ar"/>
        </w:rPr>
        <w:t>卖方：</w:t>
      </w:r>
      <w:r>
        <w:rPr>
          <w:rFonts w:hint="eastAsia" w:ascii="宋体" w:hAnsi="宋体" w:eastAsia="宋体" w:cs="宋体"/>
          <w:b/>
          <w:color w:val="auto"/>
          <w:sz w:val="24"/>
          <w:highlight w:val="none"/>
          <w:u w:val="single"/>
          <w:lang w:val="en-US" w:eastAsia="zh-CN" w:bidi="ar"/>
        </w:rPr>
        <w:t xml:space="preserve">                                </w:t>
      </w:r>
    </w:p>
    <w:p w14:paraId="62F06D8C">
      <w:pPr>
        <w:autoSpaceDE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根据《中华人民共和国民法典》</w:t>
      </w:r>
      <w:r>
        <w:rPr>
          <w:rFonts w:hint="eastAsia" w:ascii="宋体" w:hAnsi="宋体" w:eastAsia="宋体" w:cs="宋体"/>
          <w:color w:val="auto"/>
          <w:kern w:val="0"/>
          <w:sz w:val="24"/>
          <w:highlight w:val="none"/>
        </w:rPr>
        <w:t>、项目采购编号为</w:t>
      </w:r>
      <w:r>
        <w:rPr>
          <w:rFonts w:hint="eastAsia" w:ascii="宋体" w:hAnsi="宋体" w:eastAsia="宋体" w:cs="宋体"/>
          <w:color w:val="auto"/>
          <w:kern w:val="0"/>
          <w:sz w:val="24"/>
          <w:highlight w:val="none"/>
          <w:u w:val="single"/>
        </w:rPr>
        <w:t xml:space="preserve"> FDC-2025-0019</w:t>
      </w:r>
      <w:r>
        <w:rPr>
          <w:rFonts w:hint="eastAsia" w:ascii="宋体" w:hAnsi="宋体" w:eastAsia="宋体" w:cs="宋体"/>
          <w:b/>
          <w:color w:val="auto"/>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的招标文件、卖方投标文件</w:t>
      </w:r>
      <w:r>
        <w:rPr>
          <w:rFonts w:hint="eastAsia" w:ascii="宋体" w:hAnsi="宋体" w:eastAsia="宋体" w:cs="宋体"/>
          <w:color w:val="auto"/>
          <w:sz w:val="24"/>
          <w:highlight w:val="none"/>
          <w:lang w:bidi="ar"/>
        </w:rPr>
        <w:t>及相关法律法规的规定</w:t>
      </w:r>
      <w:r>
        <w:rPr>
          <w:rFonts w:hint="eastAsia" w:ascii="宋体" w:hAnsi="宋体" w:eastAsia="宋体" w:cs="宋体"/>
          <w:color w:val="auto"/>
          <w:kern w:val="0"/>
          <w:sz w:val="24"/>
          <w:highlight w:val="none"/>
        </w:rPr>
        <w:t>，经公开招标，</w:t>
      </w:r>
      <w:r>
        <w:rPr>
          <w:rFonts w:hint="eastAsia" w:ascii="宋体" w:hAnsi="宋体" w:eastAsia="宋体" w:cs="宋体"/>
          <w:color w:val="auto"/>
          <w:sz w:val="24"/>
          <w:highlight w:val="none"/>
          <w:lang w:bidi="ar"/>
        </w:rPr>
        <w:t>买卖双方在平等自愿的基础上，就</w:t>
      </w:r>
      <w:r>
        <w:rPr>
          <w:rFonts w:hint="eastAsia" w:ascii="宋体" w:hAnsi="宋体" w:eastAsia="宋体" w:cs="宋体"/>
          <w:b/>
          <w:bCs/>
          <w:color w:val="auto"/>
          <w:sz w:val="24"/>
          <w:highlight w:val="none"/>
          <w:u w:val="single"/>
        </w:rPr>
        <w:t>上虞区供水有限公司</w:t>
      </w:r>
      <w:r>
        <w:rPr>
          <w:rFonts w:hint="eastAsia" w:ascii="宋体" w:hAnsi="宋体" w:eastAsia="宋体" w:cs="宋体"/>
          <w:b/>
          <w:bCs/>
          <w:color w:val="auto"/>
          <w:spacing w:val="10"/>
          <w:sz w:val="24"/>
          <w:highlight w:val="none"/>
          <w:u w:val="single"/>
        </w:rPr>
        <w:t>智水家园管理平台</w:t>
      </w:r>
      <w:r>
        <w:rPr>
          <w:rFonts w:hint="eastAsia" w:ascii="宋体" w:hAnsi="宋体" w:eastAsia="宋体" w:cs="宋体"/>
          <w:b/>
          <w:bCs/>
          <w:color w:val="auto"/>
          <w:sz w:val="24"/>
          <w:highlight w:val="none"/>
          <w:u w:val="single"/>
          <w:lang w:val="zh-TW"/>
        </w:rPr>
        <w:t>采购项目</w:t>
      </w:r>
      <w:r>
        <w:rPr>
          <w:rFonts w:hint="eastAsia" w:ascii="宋体" w:hAnsi="宋体" w:eastAsia="宋体" w:cs="宋体"/>
          <w:color w:val="auto"/>
          <w:sz w:val="24"/>
          <w:highlight w:val="none"/>
          <w:lang w:bidi="ar"/>
        </w:rPr>
        <w:t>相关事宜达成如下协议：</w:t>
      </w:r>
    </w:p>
    <w:p w14:paraId="369E973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一、供货范围及价款：</w:t>
      </w:r>
    </w:p>
    <w:p w14:paraId="267861FF">
      <w:pPr>
        <w:spacing w:line="360" w:lineRule="auto"/>
        <w:ind w:right="-235" w:rightChars="-1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合同供货范围：货物名称数量。</w:t>
      </w:r>
    </w:p>
    <w:tbl>
      <w:tblPr>
        <w:tblStyle w:val="18"/>
        <w:tblW w:w="8454" w:type="dxa"/>
        <w:jc w:val="center"/>
        <w:tblLayout w:type="autofit"/>
        <w:tblCellMar>
          <w:top w:w="0" w:type="dxa"/>
          <w:left w:w="108" w:type="dxa"/>
          <w:bottom w:w="0" w:type="dxa"/>
          <w:right w:w="108" w:type="dxa"/>
        </w:tblCellMar>
      </w:tblPr>
      <w:tblGrid>
        <w:gridCol w:w="709"/>
        <w:gridCol w:w="1795"/>
        <w:gridCol w:w="1390"/>
        <w:gridCol w:w="862"/>
        <w:gridCol w:w="1142"/>
        <w:gridCol w:w="852"/>
        <w:gridCol w:w="852"/>
        <w:gridCol w:w="852"/>
      </w:tblGrid>
      <w:tr w14:paraId="254B5038">
        <w:tblPrEx>
          <w:tblCellMar>
            <w:top w:w="0" w:type="dxa"/>
            <w:left w:w="108" w:type="dxa"/>
            <w:bottom w:w="0" w:type="dxa"/>
            <w:right w:w="108" w:type="dxa"/>
          </w:tblCellMar>
        </w:tblPrEx>
        <w:trPr>
          <w:trHeight w:val="523"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092FF5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795" w:type="dxa"/>
            <w:tcBorders>
              <w:top w:val="single" w:color="000000" w:sz="4" w:space="0"/>
              <w:left w:val="nil"/>
              <w:bottom w:val="single" w:color="000000" w:sz="4" w:space="0"/>
              <w:right w:val="single" w:color="000000" w:sz="4" w:space="0"/>
            </w:tcBorders>
            <w:vAlign w:val="center"/>
          </w:tcPr>
          <w:p w14:paraId="499F94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货物名称</w:t>
            </w:r>
          </w:p>
        </w:tc>
        <w:tc>
          <w:tcPr>
            <w:tcW w:w="1390" w:type="dxa"/>
            <w:tcBorders>
              <w:top w:val="single" w:color="000000" w:sz="4" w:space="0"/>
              <w:left w:val="nil"/>
              <w:bottom w:val="single" w:color="000000" w:sz="4" w:space="0"/>
              <w:right w:val="single" w:color="000000" w:sz="4" w:space="0"/>
            </w:tcBorders>
            <w:vAlign w:val="center"/>
          </w:tcPr>
          <w:p w14:paraId="4C99FF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规格</w:t>
            </w:r>
          </w:p>
        </w:tc>
        <w:tc>
          <w:tcPr>
            <w:tcW w:w="862" w:type="dxa"/>
            <w:tcBorders>
              <w:top w:val="single" w:color="000000" w:sz="4" w:space="0"/>
              <w:left w:val="nil"/>
              <w:bottom w:val="single" w:color="000000" w:sz="4" w:space="0"/>
              <w:right w:val="single" w:color="000000" w:sz="4" w:space="0"/>
            </w:tcBorders>
            <w:vAlign w:val="center"/>
          </w:tcPr>
          <w:p w14:paraId="200396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1142" w:type="dxa"/>
            <w:tcBorders>
              <w:top w:val="single" w:color="000000" w:sz="4" w:space="0"/>
              <w:left w:val="nil"/>
              <w:bottom w:val="single" w:color="000000" w:sz="4" w:space="0"/>
              <w:right w:val="single" w:color="000000" w:sz="4" w:space="0"/>
            </w:tcBorders>
            <w:vAlign w:val="center"/>
          </w:tcPr>
          <w:p w14:paraId="6773AB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852" w:type="dxa"/>
            <w:tcBorders>
              <w:top w:val="single" w:color="000000" w:sz="4" w:space="0"/>
              <w:left w:val="nil"/>
              <w:bottom w:val="single" w:color="000000" w:sz="4" w:space="0"/>
              <w:right w:val="single" w:color="000000" w:sz="4" w:space="0"/>
            </w:tcBorders>
            <w:vAlign w:val="center"/>
          </w:tcPr>
          <w:p w14:paraId="6D49EF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单价</w:t>
            </w:r>
          </w:p>
        </w:tc>
        <w:tc>
          <w:tcPr>
            <w:tcW w:w="852" w:type="dxa"/>
            <w:tcBorders>
              <w:top w:val="single" w:color="000000" w:sz="4" w:space="0"/>
              <w:left w:val="nil"/>
              <w:bottom w:val="single" w:color="000000" w:sz="4" w:space="0"/>
              <w:right w:val="single" w:color="000000" w:sz="4" w:space="0"/>
            </w:tcBorders>
            <w:vAlign w:val="center"/>
          </w:tcPr>
          <w:p w14:paraId="3BCB02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合价</w:t>
            </w:r>
          </w:p>
        </w:tc>
        <w:tc>
          <w:tcPr>
            <w:tcW w:w="852" w:type="dxa"/>
            <w:tcBorders>
              <w:top w:val="single" w:color="000000" w:sz="4" w:space="0"/>
              <w:left w:val="nil"/>
              <w:bottom w:val="single" w:color="000000" w:sz="4" w:space="0"/>
              <w:right w:val="single" w:color="000000" w:sz="4" w:space="0"/>
            </w:tcBorders>
            <w:vAlign w:val="center"/>
          </w:tcPr>
          <w:p w14:paraId="05CB09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75D1A210">
        <w:tblPrEx>
          <w:tblCellMar>
            <w:top w:w="0" w:type="dxa"/>
            <w:left w:w="108" w:type="dxa"/>
            <w:bottom w:w="0" w:type="dxa"/>
            <w:right w:w="108" w:type="dxa"/>
          </w:tblCellMar>
        </w:tblPrEx>
        <w:trPr>
          <w:trHeight w:val="493"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5A1D7351">
            <w:pPr>
              <w:jc w:val="center"/>
              <w:rPr>
                <w:rFonts w:hint="eastAsia" w:ascii="宋体" w:hAnsi="宋体" w:eastAsia="宋体" w:cs="宋体"/>
                <w:color w:val="auto"/>
                <w:szCs w:val="21"/>
                <w:highlight w:val="none"/>
              </w:rPr>
            </w:pPr>
          </w:p>
        </w:tc>
        <w:tc>
          <w:tcPr>
            <w:tcW w:w="1795" w:type="dxa"/>
            <w:tcBorders>
              <w:top w:val="single" w:color="000000" w:sz="4" w:space="0"/>
              <w:left w:val="nil"/>
              <w:bottom w:val="single" w:color="000000" w:sz="4" w:space="0"/>
              <w:right w:val="single" w:color="000000" w:sz="4" w:space="0"/>
            </w:tcBorders>
            <w:vAlign w:val="center"/>
          </w:tcPr>
          <w:p w14:paraId="6F972F0A">
            <w:pPr>
              <w:jc w:val="center"/>
              <w:rPr>
                <w:rFonts w:hint="eastAsia" w:ascii="宋体" w:hAnsi="宋体" w:eastAsia="宋体" w:cs="宋体"/>
                <w:color w:val="auto"/>
                <w:szCs w:val="21"/>
                <w:highlight w:val="none"/>
              </w:rPr>
            </w:pPr>
          </w:p>
        </w:tc>
        <w:tc>
          <w:tcPr>
            <w:tcW w:w="1390" w:type="dxa"/>
            <w:tcBorders>
              <w:top w:val="single" w:color="000000" w:sz="4" w:space="0"/>
              <w:left w:val="nil"/>
              <w:bottom w:val="single" w:color="000000" w:sz="4" w:space="0"/>
              <w:right w:val="single" w:color="000000" w:sz="4" w:space="0"/>
            </w:tcBorders>
            <w:vAlign w:val="center"/>
          </w:tcPr>
          <w:p w14:paraId="00EEFEDC">
            <w:pPr>
              <w:jc w:val="center"/>
              <w:rPr>
                <w:rFonts w:hint="eastAsia" w:ascii="宋体" w:hAnsi="宋体" w:eastAsia="宋体" w:cs="宋体"/>
                <w:color w:val="auto"/>
                <w:szCs w:val="21"/>
                <w:highlight w:val="none"/>
              </w:rPr>
            </w:pPr>
          </w:p>
        </w:tc>
        <w:tc>
          <w:tcPr>
            <w:tcW w:w="862" w:type="dxa"/>
            <w:tcBorders>
              <w:top w:val="single" w:color="000000" w:sz="4" w:space="0"/>
              <w:left w:val="nil"/>
              <w:bottom w:val="single" w:color="000000" w:sz="4" w:space="0"/>
              <w:right w:val="single" w:color="000000" w:sz="4" w:space="0"/>
            </w:tcBorders>
            <w:vAlign w:val="center"/>
          </w:tcPr>
          <w:p w14:paraId="5BB06A76">
            <w:pPr>
              <w:jc w:val="center"/>
              <w:rPr>
                <w:rFonts w:hint="eastAsia" w:ascii="宋体" w:hAnsi="宋体" w:eastAsia="宋体" w:cs="宋体"/>
                <w:color w:val="auto"/>
                <w:szCs w:val="21"/>
                <w:highlight w:val="none"/>
              </w:rPr>
            </w:pPr>
          </w:p>
        </w:tc>
        <w:tc>
          <w:tcPr>
            <w:tcW w:w="1142" w:type="dxa"/>
            <w:tcBorders>
              <w:top w:val="single" w:color="000000" w:sz="4" w:space="0"/>
              <w:left w:val="nil"/>
              <w:bottom w:val="single" w:color="000000" w:sz="4" w:space="0"/>
              <w:right w:val="single" w:color="000000" w:sz="4" w:space="0"/>
            </w:tcBorders>
            <w:vAlign w:val="center"/>
          </w:tcPr>
          <w:p w14:paraId="0091CEDC">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4FD1620A">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7C9C829E">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04C94C19">
            <w:pPr>
              <w:jc w:val="center"/>
              <w:rPr>
                <w:rFonts w:hint="eastAsia" w:ascii="宋体" w:hAnsi="宋体" w:eastAsia="宋体" w:cs="宋体"/>
                <w:color w:val="auto"/>
                <w:szCs w:val="21"/>
                <w:highlight w:val="none"/>
              </w:rPr>
            </w:pPr>
          </w:p>
        </w:tc>
      </w:tr>
      <w:tr w14:paraId="453E12AB">
        <w:tblPrEx>
          <w:tblCellMar>
            <w:top w:w="0" w:type="dxa"/>
            <w:left w:w="108" w:type="dxa"/>
            <w:bottom w:w="0" w:type="dxa"/>
            <w:right w:w="108" w:type="dxa"/>
          </w:tblCellMar>
        </w:tblPrEx>
        <w:trPr>
          <w:trHeight w:val="493"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0C6C42F1">
            <w:pPr>
              <w:jc w:val="center"/>
              <w:rPr>
                <w:rFonts w:hint="eastAsia" w:ascii="宋体" w:hAnsi="宋体" w:eastAsia="宋体" w:cs="宋体"/>
                <w:color w:val="auto"/>
                <w:szCs w:val="21"/>
                <w:highlight w:val="none"/>
              </w:rPr>
            </w:pPr>
          </w:p>
        </w:tc>
        <w:tc>
          <w:tcPr>
            <w:tcW w:w="1795" w:type="dxa"/>
            <w:tcBorders>
              <w:top w:val="single" w:color="000000" w:sz="4" w:space="0"/>
              <w:left w:val="nil"/>
              <w:bottom w:val="single" w:color="000000" w:sz="4" w:space="0"/>
              <w:right w:val="single" w:color="000000" w:sz="4" w:space="0"/>
            </w:tcBorders>
            <w:vAlign w:val="center"/>
          </w:tcPr>
          <w:p w14:paraId="34248FF3">
            <w:pPr>
              <w:jc w:val="center"/>
              <w:rPr>
                <w:rFonts w:hint="eastAsia" w:ascii="宋体" w:hAnsi="宋体" w:eastAsia="宋体" w:cs="宋体"/>
                <w:color w:val="auto"/>
                <w:szCs w:val="21"/>
                <w:highlight w:val="none"/>
              </w:rPr>
            </w:pPr>
          </w:p>
        </w:tc>
        <w:tc>
          <w:tcPr>
            <w:tcW w:w="1390" w:type="dxa"/>
            <w:tcBorders>
              <w:top w:val="single" w:color="000000" w:sz="4" w:space="0"/>
              <w:left w:val="nil"/>
              <w:bottom w:val="single" w:color="000000" w:sz="4" w:space="0"/>
              <w:right w:val="single" w:color="000000" w:sz="4" w:space="0"/>
            </w:tcBorders>
            <w:vAlign w:val="center"/>
          </w:tcPr>
          <w:p w14:paraId="30358F69">
            <w:pPr>
              <w:jc w:val="center"/>
              <w:rPr>
                <w:rFonts w:hint="eastAsia" w:ascii="宋体" w:hAnsi="宋体" w:eastAsia="宋体" w:cs="宋体"/>
                <w:color w:val="auto"/>
                <w:szCs w:val="21"/>
                <w:highlight w:val="none"/>
              </w:rPr>
            </w:pPr>
          </w:p>
        </w:tc>
        <w:tc>
          <w:tcPr>
            <w:tcW w:w="862" w:type="dxa"/>
            <w:tcBorders>
              <w:top w:val="single" w:color="000000" w:sz="4" w:space="0"/>
              <w:left w:val="nil"/>
              <w:bottom w:val="single" w:color="000000" w:sz="4" w:space="0"/>
              <w:right w:val="single" w:color="000000" w:sz="4" w:space="0"/>
            </w:tcBorders>
            <w:vAlign w:val="center"/>
          </w:tcPr>
          <w:p w14:paraId="34DF2852">
            <w:pPr>
              <w:jc w:val="center"/>
              <w:rPr>
                <w:rFonts w:hint="eastAsia" w:ascii="宋体" w:hAnsi="宋体" w:eastAsia="宋体" w:cs="宋体"/>
                <w:color w:val="auto"/>
                <w:szCs w:val="21"/>
                <w:highlight w:val="none"/>
              </w:rPr>
            </w:pPr>
          </w:p>
        </w:tc>
        <w:tc>
          <w:tcPr>
            <w:tcW w:w="1142" w:type="dxa"/>
            <w:tcBorders>
              <w:top w:val="single" w:color="000000" w:sz="4" w:space="0"/>
              <w:left w:val="nil"/>
              <w:bottom w:val="single" w:color="000000" w:sz="4" w:space="0"/>
              <w:right w:val="single" w:color="000000" w:sz="4" w:space="0"/>
            </w:tcBorders>
            <w:vAlign w:val="center"/>
          </w:tcPr>
          <w:p w14:paraId="1D511910">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3A977FB9">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69F1D41F">
            <w:pPr>
              <w:jc w:val="center"/>
              <w:rPr>
                <w:rFonts w:hint="eastAsia" w:ascii="宋体" w:hAnsi="宋体" w:eastAsia="宋体" w:cs="宋体"/>
                <w:color w:val="auto"/>
                <w:szCs w:val="21"/>
                <w:highlight w:val="none"/>
              </w:rPr>
            </w:pPr>
          </w:p>
        </w:tc>
        <w:tc>
          <w:tcPr>
            <w:tcW w:w="852" w:type="dxa"/>
            <w:tcBorders>
              <w:top w:val="single" w:color="000000" w:sz="4" w:space="0"/>
              <w:left w:val="nil"/>
              <w:bottom w:val="single" w:color="000000" w:sz="4" w:space="0"/>
              <w:right w:val="single" w:color="000000" w:sz="4" w:space="0"/>
            </w:tcBorders>
            <w:vAlign w:val="center"/>
          </w:tcPr>
          <w:p w14:paraId="5BD08DB7">
            <w:pPr>
              <w:jc w:val="center"/>
              <w:rPr>
                <w:rFonts w:hint="eastAsia" w:ascii="宋体" w:hAnsi="宋体" w:eastAsia="宋体" w:cs="宋体"/>
                <w:color w:val="auto"/>
                <w:szCs w:val="21"/>
                <w:highlight w:val="none"/>
              </w:rPr>
            </w:pPr>
          </w:p>
        </w:tc>
      </w:tr>
      <w:tr w14:paraId="76A68953">
        <w:tblPrEx>
          <w:tblCellMar>
            <w:top w:w="0" w:type="dxa"/>
            <w:left w:w="108" w:type="dxa"/>
            <w:bottom w:w="0" w:type="dxa"/>
            <w:right w:w="108" w:type="dxa"/>
          </w:tblCellMar>
        </w:tblPrEx>
        <w:trPr>
          <w:trHeight w:val="493" w:hRule="atLeast"/>
          <w:jc w:val="center"/>
        </w:trPr>
        <w:tc>
          <w:tcPr>
            <w:tcW w:w="8454" w:type="dxa"/>
            <w:gridSpan w:val="8"/>
            <w:tcBorders>
              <w:top w:val="single" w:color="000000" w:sz="4" w:space="0"/>
              <w:left w:val="single" w:color="000000" w:sz="4" w:space="0"/>
              <w:bottom w:val="single" w:color="000000" w:sz="4" w:space="0"/>
              <w:right w:val="single" w:color="000000" w:sz="4" w:space="0"/>
            </w:tcBorders>
            <w:noWrap/>
            <w:vAlign w:val="center"/>
          </w:tcPr>
          <w:p w14:paraId="4B8767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合同总价：           元（小写：       元）</w:t>
            </w:r>
          </w:p>
        </w:tc>
      </w:tr>
    </w:tbl>
    <w:p w14:paraId="73E1F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D8FD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1、投标报价统一为人民币计价，是指完成本项目的全部费用，包括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清单中货物的设计、制造、供货、发货、运送到指定工地现场、卸货、保险、税费、安装、调试试验和交付使用、货物（设备）在本文规定的质保期内的维修保养，以及为达到安全、满意的运行所必需的所有装配部件及辅助设施等，并应保证货物（设备）在各方面均能达到正常运行要求的费用，以及招标代理费，以及其它一切不可预见和实际所需的一切其他费用等，如有漏报，视同已包含在其报价中。</w:t>
      </w:r>
    </w:p>
    <w:p w14:paraId="0FFF4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2、本项目所招货物卖方按工程实际施工需要一个（根）起送（必须满足施工进度要求）；</w:t>
      </w:r>
    </w:p>
    <w:p w14:paraId="10913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3、以上货物数量仅供参考，结算以实际供应数量为准，结算的单价参照中标单价。</w:t>
      </w:r>
    </w:p>
    <w:p w14:paraId="4B82A63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二、货物的质量、技术标准</w:t>
      </w:r>
    </w:p>
    <w:p w14:paraId="07482E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向买方供应的商品（水表）的质量应当符合该商品的中华人民共和国国家标准GB/T778《冷水水表和热水水表》、中华人民共和国城镇建设行业标准CJ266《饮用水冷水水表安全规则》、JJG162《冷水水表》国家计量检定规程等有关要求。</w:t>
      </w:r>
      <w:r>
        <w:rPr>
          <w:rFonts w:hint="eastAsia" w:ascii="宋体" w:hAnsi="宋体" w:eastAsia="宋体" w:cs="宋体"/>
          <w:color w:val="auto"/>
          <w:sz w:val="24"/>
          <w:highlight w:val="none"/>
          <w:lang w:bidi="ar"/>
        </w:rPr>
        <w:t>没有具体技术要求的必须满足该货物的最新国家标准或该货物的最新行业标准</w:t>
      </w:r>
      <w:r>
        <w:rPr>
          <w:rFonts w:hint="eastAsia" w:ascii="宋体" w:hAnsi="宋体" w:eastAsia="宋体" w:cs="宋体"/>
          <w:color w:val="auto"/>
          <w:sz w:val="24"/>
          <w:highlight w:val="none"/>
          <w:shd w:val="clear" w:color="auto" w:fill="FFFFFF"/>
        </w:rPr>
        <w:t>或符合合同目的的特定标准。</w:t>
      </w:r>
      <w:r>
        <w:rPr>
          <w:rFonts w:hint="eastAsia" w:ascii="宋体" w:hAnsi="宋体" w:eastAsia="宋体" w:cs="宋体"/>
          <w:color w:val="auto"/>
          <w:sz w:val="24"/>
          <w:highlight w:val="none"/>
        </w:rPr>
        <w:t xml:space="preserve">   </w:t>
      </w:r>
    </w:p>
    <w:p w14:paraId="0F8C6A05">
      <w:pPr>
        <w:widowControl/>
        <w:shd w:val="clear" w:color="auto" w:fill="FFFFFF"/>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卖方在供应买方商品的同时应当提交所</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品</w:t>
      </w:r>
      <w:r>
        <w:rPr>
          <w:rFonts w:hint="eastAsia" w:ascii="宋体" w:hAnsi="宋体" w:eastAsia="宋体" w:cs="宋体"/>
          <w:b/>
          <w:bCs/>
          <w:color w:val="auto"/>
          <w:kern w:val="0"/>
          <w:sz w:val="24"/>
          <w:highlight w:val="none"/>
          <w:u w:val="single"/>
        </w:rPr>
        <w:t>使用说明书、合格证、质保书</w:t>
      </w:r>
      <w:r>
        <w:rPr>
          <w:rFonts w:hint="eastAsia" w:ascii="宋体" w:hAnsi="宋体" w:eastAsia="宋体" w:cs="宋体"/>
          <w:color w:val="auto"/>
          <w:kern w:val="0"/>
          <w:sz w:val="24"/>
          <w:highlight w:val="none"/>
        </w:rPr>
        <w:t>等相关技术资料</w:t>
      </w:r>
      <w:r>
        <w:rPr>
          <w:rFonts w:hint="eastAsia" w:ascii="宋体" w:hAnsi="宋体" w:eastAsia="宋体" w:cs="宋体"/>
          <w:color w:val="auto"/>
          <w:sz w:val="24"/>
          <w:highlight w:val="none"/>
        </w:rPr>
        <w:t>。</w:t>
      </w:r>
    </w:p>
    <w:p w14:paraId="005DC38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三、知识产权</w:t>
      </w:r>
    </w:p>
    <w:p w14:paraId="4B80D4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卖方对一切可能的侵权指控负责。</w:t>
      </w:r>
    </w:p>
    <w:p w14:paraId="7B92757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四、货物包装、运输、装卸和保险</w:t>
      </w:r>
    </w:p>
    <w:p w14:paraId="454AC5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1、为了保证货物在长途运输和装卸过程中的安全，货物包装应符合国家或专业（部）标准规定。由于包装不善导致货物锈蚀、失缺或损坏，由卖方承担一切责任。</w:t>
      </w:r>
    </w:p>
    <w:p w14:paraId="55E8B8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2、卸货由</w:t>
      </w:r>
      <w:r>
        <w:rPr>
          <w:rFonts w:hint="eastAsia" w:ascii="宋体" w:hAnsi="宋体" w:eastAsia="宋体" w:cs="宋体"/>
          <w:b/>
          <w:bCs/>
          <w:color w:val="auto"/>
          <w:sz w:val="24"/>
          <w:highlight w:val="none"/>
          <w:u w:val="single"/>
          <w:lang w:bidi="ar"/>
        </w:rPr>
        <w:t>卖方</w:t>
      </w:r>
      <w:r>
        <w:rPr>
          <w:rFonts w:hint="eastAsia" w:ascii="宋体" w:hAnsi="宋体" w:eastAsia="宋体" w:cs="宋体"/>
          <w:color w:val="auto"/>
          <w:sz w:val="24"/>
          <w:highlight w:val="none"/>
          <w:lang w:bidi="ar"/>
        </w:rPr>
        <w:t>负责，卸货时所产生的纠纷也由卖方全权负责。</w:t>
      </w:r>
    </w:p>
    <w:p w14:paraId="34EE6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3、每一包装箱内必须附有装箱清单。</w:t>
      </w:r>
    </w:p>
    <w:p w14:paraId="690302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4、货物在装运前由卖方投保，一旦货物在装车、运输过程中发生损坏或短缺，由卖方负责索赔。</w:t>
      </w:r>
    </w:p>
    <w:p w14:paraId="50597F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5、卖方保证在确认货物因装车、运输中发生损坏或短缺后，尽快给予调换、修复和补齐缺件，不管其造成的原因如何，也不能以办理索赔为由而拖延。</w:t>
      </w:r>
    </w:p>
    <w:p w14:paraId="4BBBFA59">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6、卖方在货物发运前5天将准备发运的货物名称、规格、数量、包装箱件数、每件包装箱的尺码、毛重及对货物贮存的特殊要求等有效通知买方，以便接货。</w:t>
      </w:r>
    </w:p>
    <w:p w14:paraId="1B592616">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7、卖方所供货物在不影响第二次销售情况下，买方有权要求退货，退货所产生的费用全部由卖方承担。</w:t>
      </w:r>
    </w:p>
    <w:p w14:paraId="5459716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五、合同交货期、交货方式、地点</w:t>
      </w:r>
    </w:p>
    <w:p w14:paraId="2CD0D9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1、供货时间：</w:t>
      </w:r>
      <w:r>
        <w:rPr>
          <w:rFonts w:hint="eastAsia" w:ascii="宋体" w:hAnsi="宋体" w:eastAsia="宋体" w:cs="宋体"/>
          <w:b/>
          <w:bCs/>
          <w:color w:val="auto"/>
          <w:sz w:val="24"/>
          <w:highlight w:val="none"/>
          <w:lang w:bidi="ar"/>
        </w:rPr>
        <w:t>合同签订之日起至2025年11月30日前完成到货、安装及调试；每逾期一天支付违约金5000元。</w:t>
      </w:r>
    </w:p>
    <w:p w14:paraId="7ABDB2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本项目合同期内，卖方逾期到货累计发生三次，买方有权单方面终止合同。</w:t>
      </w:r>
    </w:p>
    <w:p w14:paraId="7E45BF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2、供货地点：买方指定地点。</w:t>
      </w:r>
    </w:p>
    <w:p w14:paraId="6267006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六、质量保证和质量保证期</w:t>
      </w:r>
    </w:p>
    <w:p w14:paraId="049CCAFE">
      <w:pPr>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1、卖方保证所提供的货物是全新的、未使用过的。</w:t>
      </w:r>
    </w:p>
    <w:p w14:paraId="34C264AE">
      <w:pPr>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2、卖方保证采用先进的技术、优质的材料和零部件、一流的工艺、严格的质量管理为买方提供技术先进、质量上乘、外表美观并完全符合合同规定的质量、规格、性能要求的货物。</w:t>
      </w:r>
    </w:p>
    <w:p w14:paraId="0A53444F">
      <w:pPr>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3、卖方应对外购或外协的零部件的质量和技术性能负全部责任。</w:t>
      </w:r>
    </w:p>
    <w:p w14:paraId="4696809E">
      <w:pPr>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4、卖方保证所提供的货物在正确安装、正常使用和维护保养的情况下，具有使买方满意的使用性能和使用寿命。</w:t>
      </w:r>
    </w:p>
    <w:p w14:paraId="60E2000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bidi="ar"/>
        </w:rPr>
        <w:t>5、</w:t>
      </w:r>
      <w:r>
        <w:rPr>
          <w:rFonts w:hint="eastAsia" w:ascii="宋体" w:hAnsi="宋体" w:eastAsia="宋体" w:cs="宋体"/>
          <w:b/>
          <w:color w:val="auto"/>
          <w:sz w:val="24"/>
          <w:highlight w:val="none"/>
        </w:rPr>
        <w:t>到货验收合格后24个月</w:t>
      </w:r>
      <w:r>
        <w:rPr>
          <w:rFonts w:hint="eastAsia" w:ascii="宋体" w:hAnsi="宋体" w:eastAsia="宋体" w:cs="宋体"/>
          <w:b/>
          <w:bCs/>
          <w:color w:val="auto"/>
          <w:sz w:val="24"/>
          <w:highlight w:val="none"/>
        </w:rPr>
        <w:t>（最终质保时间以卖方投标承诺时间为准）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bidi="ar"/>
        </w:rPr>
        <w:t>质保期内因货物自身质量问题发生故障，卖方应负责及时修复、妥善处理或更换，发生的费用由卖方负责。无论在质保期内还是质保期满后，卖方负责对其实施的项目提供现场服务。</w:t>
      </w:r>
    </w:p>
    <w:p w14:paraId="3BC6E392">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bidi="ar"/>
        </w:rPr>
        <w:t>七、付款方式</w:t>
      </w:r>
      <w:r>
        <w:rPr>
          <w:rFonts w:hint="eastAsia" w:ascii="宋体" w:hAnsi="宋体" w:eastAsia="宋体" w:cs="宋体"/>
          <w:b/>
          <w:color w:val="auto"/>
          <w:sz w:val="24"/>
          <w:highlight w:val="none"/>
          <w:lang w:val="en-US" w:eastAsia="zh-CN" w:bidi="ar"/>
        </w:rPr>
        <w:t>及要求</w:t>
      </w:r>
    </w:p>
    <w:p w14:paraId="3FC34C9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1、合同签订前，卖方须交纳合同总价1%的履约保证金，</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货物到场检验合格后无息退还。</w:t>
      </w:r>
    </w:p>
    <w:p w14:paraId="0AF2A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2、货物运至</w:t>
      </w:r>
      <w:r>
        <w:rPr>
          <w:rFonts w:hint="eastAsia" w:ascii="宋体" w:hAnsi="宋体" w:eastAsia="宋体" w:cs="宋体"/>
          <w:color w:val="auto"/>
          <w:sz w:val="24"/>
          <w:highlight w:val="none"/>
          <w:lang w:val="en-US" w:eastAsia="zh-CN"/>
        </w:rPr>
        <w:t>买方</w:t>
      </w:r>
      <w:r>
        <w:rPr>
          <w:rFonts w:hint="eastAsia" w:ascii="宋体" w:hAnsi="宋体" w:eastAsia="宋体" w:cs="宋体"/>
          <w:color w:val="auto"/>
          <w:sz w:val="24"/>
          <w:highlight w:val="none"/>
        </w:rPr>
        <w:t>指定仓库或者施工现场，</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货物到场检验合格后支付</w:t>
      </w:r>
      <w:r>
        <w:rPr>
          <w:rFonts w:hint="eastAsia" w:ascii="宋体" w:hAnsi="宋体" w:eastAsia="宋体" w:cs="宋体"/>
          <w:color w:val="auto"/>
          <w:sz w:val="24"/>
          <w:highlight w:val="none"/>
          <w:lang w:val="en-US" w:eastAsia="zh-CN"/>
        </w:rPr>
        <w:t>至合同价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全部安装完成并正常使用后支付至合同价的95%并无息退还履约保证金，</w:t>
      </w:r>
      <w:r>
        <w:rPr>
          <w:rFonts w:hint="eastAsia" w:ascii="宋体" w:hAnsi="宋体" w:eastAsia="宋体" w:cs="宋体"/>
          <w:color w:val="auto"/>
          <w:sz w:val="24"/>
          <w:highlight w:val="none"/>
        </w:rPr>
        <w:t>剩余5%</w:t>
      </w:r>
      <w:r>
        <w:rPr>
          <w:rFonts w:hint="eastAsia" w:ascii="宋体" w:hAnsi="宋体" w:eastAsia="宋体" w:cs="宋体"/>
          <w:color w:val="auto"/>
          <w:sz w:val="24"/>
          <w:highlight w:val="none"/>
          <w:lang w:val="en-US" w:eastAsia="zh-CN"/>
        </w:rPr>
        <w:t>合同价款待</w:t>
      </w:r>
      <w:r>
        <w:rPr>
          <w:rFonts w:hint="eastAsia" w:ascii="宋体" w:hAnsi="宋体" w:eastAsia="宋体" w:cs="宋体"/>
          <w:color w:val="auto"/>
          <w:sz w:val="24"/>
          <w:highlight w:val="none"/>
        </w:rPr>
        <w:t>质保期满</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后支付（不计息）。</w:t>
      </w:r>
    </w:p>
    <w:p w14:paraId="48D3EC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bidi="ar"/>
        </w:rPr>
        <w:t>3、</w:t>
      </w:r>
      <w:r>
        <w:rPr>
          <w:rFonts w:hint="eastAsia" w:ascii="宋体" w:hAnsi="宋体" w:eastAsia="宋体" w:cs="宋体"/>
          <w:b w:val="0"/>
          <w:bCs/>
          <w:color w:val="auto"/>
          <w:sz w:val="24"/>
          <w:highlight w:val="none"/>
          <w:lang w:val="en-US" w:eastAsia="zh-CN"/>
        </w:rPr>
        <w:t>付款要求：</w:t>
      </w:r>
    </w:p>
    <w:p w14:paraId="4AFF9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卖方在收款之前，应向买方提供等额、合法、有效的增值税发票，买方凭增值税发票付款。如卖方未按约定提供增值税发票的，买方有权拒绝付款，直至收到卖方提交的相应增值税发票为止，在此情况下，买方不承担逾期付款违约责任。</w:t>
      </w:r>
    </w:p>
    <w:p w14:paraId="7116B23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本合同除发生下列情况可按投标报价书中的数量进行价格调整合同以外，其它一律不得调整：</w:t>
      </w:r>
    </w:p>
    <w:p w14:paraId="5E03DDB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1、工程建筑设计作较大的修改；</w:t>
      </w:r>
    </w:p>
    <w:p w14:paraId="04BBAEA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2、因买方实际需要调整原设计方案。</w:t>
      </w:r>
    </w:p>
    <w:p w14:paraId="4C5D6B8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八、货物检验和技术服务</w:t>
      </w:r>
    </w:p>
    <w:p w14:paraId="3F5F5D8B">
      <w:pPr>
        <w:autoSpaceDE w:val="0"/>
        <w:snapToGrid w:val="0"/>
        <w:spacing w:line="360" w:lineRule="auto"/>
        <w:ind w:firstLine="482" w:firstLineChars="200"/>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1、本项目中对于卖方所供货物（水表），买方可按招标文件相关货物的《技术标准和要求》送上虞区供水有限公司计量检测中心进行检测，</w:t>
      </w:r>
      <w:r>
        <w:rPr>
          <w:rFonts w:hint="eastAsia" w:ascii="宋体" w:hAnsi="宋体" w:eastAsia="宋体" w:cs="宋体"/>
          <w:b/>
          <w:bCs/>
          <w:color w:val="auto"/>
          <w:kern w:val="0"/>
          <w:sz w:val="24"/>
          <w:highlight w:val="none"/>
        </w:rPr>
        <w:t>以此作为判定合同货物质量是否合格的最终依据（检测费用由业主自行承担）</w:t>
      </w:r>
      <w:r>
        <w:rPr>
          <w:rFonts w:hint="eastAsia" w:ascii="宋体" w:hAnsi="宋体" w:eastAsia="宋体" w:cs="宋体"/>
          <w:b/>
          <w:bCs/>
          <w:color w:val="auto"/>
          <w:sz w:val="24"/>
          <w:highlight w:val="none"/>
          <w:lang w:bidi="ar"/>
        </w:rPr>
        <w:t>。</w:t>
      </w:r>
    </w:p>
    <w:p w14:paraId="76E0E160">
      <w:pPr>
        <w:autoSpaceDE w:val="0"/>
        <w:snapToGrid w:val="0"/>
        <w:spacing w:line="360" w:lineRule="auto"/>
        <w:ind w:firstLine="482" w:firstLineChars="200"/>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若检测不合格，买方将对该批次货物送有资质第三方检测，检测费用均由卖方承担；同时，卖方须立即更换该批次货物，并承担因此所造成的一切经济损失和费用。</w:t>
      </w:r>
    </w:p>
    <w:p w14:paraId="56B11DED">
      <w:pPr>
        <w:autoSpaceDE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bidi="ar"/>
        </w:rPr>
        <w:t>买方认为如有必要在货物制造过程中派人到生产厂进行监制，或在货物发货前派人赴生产厂进行预验收，卖方应予以积极配合并对监制或预验收工作提供方便。</w:t>
      </w:r>
    </w:p>
    <w:p w14:paraId="6ACFB2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货物到达现场后，卖方派人到现场与买方一起开箱检验，按供货范围清单验收，并由卖方人员将货物合格证、说明书等所有资料交至买方指定人员。货物若有短少或损坏，卖方应立即补足或更换全新同规格货物，费用由卖方承担，买方保留向卖方索赔的权利。</w:t>
      </w:r>
    </w:p>
    <w:p w14:paraId="3F04BE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货物的安装、调试结束后，经过试运转考核无故障，并经有关部门检验合格后，买卖双方共同签署验收合格证书，若因卖方货物质量问题及安装施工质量问题，验收不合格，卖方应及时予以处理，直至验收合格，期间发生的一切相关费用均由卖方负担，买方保留向卖方索赔的权利。</w:t>
      </w:r>
    </w:p>
    <w:p w14:paraId="6ABEC2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卖方负责合同执行全过程中的技术服务和支持，如负责指导安装调试，对买方的操作、维修人员进行技术培训，无论在质量保证期内还是质量保证期满后，一旦发生故障，而买方无法自行排除时，在接到买方通知后，卖方应立即派人前往买方工地处理并及时提供备品、备件。卖方保证具备安装、调试相关资质。</w:t>
      </w:r>
    </w:p>
    <w:p w14:paraId="314E54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5、卖方在接到买方的货物质量或合同第六条第四款之问题反馈电话后 2个小时内响应，24个小时内响应到达现场，并最迟在第2个工作日内排除故障；2个工作日内不能修复的，必须采取临时调换等措施，以保证买收人的正常使用；如24小时内未能到达用户指定地点的，承担相应违约责任和因货物质量问题引起的经济责任，卖方超时处理三次以上或10个 工作日以上无法解决买方提出的有关货物质量问题的，买方有权单方面终止合同。</w:t>
      </w:r>
    </w:p>
    <w:p w14:paraId="6ABA203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九、合同修改</w:t>
      </w:r>
    </w:p>
    <w:p w14:paraId="3BBD91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1、买卖双方的任何一方对合同内容提出修改，均应以书面形式通知对方，并达成由双方签署的合同修改书。</w:t>
      </w:r>
    </w:p>
    <w:p w14:paraId="2B45EC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2、除非买方对货物的型号、规格和涉及价格因素的技术参数和配套件提出修改，卖方不得对合同价格提出修改要求。</w:t>
      </w:r>
    </w:p>
    <w:p w14:paraId="04286B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3、买方因设计施工变更货物的型号、规格和数量，卖方应承诺多退少补，并及时供货保证施工进度需要。</w:t>
      </w:r>
    </w:p>
    <w:p w14:paraId="4CAD5F9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十、违约责任</w:t>
      </w:r>
    </w:p>
    <w:p w14:paraId="461DB49A">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1、质量责任</w:t>
      </w:r>
    </w:p>
    <w:p w14:paraId="1A99BD90">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在货物质量保证期内，凡货物在检验、安装调试、设备试运转过程中发现的货物质量问题，由卖方负责处理，实行包修、包换、包退，直至货物符合质量要求，卖方同时承担修理、调换、退货发生的一切费用及其他由其引起的经济损失。</w:t>
      </w:r>
    </w:p>
    <w:p w14:paraId="22EA37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2）在货物质量保证期内，因卖方货物质量问题造成工程延误，人身伤害等各种事故，由卖方承担全部的事故责任和由其引起的一切经济责任。</w:t>
      </w:r>
    </w:p>
    <w:p w14:paraId="75B9CAE9">
      <w:pPr>
        <w:autoSpaceDE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3）由于买方保管不善或使用不当造成货物短缺、故障或损坏，由买方负责，但卖方保证及时给予补齐或修复。</w:t>
      </w:r>
    </w:p>
    <w:p w14:paraId="1ECEEF3B">
      <w:pPr>
        <w:spacing w:line="360" w:lineRule="auto"/>
        <w:ind w:firstLine="482" w:firstLineChars="200"/>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rPr>
        <w:t>4）为保障数据安全，依法保护相关信息，卖</w:t>
      </w:r>
      <w:r>
        <w:rPr>
          <w:rFonts w:hint="eastAsia" w:ascii="宋体" w:hAnsi="宋体" w:eastAsia="宋体" w:cs="宋体"/>
          <w:b/>
          <w:bCs/>
          <w:color w:val="auto"/>
          <w:sz w:val="24"/>
          <w:highlight w:val="none"/>
          <w:lang w:eastAsia="zh-Hans"/>
        </w:rPr>
        <w:t>方</w:t>
      </w:r>
      <w:r>
        <w:rPr>
          <w:rFonts w:hint="eastAsia" w:ascii="宋体" w:hAnsi="宋体" w:eastAsia="宋体" w:cs="宋体"/>
          <w:b/>
          <w:bCs/>
          <w:color w:val="auto"/>
          <w:sz w:val="24"/>
          <w:highlight w:val="none"/>
        </w:rPr>
        <w:t>在从事信息数据开发、管理和服务过程中，</w:t>
      </w:r>
      <w:r>
        <w:rPr>
          <w:rFonts w:hint="eastAsia" w:ascii="宋体" w:hAnsi="宋体" w:eastAsia="宋体" w:cs="宋体"/>
          <w:b/>
          <w:bCs/>
          <w:color w:val="auto"/>
          <w:sz w:val="24"/>
          <w:highlight w:val="none"/>
          <w:lang w:eastAsia="zh-Hans"/>
        </w:rPr>
        <w:t>严格按照授权范围使用相关数据，不</w:t>
      </w:r>
      <w:r>
        <w:rPr>
          <w:rFonts w:hint="eastAsia" w:ascii="宋体" w:hAnsi="宋体" w:eastAsia="宋体" w:cs="宋体"/>
          <w:b/>
          <w:bCs/>
          <w:color w:val="auto"/>
          <w:sz w:val="24"/>
          <w:highlight w:val="none"/>
        </w:rPr>
        <w:t>得</w:t>
      </w:r>
      <w:r>
        <w:rPr>
          <w:rFonts w:hint="eastAsia" w:ascii="宋体" w:hAnsi="宋体" w:eastAsia="宋体" w:cs="宋体"/>
          <w:b/>
          <w:bCs/>
          <w:color w:val="auto"/>
          <w:sz w:val="24"/>
          <w:highlight w:val="none"/>
          <w:lang w:eastAsia="zh-Hans"/>
        </w:rPr>
        <w:t>在未经授权情况下不以任何方式将相关数据提供给非授权第三方或用于商业目的</w:t>
      </w:r>
      <w:r>
        <w:rPr>
          <w:rFonts w:hint="eastAsia" w:ascii="宋体" w:hAnsi="宋体" w:eastAsia="宋体" w:cs="宋体"/>
          <w:b/>
          <w:bCs/>
          <w:color w:val="auto"/>
          <w:sz w:val="24"/>
          <w:highlight w:val="none"/>
        </w:rPr>
        <w:t>，切实做好数据安全和信息保护工作并承担相应法律责任。</w:t>
      </w:r>
    </w:p>
    <w:p w14:paraId="22224F40">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2、违约赔偿</w:t>
      </w:r>
    </w:p>
    <w:p w14:paraId="7A98DD95">
      <w:pPr>
        <w:autoSpaceDE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1）除不可抗力外，卖方逾期交货，需单独支付给买方按逾期每天5000元的违约金。</w:t>
      </w:r>
    </w:p>
    <w:p w14:paraId="58BB7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2）因卖方违约造成终止合同，则卖方按合同价 20%支付违约金给买方，并赔偿买方由此造成超过违约金的其它一切经济损失。</w:t>
      </w:r>
    </w:p>
    <w:p w14:paraId="5FEEE0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十一、违约终止合同</w:t>
      </w:r>
    </w:p>
    <w:p w14:paraId="6B9DA9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1、买方在卖方存在如下违约情况时，有权考虑并提出终止全部或部分合同。</w:t>
      </w:r>
    </w:p>
    <w:p w14:paraId="63E88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1)卖方未能在合同规定期限或买方同意延长的期限内交付全部或部分货物。</w:t>
      </w:r>
    </w:p>
    <w:p w14:paraId="3D54F947">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2)本项目卖方逾期到货累计发生三次。</w:t>
      </w:r>
    </w:p>
    <w:p w14:paraId="123DA9B7">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3)货物送检后累计三次出现货物质量不达标情况。</w:t>
      </w:r>
    </w:p>
    <w:p w14:paraId="6050336E">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4）卖方逾期处理货物问题三次以上的或单项问题10个工作日以上未解决的</w:t>
      </w:r>
    </w:p>
    <w:p w14:paraId="02CE0BF9">
      <w:pPr>
        <w:spacing w:line="360" w:lineRule="auto"/>
        <w:ind w:firstLine="480" w:firstLineChars="200"/>
        <w:rPr>
          <w:rFonts w:hint="eastAsia" w:ascii="宋体" w:hAnsi="宋体" w:eastAsia="宋体" w:cs="宋体"/>
          <w:strike/>
          <w:color w:val="auto"/>
          <w:sz w:val="24"/>
          <w:highlight w:val="none"/>
          <w:lang w:bidi="ar"/>
        </w:rPr>
      </w:pPr>
      <w:r>
        <w:rPr>
          <w:rFonts w:hint="eastAsia" w:ascii="宋体" w:hAnsi="宋体" w:eastAsia="宋体" w:cs="宋体"/>
          <w:color w:val="auto"/>
          <w:sz w:val="24"/>
          <w:highlight w:val="none"/>
          <w:lang w:bidi="ar"/>
        </w:rPr>
        <w:t>5）因卖方货物质量问题造成较为严重事件的。</w:t>
      </w:r>
    </w:p>
    <w:p w14:paraId="6115EA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6）卖方未能履行合同规定的其他义务。</w:t>
      </w:r>
    </w:p>
    <w:p w14:paraId="116BC1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7）在发生上述情况后，卖方收到买方的违约通知后30天内未能纠正其过失。</w:t>
      </w:r>
    </w:p>
    <w:p w14:paraId="05ACE3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2、在买方提出终止合同之日前已报的请购订单，但卖方还未送到现场的，卖方须继续按约定时间继续供货；同时买方并不解除对卖方交货部分货物应负的货物质量责任及售后服务。</w:t>
      </w:r>
    </w:p>
    <w:p w14:paraId="05562E4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十二、安全责任</w:t>
      </w:r>
    </w:p>
    <w:p w14:paraId="20B452A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卖方承担货物到货过程中、调试及质保期内维修服务的所有安全责任：包含货物供货、运输、卸货、安全、调试过程中的所有安全事项，如果在此过程中发生因卖方原因（包含施工规范操作，材料安全系数等）造成的生产安全事故，由卖方承担全部的事故责任和经济责任。</w:t>
      </w:r>
    </w:p>
    <w:p w14:paraId="4084AC9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十三、合同纠纷解决方式  </w:t>
      </w:r>
    </w:p>
    <w:p w14:paraId="24D4D4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凡有关本合同或执行本合同中发生的争端，买卖双方应通过友好协商，妥善解决。如协商不成的，则由买方住所地法院处理。</w:t>
      </w:r>
    </w:p>
    <w:p w14:paraId="70ADA28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十四、适用法律</w:t>
      </w:r>
    </w:p>
    <w:p w14:paraId="589A51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按照中华人民共和国的生效法律法规和浙江省政府所规定的条例进行解释。</w:t>
      </w:r>
    </w:p>
    <w:p w14:paraId="1BF2947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十五、合同有效期及其他</w:t>
      </w:r>
    </w:p>
    <w:p w14:paraId="46F0A8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合同应在双方法人代表或经办人签字并加盖单位公章或合同章后生效至质保期满之日起终止。招标文件、投标文件、补充文件、招标答疑纪要及设计联络会会议纪要等作为本合同的附件，与本合同具有同等法律效力；解释顺序为合同（补充合同）、设计联络会会议纪要、询标承诺、招标文件（招标答疑纪要）、投标文件等。</w:t>
      </w:r>
    </w:p>
    <w:p w14:paraId="7CCC6C26">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根据《绍兴市柴油动力移动源排气污染防治办法》第九条、第十三条的规定，乙（卖）方在合同实施过程中使用的柴油动力移动源(柴油货车、非道路移动机械)必须符合低排放要求并已向生态环境部门申领编码，在进入作业现场前须如实向甲（买）方登记报备编码，未申领编码的柴油动力移动源不得进入作业现场施工。在作业现场发现有未申领编码的柴油动力移动源或者未如实进行编码报备的，认定乙（卖）方违约，每发现一次，支付违约金2000元。</w:t>
      </w:r>
    </w:p>
    <w:p w14:paraId="518E186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本项目货物如涉及柴油动力移动源，柴油动力移动源应当符合低排放要求。</w:t>
      </w:r>
    </w:p>
    <w:p w14:paraId="20AEC0E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、本合同一式</w:t>
      </w:r>
      <w:r>
        <w:rPr>
          <w:rFonts w:hint="eastAsia" w:ascii="宋体" w:hAnsi="宋体" w:cs="宋体"/>
          <w:color w:val="auto"/>
          <w:sz w:val="24"/>
          <w:highlight w:val="none"/>
          <w:lang w:val="en-US" w:eastAsia="zh-CN" w:bidi="ar"/>
        </w:rPr>
        <w:t>肆</w:t>
      </w:r>
      <w:r>
        <w:rPr>
          <w:rFonts w:hint="eastAsia" w:ascii="宋体" w:hAnsi="宋体" w:eastAsia="宋体" w:cs="宋体"/>
          <w:color w:val="auto"/>
          <w:sz w:val="24"/>
          <w:highlight w:val="none"/>
          <w:lang w:bidi="ar"/>
        </w:rPr>
        <w:t>份，买方执</w:t>
      </w:r>
      <w:r>
        <w:rPr>
          <w:rFonts w:hint="eastAsia" w:ascii="宋体" w:hAnsi="宋体" w:cs="宋体"/>
          <w:color w:val="auto"/>
          <w:sz w:val="24"/>
          <w:highlight w:val="none"/>
          <w:lang w:val="en-US" w:eastAsia="zh-CN" w:bidi="ar"/>
        </w:rPr>
        <w:t>贰</w:t>
      </w:r>
      <w:r>
        <w:rPr>
          <w:rFonts w:hint="eastAsia" w:ascii="宋体" w:hAnsi="宋体" w:eastAsia="宋体" w:cs="宋体"/>
          <w:color w:val="auto"/>
          <w:sz w:val="24"/>
          <w:highlight w:val="none"/>
          <w:lang w:bidi="ar"/>
        </w:rPr>
        <w:t>份，卖方执贰份。</w:t>
      </w:r>
    </w:p>
    <w:p w14:paraId="220CDCB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bidi="ar"/>
        </w:rPr>
        <w:t>5</w:t>
      </w:r>
      <w:r>
        <w:rPr>
          <w:rFonts w:hint="eastAsia" w:ascii="宋体" w:hAnsi="宋体" w:eastAsia="宋体" w:cs="宋体"/>
          <w:color w:val="auto"/>
          <w:sz w:val="24"/>
          <w:highlight w:val="none"/>
          <w:lang w:bidi="ar"/>
        </w:rPr>
        <w:t>、未尽事宜，买卖双方协商解决。</w:t>
      </w:r>
    </w:p>
    <w:tbl>
      <w:tblPr>
        <w:tblStyle w:val="18"/>
        <w:tblW w:w="9835" w:type="dxa"/>
        <w:jc w:val="center"/>
        <w:tblLayout w:type="fixed"/>
        <w:tblCellMar>
          <w:top w:w="0" w:type="dxa"/>
          <w:left w:w="108" w:type="dxa"/>
          <w:bottom w:w="0" w:type="dxa"/>
          <w:right w:w="108" w:type="dxa"/>
        </w:tblCellMar>
      </w:tblPr>
      <w:tblGrid>
        <w:gridCol w:w="5203"/>
        <w:gridCol w:w="4632"/>
      </w:tblGrid>
      <w:tr w14:paraId="2F0D11F8">
        <w:tblPrEx>
          <w:tblCellMar>
            <w:top w:w="0" w:type="dxa"/>
            <w:left w:w="108" w:type="dxa"/>
            <w:bottom w:w="0" w:type="dxa"/>
            <w:right w:w="108" w:type="dxa"/>
          </w:tblCellMar>
        </w:tblPrEx>
        <w:trPr>
          <w:trHeight w:val="3543" w:hRule="atLeast"/>
          <w:jc w:val="center"/>
        </w:trPr>
        <w:tc>
          <w:tcPr>
            <w:tcW w:w="5203" w:type="dxa"/>
            <w:tcBorders>
              <w:top w:val="single" w:color="auto" w:sz="6" w:space="0"/>
              <w:left w:val="single" w:color="auto" w:sz="6" w:space="0"/>
              <w:bottom w:val="single" w:color="auto" w:sz="6" w:space="0"/>
              <w:right w:val="single" w:color="auto" w:sz="6" w:space="0"/>
            </w:tcBorders>
          </w:tcPr>
          <w:p w14:paraId="24530ABF">
            <w:pPr>
              <w:autoSpaceDE w:val="0"/>
              <w:autoSpaceDN w:val="0"/>
              <w:adjustRightInd w:val="0"/>
              <w:spacing w:line="360" w:lineRule="auto"/>
              <w:ind w:firstLine="1687" w:firstLineChars="7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买方</w:t>
            </w:r>
          </w:p>
          <w:p w14:paraId="126A5359">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zh-CN"/>
              </w:rPr>
              <w:t>单</w:t>
            </w:r>
            <w:r>
              <w:rPr>
                <w:rFonts w:hint="eastAsia" w:ascii="宋体" w:hAnsi="宋体" w:eastAsia="宋体" w:cs="宋体"/>
                <w:color w:val="auto"/>
                <w:sz w:val="24"/>
                <w:szCs w:val="24"/>
                <w:highlight w:val="none"/>
                <w:lang w:val="zh-CN"/>
              </w:rPr>
              <w:t>位名称（盖章）：绍兴市上虞区水环环保科技有限公司</w:t>
            </w:r>
          </w:p>
          <w:p w14:paraId="641E125A">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rPr>
              <w:t>绍兴市</w:t>
            </w:r>
            <w:r>
              <w:rPr>
                <w:rFonts w:hint="eastAsia" w:ascii="宋体" w:hAnsi="宋体" w:eastAsia="宋体" w:cs="宋体"/>
                <w:color w:val="auto"/>
                <w:sz w:val="24"/>
                <w:szCs w:val="24"/>
                <w:highlight w:val="none"/>
                <w:lang w:val="zh-CN"/>
              </w:rPr>
              <w:t>上虞区</w:t>
            </w:r>
            <w:r>
              <w:rPr>
                <w:rFonts w:hint="eastAsia" w:ascii="宋体" w:hAnsi="宋体" w:eastAsia="宋体" w:cs="宋体"/>
                <w:color w:val="auto"/>
                <w:sz w:val="24"/>
                <w:szCs w:val="24"/>
                <w:highlight w:val="none"/>
              </w:rPr>
              <w:t>王充路407</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城市改造管理局四楼</w:t>
            </w:r>
          </w:p>
          <w:p w14:paraId="6BBD7B33">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法人代表或委托代理人</w:t>
            </w:r>
            <w:r>
              <w:rPr>
                <w:rFonts w:hint="eastAsia" w:ascii="宋体" w:hAnsi="宋体" w:eastAsia="宋体" w:cs="宋体"/>
                <w:color w:val="auto"/>
                <w:sz w:val="24"/>
                <w:szCs w:val="24"/>
                <w:highlight w:val="none"/>
              </w:rPr>
              <w:t>：</w:t>
            </w:r>
          </w:p>
          <w:p w14:paraId="689B77C3">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电话：0575-812882</w:t>
            </w:r>
            <w:r>
              <w:rPr>
                <w:rFonts w:hint="eastAsia" w:ascii="宋体" w:hAnsi="宋体" w:eastAsia="宋体" w:cs="宋体"/>
                <w:color w:val="auto"/>
                <w:sz w:val="24"/>
                <w:szCs w:val="24"/>
                <w:highlight w:val="none"/>
              </w:rPr>
              <w:t>22</w:t>
            </w:r>
          </w:p>
          <w:p w14:paraId="01710C12">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传真：0575-81288200</w:t>
            </w:r>
          </w:p>
          <w:p w14:paraId="10729F4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开户银行：中国农业银行股份有限公司绍兴虞中支行</w:t>
            </w:r>
          </w:p>
          <w:p w14:paraId="3FF964FE">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账号：19515901040025725</w:t>
            </w:r>
          </w:p>
          <w:p w14:paraId="7F47C3DF">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邮政编码：312300</w:t>
            </w:r>
          </w:p>
        </w:tc>
        <w:tc>
          <w:tcPr>
            <w:tcW w:w="4632" w:type="dxa"/>
            <w:tcBorders>
              <w:top w:val="single" w:color="auto" w:sz="6" w:space="0"/>
              <w:left w:val="single" w:color="auto" w:sz="6" w:space="0"/>
              <w:bottom w:val="single" w:color="auto" w:sz="6" w:space="0"/>
              <w:right w:val="single" w:color="auto" w:sz="6" w:space="0"/>
            </w:tcBorders>
          </w:tcPr>
          <w:p w14:paraId="75251BAC">
            <w:pPr>
              <w:autoSpaceDE w:val="0"/>
              <w:autoSpaceDN w:val="0"/>
              <w:adjustRightInd w:val="0"/>
              <w:spacing w:line="360" w:lineRule="auto"/>
              <w:ind w:firstLine="1687" w:firstLineChars="7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卖方</w:t>
            </w:r>
          </w:p>
          <w:p w14:paraId="14B8347B">
            <w:pPr>
              <w:autoSpaceDE w:val="0"/>
              <w:autoSpaceDN w:val="0"/>
              <w:adjustRightIn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单位名称（盖章）： </w:t>
            </w:r>
          </w:p>
          <w:p w14:paraId="73024A98">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地址：</w:t>
            </w:r>
            <w:r>
              <w:rPr>
                <w:rFonts w:hint="eastAsia" w:ascii="宋体" w:hAnsi="宋体" w:eastAsia="宋体" w:cs="宋体"/>
                <w:color w:val="auto"/>
                <w:sz w:val="24"/>
                <w:highlight w:val="none"/>
              </w:rPr>
              <w:t xml:space="preserve"> </w:t>
            </w:r>
          </w:p>
          <w:p w14:paraId="34DD5923">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法人代表或委托代理人：</w:t>
            </w:r>
          </w:p>
          <w:p w14:paraId="46903FAA">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电话：</w:t>
            </w:r>
            <w:r>
              <w:rPr>
                <w:rFonts w:hint="eastAsia" w:ascii="宋体" w:hAnsi="宋体" w:eastAsia="宋体" w:cs="宋体"/>
                <w:color w:val="auto"/>
                <w:sz w:val="24"/>
                <w:highlight w:val="none"/>
              </w:rPr>
              <w:t xml:space="preserve"> </w:t>
            </w:r>
          </w:p>
          <w:p w14:paraId="16FF0E1B">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传真：</w:t>
            </w:r>
          </w:p>
          <w:p w14:paraId="60F18A52">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开户银行：</w:t>
            </w:r>
          </w:p>
          <w:p w14:paraId="6A14260D">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账号：</w:t>
            </w:r>
          </w:p>
          <w:p w14:paraId="574A67BE">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邮政编码：</w:t>
            </w:r>
          </w:p>
        </w:tc>
      </w:tr>
    </w:tbl>
    <w:p w14:paraId="0995C932">
      <w:pPr>
        <w:pStyle w:val="2"/>
        <w:spacing w:line="360" w:lineRule="auto"/>
        <w:ind w:left="0" w:leftChars="0" w:firstLine="480"/>
        <w:rPr>
          <w:rFonts w:hint="eastAsia" w:ascii="宋体" w:hAnsi="宋体" w:eastAsia="宋体" w:cs="宋体"/>
          <w:color w:val="auto"/>
          <w:sz w:val="24"/>
          <w:highlight w:val="none"/>
        </w:rPr>
      </w:pPr>
    </w:p>
    <w:p w14:paraId="2723EF6D">
      <w:pPr>
        <w:pStyle w:val="2"/>
        <w:spacing w:line="360" w:lineRule="auto"/>
        <w:ind w:left="0" w:leftChars="0" w:firstLine="480"/>
        <w:rPr>
          <w:rFonts w:hint="eastAsia" w:ascii="宋体" w:hAnsi="宋体" w:eastAsia="宋体" w:cs="宋体"/>
          <w:color w:val="auto"/>
          <w:sz w:val="24"/>
          <w:highlight w:val="none"/>
        </w:rPr>
      </w:pPr>
    </w:p>
    <w:p w14:paraId="343470E9">
      <w:pPr>
        <w:pStyle w:val="2"/>
        <w:spacing w:line="360" w:lineRule="auto"/>
        <w:ind w:left="0" w:leftChars="0" w:firstLine="480"/>
        <w:rPr>
          <w:rFonts w:hint="eastAsia" w:ascii="宋体" w:hAnsi="宋体" w:eastAsia="宋体" w:cs="宋体"/>
          <w:color w:val="auto"/>
          <w:sz w:val="24"/>
          <w:highlight w:val="none"/>
        </w:rPr>
      </w:pPr>
    </w:p>
    <w:p w14:paraId="2300BDAD">
      <w:pPr>
        <w:pStyle w:val="2"/>
        <w:spacing w:line="440" w:lineRule="exact"/>
        <w:ind w:left="0" w:leftChars="0" w:firstLine="480"/>
        <w:rPr>
          <w:rFonts w:hint="eastAsia" w:ascii="宋体" w:hAnsi="宋体" w:eastAsia="宋体" w:cs="宋体"/>
          <w:color w:val="auto"/>
          <w:sz w:val="24"/>
          <w:highlight w:val="none"/>
        </w:rPr>
      </w:pPr>
    </w:p>
    <w:p w14:paraId="1814C189">
      <w:pPr>
        <w:pStyle w:val="2"/>
        <w:spacing w:line="440" w:lineRule="exact"/>
        <w:ind w:left="0" w:leftChars="0" w:firstLine="480"/>
        <w:rPr>
          <w:rFonts w:hint="eastAsia" w:ascii="宋体" w:hAnsi="宋体" w:eastAsia="宋体" w:cs="宋体"/>
          <w:color w:val="auto"/>
          <w:sz w:val="24"/>
          <w:highlight w:val="none"/>
        </w:rPr>
      </w:pPr>
    </w:p>
    <w:p w14:paraId="5F44682D">
      <w:pPr>
        <w:pStyle w:val="2"/>
        <w:spacing w:line="440" w:lineRule="exact"/>
        <w:ind w:left="0" w:leftChars="0" w:firstLine="480"/>
        <w:rPr>
          <w:rFonts w:hint="eastAsia" w:ascii="宋体" w:hAnsi="宋体" w:eastAsia="宋体" w:cs="宋体"/>
          <w:color w:val="auto"/>
          <w:sz w:val="24"/>
          <w:highlight w:val="none"/>
        </w:rPr>
      </w:pPr>
    </w:p>
    <w:p w14:paraId="14DDECC4">
      <w:pPr>
        <w:pStyle w:val="2"/>
        <w:spacing w:line="440" w:lineRule="exact"/>
        <w:ind w:left="0" w:leftChars="0" w:firstLine="480"/>
        <w:rPr>
          <w:rFonts w:hint="eastAsia" w:ascii="宋体" w:hAnsi="宋体" w:eastAsia="宋体" w:cs="宋体"/>
          <w:color w:val="auto"/>
          <w:sz w:val="24"/>
          <w:highlight w:val="none"/>
        </w:rPr>
      </w:pPr>
    </w:p>
    <w:p w14:paraId="45D63913">
      <w:pPr>
        <w:keepNext/>
        <w:spacing w:line="216" w:lineRule="auto"/>
        <w:jc w:val="center"/>
        <w:outlineLvl w:val="0"/>
        <w:rPr>
          <w:rFonts w:hint="eastAsia" w:ascii="宋体" w:hAnsi="宋体" w:eastAsia="宋体" w:cs="宋体"/>
          <w:b/>
          <w:color w:val="auto"/>
          <w:sz w:val="30"/>
          <w:szCs w:val="20"/>
          <w:highlight w:val="none"/>
        </w:rPr>
      </w:pPr>
      <w:bookmarkStart w:id="474" w:name="_Toc167700928"/>
      <w:bookmarkStart w:id="475" w:name="_Toc32022"/>
      <w:r>
        <w:rPr>
          <w:rFonts w:hint="eastAsia" w:ascii="宋体" w:hAnsi="宋体" w:eastAsia="宋体" w:cs="宋体"/>
          <w:b/>
          <w:color w:val="auto"/>
          <w:sz w:val="30"/>
          <w:szCs w:val="20"/>
          <w:highlight w:val="none"/>
        </w:rPr>
        <w:t>第六部分 应提交</w:t>
      </w:r>
      <w:bookmarkStart w:id="476" w:name="_Toc165741245"/>
      <w:r>
        <w:rPr>
          <w:rFonts w:hint="eastAsia" w:ascii="宋体" w:hAnsi="宋体" w:eastAsia="宋体" w:cs="宋体"/>
          <w:b/>
          <w:color w:val="auto"/>
          <w:sz w:val="30"/>
          <w:szCs w:val="20"/>
          <w:highlight w:val="none"/>
        </w:rPr>
        <w:t>的有关格式范例</w:t>
      </w:r>
      <w:bookmarkEnd w:id="474"/>
      <w:bookmarkEnd w:id="475"/>
    </w:p>
    <w:p w14:paraId="3F3D2561">
      <w:pPr>
        <w:rPr>
          <w:rFonts w:hint="eastAsia" w:ascii="宋体" w:hAnsi="宋体" w:eastAsia="宋体" w:cs="宋体"/>
          <w:color w:val="auto"/>
          <w:sz w:val="24"/>
          <w:highlight w:val="none"/>
        </w:rPr>
      </w:pPr>
    </w:p>
    <w:p w14:paraId="661F8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投标人按照以</w:t>
      </w:r>
      <w:bookmarkEnd w:id="476"/>
      <w:r>
        <w:rPr>
          <w:rFonts w:hint="eastAsia" w:ascii="宋体" w:hAnsi="宋体" w:eastAsia="宋体" w:cs="宋体"/>
          <w:color w:val="auto"/>
          <w:sz w:val="24"/>
          <w:highlight w:val="none"/>
        </w:rPr>
        <w:t>下格式编制投标文件，并将资格文件、技术文件、商务文件、报价文件分别上传，并与招标文件的评分要点准确设置关联点。</w:t>
      </w:r>
    </w:p>
    <w:p w14:paraId="0B8B5199">
      <w:pPr>
        <w:pStyle w:val="2"/>
        <w:spacing w:line="440" w:lineRule="exact"/>
        <w:ind w:left="0" w:leftChars="0"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133F2C06">
      <w:pPr>
        <w:pStyle w:val="2"/>
        <w:spacing w:line="440" w:lineRule="exact"/>
        <w:ind w:left="0" w:leftChars="0" w:firstLine="482"/>
        <w:rPr>
          <w:rFonts w:hint="eastAsia" w:ascii="宋体" w:hAnsi="宋体" w:eastAsia="宋体" w:cs="宋体"/>
          <w:b/>
          <w:color w:val="auto"/>
          <w:sz w:val="24"/>
          <w:highlight w:val="none"/>
        </w:rPr>
      </w:pPr>
    </w:p>
    <w:p w14:paraId="20AF8430">
      <w:pPr>
        <w:pStyle w:val="2"/>
        <w:spacing w:line="440" w:lineRule="exact"/>
        <w:ind w:left="0" w:leftChars="0" w:firstLine="482"/>
        <w:rPr>
          <w:rFonts w:hint="eastAsia" w:ascii="宋体" w:hAnsi="宋体" w:eastAsia="宋体" w:cs="宋体"/>
          <w:b/>
          <w:color w:val="auto"/>
          <w:sz w:val="24"/>
          <w:highlight w:val="none"/>
        </w:rPr>
      </w:pPr>
    </w:p>
    <w:p w14:paraId="3FF75AD8">
      <w:pPr>
        <w:pStyle w:val="2"/>
        <w:spacing w:line="440" w:lineRule="exact"/>
        <w:ind w:left="0" w:leftChars="0" w:firstLine="482"/>
        <w:rPr>
          <w:rFonts w:hint="eastAsia" w:ascii="宋体" w:hAnsi="宋体" w:eastAsia="宋体" w:cs="宋体"/>
          <w:b/>
          <w:color w:val="auto"/>
          <w:sz w:val="24"/>
          <w:highlight w:val="none"/>
        </w:rPr>
      </w:pPr>
    </w:p>
    <w:p w14:paraId="7858804A">
      <w:pPr>
        <w:pStyle w:val="2"/>
        <w:spacing w:line="440" w:lineRule="exact"/>
        <w:ind w:left="0" w:leftChars="0" w:firstLine="482"/>
        <w:rPr>
          <w:rFonts w:hint="eastAsia" w:ascii="宋体" w:hAnsi="宋体" w:eastAsia="宋体" w:cs="宋体"/>
          <w:b/>
          <w:color w:val="auto"/>
          <w:sz w:val="24"/>
          <w:highlight w:val="none"/>
        </w:rPr>
      </w:pPr>
    </w:p>
    <w:p w14:paraId="5C612D8D">
      <w:pPr>
        <w:pStyle w:val="2"/>
        <w:spacing w:line="440" w:lineRule="exact"/>
        <w:ind w:left="0" w:leftChars="0" w:firstLine="482"/>
        <w:rPr>
          <w:rFonts w:hint="eastAsia" w:ascii="宋体" w:hAnsi="宋体" w:eastAsia="宋体" w:cs="宋体"/>
          <w:b/>
          <w:color w:val="auto"/>
          <w:sz w:val="24"/>
          <w:highlight w:val="none"/>
        </w:rPr>
      </w:pPr>
    </w:p>
    <w:p w14:paraId="40AF5085">
      <w:pPr>
        <w:pStyle w:val="2"/>
        <w:spacing w:line="440" w:lineRule="exact"/>
        <w:ind w:left="0" w:leftChars="0" w:firstLine="482"/>
        <w:rPr>
          <w:rFonts w:hint="eastAsia" w:ascii="宋体" w:hAnsi="宋体" w:eastAsia="宋体" w:cs="宋体"/>
          <w:b/>
          <w:color w:val="auto"/>
          <w:sz w:val="24"/>
          <w:highlight w:val="none"/>
        </w:rPr>
      </w:pPr>
    </w:p>
    <w:p w14:paraId="2CF884B6">
      <w:pPr>
        <w:pStyle w:val="2"/>
        <w:spacing w:line="440" w:lineRule="exact"/>
        <w:ind w:left="0" w:leftChars="0" w:firstLine="482"/>
        <w:rPr>
          <w:rFonts w:hint="eastAsia" w:ascii="宋体" w:hAnsi="宋体" w:eastAsia="宋体" w:cs="宋体"/>
          <w:b/>
          <w:color w:val="auto"/>
          <w:sz w:val="24"/>
          <w:highlight w:val="none"/>
        </w:rPr>
      </w:pPr>
    </w:p>
    <w:p w14:paraId="4968BCED">
      <w:pPr>
        <w:pStyle w:val="2"/>
        <w:spacing w:line="440" w:lineRule="exact"/>
        <w:ind w:left="0" w:leftChars="0" w:firstLine="482"/>
        <w:rPr>
          <w:rFonts w:hint="eastAsia" w:ascii="宋体" w:hAnsi="宋体" w:eastAsia="宋体" w:cs="宋体"/>
          <w:b/>
          <w:color w:val="auto"/>
          <w:sz w:val="24"/>
          <w:highlight w:val="none"/>
        </w:rPr>
      </w:pPr>
    </w:p>
    <w:p w14:paraId="33F7AFC7">
      <w:pPr>
        <w:pStyle w:val="2"/>
        <w:spacing w:line="440" w:lineRule="exact"/>
        <w:ind w:left="0" w:leftChars="0" w:firstLine="482"/>
        <w:rPr>
          <w:rFonts w:hint="eastAsia" w:ascii="宋体" w:hAnsi="宋体" w:eastAsia="宋体" w:cs="宋体"/>
          <w:b/>
          <w:color w:val="auto"/>
          <w:sz w:val="24"/>
          <w:highlight w:val="none"/>
        </w:rPr>
      </w:pPr>
    </w:p>
    <w:p w14:paraId="72ECA6C7">
      <w:pPr>
        <w:pStyle w:val="2"/>
        <w:spacing w:line="440" w:lineRule="exact"/>
        <w:ind w:left="0" w:leftChars="0" w:firstLine="482"/>
        <w:rPr>
          <w:rFonts w:hint="eastAsia" w:ascii="宋体" w:hAnsi="宋体" w:eastAsia="宋体" w:cs="宋体"/>
          <w:b/>
          <w:color w:val="auto"/>
          <w:sz w:val="24"/>
          <w:highlight w:val="none"/>
        </w:rPr>
      </w:pPr>
    </w:p>
    <w:p w14:paraId="3AA8FE72">
      <w:pPr>
        <w:pStyle w:val="2"/>
        <w:spacing w:line="440" w:lineRule="exact"/>
        <w:ind w:left="0" w:leftChars="0" w:firstLine="482"/>
        <w:rPr>
          <w:rFonts w:hint="eastAsia" w:ascii="宋体" w:hAnsi="宋体" w:eastAsia="宋体" w:cs="宋体"/>
          <w:b/>
          <w:color w:val="auto"/>
          <w:sz w:val="24"/>
          <w:highlight w:val="none"/>
        </w:rPr>
      </w:pPr>
    </w:p>
    <w:p w14:paraId="14A93046">
      <w:pPr>
        <w:pStyle w:val="2"/>
        <w:spacing w:line="440" w:lineRule="exact"/>
        <w:ind w:left="0" w:leftChars="0" w:firstLine="482"/>
        <w:rPr>
          <w:rFonts w:hint="eastAsia" w:ascii="宋体" w:hAnsi="宋体" w:eastAsia="宋体" w:cs="宋体"/>
          <w:b/>
          <w:color w:val="auto"/>
          <w:sz w:val="24"/>
          <w:highlight w:val="none"/>
        </w:rPr>
      </w:pPr>
    </w:p>
    <w:p w14:paraId="76A65EBD">
      <w:pPr>
        <w:rPr>
          <w:rFonts w:hint="eastAsia" w:ascii="宋体" w:hAnsi="宋体" w:eastAsia="宋体" w:cs="宋体"/>
          <w:b/>
          <w:color w:val="auto"/>
          <w:kern w:val="0"/>
          <w:sz w:val="36"/>
          <w:szCs w:val="36"/>
          <w:highlight w:val="none"/>
        </w:rPr>
      </w:pPr>
      <w:bookmarkStart w:id="477" w:name="_Toc26070"/>
      <w:bookmarkStart w:id="478" w:name="_Toc167700929"/>
      <w:r>
        <w:rPr>
          <w:rFonts w:hint="eastAsia" w:ascii="宋体" w:hAnsi="宋体" w:eastAsia="宋体" w:cs="宋体"/>
          <w:b/>
          <w:color w:val="auto"/>
          <w:kern w:val="0"/>
          <w:sz w:val="36"/>
          <w:szCs w:val="36"/>
          <w:highlight w:val="none"/>
        </w:rPr>
        <w:br w:type="page"/>
      </w:r>
    </w:p>
    <w:p w14:paraId="050E7D80">
      <w:pPr>
        <w:keepNext/>
        <w:spacing w:line="216"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bookmarkEnd w:id="477"/>
      <w:bookmarkEnd w:id="478"/>
    </w:p>
    <w:p w14:paraId="3C730415">
      <w:pPr>
        <w:spacing w:line="360" w:lineRule="auto"/>
        <w:jc w:val="center"/>
        <w:rPr>
          <w:rFonts w:hint="eastAsia" w:ascii="宋体" w:hAnsi="宋体" w:eastAsia="宋体" w:cs="宋体"/>
          <w:b/>
          <w:color w:val="auto"/>
          <w:kern w:val="0"/>
          <w:sz w:val="36"/>
          <w:szCs w:val="36"/>
          <w:highlight w:val="none"/>
        </w:rPr>
      </w:pPr>
    </w:p>
    <w:p w14:paraId="06D01683">
      <w:pPr>
        <w:spacing w:line="360" w:lineRule="auto"/>
        <w:jc w:val="center"/>
        <w:rPr>
          <w:rFonts w:hint="eastAsia" w:ascii="宋体" w:hAnsi="宋体" w:eastAsia="宋体" w:cs="宋体"/>
          <w:b/>
          <w:color w:val="auto"/>
          <w:kern w:val="0"/>
          <w:sz w:val="36"/>
          <w:szCs w:val="36"/>
          <w:highlight w:val="none"/>
        </w:rPr>
      </w:pPr>
      <w:bookmarkStart w:id="479" w:name="_Toc165741246"/>
      <w:bookmarkStart w:id="480" w:name="_Toc97735539"/>
      <w:r>
        <w:rPr>
          <w:rFonts w:hint="eastAsia" w:ascii="宋体" w:hAnsi="宋体" w:eastAsia="宋体" w:cs="宋体"/>
          <w:b/>
          <w:color w:val="auto"/>
          <w:kern w:val="0"/>
          <w:sz w:val="36"/>
          <w:szCs w:val="36"/>
          <w:highlight w:val="none"/>
        </w:rPr>
        <w:t>目录</w:t>
      </w:r>
    </w:p>
    <w:p w14:paraId="1E95538C">
      <w:pPr>
        <w:numPr>
          <w:ilvl w:val="0"/>
          <w:numId w:val="57"/>
        </w:numPr>
        <w:adjustRightInd w:val="0"/>
        <w:spacing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w:t>
      </w:r>
      <w:bookmarkEnd w:id="479"/>
      <w:bookmarkEnd w:id="480"/>
      <w:r>
        <w:rPr>
          <w:rFonts w:hint="eastAsia" w:ascii="宋体" w:hAnsi="宋体" w:eastAsia="宋体" w:cs="宋体"/>
          <w:color w:val="auto"/>
          <w:sz w:val="24"/>
          <w:highlight w:val="none"/>
        </w:rPr>
        <w:t>表人授权书（格式见附件）；如法定代表人直接参加投标并对相应文件签字的（签字是指线下签字扫描后上传或者线上进行电子签章），只需提供其身份证复印件，否则则应提供授权代表身份证复印件；</w:t>
      </w:r>
    </w:p>
    <w:p w14:paraId="5573BEC6">
      <w:pPr>
        <w:numPr>
          <w:ilvl w:val="0"/>
          <w:numId w:val="57"/>
        </w:numPr>
        <w:adjustRightInd w:val="0"/>
        <w:spacing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214C537">
      <w:pPr>
        <w:adjustRightInd w:val="0"/>
        <w:spacing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非政府采购活动，由单位负责人签署相关文件材料；</w:t>
      </w:r>
    </w:p>
    <w:p w14:paraId="147210D7">
      <w:pPr>
        <w:numPr>
          <w:ilvl w:val="0"/>
          <w:numId w:val="57"/>
        </w:numPr>
        <w:adjustRightInd w:val="0"/>
        <w:spacing w:after="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具有履行合同所必需的产品和专业技术能力的承诺函；</w:t>
      </w:r>
    </w:p>
    <w:p w14:paraId="30CF7A6B">
      <w:pPr>
        <w:numPr>
          <w:ilvl w:val="0"/>
          <w:numId w:val="57"/>
        </w:numPr>
        <w:adjustRightInd w:val="0"/>
        <w:spacing w:after="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投标人承诺函（格式见附件）。</w:t>
      </w:r>
    </w:p>
    <w:p w14:paraId="1C97AB51">
      <w:pPr>
        <w:pStyle w:val="2"/>
        <w:spacing w:line="440" w:lineRule="exact"/>
        <w:ind w:left="0" w:leftChars="0" w:firstLine="480"/>
        <w:rPr>
          <w:rFonts w:hint="eastAsia" w:ascii="宋体" w:hAnsi="宋体" w:eastAsia="宋体" w:cs="宋体"/>
          <w:color w:val="auto"/>
          <w:sz w:val="24"/>
          <w:highlight w:val="none"/>
        </w:rPr>
      </w:pPr>
    </w:p>
    <w:p w14:paraId="2531718F">
      <w:pPr>
        <w:pStyle w:val="2"/>
        <w:spacing w:line="440" w:lineRule="exact"/>
        <w:ind w:left="0" w:leftChars="0" w:firstLine="480"/>
        <w:rPr>
          <w:rFonts w:hint="eastAsia" w:ascii="宋体" w:hAnsi="宋体" w:eastAsia="宋体" w:cs="宋体"/>
          <w:color w:val="auto"/>
          <w:sz w:val="24"/>
          <w:highlight w:val="none"/>
        </w:rPr>
      </w:pPr>
    </w:p>
    <w:p w14:paraId="3F1456F5">
      <w:pPr>
        <w:pStyle w:val="2"/>
        <w:spacing w:line="440" w:lineRule="exact"/>
        <w:ind w:left="0" w:leftChars="0" w:firstLine="480"/>
        <w:rPr>
          <w:rFonts w:hint="eastAsia" w:ascii="宋体" w:hAnsi="宋体" w:eastAsia="宋体" w:cs="宋体"/>
          <w:color w:val="auto"/>
          <w:sz w:val="24"/>
          <w:highlight w:val="none"/>
        </w:rPr>
      </w:pPr>
    </w:p>
    <w:p w14:paraId="0E0B86AF">
      <w:pPr>
        <w:pStyle w:val="2"/>
        <w:spacing w:line="440" w:lineRule="exact"/>
        <w:ind w:left="0" w:leftChars="0" w:firstLine="480"/>
        <w:rPr>
          <w:rFonts w:hint="eastAsia" w:ascii="宋体" w:hAnsi="宋体" w:eastAsia="宋体" w:cs="宋体"/>
          <w:color w:val="auto"/>
          <w:sz w:val="24"/>
          <w:highlight w:val="none"/>
        </w:rPr>
      </w:pPr>
    </w:p>
    <w:p w14:paraId="578124FA">
      <w:pPr>
        <w:pStyle w:val="2"/>
        <w:spacing w:line="440" w:lineRule="exact"/>
        <w:ind w:left="0" w:leftChars="0" w:firstLine="480"/>
        <w:rPr>
          <w:rFonts w:hint="eastAsia" w:ascii="宋体" w:hAnsi="宋体" w:eastAsia="宋体" w:cs="宋体"/>
          <w:color w:val="auto"/>
          <w:sz w:val="24"/>
          <w:highlight w:val="none"/>
        </w:rPr>
      </w:pPr>
    </w:p>
    <w:p w14:paraId="2B2BAC31">
      <w:pPr>
        <w:pStyle w:val="2"/>
        <w:spacing w:line="440" w:lineRule="exact"/>
        <w:ind w:left="0" w:leftChars="0" w:firstLine="480"/>
        <w:rPr>
          <w:rFonts w:hint="eastAsia" w:ascii="宋体" w:hAnsi="宋体" w:eastAsia="宋体" w:cs="宋体"/>
          <w:color w:val="auto"/>
          <w:sz w:val="24"/>
          <w:highlight w:val="none"/>
        </w:rPr>
      </w:pPr>
    </w:p>
    <w:p w14:paraId="4E07B34E">
      <w:pPr>
        <w:pStyle w:val="2"/>
        <w:spacing w:line="440" w:lineRule="exact"/>
        <w:ind w:left="0" w:leftChars="0" w:firstLine="480"/>
        <w:rPr>
          <w:rFonts w:hint="eastAsia" w:ascii="宋体" w:hAnsi="宋体" w:eastAsia="宋体" w:cs="宋体"/>
          <w:color w:val="auto"/>
          <w:sz w:val="24"/>
          <w:highlight w:val="none"/>
        </w:rPr>
      </w:pPr>
    </w:p>
    <w:p w14:paraId="7D319AA1">
      <w:pPr>
        <w:pStyle w:val="2"/>
        <w:spacing w:line="440" w:lineRule="exact"/>
        <w:ind w:left="0" w:leftChars="0" w:firstLine="480"/>
        <w:rPr>
          <w:rFonts w:hint="eastAsia" w:ascii="宋体" w:hAnsi="宋体" w:eastAsia="宋体" w:cs="宋体"/>
          <w:color w:val="auto"/>
          <w:sz w:val="24"/>
          <w:highlight w:val="none"/>
        </w:rPr>
      </w:pPr>
    </w:p>
    <w:p w14:paraId="71565EB8">
      <w:pPr>
        <w:pStyle w:val="2"/>
        <w:spacing w:line="440" w:lineRule="exact"/>
        <w:ind w:left="0" w:leftChars="0" w:firstLine="480"/>
        <w:rPr>
          <w:rFonts w:hint="eastAsia" w:ascii="宋体" w:hAnsi="宋体" w:eastAsia="宋体" w:cs="宋体"/>
          <w:color w:val="auto"/>
          <w:sz w:val="24"/>
          <w:highlight w:val="none"/>
        </w:rPr>
      </w:pPr>
    </w:p>
    <w:p w14:paraId="5BBC7BE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附件一</w:t>
      </w:r>
      <w:bookmarkStart w:id="481" w:name="_Toc24699"/>
      <w:r>
        <w:rPr>
          <w:rFonts w:hint="eastAsia" w:ascii="宋体" w:hAnsi="宋体" w:eastAsia="宋体" w:cs="宋体"/>
          <w:b/>
          <w:color w:val="auto"/>
          <w:sz w:val="24"/>
          <w:highlight w:val="none"/>
        </w:rPr>
        <w:t>：</w:t>
      </w:r>
    </w:p>
    <w:p w14:paraId="3036EAF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p>
    <w:p w14:paraId="6A24EE73">
      <w:pPr>
        <w:spacing w:line="360" w:lineRule="auto"/>
        <w:ind w:firstLine="420"/>
        <w:rPr>
          <w:rFonts w:hint="eastAsia" w:ascii="宋体" w:hAnsi="宋体" w:eastAsia="宋体" w:cs="宋体"/>
          <w:color w:val="auto"/>
          <w:szCs w:val="20"/>
          <w:highlight w:val="none"/>
        </w:rPr>
      </w:pPr>
    </w:p>
    <w:bookmarkEnd w:id="481"/>
    <w:p w14:paraId="26D650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绍兴市上虞区水环环保科技有限公司：</w:t>
      </w:r>
    </w:p>
    <w:p w14:paraId="3B9A46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浙江省房地产管理咨询有限公司</w:t>
      </w:r>
      <w:r>
        <w:rPr>
          <w:rFonts w:hint="eastAsia" w:ascii="宋体" w:hAnsi="宋体" w:eastAsia="宋体" w:cs="宋体"/>
          <w:color w:val="auto"/>
          <w:sz w:val="24"/>
          <w:highlight w:val="none"/>
        </w:rPr>
        <w:t>：</w:t>
      </w:r>
    </w:p>
    <w:p w14:paraId="420BB0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（投标人全称）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（授权代表名称）</w:t>
      </w:r>
      <w:r>
        <w:rPr>
          <w:rFonts w:hint="eastAsia" w:ascii="宋体" w:hAnsi="宋体" w:eastAsia="宋体" w:cs="宋体"/>
          <w:color w:val="auto"/>
          <w:sz w:val="24"/>
          <w:highlight w:val="none"/>
        </w:rPr>
        <w:t>为授权代表，参加贵处组织的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u w:val="single"/>
        </w:rPr>
        <w:t>（括号内填写招标编号）</w:t>
      </w:r>
      <w:r>
        <w:rPr>
          <w:rFonts w:hint="eastAsia" w:ascii="宋体" w:hAnsi="宋体" w:eastAsia="宋体" w:cs="宋体"/>
          <w:color w:val="auto"/>
          <w:sz w:val="24"/>
          <w:highlight w:val="none"/>
        </w:rPr>
        <w:t>，授权处理招投标活动中的一切事宜。</w:t>
      </w:r>
    </w:p>
    <w:p w14:paraId="400CEF98">
      <w:pPr>
        <w:spacing w:line="360" w:lineRule="auto"/>
        <w:ind w:firstLine="480" w:firstLineChars="200"/>
        <w:rPr>
          <w:rFonts w:hint="eastAsia" w:ascii="宋体" w:hAnsi="宋体" w:eastAsia="宋体" w:cs="宋体"/>
          <w:color w:val="auto"/>
          <w:sz w:val="24"/>
          <w:highlight w:val="none"/>
        </w:rPr>
      </w:pPr>
    </w:p>
    <w:p w14:paraId="690600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4202C1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投标人全称：（盖章）</w:t>
      </w:r>
    </w:p>
    <w:p w14:paraId="7AA7A7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D1E4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2636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授权代表姓名：</w:t>
      </w:r>
    </w:p>
    <w:p w14:paraId="6CC15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14:paraId="3AB78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45D23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CBB67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77DA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56643807">
      <w:pPr>
        <w:snapToGrid w:val="0"/>
        <w:spacing w:line="360" w:lineRule="auto"/>
        <w:rPr>
          <w:rFonts w:hint="eastAsia" w:ascii="宋体" w:hAnsi="宋体" w:eastAsia="宋体" w:cs="宋体"/>
          <w:color w:val="auto"/>
          <w:sz w:val="24"/>
          <w:szCs w:val="21"/>
          <w:highlight w:val="none"/>
        </w:rPr>
      </w:pPr>
    </w:p>
    <w:p w14:paraId="628A0E77">
      <w:pPr>
        <w:snapToGrid w:val="0"/>
        <w:spacing w:line="360" w:lineRule="auto"/>
        <w:rPr>
          <w:rFonts w:hint="eastAsia" w:ascii="宋体" w:hAnsi="宋体" w:eastAsia="宋体" w:cs="宋体"/>
          <w:color w:val="auto"/>
          <w:sz w:val="24"/>
          <w:szCs w:val="21"/>
          <w:highlight w:val="none"/>
        </w:rPr>
      </w:pPr>
    </w:p>
    <w:p w14:paraId="7DC07BA9">
      <w:pPr>
        <w:snapToGrid w:val="0"/>
        <w:spacing w:line="360" w:lineRule="auto"/>
        <w:rPr>
          <w:rFonts w:hint="eastAsia" w:ascii="宋体" w:hAnsi="宋体" w:eastAsia="宋体" w:cs="宋体"/>
          <w:color w:val="auto"/>
          <w:sz w:val="24"/>
          <w:szCs w:val="21"/>
          <w:highlight w:val="none"/>
        </w:rPr>
      </w:pPr>
    </w:p>
    <w:p w14:paraId="65D94519">
      <w:pPr>
        <w:pStyle w:val="2"/>
        <w:spacing w:line="440" w:lineRule="exact"/>
        <w:ind w:left="0" w:leftChars="0"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附：授权代表身份证扫描件（正反面）</w:t>
      </w:r>
    </w:p>
    <w:p w14:paraId="137A0D41">
      <w:pPr>
        <w:pStyle w:val="2"/>
        <w:spacing w:line="440" w:lineRule="exact"/>
        <w:ind w:left="0" w:leftChars="0" w:firstLine="482"/>
        <w:rPr>
          <w:rFonts w:hint="eastAsia" w:ascii="宋体" w:hAnsi="宋体" w:eastAsia="宋体" w:cs="宋体"/>
          <w:b/>
          <w:color w:val="auto"/>
          <w:sz w:val="24"/>
          <w:highlight w:val="none"/>
        </w:rPr>
      </w:pPr>
    </w:p>
    <w:p w14:paraId="4E667C48">
      <w:pPr>
        <w:pStyle w:val="2"/>
        <w:spacing w:line="440" w:lineRule="exact"/>
        <w:ind w:left="0" w:leftChars="0" w:firstLine="482"/>
        <w:rPr>
          <w:rFonts w:hint="eastAsia" w:ascii="宋体" w:hAnsi="宋体" w:eastAsia="宋体" w:cs="宋体"/>
          <w:b/>
          <w:color w:val="auto"/>
          <w:sz w:val="24"/>
          <w:highlight w:val="none"/>
        </w:rPr>
      </w:pPr>
    </w:p>
    <w:p w14:paraId="69391A91">
      <w:pPr>
        <w:pStyle w:val="2"/>
        <w:spacing w:line="440" w:lineRule="exact"/>
        <w:ind w:left="0" w:leftChars="0" w:firstLine="482"/>
        <w:rPr>
          <w:rFonts w:hint="eastAsia" w:ascii="宋体" w:hAnsi="宋体" w:eastAsia="宋体" w:cs="宋体"/>
          <w:b/>
          <w:color w:val="auto"/>
          <w:sz w:val="24"/>
          <w:highlight w:val="none"/>
        </w:rPr>
      </w:pPr>
    </w:p>
    <w:p w14:paraId="6DDEC3AE">
      <w:pPr>
        <w:pStyle w:val="2"/>
        <w:spacing w:line="440" w:lineRule="exact"/>
        <w:ind w:left="0" w:leftChars="0" w:firstLine="482"/>
        <w:rPr>
          <w:rFonts w:hint="eastAsia" w:ascii="宋体" w:hAnsi="宋体" w:eastAsia="宋体" w:cs="宋体"/>
          <w:b/>
          <w:color w:val="auto"/>
          <w:sz w:val="24"/>
          <w:highlight w:val="none"/>
        </w:rPr>
      </w:pPr>
    </w:p>
    <w:p w14:paraId="0EF4DF7D">
      <w:pPr>
        <w:pStyle w:val="2"/>
        <w:spacing w:line="440" w:lineRule="exact"/>
        <w:ind w:left="0" w:leftChars="0" w:firstLine="482"/>
        <w:rPr>
          <w:rFonts w:hint="eastAsia" w:ascii="宋体" w:hAnsi="宋体" w:eastAsia="宋体" w:cs="宋体"/>
          <w:b/>
          <w:color w:val="auto"/>
          <w:sz w:val="24"/>
          <w:highlight w:val="none"/>
        </w:rPr>
      </w:pPr>
    </w:p>
    <w:p w14:paraId="4B31B7EA">
      <w:pPr>
        <w:pStyle w:val="2"/>
        <w:spacing w:line="440" w:lineRule="exact"/>
        <w:ind w:left="0" w:leftChars="0" w:firstLine="482"/>
        <w:rPr>
          <w:rFonts w:hint="eastAsia" w:ascii="宋体" w:hAnsi="宋体" w:eastAsia="宋体" w:cs="宋体"/>
          <w:b/>
          <w:color w:val="auto"/>
          <w:sz w:val="24"/>
          <w:highlight w:val="none"/>
        </w:rPr>
      </w:pPr>
    </w:p>
    <w:p w14:paraId="555CC812">
      <w:pP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附件二：</w:t>
      </w:r>
    </w:p>
    <w:p w14:paraId="70F152B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投标人承诺函</w:t>
      </w:r>
    </w:p>
    <w:p w14:paraId="62DEBA4B">
      <w:pPr>
        <w:spacing w:line="360" w:lineRule="auto"/>
        <w:ind w:firstLine="420" w:firstLineChars="200"/>
        <w:rPr>
          <w:rFonts w:hint="eastAsia" w:ascii="宋体" w:hAnsi="宋体" w:eastAsia="宋体" w:cs="宋体"/>
          <w:color w:val="auto"/>
          <w:highlight w:val="none"/>
        </w:rPr>
      </w:pPr>
    </w:p>
    <w:p w14:paraId="3F279B4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绍兴市上虞区水环环保科技有限公司：</w:t>
      </w:r>
    </w:p>
    <w:p w14:paraId="01BC779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浙江省房地产管理咨询有限公司</w:t>
      </w:r>
      <w:r>
        <w:rPr>
          <w:rFonts w:hint="eastAsia" w:ascii="宋体" w:hAnsi="宋体" w:eastAsia="宋体" w:cs="宋体"/>
          <w:color w:val="auto"/>
          <w:sz w:val="24"/>
          <w:highlight w:val="none"/>
        </w:rPr>
        <w:t>：</w:t>
      </w:r>
    </w:p>
    <w:p w14:paraId="383A6F9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313AF0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的投标，为此，我方就本次投标有关事项郑重承诺如下：</w:t>
      </w:r>
    </w:p>
    <w:p w14:paraId="2C0538E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0E41B65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576EC79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6153C2A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15FFA3A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14A8CDE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2FA9305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DFFBD87">
      <w:pPr>
        <w:adjustRightInd w:val="0"/>
        <w:spacing w:after="120"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8、</w:t>
      </w:r>
      <w:r>
        <w:rPr>
          <w:rFonts w:hint="eastAsia" w:ascii="宋体" w:hAnsi="宋体" w:eastAsia="宋体" w:cs="宋体"/>
          <w:color w:val="auto"/>
          <w:sz w:val="24"/>
          <w:highlight w:val="none"/>
        </w:rPr>
        <w:t>具有良好的商业信誉和健全的财务会计制度；</w:t>
      </w:r>
    </w:p>
    <w:p w14:paraId="325B89E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9、具有依法缴纳税收和社会保障资金的良好记录；</w:t>
      </w:r>
    </w:p>
    <w:p w14:paraId="7B67D821">
      <w:pPr>
        <w:spacing w:after="120" w:line="500" w:lineRule="exact"/>
        <w:ind w:firstLine="360" w:firstLineChars="150"/>
        <w:rPr>
          <w:rFonts w:hint="eastAsia" w:ascii="宋体" w:hAnsi="宋体" w:eastAsia="宋体" w:cs="宋体"/>
          <w:color w:val="auto"/>
          <w:highlight w:val="none"/>
        </w:rPr>
      </w:pPr>
      <w:r>
        <w:rPr>
          <w:rFonts w:hint="eastAsia" w:ascii="宋体" w:hAnsi="宋体" w:eastAsia="宋体" w:cs="宋体"/>
          <w:color w:val="auto"/>
          <w:sz w:val="24"/>
          <w:highlight w:val="none"/>
        </w:rPr>
        <w:t>10、以上事项如有虚假或隐瞒，我方愿意承担一切后果，并不再寻求任何旨在减轻或免除法律责任的辩解。</w:t>
      </w:r>
    </w:p>
    <w:p w14:paraId="20746880">
      <w:pPr>
        <w:spacing w:after="120"/>
        <w:ind w:left="420" w:leftChars="200"/>
        <w:rPr>
          <w:rFonts w:hint="eastAsia" w:ascii="宋体" w:hAnsi="宋体" w:eastAsia="宋体" w:cs="宋体"/>
          <w:color w:val="auto"/>
          <w:highlight w:val="none"/>
        </w:rPr>
      </w:pPr>
    </w:p>
    <w:p w14:paraId="64E93517">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0FD00C5F">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1B594EC">
      <w:pPr>
        <w:pStyle w:val="2"/>
        <w:spacing w:line="440" w:lineRule="exact"/>
        <w:ind w:left="0" w:leftChars="0" w:firstLine="4200" w:firstLineChars="1750"/>
        <w:rPr>
          <w:rFonts w:hint="eastAsia" w:ascii="宋体" w:hAnsi="宋体" w:eastAsia="宋体" w:cs="宋体"/>
          <w:b/>
          <w:color w:val="auto"/>
          <w:sz w:val="24"/>
          <w:highlight w:val="none"/>
        </w:rPr>
      </w:pPr>
      <w:r>
        <w:rPr>
          <w:rFonts w:hint="eastAsia" w:ascii="宋体" w:hAnsi="宋体" w:eastAsia="宋体" w:cs="宋体"/>
          <w:color w:val="auto"/>
          <w:sz w:val="24"/>
          <w:highlight w:val="none"/>
        </w:rPr>
        <w:t>投标人全称（公章）：</w:t>
      </w:r>
    </w:p>
    <w:p w14:paraId="7E61F4D7">
      <w:pPr>
        <w:pStyle w:val="2"/>
        <w:spacing w:line="440" w:lineRule="exact"/>
        <w:ind w:left="0" w:leftChars="0" w:firstLine="482"/>
        <w:rPr>
          <w:rFonts w:hint="eastAsia" w:ascii="宋体" w:hAnsi="宋体" w:eastAsia="宋体" w:cs="宋体"/>
          <w:b/>
          <w:color w:val="auto"/>
          <w:sz w:val="24"/>
          <w:highlight w:val="none"/>
        </w:rPr>
      </w:pPr>
    </w:p>
    <w:p w14:paraId="1AD2DBF5">
      <w:pPr>
        <w:keepNext/>
        <w:spacing w:line="216" w:lineRule="auto"/>
        <w:jc w:val="center"/>
        <w:outlineLvl w:val="1"/>
        <w:rPr>
          <w:rFonts w:hint="eastAsia" w:ascii="宋体" w:hAnsi="宋体" w:eastAsia="宋体" w:cs="宋体"/>
          <w:b/>
          <w:color w:val="auto"/>
          <w:kern w:val="0"/>
          <w:sz w:val="36"/>
          <w:szCs w:val="36"/>
          <w:highlight w:val="none"/>
        </w:rPr>
      </w:pPr>
      <w:bookmarkStart w:id="482" w:name="_Toc23822"/>
      <w:bookmarkStart w:id="483" w:name="_Toc167700930"/>
      <w:r>
        <w:rPr>
          <w:rFonts w:hint="eastAsia" w:ascii="宋体" w:hAnsi="宋体" w:eastAsia="宋体" w:cs="宋体"/>
          <w:b/>
          <w:color w:val="auto"/>
          <w:kern w:val="0"/>
          <w:sz w:val="36"/>
          <w:szCs w:val="36"/>
          <w:highlight w:val="none"/>
        </w:rPr>
        <w:t>技术文件</w:t>
      </w:r>
      <w:bookmarkEnd w:id="482"/>
      <w:bookmarkEnd w:id="483"/>
    </w:p>
    <w:p w14:paraId="58B63A6B">
      <w:pPr>
        <w:spacing w:line="360" w:lineRule="auto"/>
        <w:jc w:val="center"/>
        <w:rPr>
          <w:rFonts w:hint="eastAsia" w:ascii="宋体" w:hAnsi="宋体" w:eastAsia="宋体" w:cs="宋体"/>
          <w:b/>
          <w:color w:val="auto"/>
          <w:kern w:val="0"/>
          <w:sz w:val="36"/>
          <w:szCs w:val="36"/>
          <w:highlight w:val="none"/>
        </w:rPr>
      </w:pPr>
    </w:p>
    <w:p w14:paraId="4351ACF3">
      <w:pPr>
        <w:pStyle w:val="2"/>
        <w:spacing w:line="44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bookmarkStart w:id="484" w:name="_Toc97735540"/>
      <w:bookmarkStart w:id="485" w:name="_Toc165741247"/>
    </w:p>
    <w:bookmarkEnd w:id="484"/>
    <w:bookmarkEnd w:id="485"/>
    <w:p w14:paraId="0B331429">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评分对应表（格式见附件，主要用于评委对应评分内容）</w:t>
      </w:r>
    </w:p>
    <w:p w14:paraId="70B5490A">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投标项目明细清单（格式见附件）；</w:t>
      </w:r>
    </w:p>
    <w:p w14:paraId="25B6B7B3">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技术响应及建议表（格式见附件）；</w:t>
      </w:r>
    </w:p>
    <w:p w14:paraId="56374535">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技术</w:t>
      </w:r>
      <w:r>
        <w:rPr>
          <w:rFonts w:hint="eastAsia" w:ascii="宋体" w:hAnsi="宋体" w:eastAsia="宋体" w:cs="宋体"/>
          <w:color w:val="auto"/>
          <w:sz w:val="24"/>
          <w:szCs w:val="24"/>
          <w:highlight w:val="none"/>
          <w:lang w:val="en-US" w:eastAsia="zh-CN"/>
        </w:rPr>
        <w:t>指标要求；</w:t>
      </w:r>
    </w:p>
    <w:p w14:paraId="3E06F74A">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组织实施方案和技术措施</w:t>
      </w:r>
      <w:r>
        <w:rPr>
          <w:rFonts w:hint="eastAsia" w:ascii="宋体" w:hAnsi="宋体" w:eastAsia="宋体" w:cs="宋体"/>
          <w:color w:val="auto"/>
          <w:sz w:val="24"/>
          <w:szCs w:val="24"/>
          <w:highlight w:val="none"/>
        </w:rPr>
        <w:t>；</w:t>
      </w:r>
    </w:p>
    <w:p w14:paraId="03B41AF4">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w:t>
      </w:r>
      <w:r>
        <w:rPr>
          <w:rFonts w:hint="eastAsia" w:ascii="宋体" w:hAnsi="宋体" w:eastAsia="宋体" w:cs="宋体"/>
          <w:color w:val="auto"/>
          <w:sz w:val="24"/>
          <w:szCs w:val="24"/>
          <w:highlight w:val="none"/>
        </w:rPr>
        <w:t>；</w:t>
      </w:r>
    </w:p>
    <w:p w14:paraId="0B11ACCF">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安全服务技术方案；</w:t>
      </w:r>
    </w:p>
    <w:p w14:paraId="60249F5B">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数据安全保障</w:t>
      </w:r>
      <w:r>
        <w:rPr>
          <w:rFonts w:hint="eastAsia" w:ascii="宋体" w:hAnsi="宋体" w:eastAsia="宋体" w:cs="宋体"/>
          <w:color w:val="auto"/>
          <w:sz w:val="24"/>
          <w:szCs w:val="24"/>
          <w:highlight w:val="none"/>
          <w:lang w:eastAsia="zh-CN"/>
        </w:rPr>
        <w:t>；</w:t>
      </w:r>
    </w:p>
    <w:p w14:paraId="7D55D177">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p>
    <w:p w14:paraId="5BB3E699">
      <w:pPr>
        <w:numPr>
          <w:ilvl w:val="0"/>
          <w:numId w:val="58"/>
        </w:numPr>
        <w:adjustRightInd w:val="0"/>
        <w:spacing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供应商认为需要的其他文件资料。</w:t>
      </w:r>
    </w:p>
    <w:p w14:paraId="4B9D87AD">
      <w:pPr>
        <w:pStyle w:val="2"/>
        <w:spacing w:line="440" w:lineRule="exact"/>
        <w:ind w:firstLine="480"/>
        <w:rPr>
          <w:rFonts w:hint="eastAsia" w:ascii="宋体" w:hAnsi="宋体" w:eastAsia="宋体" w:cs="宋体"/>
          <w:color w:val="auto"/>
          <w:sz w:val="24"/>
          <w:highlight w:val="none"/>
        </w:rPr>
      </w:pPr>
    </w:p>
    <w:p w14:paraId="2263B22D">
      <w:pPr>
        <w:pStyle w:val="2"/>
        <w:spacing w:line="440" w:lineRule="exact"/>
        <w:ind w:left="0" w:leftChars="0" w:firstLine="480"/>
        <w:rPr>
          <w:rFonts w:hint="eastAsia" w:ascii="宋体" w:hAnsi="宋体" w:eastAsia="宋体" w:cs="宋体"/>
          <w:color w:val="auto"/>
          <w:sz w:val="24"/>
          <w:highlight w:val="none"/>
        </w:rPr>
      </w:pPr>
    </w:p>
    <w:p w14:paraId="0144DF59">
      <w:pPr>
        <w:pStyle w:val="2"/>
        <w:spacing w:line="440" w:lineRule="exact"/>
        <w:ind w:left="0" w:leftChars="0" w:firstLine="480"/>
        <w:rPr>
          <w:rFonts w:hint="eastAsia" w:ascii="宋体" w:hAnsi="宋体" w:eastAsia="宋体" w:cs="宋体"/>
          <w:color w:val="auto"/>
          <w:sz w:val="24"/>
          <w:highlight w:val="none"/>
        </w:rPr>
      </w:pPr>
    </w:p>
    <w:p w14:paraId="6EEA3200">
      <w:pPr>
        <w:pStyle w:val="2"/>
        <w:spacing w:line="440" w:lineRule="exact"/>
        <w:ind w:left="0" w:leftChars="0" w:firstLine="480"/>
        <w:rPr>
          <w:rFonts w:hint="eastAsia" w:ascii="宋体" w:hAnsi="宋体" w:eastAsia="宋体" w:cs="宋体"/>
          <w:color w:val="auto"/>
          <w:sz w:val="24"/>
          <w:highlight w:val="none"/>
        </w:rPr>
      </w:pPr>
    </w:p>
    <w:p w14:paraId="5E9C127A">
      <w:pPr>
        <w:pStyle w:val="2"/>
        <w:spacing w:line="440" w:lineRule="exact"/>
        <w:ind w:left="0" w:leftChars="0" w:firstLine="480"/>
        <w:rPr>
          <w:rFonts w:hint="eastAsia" w:ascii="宋体" w:hAnsi="宋体" w:eastAsia="宋体" w:cs="宋体"/>
          <w:color w:val="auto"/>
          <w:sz w:val="24"/>
          <w:highlight w:val="none"/>
        </w:rPr>
      </w:pPr>
    </w:p>
    <w:p w14:paraId="12985A89">
      <w:pPr>
        <w:pStyle w:val="2"/>
        <w:spacing w:line="440" w:lineRule="exact"/>
        <w:ind w:left="0" w:leftChars="0" w:firstLine="480"/>
        <w:rPr>
          <w:rFonts w:hint="eastAsia" w:ascii="宋体" w:hAnsi="宋体" w:eastAsia="宋体" w:cs="宋体"/>
          <w:color w:val="auto"/>
          <w:sz w:val="24"/>
          <w:highlight w:val="none"/>
        </w:rPr>
      </w:pPr>
    </w:p>
    <w:p w14:paraId="49BC9B50">
      <w:pPr>
        <w:pStyle w:val="2"/>
        <w:spacing w:line="440" w:lineRule="exact"/>
        <w:ind w:left="0" w:leftChars="0" w:firstLine="480"/>
        <w:rPr>
          <w:rFonts w:hint="eastAsia" w:ascii="宋体" w:hAnsi="宋体" w:eastAsia="宋体" w:cs="宋体"/>
          <w:color w:val="auto"/>
          <w:sz w:val="24"/>
          <w:highlight w:val="none"/>
        </w:rPr>
      </w:pPr>
    </w:p>
    <w:p w14:paraId="7A8D756C">
      <w:pPr>
        <w:pStyle w:val="2"/>
        <w:spacing w:line="440" w:lineRule="exact"/>
        <w:ind w:left="0" w:leftChars="0" w:firstLine="480"/>
        <w:rPr>
          <w:rFonts w:hint="eastAsia" w:ascii="宋体" w:hAnsi="宋体" w:eastAsia="宋体" w:cs="宋体"/>
          <w:color w:val="auto"/>
          <w:sz w:val="24"/>
          <w:highlight w:val="none"/>
        </w:rPr>
      </w:pPr>
    </w:p>
    <w:p w14:paraId="784D6777">
      <w:pPr>
        <w:pStyle w:val="2"/>
        <w:spacing w:line="440" w:lineRule="exact"/>
        <w:ind w:left="0" w:leftChars="0" w:firstLine="480"/>
        <w:rPr>
          <w:rFonts w:hint="eastAsia" w:ascii="宋体" w:hAnsi="宋体" w:eastAsia="宋体" w:cs="宋体"/>
          <w:color w:val="auto"/>
          <w:sz w:val="24"/>
          <w:highlight w:val="none"/>
        </w:rPr>
      </w:pPr>
    </w:p>
    <w:p w14:paraId="6F1725AC">
      <w:pPr>
        <w:rPr>
          <w:rFonts w:hint="eastAsia" w:ascii="宋体" w:hAnsi="宋体" w:eastAsia="宋体" w:cs="宋体"/>
          <w:b/>
          <w:color w:val="auto"/>
          <w:sz w:val="24"/>
          <w:highlight w:val="none"/>
        </w:rPr>
      </w:pPr>
    </w:p>
    <w:p w14:paraId="52BF073E">
      <w:pPr>
        <w:rPr>
          <w:rFonts w:hint="eastAsia" w:ascii="宋体" w:hAnsi="宋体" w:eastAsia="宋体" w:cs="宋体"/>
          <w:b/>
          <w:color w:val="auto"/>
          <w:sz w:val="24"/>
          <w:highlight w:val="none"/>
        </w:rPr>
      </w:pPr>
    </w:p>
    <w:p w14:paraId="401078C2">
      <w:pPr>
        <w:rPr>
          <w:rFonts w:hint="eastAsia" w:ascii="宋体" w:hAnsi="宋体" w:eastAsia="宋体" w:cs="宋体"/>
          <w:b/>
          <w:color w:val="auto"/>
          <w:sz w:val="24"/>
          <w:highlight w:val="none"/>
        </w:rPr>
      </w:pPr>
    </w:p>
    <w:p w14:paraId="3E9038BE">
      <w:pPr>
        <w:rPr>
          <w:rFonts w:hint="eastAsia" w:ascii="宋体" w:hAnsi="宋体" w:eastAsia="宋体" w:cs="宋体"/>
          <w:b/>
          <w:color w:val="auto"/>
          <w:sz w:val="24"/>
          <w:highlight w:val="none"/>
        </w:rPr>
      </w:pPr>
    </w:p>
    <w:p w14:paraId="4ED53D5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附件三：</w:t>
      </w:r>
    </w:p>
    <w:p w14:paraId="0E4860C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1F782737">
      <w:pPr>
        <w:snapToGrid w:val="0"/>
        <w:spacing w:before="50"/>
        <w:jc w:val="center"/>
        <w:rPr>
          <w:rFonts w:hint="eastAsia" w:ascii="宋体" w:hAnsi="宋体" w:eastAsia="宋体" w:cs="宋体"/>
          <w:b/>
          <w:color w:val="auto"/>
          <w:sz w:val="32"/>
          <w:szCs w:val="32"/>
          <w:highlight w:val="none"/>
        </w:rPr>
      </w:pPr>
    </w:p>
    <w:p w14:paraId="3F3DA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90BB8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AC27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BFC7C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B6AD0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668E7B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35E3B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70F97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对应评分办法及评分标准</w:t>
            </w:r>
          </w:p>
          <w:p w14:paraId="1C515D2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4191876E">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585DB62">
            <w:pPr>
              <w:jc w:val="center"/>
              <w:rPr>
                <w:rFonts w:hint="eastAsia" w:ascii="宋体" w:hAnsi="宋体" w:eastAsia="宋体" w:cs="宋体"/>
                <w:color w:val="auto"/>
                <w:sz w:val="24"/>
                <w:highlight w:val="none"/>
              </w:rPr>
            </w:pPr>
          </w:p>
        </w:tc>
      </w:tr>
      <w:tr w14:paraId="05D22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E6513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46BD33B5">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F83E3D6">
            <w:pPr>
              <w:jc w:val="center"/>
              <w:rPr>
                <w:rFonts w:hint="eastAsia" w:ascii="宋体" w:hAnsi="宋体" w:eastAsia="宋体" w:cs="宋体"/>
                <w:color w:val="auto"/>
                <w:sz w:val="24"/>
                <w:highlight w:val="none"/>
              </w:rPr>
            </w:pPr>
          </w:p>
        </w:tc>
      </w:tr>
      <w:tr w14:paraId="4109A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D949DCD">
            <w:pPr>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E42218">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20A4C04">
            <w:pPr>
              <w:jc w:val="center"/>
              <w:rPr>
                <w:rFonts w:hint="eastAsia" w:ascii="宋体" w:hAnsi="宋体" w:eastAsia="宋体" w:cs="宋体"/>
                <w:color w:val="auto"/>
                <w:sz w:val="24"/>
                <w:highlight w:val="none"/>
              </w:rPr>
            </w:pPr>
          </w:p>
        </w:tc>
      </w:tr>
      <w:tr w14:paraId="41D7E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F226D98">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BF800B8">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AAA452D">
            <w:pPr>
              <w:spacing w:line="360" w:lineRule="auto"/>
              <w:ind w:firstLine="480" w:firstLineChars="200"/>
              <w:jc w:val="center"/>
              <w:rPr>
                <w:rFonts w:hint="eastAsia" w:ascii="宋体" w:hAnsi="宋体" w:eastAsia="宋体" w:cs="宋体"/>
                <w:color w:val="auto"/>
                <w:sz w:val="24"/>
                <w:highlight w:val="none"/>
              </w:rPr>
            </w:pPr>
          </w:p>
        </w:tc>
      </w:tr>
      <w:tr w14:paraId="60477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5DD6B31">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8486ECB">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2E0157A">
            <w:pPr>
              <w:spacing w:line="360" w:lineRule="auto"/>
              <w:ind w:firstLine="480" w:firstLineChars="200"/>
              <w:jc w:val="center"/>
              <w:rPr>
                <w:rFonts w:hint="eastAsia" w:ascii="宋体" w:hAnsi="宋体" w:eastAsia="宋体" w:cs="宋体"/>
                <w:color w:val="auto"/>
                <w:sz w:val="24"/>
                <w:highlight w:val="none"/>
              </w:rPr>
            </w:pPr>
          </w:p>
        </w:tc>
      </w:tr>
      <w:tr w14:paraId="581BF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D1C1542">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2F8EF5D">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0AC5573">
            <w:pPr>
              <w:spacing w:line="360" w:lineRule="auto"/>
              <w:ind w:firstLine="480" w:firstLineChars="200"/>
              <w:jc w:val="center"/>
              <w:rPr>
                <w:rFonts w:hint="eastAsia" w:ascii="宋体" w:hAnsi="宋体" w:eastAsia="宋体" w:cs="宋体"/>
                <w:color w:val="auto"/>
                <w:sz w:val="24"/>
                <w:highlight w:val="none"/>
              </w:rPr>
            </w:pPr>
          </w:p>
        </w:tc>
      </w:tr>
      <w:tr w14:paraId="61AB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DA71321">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DF0F5D8">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EABA119">
            <w:pPr>
              <w:spacing w:line="360" w:lineRule="auto"/>
              <w:ind w:firstLine="480" w:firstLineChars="200"/>
              <w:jc w:val="center"/>
              <w:rPr>
                <w:rFonts w:hint="eastAsia" w:ascii="宋体" w:hAnsi="宋体" w:eastAsia="宋体" w:cs="宋体"/>
                <w:color w:val="auto"/>
                <w:sz w:val="24"/>
                <w:highlight w:val="none"/>
              </w:rPr>
            </w:pPr>
          </w:p>
        </w:tc>
      </w:tr>
      <w:tr w14:paraId="4B240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4DA0E24">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9FDBDD6">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E66C939">
            <w:pPr>
              <w:spacing w:line="360" w:lineRule="auto"/>
              <w:ind w:firstLine="480" w:firstLineChars="200"/>
              <w:jc w:val="center"/>
              <w:rPr>
                <w:rFonts w:hint="eastAsia" w:ascii="宋体" w:hAnsi="宋体" w:eastAsia="宋体" w:cs="宋体"/>
                <w:color w:val="auto"/>
                <w:sz w:val="24"/>
                <w:highlight w:val="none"/>
              </w:rPr>
            </w:pPr>
          </w:p>
        </w:tc>
      </w:tr>
      <w:tr w14:paraId="25822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2CE4793">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39A8861">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B265402">
            <w:pPr>
              <w:spacing w:line="360" w:lineRule="auto"/>
              <w:ind w:firstLine="480" w:firstLineChars="200"/>
              <w:jc w:val="center"/>
              <w:rPr>
                <w:rFonts w:hint="eastAsia" w:ascii="宋体" w:hAnsi="宋体" w:eastAsia="宋体" w:cs="宋体"/>
                <w:color w:val="auto"/>
                <w:sz w:val="24"/>
                <w:highlight w:val="none"/>
              </w:rPr>
            </w:pPr>
          </w:p>
        </w:tc>
      </w:tr>
    </w:tbl>
    <w:p w14:paraId="3D1D036F">
      <w:pPr>
        <w:spacing w:line="360" w:lineRule="auto"/>
        <w:ind w:firstLine="480" w:firstLineChars="200"/>
        <w:rPr>
          <w:rFonts w:hint="eastAsia" w:ascii="宋体" w:hAnsi="宋体" w:eastAsia="宋体" w:cs="宋体"/>
          <w:color w:val="auto"/>
          <w:sz w:val="24"/>
          <w:highlight w:val="none"/>
        </w:rPr>
      </w:pPr>
    </w:p>
    <w:p w14:paraId="1AB0CF8B">
      <w:pPr>
        <w:spacing w:line="360" w:lineRule="auto"/>
        <w:ind w:left="3780" w:leftChars="1800" w:firstLine="480" w:firstLineChars="200"/>
        <w:rPr>
          <w:rFonts w:hint="eastAsia" w:ascii="宋体" w:hAnsi="宋体" w:eastAsia="宋体" w:cs="宋体"/>
          <w:color w:val="auto"/>
          <w:sz w:val="24"/>
          <w:highlight w:val="none"/>
        </w:rPr>
      </w:pPr>
    </w:p>
    <w:p w14:paraId="3B28F013">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7702BEE3">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FE326FD">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77B8E9EC">
      <w:pPr>
        <w:pStyle w:val="2"/>
        <w:spacing w:line="440" w:lineRule="exact"/>
        <w:ind w:left="0" w:leftChars="0" w:firstLine="480"/>
        <w:rPr>
          <w:rFonts w:hint="eastAsia" w:ascii="宋体" w:hAnsi="宋体" w:eastAsia="宋体" w:cs="宋体"/>
          <w:color w:val="auto"/>
          <w:sz w:val="24"/>
          <w:highlight w:val="none"/>
        </w:rPr>
      </w:pPr>
    </w:p>
    <w:p w14:paraId="4DDF7B74">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附件四：</w:t>
      </w:r>
    </w:p>
    <w:p w14:paraId="09364007">
      <w:pPr>
        <w:pStyle w:val="2"/>
        <w:spacing w:line="440" w:lineRule="exact"/>
        <w:ind w:left="0" w:lef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5C4F1CF2">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9C1C87B">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14:paraId="27660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5312766">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4D9D23D">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3DF81E8">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AEA5443">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p w14:paraId="4336C39F">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439E23">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单位及</w:t>
            </w:r>
          </w:p>
          <w:p w14:paraId="1BF54DC7">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7BA499B">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694E5B3">
            <w:pPr>
              <w:snapToGrid w:val="0"/>
              <w:spacing w:before="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r>
      <w:tr w14:paraId="311BA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1171087">
            <w:pPr>
              <w:snapToGrid w:val="0"/>
              <w:spacing w:before="50" w:after="50" w:line="276" w:lineRule="auto"/>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9A47D6A">
            <w:pPr>
              <w:snapToGrid w:val="0"/>
              <w:spacing w:before="50" w:after="50" w:line="276" w:lineRule="auto"/>
              <w:jc w:val="center"/>
              <w:rPr>
                <w:rFonts w:hint="eastAsia" w:ascii="宋体" w:hAnsi="宋体" w:eastAsia="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8B8643A">
            <w:pPr>
              <w:snapToGrid w:val="0"/>
              <w:spacing w:before="50" w:after="50" w:line="276" w:lineRule="auto"/>
              <w:ind w:left="480" w:hanging="480"/>
              <w:jc w:val="center"/>
              <w:rPr>
                <w:rFonts w:hint="eastAsia" w:ascii="宋体" w:hAnsi="宋体" w:eastAsia="宋体"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84C84A5">
            <w:pPr>
              <w:snapToGrid w:val="0"/>
              <w:spacing w:before="50" w:after="50" w:line="276" w:lineRule="auto"/>
              <w:jc w:val="center"/>
              <w:rPr>
                <w:rFonts w:hint="eastAsia"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2623A611">
            <w:pPr>
              <w:snapToGrid w:val="0"/>
              <w:spacing w:before="50" w:after="50" w:line="276" w:lineRule="auto"/>
              <w:jc w:val="center"/>
              <w:rPr>
                <w:rFonts w:hint="eastAsia" w:ascii="宋体" w:hAnsi="宋体" w:eastAsia="宋体" w:cs="宋体"/>
                <w:color w:val="auto"/>
                <w:szCs w:val="21"/>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39F31D05">
            <w:pPr>
              <w:snapToGrid w:val="0"/>
              <w:spacing w:before="50" w:after="50" w:line="276" w:lineRule="auto"/>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75EC38">
            <w:pPr>
              <w:snapToGrid w:val="0"/>
              <w:spacing w:before="50" w:after="50" w:line="276" w:lineRule="auto"/>
              <w:jc w:val="center"/>
              <w:rPr>
                <w:rFonts w:hint="eastAsia" w:ascii="宋体" w:hAnsi="宋体" w:eastAsia="宋体" w:cs="宋体"/>
                <w:color w:val="auto"/>
                <w:szCs w:val="21"/>
                <w:highlight w:val="none"/>
              </w:rPr>
            </w:pPr>
          </w:p>
        </w:tc>
      </w:tr>
      <w:tr w14:paraId="43CF2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B91CE08">
            <w:pPr>
              <w:snapToGrid w:val="0"/>
              <w:spacing w:before="50" w:after="50" w:line="276" w:lineRule="auto"/>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5773534">
            <w:pPr>
              <w:snapToGrid w:val="0"/>
              <w:spacing w:before="50" w:after="50" w:line="276" w:lineRule="auto"/>
              <w:jc w:val="center"/>
              <w:rPr>
                <w:rFonts w:hint="eastAsia" w:ascii="宋体" w:hAnsi="宋体" w:eastAsia="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03CB1A27">
            <w:pPr>
              <w:snapToGrid w:val="0"/>
              <w:spacing w:before="50" w:after="50" w:line="276" w:lineRule="auto"/>
              <w:ind w:left="480" w:hanging="480"/>
              <w:jc w:val="center"/>
              <w:rPr>
                <w:rFonts w:hint="eastAsia" w:ascii="宋体" w:hAnsi="宋体" w:eastAsia="宋体"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4D0F928">
            <w:pPr>
              <w:snapToGrid w:val="0"/>
              <w:spacing w:before="50" w:after="50" w:line="276" w:lineRule="auto"/>
              <w:jc w:val="center"/>
              <w:rPr>
                <w:rFonts w:hint="eastAsia"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2EB2BA1F">
            <w:pPr>
              <w:snapToGrid w:val="0"/>
              <w:spacing w:before="50" w:after="50" w:line="276" w:lineRule="auto"/>
              <w:jc w:val="center"/>
              <w:rPr>
                <w:rFonts w:hint="eastAsia" w:ascii="宋体" w:hAnsi="宋体" w:eastAsia="宋体" w:cs="宋体"/>
                <w:color w:val="auto"/>
                <w:szCs w:val="21"/>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2489ED8A">
            <w:pPr>
              <w:snapToGrid w:val="0"/>
              <w:spacing w:before="50" w:after="50" w:line="276" w:lineRule="auto"/>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419E612">
            <w:pPr>
              <w:snapToGrid w:val="0"/>
              <w:spacing w:before="50" w:after="50" w:line="276" w:lineRule="auto"/>
              <w:jc w:val="center"/>
              <w:rPr>
                <w:rFonts w:hint="eastAsia" w:ascii="宋体" w:hAnsi="宋体" w:eastAsia="宋体" w:cs="宋体"/>
                <w:color w:val="auto"/>
                <w:szCs w:val="21"/>
                <w:highlight w:val="none"/>
              </w:rPr>
            </w:pPr>
          </w:p>
        </w:tc>
      </w:tr>
    </w:tbl>
    <w:p w14:paraId="4750F5C5">
      <w:pPr>
        <w:pStyle w:val="2"/>
        <w:spacing w:line="44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注：在填写时，如上表不适合本项目的实际情况，可在确保投标明细内容完整的情况下，根据上表格式自行划表填写。</w:t>
      </w:r>
    </w:p>
    <w:p w14:paraId="7750F87D">
      <w:pPr>
        <w:pStyle w:val="2"/>
        <w:spacing w:line="440" w:lineRule="exact"/>
        <w:ind w:left="0" w:leftChars="0" w:firstLine="480"/>
        <w:rPr>
          <w:rFonts w:hint="eastAsia" w:ascii="宋体" w:hAnsi="宋体" w:eastAsia="宋体" w:cs="宋体"/>
          <w:color w:val="auto"/>
          <w:sz w:val="24"/>
          <w:highlight w:val="none"/>
        </w:rPr>
      </w:pPr>
    </w:p>
    <w:p w14:paraId="54693DF6">
      <w:pPr>
        <w:pStyle w:val="2"/>
        <w:spacing w:line="440" w:lineRule="exact"/>
        <w:ind w:left="0" w:leftChars="0" w:firstLine="480"/>
        <w:rPr>
          <w:rFonts w:hint="eastAsia" w:ascii="宋体" w:hAnsi="宋体" w:eastAsia="宋体" w:cs="宋体"/>
          <w:color w:val="auto"/>
          <w:sz w:val="24"/>
          <w:highlight w:val="none"/>
        </w:rPr>
      </w:pPr>
    </w:p>
    <w:p w14:paraId="338BF932">
      <w:pPr>
        <w:pStyle w:val="2"/>
        <w:spacing w:line="440" w:lineRule="exact"/>
        <w:ind w:left="0" w:leftChars="0" w:firstLine="480"/>
        <w:rPr>
          <w:rFonts w:hint="eastAsia" w:ascii="宋体" w:hAnsi="宋体" w:eastAsia="宋体" w:cs="宋体"/>
          <w:color w:val="auto"/>
          <w:sz w:val="24"/>
          <w:highlight w:val="none"/>
        </w:rPr>
      </w:pPr>
    </w:p>
    <w:p w14:paraId="5697C849">
      <w:pPr>
        <w:pStyle w:val="2"/>
        <w:spacing w:line="440" w:lineRule="exact"/>
        <w:ind w:left="0" w:leftChars="0" w:firstLine="480"/>
        <w:rPr>
          <w:rFonts w:hint="eastAsia" w:ascii="宋体" w:hAnsi="宋体" w:eastAsia="宋体" w:cs="宋体"/>
          <w:color w:val="auto"/>
          <w:sz w:val="24"/>
          <w:highlight w:val="none"/>
        </w:rPr>
      </w:pPr>
    </w:p>
    <w:p w14:paraId="6DC0C75A">
      <w:pPr>
        <w:pStyle w:val="2"/>
        <w:spacing w:line="440" w:lineRule="exact"/>
        <w:ind w:left="0" w:leftChars="0" w:firstLine="480"/>
        <w:rPr>
          <w:rFonts w:hint="eastAsia" w:ascii="宋体" w:hAnsi="宋体" w:eastAsia="宋体" w:cs="宋体"/>
          <w:color w:val="auto"/>
          <w:sz w:val="24"/>
          <w:highlight w:val="none"/>
        </w:rPr>
      </w:pPr>
    </w:p>
    <w:p w14:paraId="34AA43BC">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0D14430F">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BA9A98F">
      <w:pPr>
        <w:pStyle w:val="2"/>
        <w:spacing w:line="440" w:lineRule="exact"/>
        <w:ind w:left="0" w:leftChars="0"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50501D5C">
      <w:pPr>
        <w:pStyle w:val="2"/>
        <w:spacing w:line="440" w:lineRule="exact"/>
        <w:ind w:left="0" w:leftChars="0" w:firstLine="4200" w:firstLineChars="1750"/>
        <w:rPr>
          <w:rFonts w:hint="eastAsia" w:ascii="宋体" w:hAnsi="宋体" w:eastAsia="宋体" w:cs="宋体"/>
          <w:color w:val="auto"/>
          <w:sz w:val="24"/>
          <w:highlight w:val="none"/>
        </w:rPr>
      </w:pPr>
    </w:p>
    <w:p w14:paraId="592CBB3A">
      <w:pPr>
        <w:pStyle w:val="2"/>
        <w:spacing w:line="440" w:lineRule="exact"/>
        <w:ind w:left="0" w:leftChars="0" w:firstLine="4200" w:firstLineChars="1750"/>
        <w:rPr>
          <w:rFonts w:hint="eastAsia" w:ascii="宋体" w:hAnsi="宋体" w:eastAsia="宋体" w:cs="宋体"/>
          <w:color w:val="auto"/>
          <w:sz w:val="24"/>
          <w:highlight w:val="none"/>
        </w:rPr>
      </w:pPr>
    </w:p>
    <w:p w14:paraId="66F4DA4B">
      <w:pPr>
        <w:pStyle w:val="2"/>
        <w:spacing w:line="440" w:lineRule="exact"/>
        <w:ind w:left="0" w:leftChars="0" w:firstLine="4200" w:firstLineChars="1750"/>
        <w:rPr>
          <w:rFonts w:hint="eastAsia" w:ascii="宋体" w:hAnsi="宋体" w:eastAsia="宋体" w:cs="宋体"/>
          <w:color w:val="auto"/>
          <w:sz w:val="24"/>
          <w:highlight w:val="none"/>
        </w:rPr>
      </w:pPr>
    </w:p>
    <w:p w14:paraId="1FC69C97">
      <w:pPr>
        <w:pStyle w:val="2"/>
        <w:spacing w:line="440" w:lineRule="exact"/>
        <w:ind w:left="0" w:leftChars="0" w:firstLine="4200" w:firstLineChars="1750"/>
        <w:rPr>
          <w:rFonts w:hint="eastAsia" w:ascii="宋体" w:hAnsi="宋体" w:eastAsia="宋体" w:cs="宋体"/>
          <w:color w:val="auto"/>
          <w:sz w:val="24"/>
          <w:highlight w:val="none"/>
        </w:rPr>
      </w:pPr>
    </w:p>
    <w:p w14:paraId="301D4D1E">
      <w:pPr>
        <w:pStyle w:val="2"/>
        <w:spacing w:line="440" w:lineRule="exact"/>
        <w:ind w:left="0" w:leftChars="0" w:firstLine="4200" w:firstLineChars="1750"/>
        <w:rPr>
          <w:rFonts w:hint="eastAsia" w:ascii="宋体" w:hAnsi="宋体" w:eastAsia="宋体" w:cs="宋体"/>
          <w:color w:val="auto"/>
          <w:sz w:val="24"/>
          <w:highlight w:val="none"/>
        </w:rPr>
      </w:pPr>
    </w:p>
    <w:p w14:paraId="3AE05311">
      <w:pPr>
        <w:pStyle w:val="2"/>
        <w:spacing w:line="440" w:lineRule="exact"/>
        <w:ind w:left="0" w:leftChars="0" w:firstLine="4200" w:firstLineChars="1750"/>
        <w:rPr>
          <w:rFonts w:hint="eastAsia" w:ascii="宋体" w:hAnsi="宋体" w:eastAsia="宋体" w:cs="宋体"/>
          <w:color w:val="auto"/>
          <w:sz w:val="24"/>
          <w:highlight w:val="none"/>
        </w:rPr>
      </w:pPr>
    </w:p>
    <w:p w14:paraId="464FB56F">
      <w:pPr>
        <w:pStyle w:val="2"/>
        <w:spacing w:line="440" w:lineRule="exact"/>
        <w:ind w:left="0" w:leftChars="0" w:firstLine="4200" w:firstLineChars="1750"/>
        <w:rPr>
          <w:rFonts w:hint="eastAsia" w:ascii="宋体" w:hAnsi="宋体" w:eastAsia="宋体" w:cs="宋体"/>
          <w:color w:val="auto"/>
          <w:sz w:val="24"/>
          <w:highlight w:val="none"/>
        </w:rPr>
      </w:pPr>
    </w:p>
    <w:p w14:paraId="176237C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附件五：</w:t>
      </w:r>
    </w:p>
    <w:p w14:paraId="712847E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p>
    <w:p w14:paraId="2A601F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D19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48BECFB">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40"/>
        <w:gridCol w:w="1980"/>
        <w:gridCol w:w="2520"/>
        <w:gridCol w:w="1953"/>
      </w:tblGrid>
      <w:tr w14:paraId="04B0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6B8D3A6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vAlign w:val="center"/>
          </w:tcPr>
          <w:p w14:paraId="77E2C6F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1980" w:type="dxa"/>
            <w:vAlign w:val="center"/>
          </w:tcPr>
          <w:p w14:paraId="03B57E8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520" w:type="dxa"/>
            <w:vAlign w:val="center"/>
          </w:tcPr>
          <w:p w14:paraId="7B9CD2F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1953" w:type="dxa"/>
            <w:vAlign w:val="center"/>
          </w:tcPr>
          <w:p w14:paraId="5DE61B94">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0C56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44D85E15">
            <w:pPr>
              <w:snapToGrid w:val="0"/>
              <w:spacing w:before="50" w:after="50"/>
              <w:jc w:val="center"/>
              <w:rPr>
                <w:rFonts w:hint="eastAsia" w:ascii="宋体" w:hAnsi="宋体" w:eastAsia="宋体" w:cs="宋体"/>
                <w:color w:val="auto"/>
                <w:sz w:val="24"/>
                <w:highlight w:val="none"/>
              </w:rPr>
            </w:pPr>
          </w:p>
        </w:tc>
        <w:tc>
          <w:tcPr>
            <w:tcW w:w="1440" w:type="dxa"/>
            <w:vAlign w:val="center"/>
          </w:tcPr>
          <w:p w14:paraId="351F1287">
            <w:pPr>
              <w:snapToGrid w:val="0"/>
              <w:spacing w:before="50" w:after="50"/>
              <w:jc w:val="center"/>
              <w:rPr>
                <w:rFonts w:hint="eastAsia" w:ascii="宋体" w:hAnsi="宋体" w:eastAsia="宋体" w:cs="宋体"/>
                <w:color w:val="auto"/>
                <w:sz w:val="24"/>
                <w:highlight w:val="none"/>
              </w:rPr>
            </w:pPr>
          </w:p>
        </w:tc>
        <w:tc>
          <w:tcPr>
            <w:tcW w:w="1980" w:type="dxa"/>
            <w:vAlign w:val="center"/>
          </w:tcPr>
          <w:p w14:paraId="45BBEA53">
            <w:pPr>
              <w:snapToGrid w:val="0"/>
              <w:spacing w:before="50" w:after="50"/>
              <w:jc w:val="center"/>
              <w:rPr>
                <w:rFonts w:hint="eastAsia" w:ascii="宋体" w:hAnsi="宋体" w:eastAsia="宋体" w:cs="宋体"/>
                <w:color w:val="auto"/>
                <w:sz w:val="24"/>
                <w:highlight w:val="none"/>
              </w:rPr>
            </w:pPr>
          </w:p>
        </w:tc>
        <w:tc>
          <w:tcPr>
            <w:tcW w:w="2520" w:type="dxa"/>
            <w:vAlign w:val="center"/>
          </w:tcPr>
          <w:p w14:paraId="622D4E09">
            <w:pPr>
              <w:snapToGrid w:val="0"/>
              <w:spacing w:before="50" w:after="50"/>
              <w:jc w:val="center"/>
              <w:rPr>
                <w:rFonts w:hint="eastAsia" w:ascii="宋体" w:hAnsi="宋体" w:eastAsia="宋体" w:cs="宋体"/>
                <w:color w:val="auto"/>
                <w:sz w:val="24"/>
                <w:highlight w:val="none"/>
              </w:rPr>
            </w:pPr>
          </w:p>
        </w:tc>
        <w:tc>
          <w:tcPr>
            <w:tcW w:w="1953" w:type="dxa"/>
            <w:vAlign w:val="center"/>
          </w:tcPr>
          <w:p w14:paraId="5F698E29">
            <w:pPr>
              <w:snapToGrid w:val="0"/>
              <w:spacing w:before="50" w:after="50"/>
              <w:jc w:val="center"/>
              <w:rPr>
                <w:rFonts w:hint="eastAsia" w:ascii="宋体" w:hAnsi="宋体" w:eastAsia="宋体" w:cs="宋体"/>
                <w:color w:val="auto"/>
                <w:sz w:val="24"/>
                <w:highlight w:val="none"/>
              </w:rPr>
            </w:pPr>
          </w:p>
        </w:tc>
      </w:tr>
      <w:tr w14:paraId="776C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1C96F824">
            <w:pPr>
              <w:snapToGrid w:val="0"/>
              <w:spacing w:before="50" w:after="50"/>
              <w:jc w:val="center"/>
              <w:rPr>
                <w:rFonts w:hint="eastAsia" w:ascii="宋体" w:hAnsi="宋体" w:eastAsia="宋体" w:cs="宋体"/>
                <w:color w:val="auto"/>
                <w:sz w:val="24"/>
                <w:highlight w:val="none"/>
              </w:rPr>
            </w:pPr>
          </w:p>
        </w:tc>
        <w:tc>
          <w:tcPr>
            <w:tcW w:w="1440" w:type="dxa"/>
            <w:vAlign w:val="center"/>
          </w:tcPr>
          <w:p w14:paraId="1A2F0235">
            <w:pPr>
              <w:snapToGrid w:val="0"/>
              <w:spacing w:before="50" w:after="50"/>
              <w:jc w:val="center"/>
              <w:rPr>
                <w:rFonts w:hint="eastAsia" w:ascii="宋体" w:hAnsi="宋体" w:eastAsia="宋体" w:cs="宋体"/>
                <w:color w:val="auto"/>
                <w:sz w:val="24"/>
                <w:highlight w:val="none"/>
              </w:rPr>
            </w:pPr>
          </w:p>
        </w:tc>
        <w:tc>
          <w:tcPr>
            <w:tcW w:w="1980" w:type="dxa"/>
            <w:vAlign w:val="center"/>
          </w:tcPr>
          <w:p w14:paraId="7E3FAA18">
            <w:pPr>
              <w:snapToGrid w:val="0"/>
              <w:spacing w:before="50" w:after="50"/>
              <w:jc w:val="center"/>
              <w:rPr>
                <w:rFonts w:hint="eastAsia" w:ascii="宋体" w:hAnsi="宋体" w:eastAsia="宋体" w:cs="宋体"/>
                <w:color w:val="auto"/>
                <w:sz w:val="24"/>
                <w:highlight w:val="none"/>
              </w:rPr>
            </w:pPr>
          </w:p>
        </w:tc>
        <w:tc>
          <w:tcPr>
            <w:tcW w:w="2520" w:type="dxa"/>
            <w:vAlign w:val="center"/>
          </w:tcPr>
          <w:p w14:paraId="326F6502">
            <w:pPr>
              <w:snapToGrid w:val="0"/>
              <w:spacing w:before="50" w:after="50"/>
              <w:jc w:val="center"/>
              <w:rPr>
                <w:rFonts w:hint="eastAsia" w:ascii="宋体" w:hAnsi="宋体" w:eastAsia="宋体" w:cs="宋体"/>
                <w:color w:val="auto"/>
                <w:sz w:val="24"/>
                <w:highlight w:val="none"/>
              </w:rPr>
            </w:pPr>
          </w:p>
        </w:tc>
        <w:tc>
          <w:tcPr>
            <w:tcW w:w="1953" w:type="dxa"/>
            <w:vAlign w:val="center"/>
          </w:tcPr>
          <w:p w14:paraId="1D807A1A">
            <w:pPr>
              <w:snapToGrid w:val="0"/>
              <w:spacing w:before="50" w:after="50"/>
              <w:jc w:val="center"/>
              <w:rPr>
                <w:rFonts w:hint="eastAsia" w:ascii="宋体" w:hAnsi="宋体" w:eastAsia="宋体" w:cs="宋体"/>
                <w:color w:val="auto"/>
                <w:sz w:val="24"/>
                <w:highlight w:val="none"/>
              </w:rPr>
            </w:pPr>
          </w:p>
        </w:tc>
      </w:tr>
      <w:tr w14:paraId="6734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2EFDCF98">
            <w:pPr>
              <w:snapToGrid w:val="0"/>
              <w:spacing w:before="50" w:after="50"/>
              <w:jc w:val="center"/>
              <w:rPr>
                <w:rFonts w:hint="eastAsia" w:ascii="宋体" w:hAnsi="宋体" w:eastAsia="宋体" w:cs="宋体"/>
                <w:color w:val="auto"/>
                <w:sz w:val="24"/>
                <w:highlight w:val="none"/>
              </w:rPr>
            </w:pPr>
          </w:p>
        </w:tc>
        <w:tc>
          <w:tcPr>
            <w:tcW w:w="1440" w:type="dxa"/>
            <w:vAlign w:val="center"/>
          </w:tcPr>
          <w:p w14:paraId="4680010E">
            <w:pPr>
              <w:snapToGrid w:val="0"/>
              <w:spacing w:before="50" w:after="50"/>
              <w:jc w:val="center"/>
              <w:rPr>
                <w:rFonts w:hint="eastAsia" w:ascii="宋体" w:hAnsi="宋体" w:eastAsia="宋体" w:cs="宋体"/>
                <w:color w:val="auto"/>
                <w:sz w:val="24"/>
                <w:highlight w:val="none"/>
              </w:rPr>
            </w:pPr>
          </w:p>
        </w:tc>
        <w:tc>
          <w:tcPr>
            <w:tcW w:w="1980" w:type="dxa"/>
            <w:vAlign w:val="center"/>
          </w:tcPr>
          <w:p w14:paraId="406957EC">
            <w:pPr>
              <w:snapToGrid w:val="0"/>
              <w:spacing w:before="50" w:after="50"/>
              <w:jc w:val="center"/>
              <w:rPr>
                <w:rFonts w:hint="eastAsia" w:ascii="宋体" w:hAnsi="宋体" w:eastAsia="宋体" w:cs="宋体"/>
                <w:color w:val="auto"/>
                <w:sz w:val="24"/>
                <w:highlight w:val="none"/>
              </w:rPr>
            </w:pPr>
          </w:p>
        </w:tc>
        <w:tc>
          <w:tcPr>
            <w:tcW w:w="2520" w:type="dxa"/>
            <w:vAlign w:val="center"/>
          </w:tcPr>
          <w:p w14:paraId="370F8ACD">
            <w:pPr>
              <w:snapToGrid w:val="0"/>
              <w:spacing w:before="50" w:after="50"/>
              <w:jc w:val="center"/>
              <w:rPr>
                <w:rFonts w:hint="eastAsia" w:ascii="宋体" w:hAnsi="宋体" w:eastAsia="宋体" w:cs="宋体"/>
                <w:color w:val="auto"/>
                <w:sz w:val="24"/>
                <w:highlight w:val="none"/>
              </w:rPr>
            </w:pPr>
          </w:p>
        </w:tc>
        <w:tc>
          <w:tcPr>
            <w:tcW w:w="1953" w:type="dxa"/>
            <w:vAlign w:val="center"/>
          </w:tcPr>
          <w:p w14:paraId="768CB26B">
            <w:pPr>
              <w:snapToGrid w:val="0"/>
              <w:spacing w:before="50" w:after="50"/>
              <w:jc w:val="center"/>
              <w:rPr>
                <w:rFonts w:hint="eastAsia" w:ascii="宋体" w:hAnsi="宋体" w:eastAsia="宋体" w:cs="宋体"/>
                <w:color w:val="auto"/>
                <w:sz w:val="24"/>
                <w:highlight w:val="none"/>
              </w:rPr>
            </w:pPr>
          </w:p>
        </w:tc>
      </w:tr>
      <w:tr w14:paraId="053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0BD24467">
            <w:pPr>
              <w:snapToGrid w:val="0"/>
              <w:spacing w:before="50" w:after="50"/>
              <w:jc w:val="center"/>
              <w:rPr>
                <w:rFonts w:hint="eastAsia" w:ascii="宋体" w:hAnsi="宋体" w:eastAsia="宋体" w:cs="宋体"/>
                <w:color w:val="auto"/>
                <w:sz w:val="24"/>
                <w:highlight w:val="none"/>
              </w:rPr>
            </w:pPr>
          </w:p>
        </w:tc>
        <w:tc>
          <w:tcPr>
            <w:tcW w:w="1440" w:type="dxa"/>
            <w:vAlign w:val="center"/>
          </w:tcPr>
          <w:p w14:paraId="6DD84D3E">
            <w:pPr>
              <w:snapToGrid w:val="0"/>
              <w:spacing w:before="50" w:after="50"/>
              <w:jc w:val="center"/>
              <w:rPr>
                <w:rFonts w:hint="eastAsia" w:ascii="宋体" w:hAnsi="宋体" w:eastAsia="宋体" w:cs="宋体"/>
                <w:color w:val="auto"/>
                <w:sz w:val="24"/>
                <w:highlight w:val="none"/>
              </w:rPr>
            </w:pPr>
          </w:p>
        </w:tc>
        <w:tc>
          <w:tcPr>
            <w:tcW w:w="1980" w:type="dxa"/>
            <w:vAlign w:val="center"/>
          </w:tcPr>
          <w:p w14:paraId="4C9EA965">
            <w:pPr>
              <w:snapToGrid w:val="0"/>
              <w:spacing w:before="50" w:after="50"/>
              <w:jc w:val="center"/>
              <w:rPr>
                <w:rFonts w:hint="eastAsia" w:ascii="宋体" w:hAnsi="宋体" w:eastAsia="宋体" w:cs="宋体"/>
                <w:color w:val="auto"/>
                <w:sz w:val="24"/>
                <w:highlight w:val="none"/>
              </w:rPr>
            </w:pPr>
          </w:p>
        </w:tc>
        <w:tc>
          <w:tcPr>
            <w:tcW w:w="2520" w:type="dxa"/>
            <w:vAlign w:val="center"/>
          </w:tcPr>
          <w:p w14:paraId="70077342">
            <w:pPr>
              <w:snapToGrid w:val="0"/>
              <w:spacing w:before="50" w:after="50"/>
              <w:jc w:val="center"/>
              <w:rPr>
                <w:rFonts w:hint="eastAsia" w:ascii="宋体" w:hAnsi="宋体" w:eastAsia="宋体" w:cs="宋体"/>
                <w:color w:val="auto"/>
                <w:sz w:val="24"/>
                <w:highlight w:val="none"/>
              </w:rPr>
            </w:pPr>
          </w:p>
        </w:tc>
        <w:tc>
          <w:tcPr>
            <w:tcW w:w="1953" w:type="dxa"/>
            <w:vAlign w:val="center"/>
          </w:tcPr>
          <w:p w14:paraId="1C17A55A">
            <w:pPr>
              <w:snapToGrid w:val="0"/>
              <w:spacing w:before="50" w:after="50"/>
              <w:jc w:val="center"/>
              <w:rPr>
                <w:rFonts w:hint="eastAsia" w:ascii="宋体" w:hAnsi="宋体" w:eastAsia="宋体" w:cs="宋体"/>
                <w:color w:val="auto"/>
                <w:sz w:val="24"/>
                <w:highlight w:val="none"/>
              </w:rPr>
            </w:pPr>
          </w:p>
        </w:tc>
      </w:tr>
      <w:tr w14:paraId="7B0B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6" w:type="dxa"/>
            <w:vAlign w:val="center"/>
          </w:tcPr>
          <w:p w14:paraId="1816548E">
            <w:pPr>
              <w:snapToGrid w:val="0"/>
              <w:spacing w:before="50" w:after="50"/>
              <w:jc w:val="center"/>
              <w:rPr>
                <w:rFonts w:hint="eastAsia" w:ascii="宋体" w:hAnsi="宋体" w:eastAsia="宋体" w:cs="宋体"/>
                <w:color w:val="auto"/>
                <w:sz w:val="24"/>
                <w:highlight w:val="none"/>
              </w:rPr>
            </w:pPr>
          </w:p>
        </w:tc>
        <w:tc>
          <w:tcPr>
            <w:tcW w:w="1440" w:type="dxa"/>
            <w:vAlign w:val="center"/>
          </w:tcPr>
          <w:p w14:paraId="22F4D4C7">
            <w:pPr>
              <w:snapToGrid w:val="0"/>
              <w:spacing w:before="50" w:after="50"/>
              <w:jc w:val="center"/>
              <w:rPr>
                <w:rFonts w:hint="eastAsia" w:ascii="宋体" w:hAnsi="宋体" w:eastAsia="宋体" w:cs="宋体"/>
                <w:color w:val="auto"/>
                <w:sz w:val="24"/>
                <w:highlight w:val="none"/>
              </w:rPr>
            </w:pPr>
          </w:p>
        </w:tc>
        <w:tc>
          <w:tcPr>
            <w:tcW w:w="1980" w:type="dxa"/>
            <w:vAlign w:val="center"/>
          </w:tcPr>
          <w:p w14:paraId="08F6577C">
            <w:pPr>
              <w:snapToGrid w:val="0"/>
              <w:spacing w:before="50" w:after="50"/>
              <w:jc w:val="center"/>
              <w:rPr>
                <w:rFonts w:hint="eastAsia" w:ascii="宋体" w:hAnsi="宋体" w:eastAsia="宋体" w:cs="宋体"/>
                <w:color w:val="auto"/>
                <w:sz w:val="24"/>
                <w:highlight w:val="none"/>
              </w:rPr>
            </w:pPr>
          </w:p>
        </w:tc>
        <w:tc>
          <w:tcPr>
            <w:tcW w:w="2520" w:type="dxa"/>
            <w:vAlign w:val="center"/>
          </w:tcPr>
          <w:p w14:paraId="478C93BB">
            <w:pPr>
              <w:snapToGrid w:val="0"/>
              <w:spacing w:before="50" w:after="50"/>
              <w:jc w:val="center"/>
              <w:rPr>
                <w:rFonts w:hint="eastAsia" w:ascii="宋体" w:hAnsi="宋体" w:eastAsia="宋体" w:cs="宋体"/>
                <w:color w:val="auto"/>
                <w:sz w:val="24"/>
                <w:highlight w:val="none"/>
              </w:rPr>
            </w:pPr>
          </w:p>
        </w:tc>
        <w:tc>
          <w:tcPr>
            <w:tcW w:w="1953" w:type="dxa"/>
            <w:vAlign w:val="center"/>
          </w:tcPr>
          <w:p w14:paraId="066ADA94">
            <w:pPr>
              <w:snapToGrid w:val="0"/>
              <w:spacing w:before="50" w:after="50"/>
              <w:jc w:val="center"/>
              <w:rPr>
                <w:rFonts w:hint="eastAsia" w:ascii="宋体" w:hAnsi="宋体" w:eastAsia="宋体" w:cs="宋体"/>
                <w:color w:val="auto"/>
                <w:sz w:val="24"/>
                <w:highlight w:val="none"/>
              </w:rPr>
            </w:pPr>
          </w:p>
        </w:tc>
      </w:tr>
      <w:tr w14:paraId="6A74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46" w:type="dxa"/>
            <w:gridSpan w:val="2"/>
            <w:vAlign w:val="center"/>
          </w:tcPr>
          <w:p w14:paraId="76FF6DF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投标建议</w:t>
            </w:r>
          </w:p>
        </w:tc>
        <w:tc>
          <w:tcPr>
            <w:tcW w:w="6453" w:type="dxa"/>
            <w:gridSpan w:val="3"/>
            <w:vAlign w:val="center"/>
          </w:tcPr>
          <w:p w14:paraId="6AC61BD7">
            <w:pPr>
              <w:spacing w:line="360" w:lineRule="auto"/>
              <w:jc w:val="center"/>
              <w:rPr>
                <w:rFonts w:hint="eastAsia" w:ascii="宋体" w:hAnsi="宋体" w:eastAsia="宋体" w:cs="宋体"/>
                <w:color w:val="auto"/>
                <w:sz w:val="24"/>
                <w:highlight w:val="none"/>
              </w:rPr>
            </w:pPr>
          </w:p>
        </w:tc>
      </w:tr>
    </w:tbl>
    <w:p w14:paraId="198E2A61">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注：服务内容可基于项目清单根据投标人实际情况调整。</w:t>
      </w:r>
    </w:p>
    <w:p w14:paraId="0A22E7A1">
      <w:pPr>
        <w:pStyle w:val="2"/>
        <w:spacing w:line="440" w:lineRule="exact"/>
        <w:ind w:left="0" w:leftChars="0" w:firstLine="0" w:firstLineChars="0"/>
        <w:rPr>
          <w:rFonts w:hint="eastAsia" w:ascii="宋体" w:hAnsi="宋体" w:eastAsia="宋体" w:cs="宋体"/>
          <w:color w:val="auto"/>
          <w:sz w:val="24"/>
          <w:highlight w:val="none"/>
        </w:rPr>
      </w:pPr>
    </w:p>
    <w:p w14:paraId="2EE9A64B">
      <w:pPr>
        <w:pStyle w:val="2"/>
        <w:spacing w:line="440" w:lineRule="exact"/>
        <w:ind w:left="0" w:leftChars="0" w:firstLine="0" w:firstLineChars="0"/>
        <w:rPr>
          <w:rFonts w:hint="eastAsia" w:ascii="宋体" w:hAnsi="宋体" w:eastAsia="宋体" w:cs="宋体"/>
          <w:color w:val="auto"/>
          <w:sz w:val="24"/>
          <w:highlight w:val="none"/>
        </w:rPr>
      </w:pPr>
    </w:p>
    <w:p w14:paraId="0C1375A8">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B5EAAE2">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5304CA7">
      <w:pPr>
        <w:pStyle w:val="2"/>
        <w:spacing w:line="440" w:lineRule="exact"/>
        <w:ind w:left="0" w:leftChars="0"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D18ED2A">
      <w:pPr>
        <w:pStyle w:val="2"/>
        <w:spacing w:line="440" w:lineRule="exact"/>
        <w:ind w:left="0" w:leftChars="0" w:firstLine="4200" w:firstLineChars="1750"/>
        <w:rPr>
          <w:rFonts w:hint="eastAsia" w:ascii="宋体" w:hAnsi="宋体" w:eastAsia="宋体" w:cs="宋体"/>
          <w:color w:val="auto"/>
          <w:sz w:val="24"/>
          <w:highlight w:val="none"/>
        </w:rPr>
      </w:pPr>
    </w:p>
    <w:p w14:paraId="6CDD0BE6">
      <w:pPr>
        <w:pStyle w:val="2"/>
        <w:spacing w:line="440" w:lineRule="exact"/>
        <w:ind w:left="0" w:leftChars="0" w:firstLine="4200" w:firstLineChars="1750"/>
        <w:rPr>
          <w:rFonts w:hint="eastAsia" w:ascii="宋体" w:hAnsi="宋体" w:eastAsia="宋体" w:cs="宋体"/>
          <w:color w:val="auto"/>
          <w:sz w:val="24"/>
          <w:highlight w:val="none"/>
        </w:rPr>
      </w:pPr>
    </w:p>
    <w:p w14:paraId="29EC6539">
      <w:pPr>
        <w:pStyle w:val="2"/>
        <w:spacing w:line="440" w:lineRule="exact"/>
        <w:ind w:left="0" w:leftChars="0" w:firstLine="4200" w:firstLineChars="1750"/>
        <w:rPr>
          <w:rFonts w:hint="eastAsia" w:ascii="宋体" w:hAnsi="宋体" w:eastAsia="宋体" w:cs="宋体"/>
          <w:color w:val="auto"/>
          <w:sz w:val="24"/>
          <w:highlight w:val="none"/>
        </w:rPr>
      </w:pPr>
    </w:p>
    <w:p w14:paraId="50217690">
      <w:pPr>
        <w:pStyle w:val="2"/>
        <w:spacing w:line="440" w:lineRule="exact"/>
        <w:ind w:left="0" w:leftChars="0" w:firstLine="4200" w:firstLineChars="1750"/>
        <w:rPr>
          <w:rFonts w:hint="eastAsia" w:ascii="宋体" w:hAnsi="宋体" w:eastAsia="宋体" w:cs="宋体"/>
          <w:color w:val="auto"/>
          <w:sz w:val="24"/>
          <w:highlight w:val="none"/>
        </w:rPr>
      </w:pPr>
    </w:p>
    <w:p w14:paraId="128D78FD">
      <w:pPr>
        <w:keepNext/>
        <w:spacing w:line="216" w:lineRule="auto"/>
        <w:jc w:val="center"/>
        <w:outlineLvl w:val="1"/>
        <w:rPr>
          <w:rFonts w:hint="eastAsia" w:ascii="宋体" w:hAnsi="宋体" w:eastAsia="宋体" w:cs="宋体"/>
          <w:b/>
          <w:color w:val="auto"/>
          <w:kern w:val="0"/>
          <w:sz w:val="36"/>
          <w:szCs w:val="36"/>
          <w:highlight w:val="none"/>
        </w:rPr>
      </w:pPr>
      <w:bookmarkStart w:id="486" w:name="_Toc29168"/>
      <w:bookmarkStart w:id="487" w:name="_Toc167700931"/>
      <w:r>
        <w:rPr>
          <w:rFonts w:hint="eastAsia" w:ascii="宋体" w:hAnsi="宋体" w:eastAsia="宋体" w:cs="宋体"/>
          <w:b/>
          <w:color w:val="auto"/>
          <w:kern w:val="0"/>
          <w:sz w:val="36"/>
          <w:szCs w:val="36"/>
          <w:highlight w:val="none"/>
        </w:rPr>
        <w:t>商务文件</w:t>
      </w:r>
      <w:bookmarkEnd w:id="486"/>
      <w:bookmarkEnd w:id="487"/>
    </w:p>
    <w:p w14:paraId="7939A412">
      <w:pPr>
        <w:spacing w:line="360" w:lineRule="auto"/>
        <w:jc w:val="center"/>
        <w:rPr>
          <w:rFonts w:hint="eastAsia" w:ascii="宋体" w:hAnsi="宋体" w:eastAsia="宋体" w:cs="宋体"/>
          <w:b/>
          <w:color w:val="auto"/>
          <w:kern w:val="0"/>
          <w:sz w:val="36"/>
          <w:szCs w:val="36"/>
          <w:highlight w:val="none"/>
        </w:rPr>
      </w:pPr>
    </w:p>
    <w:p w14:paraId="245E33B0">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bookmarkStart w:id="488" w:name="_Toc165741248"/>
    </w:p>
    <w:bookmarkEnd w:id="488"/>
    <w:p w14:paraId="0BB73A4D">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评分对应表（格式见附件）</w:t>
      </w:r>
    </w:p>
    <w:p w14:paraId="3D4AA028">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资信分自评表（格式见附件）；</w:t>
      </w:r>
    </w:p>
    <w:p w14:paraId="35835A45">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商务响应表（格式见附件）；</w:t>
      </w:r>
    </w:p>
    <w:p w14:paraId="4A0655C1">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项目组人员清单（格式见附件）；</w:t>
      </w:r>
    </w:p>
    <w:p w14:paraId="2A553C00">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企业业绩；</w:t>
      </w:r>
    </w:p>
    <w:p w14:paraId="5F6EF7E4">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团队实力；</w:t>
      </w:r>
    </w:p>
    <w:p w14:paraId="2404A15E">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企业资质；</w:t>
      </w:r>
    </w:p>
    <w:p w14:paraId="4AA222E5">
      <w:pPr>
        <w:numPr>
          <w:ilvl w:val="0"/>
          <w:numId w:val="59"/>
        </w:numPr>
        <w:adjustRightInd w:val="0"/>
        <w:spacing w:after="120"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供应商认为需要的其他文件资料。 </w:t>
      </w:r>
    </w:p>
    <w:p w14:paraId="02F9747F">
      <w:pPr>
        <w:pStyle w:val="2"/>
        <w:spacing w:line="440" w:lineRule="exact"/>
        <w:rPr>
          <w:rFonts w:hint="eastAsia" w:ascii="宋体" w:hAnsi="宋体" w:eastAsia="宋体" w:cs="宋体"/>
          <w:color w:val="auto"/>
          <w:sz w:val="24"/>
          <w:highlight w:val="none"/>
        </w:rPr>
      </w:pPr>
    </w:p>
    <w:p w14:paraId="158653B0">
      <w:pPr>
        <w:pStyle w:val="2"/>
        <w:spacing w:line="440" w:lineRule="exact"/>
        <w:ind w:left="0" w:leftChars="0" w:firstLine="480"/>
        <w:rPr>
          <w:rFonts w:hint="eastAsia" w:ascii="宋体" w:hAnsi="宋体" w:eastAsia="宋体" w:cs="宋体"/>
          <w:color w:val="auto"/>
          <w:sz w:val="24"/>
          <w:highlight w:val="none"/>
        </w:rPr>
      </w:pPr>
    </w:p>
    <w:p w14:paraId="1AF1F1FC">
      <w:pPr>
        <w:pStyle w:val="2"/>
        <w:spacing w:line="440" w:lineRule="exact"/>
        <w:ind w:left="0" w:leftChars="0" w:firstLine="480"/>
        <w:rPr>
          <w:rFonts w:hint="eastAsia" w:ascii="宋体" w:hAnsi="宋体" w:eastAsia="宋体" w:cs="宋体"/>
          <w:color w:val="auto"/>
          <w:sz w:val="24"/>
          <w:highlight w:val="none"/>
        </w:rPr>
      </w:pPr>
    </w:p>
    <w:p w14:paraId="4A32D39A">
      <w:pPr>
        <w:pStyle w:val="2"/>
        <w:spacing w:line="440" w:lineRule="exact"/>
        <w:ind w:left="0" w:leftChars="0" w:firstLine="480"/>
        <w:rPr>
          <w:rFonts w:hint="eastAsia" w:ascii="宋体" w:hAnsi="宋体" w:eastAsia="宋体" w:cs="宋体"/>
          <w:color w:val="auto"/>
          <w:sz w:val="24"/>
          <w:highlight w:val="none"/>
        </w:rPr>
      </w:pPr>
    </w:p>
    <w:p w14:paraId="6DFC925C">
      <w:pPr>
        <w:pStyle w:val="2"/>
        <w:spacing w:line="440" w:lineRule="exact"/>
        <w:ind w:left="0" w:leftChars="0" w:firstLine="480"/>
        <w:rPr>
          <w:rFonts w:hint="eastAsia" w:ascii="宋体" w:hAnsi="宋体" w:eastAsia="宋体" w:cs="宋体"/>
          <w:color w:val="auto"/>
          <w:sz w:val="24"/>
          <w:highlight w:val="none"/>
        </w:rPr>
      </w:pPr>
    </w:p>
    <w:p w14:paraId="3BC5F0FD">
      <w:pPr>
        <w:pStyle w:val="2"/>
        <w:spacing w:line="440" w:lineRule="exact"/>
        <w:ind w:left="0" w:leftChars="0" w:firstLine="480"/>
        <w:rPr>
          <w:rFonts w:hint="eastAsia" w:ascii="宋体" w:hAnsi="宋体" w:eastAsia="宋体" w:cs="宋体"/>
          <w:color w:val="auto"/>
          <w:sz w:val="24"/>
          <w:highlight w:val="none"/>
        </w:rPr>
      </w:pPr>
    </w:p>
    <w:p w14:paraId="66EB7E9A">
      <w:pPr>
        <w:pStyle w:val="2"/>
        <w:spacing w:line="440" w:lineRule="exact"/>
        <w:ind w:left="0" w:leftChars="0" w:firstLine="480"/>
        <w:rPr>
          <w:rFonts w:hint="eastAsia" w:ascii="宋体" w:hAnsi="宋体" w:eastAsia="宋体" w:cs="宋体"/>
          <w:color w:val="auto"/>
          <w:sz w:val="24"/>
          <w:highlight w:val="none"/>
        </w:rPr>
      </w:pPr>
    </w:p>
    <w:p w14:paraId="6DDF9EB3">
      <w:pPr>
        <w:pStyle w:val="2"/>
        <w:spacing w:line="440" w:lineRule="exact"/>
        <w:ind w:left="0" w:leftChars="0" w:firstLine="480"/>
        <w:rPr>
          <w:rFonts w:hint="eastAsia" w:ascii="宋体" w:hAnsi="宋体" w:eastAsia="宋体" w:cs="宋体"/>
          <w:color w:val="auto"/>
          <w:sz w:val="24"/>
          <w:highlight w:val="none"/>
        </w:rPr>
      </w:pPr>
    </w:p>
    <w:p w14:paraId="53997CDD">
      <w:pPr>
        <w:pStyle w:val="2"/>
        <w:spacing w:line="440" w:lineRule="exact"/>
        <w:ind w:left="0" w:leftChars="0" w:firstLine="480"/>
        <w:rPr>
          <w:rFonts w:hint="eastAsia" w:ascii="宋体" w:hAnsi="宋体" w:eastAsia="宋体" w:cs="宋体"/>
          <w:color w:val="auto"/>
          <w:sz w:val="24"/>
          <w:highlight w:val="none"/>
        </w:rPr>
      </w:pPr>
    </w:p>
    <w:p w14:paraId="29D9B234">
      <w:pPr>
        <w:pStyle w:val="2"/>
        <w:spacing w:line="440" w:lineRule="exact"/>
        <w:ind w:left="0" w:leftChars="0" w:firstLine="480"/>
        <w:rPr>
          <w:rFonts w:hint="eastAsia" w:ascii="宋体" w:hAnsi="宋体" w:eastAsia="宋体" w:cs="宋体"/>
          <w:color w:val="auto"/>
          <w:sz w:val="24"/>
          <w:highlight w:val="none"/>
        </w:rPr>
      </w:pPr>
    </w:p>
    <w:p w14:paraId="5657BE0B">
      <w:pPr>
        <w:pStyle w:val="2"/>
        <w:spacing w:line="440" w:lineRule="exact"/>
        <w:ind w:left="0" w:leftChars="0" w:firstLine="480"/>
        <w:rPr>
          <w:rFonts w:hint="eastAsia" w:ascii="宋体" w:hAnsi="宋体" w:eastAsia="宋体" w:cs="宋体"/>
          <w:color w:val="auto"/>
          <w:sz w:val="24"/>
          <w:highlight w:val="none"/>
        </w:rPr>
      </w:pPr>
    </w:p>
    <w:p w14:paraId="56FABEE6">
      <w:pPr>
        <w:rPr>
          <w:rFonts w:hint="eastAsia" w:ascii="宋体" w:hAnsi="宋体" w:eastAsia="宋体" w:cs="宋体"/>
          <w:b/>
          <w:color w:val="auto"/>
          <w:sz w:val="24"/>
          <w:highlight w:val="none"/>
        </w:rPr>
      </w:pPr>
    </w:p>
    <w:p w14:paraId="51878CA0">
      <w:pPr>
        <w:rPr>
          <w:rFonts w:hint="eastAsia" w:ascii="宋体" w:hAnsi="宋体" w:eastAsia="宋体" w:cs="宋体"/>
          <w:b/>
          <w:color w:val="auto"/>
          <w:sz w:val="24"/>
          <w:highlight w:val="none"/>
        </w:rPr>
      </w:pPr>
    </w:p>
    <w:p w14:paraId="629E0856">
      <w:pPr>
        <w:rPr>
          <w:rFonts w:hint="eastAsia" w:ascii="宋体" w:hAnsi="宋体" w:eastAsia="宋体" w:cs="宋体"/>
          <w:b/>
          <w:color w:val="auto"/>
          <w:sz w:val="24"/>
          <w:highlight w:val="none"/>
        </w:rPr>
      </w:pPr>
    </w:p>
    <w:p w14:paraId="6F8960E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附件六：</w:t>
      </w:r>
    </w:p>
    <w:p w14:paraId="090BD3B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048697D1">
      <w:pPr>
        <w:snapToGrid w:val="0"/>
        <w:spacing w:before="50"/>
        <w:jc w:val="center"/>
        <w:rPr>
          <w:rFonts w:hint="eastAsia" w:ascii="宋体" w:hAnsi="宋体" w:eastAsia="宋体" w:cs="宋体"/>
          <w:b/>
          <w:color w:val="auto"/>
          <w:sz w:val="32"/>
          <w:szCs w:val="32"/>
          <w:highlight w:val="none"/>
        </w:rPr>
      </w:pPr>
    </w:p>
    <w:p w14:paraId="0FCE5E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9A1A3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3D8F9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F8F01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93A31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6F4B05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33FA7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732999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对应评分办法及评分标准</w:t>
            </w:r>
          </w:p>
          <w:p w14:paraId="55C329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0A18508">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1AA5D69E">
            <w:pPr>
              <w:jc w:val="center"/>
              <w:rPr>
                <w:rFonts w:hint="eastAsia" w:ascii="宋体" w:hAnsi="宋体" w:eastAsia="宋体" w:cs="宋体"/>
                <w:color w:val="auto"/>
                <w:sz w:val="24"/>
                <w:highlight w:val="none"/>
              </w:rPr>
            </w:pPr>
          </w:p>
        </w:tc>
      </w:tr>
      <w:tr w14:paraId="73AC7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759CB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7420676B">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51FC82B">
            <w:pPr>
              <w:jc w:val="center"/>
              <w:rPr>
                <w:rFonts w:hint="eastAsia" w:ascii="宋体" w:hAnsi="宋体" w:eastAsia="宋体" w:cs="宋体"/>
                <w:color w:val="auto"/>
                <w:sz w:val="24"/>
                <w:highlight w:val="none"/>
              </w:rPr>
            </w:pPr>
          </w:p>
        </w:tc>
      </w:tr>
      <w:tr w14:paraId="6ACDE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61C45A7">
            <w:pPr>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DC2850A">
            <w:pPr>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E11191E">
            <w:pPr>
              <w:jc w:val="center"/>
              <w:rPr>
                <w:rFonts w:hint="eastAsia" w:ascii="宋体" w:hAnsi="宋体" w:eastAsia="宋体" w:cs="宋体"/>
                <w:color w:val="auto"/>
                <w:sz w:val="24"/>
                <w:highlight w:val="none"/>
              </w:rPr>
            </w:pPr>
          </w:p>
        </w:tc>
      </w:tr>
      <w:tr w14:paraId="06D73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3DF6C97">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A9E94D8">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22ADBAC">
            <w:pPr>
              <w:spacing w:line="360" w:lineRule="auto"/>
              <w:ind w:firstLine="480" w:firstLineChars="200"/>
              <w:jc w:val="center"/>
              <w:rPr>
                <w:rFonts w:hint="eastAsia" w:ascii="宋体" w:hAnsi="宋体" w:eastAsia="宋体" w:cs="宋体"/>
                <w:color w:val="auto"/>
                <w:sz w:val="24"/>
                <w:highlight w:val="none"/>
              </w:rPr>
            </w:pPr>
          </w:p>
        </w:tc>
      </w:tr>
      <w:tr w14:paraId="7DB25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8CAF095">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4F8E667">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C021013">
            <w:pPr>
              <w:spacing w:line="360" w:lineRule="auto"/>
              <w:ind w:firstLine="480" w:firstLineChars="200"/>
              <w:jc w:val="center"/>
              <w:rPr>
                <w:rFonts w:hint="eastAsia" w:ascii="宋体" w:hAnsi="宋体" w:eastAsia="宋体" w:cs="宋体"/>
                <w:color w:val="auto"/>
                <w:sz w:val="24"/>
                <w:highlight w:val="none"/>
              </w:rPr>
            </w:pPr>
          </w:p>
        </w:tc>
      </w:tr>
      <w:tr w14:paraId="74B72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5591C98">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3FC2847">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2A8E124">
            <w:pPr>
              <w:spacing w:line="360" w:lineRule="auto"/>
              <w:ind w:firstLine="480" w:firstLineChars="200"/>
              <w:jc w:val="center"/>
              <w:rPr>
                <w:rFonts w:hint="eastAsia" w:ascii="宋体" w:hAnsi="宋体" w:eastAsia="宋体" w:cs="宋体"/>
                <w:color w:val="auto"/>
                <w:sz w:val="24"/>
                <w:highlight w:val="none"/>
              </w:rPr>
            </w:pPr>
          </w:p>
        </w:tc>
      </w:tr>
      <w:tr w14:paraId="4606D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E075D8C">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2781DA2">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7B29E64">
            <w:pPr>
              <w:spacing w:line="360" w:lineRule="auto"/>
              <w:ind w:firstLine="480" w:firstLineChars="200"/>
              <w:jc w:val="center"/>
              <w:rPr>
                <w:rFonts w:hint="eastAsia" w:ascii="宋体" w:hAnsi="宋体" w:eastAsia="宋体" w:cs="宋体"/>
                <w:color w:val="auto"/>
                <w:sz w:val="24"/>
                <w:highlight w:val="none"/>
              </w:rPr>
            </w:pPr>
          </w:p>
        </w:tc>
      </w:tr>
      <w:tr w14:paraId="7265C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B7DF3FD">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7194563">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4D290682">
            <w:pPr>
              <w:spacing w:line="360" w:lineRule="auto"/>
              <w:ind w:firstLine="480" w:firstLineChars="200"/>
              <w:jc w:val="center"/>
              <w:rPr>
                <w:rFonts w:hint="eastAsia" w:ascii="宋体" w:hAnsi="宋体" w:eastAsia="宋体" w:cs="宋体"/>
                <w:color w:val="auto"/>
                <w:sz w:val="24"/>
                <w:highlight w:val="none"/>
              </w:rPr>
            </w:pPr>
          </w:p>
        </w:tc>
      </w:tr>
      <w:tr w14:paraId="25BA0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6D7641B">
            <w:pPr>
              <w:spacing w:line="360" w:lineRule="auto"/>
              <w:ind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EB44343">
            <w:pPr>
              <w:spacing w:line="360" w:lineRule="auto"/>
              <w:ind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12993B9">
            <w:pPr>
              <w:spacing w:line="360" w:lineRule="auto"/>
              <w:ind w:firstLine="480" w:firstLineChars="200"/>
              <w:jc w:val="center"/>
              <w:rPr>
                <w:rFonts w:hint="eastAsia" w:ascii="宋体" w:hAnsi="宋体" w:eastAsia="宋体" w:cs="宋体"/>
                <w:color w:val="auto"/>
                <w:sz w:val="24"/>
                <w:highlight w:val="none"/>
              </w:rPr>
            </w:pPr>
          </w:p>
        </w:tc>
      </w:tr>
    </w:tbl>
    <w:p w14:paraId="7F44B82D">
      <w:pPr>
        <w:spacing w:line="360" w:lineRule="auto"/>
        <w:ind w:firstLine="480" w:firstLineChars="200"/>
        <w:rPr>
          <w:rFonts w:hint="eastAsia" w:ascii="宋体" w:hAnsi="宋体" w:eastAsia="宋体" w:cs="宋体"/>
          <w:color w:val="auto"/>
          <w:sz w:val="24"/>
          <w:highlight w:val="none"/>
        </w:rPr>
      </w:pPr>
    </w:p>
    <w:p w14:paraId="216A612C">
      <w:pPr>
        <w:spacing w:line="360" w:lineRule="auto"/>
        <w:ind w:left="3780" w:leftChars="1800" w:firstLine="480" w:firstLineChars="200"/>
        <w:rPr>
          <w:rFonts w:hint="eastAsia" w:ascii="宋体" w:hAnsi="宋体" w:eastAsia="宋体" w:cs="宋体"/>
          <w:color w:val="auto"/>
          <w:sz w:val="24"/>
          <w:highlight w:val="none"/>
        </w:rPr>
      </w:pPr>
    </w:p>
    <w:p w14:paraId="40134BFE">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127491D">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2E49C18">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6CE30AC9">
      <w:pPr>
        <w:pStyle w:val="2"/>
        <w:spacing w:line="440" w:lineRule="exact"/>
        <w:ind w:left="0" w:leftChars="0" w:firstLine="480"/>
        <w:rPr>
          <w:rFonts w:hint="eastAsia" w:ascii="宋体" w:hAnsi="宋体" w:eastAsia="宋体" w:cs="宋体"/>
          <w:color w:val="auto"/>
          <w:sz w:val="24"/>
          <w:highlight w:val="none"/>
        </w:rPr>
      </w:pPr>
    </w:p>
    <w:p w14:paraId="6C6EBE2C">
      <w:pPr>
        <w:rPr>
          <w:rFonts w:hint="eastAsia" w:ascii="宋体" w:hAnsi="宋体" w:eastAsia="宋体" w:cs="宋体"/>
          <w:b/>
          <w:bCs/>
          <w:color w:val="auto"/>
          <w:sz w:val="24"/>
          <w:szCs w:val="21"/>
          <w:highlight w:val="none"/>
        </w:rPr>
      </w:pPr>
      <w:bookmarkStart w:id="489" w:name="_Toc85732436"/>
      <w:bookmarkStart w:id="490" w:name="_Toc108015200"/>
      <w:bookmarkStart w:id="491" w:name="_Toc81917335"/>
      <w:bookmarkStart w:id="492" w:name="_Toc86067740"/>
      <w:bookmarkStart w:id="493" w:name="_Toc81917159"/>
      <w:bookmarkStart w:id="494" w:name="_Toc79569867"/>
      <w:r>
        <w:rPr>
          <w:rFonts w:hint="eastAsia" w:ascii="宋体" w:hAnsi="宋体" w:eastAsia="宋体" w:cs="宋体"/>
          <w:b/>
          <w:bCs/>
          <w:color w:val="auto"/>
          <w:sz w:val="24"/>
          <w:szCs w:val="21"/>
          <w:highlight w:val="none"/>
        </w:rPr>
        <w:t>附件七：</w:t>
      </w:r>
      <w:bookmarkEnd w:id="489"/>
      <w:bookmarkEnd w:id="490"/>
      <w:bookmarkEnd w:id="491"/>
      <w:bookmarkEnd w:id="492"/>
      <w:bookmarkEnd w:id="493"/>
      <w:bookmarkEnd w:id="494"/>
    </w:p>
    <w:p w14:paraId="31D7883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资信分自评表</w:t>
      </w:r>
    </w:p>
    <w:p w14:paraId="05B0FAB1">
      <w:pPr>
        <w:snapToGrid w:val="0"/>
        <w:spacing w:before="50"/>
        <w:jc w:val="center"/>
        <w:rPr>
          <w:rFonts w:hint="eastAsia" w:ascii="宋体" w:hAnsi="宋体" w:eastAsia="宋体" w:cs="宋体"/>
          <w:b/>
          <w:color w:val="auto"/>
          <w:sz w:val="32"/>
          <w:szCs w:val="32"/>
          <w:highlight w:val="none"/>
        </w:rPr>
      </w:pPr>
    </w:p>
    <w:p w14:paraId="2BB1FB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DC286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9A45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35957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87" w:type="dxa"/>
            <w:vAlign w:val="center"/>
          </w:tcPr>
          <w:p w14:paraId="7D4215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资信分内容</w:t>
            </w:r>
          </w:p>
        </w:tc>
        <w:tc>
          <w:tcPr>
            <w:tcW w:w="1462" w:type="dxa"/>
            <w:vAlign w:val="center"/>
          </w:tcPr>
          <w:p w14:paraId="1B1C4C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自评得分</w:t>
            </w:r>
          </w:p>
        </w:tc>
        <w:tc>
          <w:tcPr>
            <w:tcW w:w="2415" w:type="dxa"/>
            <w:tcBorders>
              <w:right w:val="single" w:color="auto" w:sz="4" w:space="0"/>
            </w:tcBorders>
            <w:vAlign w:val="center"/>
          </w:tcPr>
          <w:p w14:paraId="1B67D16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746" w:type="dxa"/>
            <w:tcBorders>
              <w:left w:val="single" w:color="auto" w:sz="4" w:space="0"/>
            </w:tcBorders>
            <w:vAlign w:val="center"/>
          </w:tcPr>
          <w:p w14:paraId="2FB776B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47B8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CF53E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7" w:type="dxa"/>
          </w:tcPr>
          <w:p w14:paraId="7AC8B981">
            <w:pPr>
              <w:jc w:val="center"/>
              <w:rPr>
                <w:rFonts w:hint="eastAsia" w:ascii="宋体" w:hAnsi="宋体" w:eastAsia="宋体" w:cs="宋体"/>
                <w:color w:val="auto"/>
                <w:sz w:val="24"/>
                <w:highlight w:val="none"/>
              </w:rPr>
            </w:pPr>
          </w:p>
        </w:tc>
        <w:tc>
          <w:tcPr>
            <w:tcW w:w="1462" w:type="dxa"/>
          </w:tcPr>
          <w:p w14:paraId="0775B38A">
            <w:pPr>
              <w:jc w:val="center"/>
              <w:rPr>
                <w:rFonts w:hint="eastAsia" w:ascii="宋体" w:hAnsi="宋体" w:eastAsia="宋体" w:cs="宋体"/>
                <w:color w:val="auto"/>
                <w:sz w:val="24"/>
                <w:highlight w:val="none"/>
              </w:rPr>
            </w:pPr>
          </w:p>
        </w:tc>
        <w:tc>
          <w:tcPr>
            <w:tcW w:w="2415" w:type="dxa"/>
            <w:tcBorders>
              <w:right w:val="single" w:color="auto" w:sz="4" w:space="0"/>
            </w:tcBorders>
          </w:tcPr>
          <w:p w14:paraId="50E8C32A">
            <w:pPr>
              <w:jc w:val="center"/>
              <w:rPr>
                <w:rFonts w:hint="eastAsia" w:ascii="宋体" w:hAnsi="宋体" w:eastAsia="宋体" w:cs="宋体"/>
                <w:color w:val="auto"/>
                <w:sz w:val="24"/>
                <w:highlight w:val="none"/>
              </w:rPr>
            </w:pPr>
          </w:p>
        </w:tc>
        <w:tc>
          <w:tcPr>
            <w:tcW w:w="1746" w:type="dxa"/>
            <w:tcBorders>
              <w:left w:val="single" w:color="auto" w:sz="4" w:space="0"/>
            </w:tcBorders>
          </w:tcPr>
          <w:p w14:paraId="4BEFA526">
            <w:pPr>
              <w:jc w:val="center"/>
              <w:rPr>
                <w:rFonts w:hint="eastAsia" w:ascii="宋体" w:hAnsi="宋体" w:eastAsia="宋体" w:cs="宋体"/>
                <w:color w:val="auto"/>
                <w:sz w:val="24"/>
                <w:highlight w:val="none"/>
              </w:rPr>
            </w:pPr>
          </w:p>
        </w:tc>
      </w:tr>
      <w:tr w14:paraId="5A74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8713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7" w:type="dxa"/>
          </w:tcPr>
          <w:p w14:paraId="29E482A9">
            <w:pPr>
              <w:jc w:val="center"/>
              <w:rPr>
                <w:rFonts w:hint="eastAsia" w:ascii="宋体" w:hAnsi="宋体" w:eastAsia="宋体" w:cs="宋体"/>
                <w:color w:val="auto"/>
                <w:sz w:val="24"/>
                <w:highlight w:val="none"/>
              </w:rPr>
            </w:pPr>
          </w:p>
        </w:tc>
        <w:tc>
          <w:tcPr>
            <w:tcW w:w="1462" w:type="dxa"/>
          </w:tcPr>
          <w:p w14:paraId="4C450C32">
            <w:pPr>
              <w:jc w:val="center"/>
              <w:rPr>
                <w:rFonts w:hint="eastAsia" w:ascii="宋体" w:hAnsi="宋体" w:eastAsia="宋体" w:cs="宋体"/>
                <w:color w:val="auto"/>
                <w:sz w:val="24"/>
                <w:highlight w:val="none"/>
              </w:rPr>
            </w:pPr>
          </w:p>
        </w:tc>
        <w:tc>
          <w:tcPr>
            <w:tcW w:w="2415" w:type="dxa"/>
            <w:tcBorders>
              <w:right w:val="single" w:color="auto" w:sz="4" w:space="0"/>
            </w:tcBorders>
          </w:tcPr>
          <w:p w14:paraId="3840FAEE">
            <w:pPr>
              <w:jc w:val="center"/>
              <w:rPr>
                <w:rFonts w:hint="eastAsia" w:ascii="宋体" w:hAnsi="宋体" w:eastAsia="宋体" w:cs="宋体"/>
                <w:color w:val="auto"/>
                <w:sz w:val="24"/>
                <w:highlight w:val="none"/>
              </w:rPr>
            </w:pPr>
          </w:p>
        </w:tc>
        <w:tc>
          <w:tcPr>
            <w:tcW w:w="1746" w:type="dxa"/>
            <w:tcBorders>
              <w:left w:val="single" w:color="auto" w:sz="4" w:space="0"/>
            </w:tcBorders>
          </w:tcPr>
          <w:p w14:paraId="5307E7C2">
            <w:pPr>
              <w:jc w:val="center"/>
              <w:rPr>
                <w:rFonts w:hint="eastAsia" w:ascii="宋体" w:hAnsi="宋体" w:eastAsia="宋体" w:cs="宋体"/>
                <w:color w:val="auto"/>
                <w:sz w:val="24"/>
                <w:highlight w:val="none"/>
              </w:rPr>
            </w:pPr>
          </w:p>
        </w:tc>
      </w:tr>
      <w:tr w14:paraId="7885D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ED41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7" w:type="dxa"/>
          </w:tcPr>
          <w:p w14:paraId="2471D2EA">
            <w:pPr>
              <w:jc w:val="center"/>
              <w:rPr>
                <w:rFonts w:hint="eastAsia" w:ascii="宋体" w:hAnsi="宋体" w:eastAsia="宋体" w:cs="宋体"/>
                <w:color w:val="auto"/>
                <w:sz w:val="24"/>
                <w:highlight w:val="none"/>
              </w:rPr>
            </w:pPr>
          </w:p>
        </w:tc>
        <w:tc>
          <w:tcPr>
            <w:tcW w:w="1462" w:type="dxa"/>
          </w:tcPr>
          <w:p w14:paraId="32190C7C">
            <w:pPr>
              <w:jc w:val="center"/>
              <w:rPr>
                <w:rFonts w:hint="eastAsia" w:ascii="宋体" w:hAnsi="宋体" w:eastAsia="宋体" w:cs="宋体"/>
                <w:color w:val="auto"/>
                <w:sz w:val="24"/>
                <w:highlight w:val="none"/>
              </w:rPr>
            </w:pPr>
          </w:p>
        </w:tc>
        <w:tc>
          <w:tcPr>
            <w:tcW w:w="2415" w:type="dxa"/>
            <w:tcBorders>
              <w:right w:val="single" w:color="auto" w:sz="4" w:space="0"/>
            </w:tcBorders>
          </w:tcPr>
          <w:p w14:paraId="3085F5F5">
            <w:pPr>
              <w:jc w:val="center"/>
              <w:rPr>
                <w:rFonts w:hint="eastAsia" w:ascii="宋体" w:hAnsi="宋体" w:eastAsia="宋体" w:cs="宋体"/>
                <w:color w:val="auto"/>
                <w:sz w:val="24"/>
                <w:highlight w:val="none"/>
              </w:rPr>
            </w:pPr>
          </w:p>
        </w:tc>
        <w:tc>
          <w:tcPr>
            <w:tcW w:w="1746" w:type="dxa"/>
            <w:tcBorders>
              <w:left w:val="single" w:color="auto" w:sz="4" w:space="0"/>
            </w:tcBorders>
          </w:tcPr>
          <w:p w14:paraId="10F439DD">
            <w:pPr>
              <w:jc w:val="center"/>
              <w:rPr>
                <w:rFonts w:hint="eastAsia" w:ascii="宋体" w:hAnsi="宋体" w:eastAsia="宋体" w:cs="宋体"/>
                <w:color w:val="auto"/>
                <w:sz w:val="24"/>
                <w:highlight w:val="none"/>
              </w:rPr>
            </w:pPr>
          </w:p>
        </w:tc>
      </w:tr>
      <w:tr w14:paraId="2E6F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94D584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7" w:type="dxa"/>
          </w:tcPr>
          <w:p w14:paraId="034FF5E7">
            <w:pPr>
              <w:jc w:val="center"/>
              <w:rPr>
                <w:rFonts w:hint="eastAsia" w:ascii="宋体" w:hAnsi="宋体" w:eastAsia="宋体" w:cs="宋体"/>
                <w:color w:val="auto"/>
                <w:sz w:val="24"/>
                <w:highlight w:val="none"/>
              </w:rPr>
            </w:pPr>
          </w:p>
        </w:tc>
        <w:tc>
          <w:tcPr>
            <w:tcW w:w="1462" w:type="dxa"/>
          </w:tcPr>
          <w:p w14:paraId="4C561042">
            <w:pPr>
              <w:jc w:val="center"/>
              <w:rPr>
                <w:rFonts w:hint="eastAsia" w:ascii="宋体" w:hAnsi="宋体" w:eastAsia="宋体" w:cs="宋体"/>
                <w:color w:val="auto"/>
                <w:sz w:val="24"/>
                <w:highlight w:val="none"/>
              </w:rPr>
            </w:pPr>
          </w:p>
        </w:tc>
        <w:tc>
          <w:tcPr>
            <w:tcW w:w="2415" w:type="dxa"/>
            <w:tcBorders>
              <w:right w:val="single" w:color="auto" w:sz="4" w:space="0"/>
            </w:tcBorders>
          </w:tcPr>
          <w:p w14:paraId="786A9613">
            <w:pPr>
              <w:jc w:val="center"/>
              <w:rPr>
                <w:rFonts w:hint="eastAsia" w:ascii="宋体" w:hAnsi="宋体" w:eastAsia="宋体" w:cs="宋体"/>
                <w:color w:val="auto"/>
                <w:sz w:val="24"/>
                <w:highlight w:val="none"/>
              </w:rPr>
            </w:pPr>
          </w:p>
        </w:tc>
        <w:tc>
          <w:tcPr>
            <w:tcW w:w="1746" w:type="dxa"/>
            <w:tcBorders>
              <w:left w:val="single" w:color="auto" w:sz="4" w:space="0"/>
            </w:tcBorders>
          </w:tcPr>
          <w:p w14:paraId="5E1741D9">
            <w:pPr>
              <w:jc w:val="center"/>
              <w:rPr>
                <w:rFonts w:hint="eastAsia" w:ascii="宋体" w:hAnsi="宋体" w:eastAsia="宋体" w:cs="宋体"/>
                <w:color w:val="auto"/>
                <w:sz w:val="24"/>
                <w:highlight w:val="none"/>
              </w:rPr>
            </w:pPr>
          </w:p>
        </w:tc>
      </w:tr>
      <w:tr w14:paraId="07AB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50EB5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7" w:type="dxa"/>
          </w:tcPr>
          <w:p w14:paraId="258BEAB6">
            <w:pPr>
              <w:jc w:val="center"/>
              <w:rPr>
                <w:rFonts w:hint="eastAsia" w:ascii="宋体" w:hAnsi="宋体" w:eastAsia="宋体" w:cs="宋体"/>
                <w:color w:val="auto"/>
                <w:sz w:val="24"/>
                <w:highlight w:val="none"/>
              </w:rPr>
            </w:pPr>
          </w:p>
        </w:tc>
        <w:tc>
          <w:tcPr>
            <w:tcW w:w="1462" w:type="dxa"/>
          </w:tcPr>
          <w:p w14:paraId="5B94ACE6">
            <w:pPr>
              <w:jc w:val="center"/>
              <w:rPr>
                <w:rFonts w:hint="eastAsia" w:ascii="宋体" w:hAnsi="宋体" w:eastAsia="宋体" w:cs="宋体"/>
                <w:color w:val="auto"/>
                <w:sz w:val="24"/>
                <w:highlight w:val="none"/>
              </w:rPr>
            </w:pPr>
          </w:p>
        </w:tc>
        <w:tc>
          <w:tcPr>
            <w:tcW w:w="2415" w:type="dxa"/>
            <w:tcBorders>
              <w:right w:val="single" w:color="auto" w:sz="4" w:space="0"/>
            </w:tcBorders>
          </w:tcPr>
          <w:p w14:paraId="485AC8D9">
            <w:pPr>
              <w:jc w:val="center"/>
              <w:rPr>
                <w:rFonts w:hint="eastAsia" w:ascii="宋体" w:hAnsi="宋体" w:eastAsia="宋体" w:cs="宋体"/>
                <w:color w:val="auto"/>
                <w:sz w:val="24"/>
                <w:highlight w:val="none"/>
              </w:rPr>
            </w:pPr>
          </w:p>
        </w:tc>
        <w:tc>
          <w:tcPr>
            <w:tcW w:w="1746" w:type="dxa"/>
            <w:tcBorders>
              <w:left w:val="single" w:color="auto" w:sz="4" w:space="0"/>
            </w:tcBorders>
          </w:tcPr>
          <w:p w14:paraId="6399C34A">
            <w:pPr>
              <w:jc w:val="center"/>
              <w:rPr>
                <w:rFonts w:hint="eastAsia" w:ascii="宋体" w:hAnsi="宋体" w:eastAsia="宋体" w:cs="宋体"/>
                <w:color w:val="auto"/>
                <w:sz w:val="24"/>
                <w:highlight w:val="none"/>
              </w:rPr>
            </w:pPr>
          </w:p>
        </w:tc>
      </w:tr>
      <w:tr w14:paraId="1246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AEE5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7" w:type="dxa"/>
          </w:tcPr>
          <w:p w14:paraId="25DF6B93">
            <w:pPr>
              <w:jc w:val="center"/>
              <w:rPr>
                <w:rFonts w:hint="eastAsia" w:ascii="宋体" w:hAnsi="宋体" w:eastAsia="宋体" w:cs="宋体"/>
                <w:color w:val="auto"/>
                <w:sz w:val="24"/>
                <w:highlight w:val="none"/>
              </w:rPr>
            </w:pPr>
          </w:p>
        </w:tc>
        <w:tc>
          <w:tcPr>
            <w:tcW w:w="1462" w:type="dxa"/>
          </w:tcPr>
          <w:p w14:paraId="2A51E635">
            <w:pPr>
              <w:jc w:val="center"/>
              <w:rPr>
                <w:rFonts w:hint="eastAsia" w:ascii="宋体" w:hAnsi="宋体" w:eastAsia="宋体" w:cs="宋体"/>
                <w:color w:val="auto"/>
                <w:sz w:val="24"/>
                <w:highlight w:val="none"/>
              </w:rPr>
            </w:pPr>
          </w:p>
        </w:tc>
        <w:tc>
          <w:tcPr>
            <w:tcW w:w="2415" w:type="dxa"/>
            <w:tcBorders>
              <w:right w:val="single" w:color="auto" w:sz="4" w:space="0"/>
            </w:tcBorders>
          </w:tcPr>
          <w:p w14:paraId="2EF081CC">
            <w:pPr>
              <w:jc w:val="center"/>
              <w:rPr>
                <w:rFonts w:hint="eastAsia" w:ascii="宋体" w:hAnsi="宋体" w:eastAsia="宋体" w:cs="宋体"/>
                <w:color w:val="auto"/>
                <w:sz w:val="24"/>
                <w:highlight w:val="none"/>
              </w:rPr>
            </w:pPr>
          </w:p>
        </w:tc>
        <w:tc>
          <w:tcPr>
            <w:tcW w:w="1746" w:type="dxa"/>
            <w:tcBorders>
              <w:left w:val="single" w:color="auto" w:sz="4" w:space="0"/>
            </w:tcBorders>
          </w:tcPr>
          <w:p w14:paraId="7972F51E">
            <w:pPr>
              <w:jc w:val="center"/>
              <w:rPr>
                <w:rFonts w:hint="eastAsia" w:ascii="宋体" w:hAnsi="宋体" w:eastAsia="宋体" w:cs="宋体"/>
                <w:color w:val="auto"/>
                <w:sz w:val="24"/>
                <w:highlight w:val="none"/>
              </w:rPr>
            </w:pPr>
          </w:p>
        </w:tc>
      </w:tr>
      <w:tr w14:paraId="1E4DF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D1E0B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7" w:type="dxa"/>
          </w:tcPr>
          <w:p w14:paraId="146D2357">
            <w:pPr>
              <w:jc w:val="center"/>
              <w:rPr>
                <w:rFonts w:hint="eastAsia" w:ascii="宋体" w:hAnsi="宋体" w:eastAsia="宋体" w:cs="宋体"/>
                <w:color w:val="auto"/>
                <w:sz w:val="24"/>
                <w:highlight w:val="none"/>
              </w:rPr>
            </w:pPr>
          </w:p>
        </w:tc>
        <w:tc>
          <w:tcPr>
            <w:tcW w:w="1462" w:type="dxa"/>
          </w:tcPr>
          <w:p w14:paraId="7C8F243E">
            <w:pPr>
              <w:jc w:val="center"/>
              <w:rPr>
                <w:rFonts w:hint="eastAsia" w:ascii="宋体" w:hAnsi="宋体" w:eastAsia="宋体" w:cs="宋体"/>
                <w:color w:val="auto"/>
                <w:sz w:val="24"/>
                <w:highlight w:val="none"/>
              </w:rPr>
            </w:pPr>
          </w:p>
        </w:tc>
        <w:tc>
          <w:tcPr>
            <w:tcW w:w="2415" w:type="dxa"/>
            <w:tcBorders>
              <w:right w:val="single" w:color="auto" w:sz="4" w:space="0"/>
            </w:tcBorders>
          </w:tcPr>
          <w:p w14:paraId="5DF18911">
            <w:pPr>
              <w:jc w:val="center"/>
              <w:rPr>
                <w:rFonts w:hint="eastAsia" w:ascii="宋体" w:hAnsi="宋体" w:eastAsia="宋体" w:cs="宋体"/>
                <w:color w:val="auto"/>
                <w:sz w:val="24"/>
                <w:highlight w:val="none"/>
              </w:rPr>
            </w:pPr>
          </w:p>
        </w:tc>
        <w:tc>
          <w:tcPr>
            <w:tcW w:w="1746" w:type="dxa"/>
            <w:tcBorders>
              <w:left w:val="single" w:color="auto" w:sz="4" w:space="0"/>
            </w:tcBorders>
          </w:tcPr>
          <w:p w14:paraId="15756E22">
            <w:pPr>
              <w:jc w:val="center"/>
              <w:rPr>
                <w:rFonts w:hint="eastAsia" w:ascii="宋体" w:hAnsi="宋体" w:eastAsia="宋体" w:cs="宋体"/>
                <w:color w:val="auto"/>
                <w:sz w:val="24"/>
                <w:highlight w:val="none"/>
              </w:rPr>
            </w:pPr>
          </w:p>
        </w:tc>
      </w:tr>
      <w:tr w14:paraId="6A41D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CD127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7" w:type="dxa"/>
          </w:tcPr>
          <w:p w14:paraId="1CC4991A">
            <w:pPr>
              <w:jc w:val="center"/>
              <w:rPr>
                <w:rFonts w:hint="eastAsia" w:ascii="宋体" w:hAnsi="宋体" w:eastAsia="宋体" w:cs="宋体"/>
                <w:color w:val="auto"/>
                <w:sz w:val="24"/>
                <w:highlight w:val="none"/>
              </w:rPr>
            </w:pPr>
          </w:p>
        </w:tc>
        <w:tc>
          <w:tcPr>
            <w:tcW w:w="1462" w:type="dxa"/>
          </w:tcPr>
          <w:p w14:paraId="4C05EC42">
            <w:pPr>
              <w:jc w:val="center"/>
              <w:rPr>
                <w:rFonts w:hint="eastAsia" w:ascii="宋体" w:hAnsi="宋体" w:eastAsia="宋体" w:cs="宋体"/>
                <w:color w:val="auto"/>
                <w:sz w:val="24"/>
                <w:highlight w:val="none"/>
              </w:rPr>
            </w:pPr>
          </w:p>
        </w:tc>
        <w:tc>
          <w:tcPr>
            <w:tcW w:w="2415" w:type="dxa"/>
            <w:tcBorders>
              <w:right w:val="single" w:color="auto" w:sz="4" w:space="0"/>
            </w:tcBorders>
          </w:tcPr>
          <w:p w14:paraId="6B3AAC32">
            <w:pPr>
              <w:jc w:val="center"/>
              <w:rPr>
                <w:rFonts w:hint="eastAsia" w:ascii="宋体" w:hAnsi="宋体" w:eastAsia="宋体" w:cs="宋体"/>
                <w:color w:val="auto"/>
                <w:sz w:val="24"/>
                <w:highlight w:val="none"/>
              </w:rPr>
            </w:pPr>
          </w:p>
        </w:tc>
        <w:tc>
          <w:tcPr>
            <w:tcW w:w="1746" w:type="dxa"/>
            <w:tcBorders>
              <w:left w:val="single" w:color="auto" w:sz="4" w:space="0"/>
            </w:tcBorders>
          </w:tcPr>
          <w:p w14:paraId="1EE878E6">
            <w:pPr>
              <w:jc w:val="center"/>
              <w:rPr>
                <w:rFonts w:hint="eastAsia" w:ascii="宋体" w:hAnsi="宋体" w:eastAsia="宋体" w:cs="宋体"/>
                <w:color w:val="auto"/>
                <w:sz w:val="24"/>
                <w:highlight w:val="none"/>
              </w:rPr>
            </w:pPr>
          </w:p>
        </w:tc>
      </w:tr>
      <w:tr w14:paraId="3BA5F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7D0E4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2387" w:type="dxa"/>
          </w:tcPr>
          <w:p w14:paraId="63E9B76E">
            <w:pPr>
              <w:jc w:val="center"/>
              <w:rPr>
                <w:rFonts w:hint="eastAsia" w:ascii="宋体" w:hAnsi="宋体" w:eastAsia="宋体" w:cs="宋体"/>
                <w:color w:val="auto"/>
                <w:sz w:val="24"/>
                <w:highlight w:val="none"/>
              </w:rPr>
            </w:pPr>
          </w:p>
        </w:tc>
        <w:tc>
          <w:tcPr>
            <w:tcW w:w="1462" w:type="dxa"/>
          </w:tcPr>
          <w:p w14:paraId="03E8C73A">
            <w:pPr>
              <w:jc w:val="center"/>
              <w:rPr>
                <w:rFonts w:hint="eastAsia" w:ascii="宋体" w:hAnsi="宋体" w:eastAsia="宋体" w:cs="宋体"/>
                <w:color w:val="auto"/>
                <w:sz w:val="24"/>
                <w:highlight w:val="none"/>
              </w:rPr>
            </w:pPr>
          </w:p>
        </w:tc>
        <w:tc>
          <w:tcPr>
            <w:tcW w:w="2415" w:type="dxa"/>
            <w:tcBorders>
              <w:right w:val="single" w:color="auto" w:sz="4" w:space="0"/>
            </w:tcBorders>
          </w:tcPr>
          <w:p w14:paraId="401173C3">
            <w:pPr>
              <w:jc w:val="center"/>
              <w:rPr>
                <w:rFonts w:hint="eastAsia" w:ascii="宋体" w:hAnsi="宋体" w:eastAsia="宋体" w:cs="宋体"/>
                <w:color w:val="auto"/>
                <w:sz w:val="24"/>
                <w:highlight w:val="none"/>
              </w:rPr>
            </w:pPr>
          </w:p>
        </w:tc>
        <w:tc>
          <w:tcPr>
            <w:tcW w:w="1746" w:type="dxa"/>
            <w:tcBorders>
              <w:left w:val="single" w:color="auto" w:sz="4" w:space="0"/>
            </w:tcBorders>
          </w:tcPr>
          <w:p w14:paraId="46E84B7D">
            <w:pPr>
              <w:jc w:val="center"/>
              <w:rPr>
                <w:rFonts w:hint="eastAsia" w:ascii="宋体" w:hAnsi="宋体" w:eastAsia="宋体" w:cs="宋体"/>
                <w:color w:val="auto"/>
                <w:sz w:val="24"/>
                <w:highlight w:val="none"/>
              </w:rPr>
            </w:pPr>
          </w:p>
        </w:tc>
      </w:tr>
    </w:tbl>
    <w:p w14:paraId="7EFD9977">
      <w:pPr>
        <w:spacing w:line="360" w:lineRule="auto"/>
        <w:ind w:firstLine="480" w:firstLineChars="200"/>
        <w:rPr>
          <w:rFonts w:hint="eastAsia" w:ascii="宋体" w:hAnsi="宋体" w:eastAsia="宋体" w:cs="宋体"/>
          <w:color w:val="auto"/>
          <w:sz w:val="24"/>
          <w:highlight w:val="none"/>
        </w:rPr>
      </w:pPr>
    </w:p>
    <w:p w14:paraId="78F942A4">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394F0F7">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5C89EDE2">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24AC412">
      <w:pPr>
        <w:rPr>
          <w:rFonts w:hint="eastAsia" w:ascii="宋体" w:hAnsi="宋体" w:eastAsia="宋体" w:cs="宋体"/>
          <w:b/>
          <w:bCs/>
          <w:color w:val="auto"/>
          <w:sz w:val="24"/>
          <w:highlight w:val="none"/>
        </w:rPr>
      </w:pPr>
    </w:p>
    <w:p w14:paraId="5408D1F8">
      <w:pPr>
        <w:rPr>
          <w:rFonts w:hint="eastAsia" w:ascii="宋体" w:hAnsi="宋体" w:eastAsia="宋体" w:cs="宋体"/>
          <w:b/>
          <w:bCs/>
          <w:color w:val="auto"/>
          <w:sz w:val="24"/>
          <w:highlight w:val="none"/>
        </w:rPr>
      </w:pPr>
    </w:p>
    <w:p w14:paraId="6B68DF1D">
      <w:pPr>
        <w:rPr>
          <w:rFonts w:hint="eastAsia" w:ascii="宋体" w:hAnsi="宋体" w:eastAsia="宋体" w:cs="宋体"/>
          <w:b/>
          <w:bCs/>
          <w:color w:val="auto"/>
          <w:sz w:val="24"/>
          <w:highlight w:val="none"/>
        </w:rPr>
      </w:pPr>
    </w:p>
    <w:p w14:paraId="6E34C534">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附件八：</w:t>
      </w:r>
    </w:p>
    <w:p w14:paraId="5BCB34F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5EB1748A">
      <w:pPr>
        <w:snapToGrid w:val="0"/>
        <w:spacing w:before="50"/>
        <w:jc w:val="center"/>
        <w:rPr>
          <w:rFonts w:hint="eastAsia" w:ascii="宋体" w:hAnsi="宋体" w:eastAsia="宋体" w:cs="宋体"/>
          <w:b/>
          <w:color w:val="auto"/>
          <w:sz w:val="32"/>
          <w:szCs w:val="32"/>
          <w:highlight w:val="none"/>
        </w:rPr>
      </w:pPr>
    </w:p>
    <w:p w14:paraId="0C2248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30ED1CA">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418AF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9EA708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8E9D04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19E8B88">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w:t>
            </w:r>
          </w:p>
          <w:p w14:paraId="4603CD9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C67735E">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4BC8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AF00E7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vAlign w:val="center"/>
          </w:tcPr>
          <w:p w14:paraId="3CC40AC2">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0F0CDC">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8A1413F">
            <w:pPr>
              <w:snapToGrid w:val="0"/>
              <w:spacing w:before="50" w:after="50"/>
              <w:jc w:val="center"/>
              <w:rPr>
                <w:rFonts w:hint="eastAsia" w:ascii="宋体" w:hAnsi="宋体" w:eastAsia="宋体" w:cs="宋体"/>
                <w:color w:val="auto"/>
                <w:sz w:val="24"/>
                <w:highlight w:val="none"/>
              </w:rPr>
            </w:pPr>
          </w:p>
        </w:tc>
      </w:tr>
      <w:tr w14:paraId="6D5F1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BFBB52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55F97DEB">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A9F339">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78ACDAE">
            <w:pPr>
              <w:snapToGrid w:val="0"/>
              <w:spacing w:before="50" w:after="50"/>
              <w:jc w:val="center"/>
              <w:rPr>
                <w:rFonts w:hint="eastAsia" w:ascii="宋体" w:hAnsi="宋体" w:eastAsia="宋体" w:cs="宋体"/>
                <w:color w:val="auto"/>
                <w:sz w:val="24"/>
                <w:highlight w:val="none"/>
              </w:rPr>
            </w:pPr>
          </w:p>
        </w:tc>
      </w:tr>
      <w:tr w14:paraId="4BDF0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F800E5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5DD77E5F">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1DD2AD">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E0C2F79">
            <w:pPr>
              <w:snapToGrid w:val="0"/>
              <w:spacing w:before="50" w:after="50"/>
              <w:jc w:val="center"/>
              <w:rPr>
                <w:rFonts w:hint="eastAsia" w:ascii="宋体" w:hAnsi="宋体" w:eastAsia="宋体" w:cs="宋体"/>
                <w:color w:val="auto"/>
                <w:sz w:val="24"/>
                <w:highlight w:val="none"/>
              </w:rPr>
            </w:pPr>
          </w:p>
        </w:tc>
      </w:tr>
      <w:tr w14:paraId="1C576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D90240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0FD24176">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E77AD4">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B0D2526">
            <w:pPr>
              <w:snapToGrid w:val="0"/>
              <w:spacing w:before="50" w:after="50"/>
              <w:jc w:val="center"/>
              <w:rPr>
                <w:rFonts w:hint="eastAsia" w:ascii="宋体" w:hAnsi="宋体" w:eastAsia="宋体" w:cs="宋体"/>
                <w:color w:val="auto"/>
                <w:sz w:val="24"/>
                <w:highlight w:val="none"/>
              </w:rPr>
            </w:pPr>
          </w:p>
        </w:tc>
      </w:tr>
      <w:tr w14:paraId="18622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4CE15BD">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33DCBF27">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420E00">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C1CCC1F">
            <w:pPr>
              <w:snapToGrid w:val="0"/>
              <w:spacing w:before="50" w:after="50"/>
              <w:jc w:val="center"/>
              <w:rPr>
                <w:rFonts w:hint="eastAsia" w:ascii="宋体" w:hAnsi="宋体" w:eastAsia="宋体" w:cs="宋体"/>
                <w:color w:val="auto"/>
                <w:sz w:val="24"/>
                <w:highlight w:val="none"/>
              </w:rPr>
            </w:pPr>
          </w:p>
        </w:tc>
      </w:tr>
      <w:tr w14:paraId="04182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06808B1">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30FA554B">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E487BD">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0D66F13">
            <w:pPr>
              <w:snapToGrid w:val="0"/>
              <w:spacing w:before="50" w:after="50"/>
              <w:jc w:val="center"/>
              <w:rPr>
                <w:rFonts w:hint="eastAsia" w:ascii="宋体" w:hAnsi="宋体" w:eastAsia="宋体" w:cs="宋体"/>
                <w:color w:val="auto"/>
                <w:sz w:val="24"/>
                <w:highlight w:val="none"/>
              </w:rPr>
            </w:pPr>
          </w:p>
        </w:tc>
      </w:tr>
      <w:tr w14:paraId="69D84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066869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281A5214">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13F8FB">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CA1D733">
            <w:pPr>
              <w:snapToGrid w:val="0"/>
              <w:spacing w:before="50" w:after="50"/>
              <w:jc w:val="center"/>
              <w:rPr>
                <w:rFonts w:hint="eastAsia" w:ascii="宋体" w:hAnsi="宋体" w:eastAsia="宋体" w:cs="宋体"/>
                <w:color w:val="auto"/>
                <w:sz w:val="24"/>
                <w:highlight w:val="none"/>
              </w:rPr>
            </w:pPr>
          </w:p>
        </w:tc>
      </w:tr>
      <w:tr w14:paraId="0A232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500A6CE">
            <w:pPr>
              <w:snapToGrid w:val="0"/>
              <w:spacing w:before="50" w:after="50"/>
              <w:jc w:val="center"/>
              <w:rPr>
                <w:rFonts w:hint="eastAsia" w:ascii="宋体" w:hAnsi="宋体" w:eastAsia="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FE8FB4A">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201AA9">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C5F6319">
            <w:pPr>
              <w:snapToGrid w:val="0"/>
              <w:spacing w:before="50" w:after="50"/>
              <w:jc w:val="center"/>
              <w:rPr>
                <w:rFonts w:hint="eastAsia" w:ascii="宋体" w:hAnsi="宋体" w:eastAsia="宋体" w:cs="宋体"/>
                <w:color w:val="auto"/>
                <w:sz w:val="24"/>
                <w:highlight w:val="none"/>
              </w:rPr>
            </w:pPr>
          </w:p>
        </w:tc>
      </w:tr>
      <w:tr w14:paraId="2E8EC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FCC1061">
            <w:pPr>
              <w:snapToGrid w:val="0"/>
              <w:spacing w:before="50" w:after="50"/>
              <w:jc w:val="center"/>
              <w:rPr>
                <w:rFonts w:hint="eastAsia" w:ascii="宋体" w:hAnsi="宋体" w:eastAsia="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64D4601">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D03B94">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F6EA1C6">
            <w:pPr>
              <w:snapToGrid w:val="0"/>
              <w:spacing w:before="50" w:after="50"/>
              <w:jc w:val="center"/>
              <w:rPr>
                <w:rFonts w:hint="eastAsia" w:ascii="宋体" w:hAnsi="宋体" w:eastAsia="宋体" w:cs="宋体"/>
                <w:color w:val="auto"/>
                <w:sz w:val="24"/>
                <w:highlight w:val="none"/>
              </w:rPr>
            </w:pPr>
          </w:p>
        </w:tc>
      </w:tr>
      <w:tr w14:paraId="42524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EB1F4F2">
            <w:pPr>
              <w:snapToGrid w:val="0"/>
              <w:spacing w:before="50" w:after="50"/>
              <w:jc w:val="center"/>
              <w:rPr>
                <w:rFonts w:hint="eastAsia" w:ascii="宋体" w:hAnsi="宋体" w:eastAsia="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251EF00">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19ED59">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78B1EA2">
            <w:pPr>
              <w:snapToGrid w:val="0"/>
              <w:spacing w:before="50" w:after="50"/>
              <w:jc w:val="center"/>
              <w:rPr>
                <w:rFonts w:hint="eastAsia" w:ascii="宋体" w:hAnsi="宋体" w:eastAsia="宋体" w:cs="宋体"/>
                <w:color w:val="auto"/>
                <w:sz w:val="24"/>
                <w:highlight w:val="none"/>
              </w:rPr>
            </w:pPr>
          </w:p>
        </w:tc>
      </w:tr>
      <w:tr w14:paraId="44D2E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9E13481">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73E3D5EE">
            <w:pPr>
              <w:snapToGrid w:val="0"/>
              <w:spacing w:before="50" w:after="5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CBC7">
            <w:pPr>
              <w:snapToGrid w:val="0"/>
              <w:spacing w:before="50" w:after="5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2DC4574">
            <w:pPr>
              <w:snapToGrid w:val="0"/>
              <w:spacing w:before="50" w:after="50"/>
              <w:jc w:val="center"/>
              <w:rPr>
                <w:rFonts w:hint="eastAsia" w:ascii="宋体" w:hAnsi="宋体" w:eastAsia="宋体" w:cs="宋体"/>
                <w:color w:val="auto"/>
                <w:sz w:val="24"/>
                <w:highlight w:val="none"/>
              </w:rPr>
            </w:pPr>
          </w:p>
        </w:tc>
      </w:tr>
    </w:tbl>
    <w:p w14:paraId="7C8D648A">
      <w:pPr>
        <w:spacing w:line="360" w:lineRule="auto"/>
        <w:ind w:left="3780" w:leftChars="1800" w:firstLine="480" w:firstLineChars="200"/>
        <w:rPr>
          <w:rFonts w:hint="eastAsia" w:ascii="宋体" w:hAnsi="宋体" w:eastAsia="宋体" w:cs="宋体"/>
          <w:color w:val="auto"/>
          <w:sz w:val="24"/>
          <w:highlight w:val="none"/>
        </w:rPr>
      </w:pPr>
    </w:p>
    <w:p w14:paraId="259B7C60">
      <w:pPr>
        <w:spacing w:line="360" w:lineRule="auto"/>
        <w:ind w:left="3780" w:leftChars="1800" w:firstLine="480" w:firstLineChars="200"/>
        <w:rPr>
          <w:rFonts w:hint="eastAsia" w:ascii="宋体" w:hAnsi="宋体" w:eastAsia="宋体" w:cs="宋体"/>
          <w:color w:val="auto"/>
          <w:sz w:val="24"/>
          <w:highlight w:val="none"/>
        </w:rPr>
      </w:pPr>
    </w:p>
    <w:p w14:paraId="0E241135">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9B89B75">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16BCCBF">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500F3E4F">
      <w:pPr>
        <w:pStyle w:val="2"/>
        <w:spacing w:line="440" w:lineRule="exact"/>
        <w:ind w:left="0" w:leftChars="0" w:firstLine="0" w:firstLineChars="0"/>
        <w:rPr>
          <w:rFonts w:hint="eastAsia" w:ascii="宋体" w:hAnsi="宋体" w:eastAsia="宋体" w:cs="宋体"/>
          <w:color w:val="auto"/>
          <w:sz w:val="24"/>
          <w:highlight w:val="none"/>
        </w:rPr>
      </w:pPr>
    </w:p>
    <w:p w14:paraId="6806B7CF">
      <w:pPr>
        <w:pStyle w:val="2"/>
        <w:spacing w:line="440" w:lineRule="exact"/>
        <w:ind w:left="0" w:leftChars="0" w:firstLine="4200" w:firstLineChars="1750"/>
        <w:rPr>
          <w:rFonts w:hint="eastAsia" w:ascii="宋体" w:hAnsi="宋体" w:eastAsia="宋体" w:cs="宋体"/>
          <w:color w:val="auto"/>
          <w:sz w:val="24"/>
          <w:highlight w:val="none"/>
        </w:rPr>
      </w:pPr>
    </w:p>
    <w:p w14:paraId="12CD0B2C">
      <w:pPr>
        <w:pStyle w:val="2"/>
        <w:spacing w:line="440" w:lineRule="exact"/>
        <w:ind w:left="0" w:leftChars="0" w:firstLine="4200" w:firstLineChars="1750"/>
        <w:rPr>
          <w:rFonts w:hint="eastAsia" w:ascii="宋体" w:hAnsi="宋体" w:eastAsia="宋体" w:cs="宋体"/>
          <w:color w:val="auto"/>
          <w:sz w:val="24"/>
          <w:highlight w:val="none"/>
        </w:rPr>
      </w:pPr>
    </w:p>
    <w:p w14:paraId="13C8C381">
      <w:pPr>
        <w:snapToGrid w:val="0"/>
        <w:spacing w:before="50" w:after="5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附件九：</w:t>
      </w:r>
    </w:p>
    <w:p w14:paraId="7605C44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256C3C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8B96B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F22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FD5D718">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EB6005F">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47AF86D">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8DB743A">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0CFC2D30">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8267D9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劳动合同编号</w:t>
            </w:r>
          </w:p>
        </w:tc>
      </w:tr>
      <w:tr w14:paraId="4E97E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9E3D2F4">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29020E6">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39B82B7">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C6D4C63">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E19C13E">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0DE146B">
            <w:pPr>
              <w:snapToGrid w:val="0"/>
              <w:spacing w:before="156" w:beforeLines="50" w:after="50" w:line="460" w:lineRule="exact"/>
              <w:rPr>
                <w:rFonts w:hint="eastAsia" w:ascii="宋体" w:hAnsi="宋体" w:eastAsia="宋体" w:cs="宋体"/>
                <w:color w:val="auto"/>
                <w:sz w:val="24"/>
                <w:highlight w:val="none"/>
              </w:rPr>
            </w:pPr>
          </w:p>
        </w:tc>
      </w:tr>
      <w:tr w14:paraId="6BFD1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E55A648">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D2A7C3D">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EA48912">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9E231B3">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4C39D63">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A636E3D">
            <w:pPr>
              <w:snapToGrid w:val="0"/>
              <w:spacing w:before="156" w:beforeLines="50" w:after="50" w:line="460" w:lineRule="exact"/>
              <w:rPr>
                <w:rFonts w:hint="eastAsia" w:ascii="宋体" w:hAnsi="宋体" w:eastAsia="宋体" w:cs="宋体"/>
                <w:color w:val="auto"/>
                <w:sz w:val="24"/>
                <w:highlight w:val="none"/>
              </w:rPr>
            </w:pPr>
          </w:p>
        </w:tc>
      </w:tr>
      <w:tr w14:paraId="2D3B9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CBA83BF">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26391B9">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11A77CE">
            <w:pPr>
              <w:snapToGrid w:val="0"/>
              <w:spacing w:before="156" w:beforeLines="50" w:after="50" w:line="460" w:lineRule="exact"/>
              <w:ind w:left="5250" w:leftChars="250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5A3442">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302DFD">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489FC25">
            <w:pPr>
              <w:snapToGrid w:val="0"/>
              <w:spacing w:before="156" w:beforeLines="50" w:after="50" w:line="460" w:lineRule="exact"/>
              <w:rPr>
                <w:rFonts w:hint="eastAsia" w:ascii="宋体" w:hAnsi="宋体" w:eastAsia="宋体" w:cs="宋体"/>
                <w:color w:val="auto"/>
                <w:sz w:val="24"/>
                <w:highlight w:val="none"/>
              </w:rPr>
            </w:pPr>
          </w:p>
        </w:tc>
      </w:tr>
      <w:tr w14:paraId="640F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E8EE7D3">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F19319B">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B5ED614">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572042F">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D599F7">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1E395ED">
            <w:pPr>
              <w:snapToGrid w:val="0"/>
              <w:spacing w:before="156" w:beforeLines="50" w:after="50" w:line="460" w:lineRule="exact"/>
              <w:rPr>
                <w:rFonts w:hint="eastAsia" w:ascii="宋体" w:hAnsi="宋体" w:eastAsia="宋体" w:cs="宋体"/>
                <w:color w:val="auto"/>
                <w:sz w:val="24"/>
                <w:highlight w:val="none"/>
              </w:rPr>
            </w:pPr>
          </w:p>
        </w:tc>
      </w:tr>
      <w:tr w14:paraId="0BF06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249DE9C">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FD5CAD">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161AD82">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E3C0893">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591548F">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27D69D9">
            <w:pPr>
              <w:snapToGrid w:val="0"/>
              <w:spacing w:before="156" w:beforeLines="50" w:after="50" w:line="460" w:lineRule="exact"/>
              <w:rPr>
                <w:rFonts w:hint="eastAsia" w:ascii="宋体" w:hAnsi="宋体" w:eastAsia="宋体" w:cs="宋体"/>
                <w:color w:val="auto"/>
                <w:sz w:val="24"/>
                <w:highlight w:val="none"/>
              </w:rPr>
            </w:pPr>
          </w:p>
        </w:tc>
      </w:tr>
      <w:tr w14:paraId="4ADD4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4FDF9C9">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1618A4C">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59BC6C1">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B8536AB">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D8B9158">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D6264A0">
            <w:pPr>
              <w:snapToGrid w:val="0"/>
              <w:spacing w:before="156" w:beforeLines="50" w:after="50" w:line="460" w:lineRule="exact"/>
              <w:rPr>
                <w:rFonts w:hint="eastAsia" w:ascii="宋体" w:hAnsi="宋体" w:eastAsia="宋体" w:cs="宋体"/>
                <w:color w:val="auto"/>
                <w:sz w:val="24"/>
                <w:highlight w:val="none"/>
              </w:rPr>
            </w:pPr>
          </w:p>
        </w:tc>
      </w:tr>
      <w:tr w14:paraId="15F8C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2884895">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2EFF4EF">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B401573">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5FA12FD">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59D517">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AF88AD3">
            <w:pPr>
              <w:snapToGrid w:val="0"/>
              <w:spacing w:before="156" w:beforeLines="50" w:after="50" w:line="460" w:lineRule="exact"/>
              <w:rPr>
                <w:rFonts w:hint="eastAsia" w:ascii="宋体" w:hAnsi="宋体" w:eastAsia="宋体" w:cs="宋体"/>
                <w:color w:val="auto"/>
                <w:sz w:val="24"/>
                <w:highlight w:val="none"/>
              </w:rPr>
            </w:pPr>
          </w:p>
        </w:tc>
      </w:tr>
      <w:tr w14:paraId="6FD69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3D784CD">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F96CC5">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DB6E34D">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14524B">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09D64BB">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828BF8">
            <w:pPr>
              <w:snapToGrid w:val="0"/>
              <w:spacing w:before="156" w:beforeLines="50" w:after="50" w:line="460" w:lineRule="exact"/>
              <w:rPr>
                <w:rFonts w:hint="eastAsia" w:ascii="宋体" w:hAnsi="宋体" w:eastAsia="宋体" w:cs="宋体"/>
                <w:color w:val="auto"/>
                <w:sz w:val="24"/>
                <w:highlight w:val="none"/>
              </w:rPr>
            </w:pPr>
          </w:p>
        </w:tc>
      </w:tr>
      <w:tr w14:paraId="0C5F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D3B4A85">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12DA6E7">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F4A94CB">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B54281A">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E404268">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DB35CB7">
            <w:pPr>
              <w:snapToGrid w:val="0"/>
              <w:spacing w:before="156" w:beforeLines="50" w:after="50" w:line="460" w:lineRule="exact"/>
              <w:rPr>
                <w:rFonts w:hint="eastAsia" w:ascii="宋体" w:hAnsi="宋体" w:eastAsia="宋体" w:cs="宋体"/>
                <w:color w:val="auto"/>
                <w:sz w:val="24"/>
                <w:highlight w:val="none"/>
              </w:rPr>
            </w:pPr>
          </w:p>
        </w:tc>
      </w:tr>
      <w:tr w14:paraId="34AA6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0E6A7D6">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6A3052">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79307A7">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1F146CB">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61D4B49">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C33A7C4">
            <w:pPr>
              <w:snapToGrid w:val="0"/>
              <w:spacing w:before="156" w:beforeLines="50" w:after="50" w:line="460" w:lineRule="exact"/>
              <w:rPr>
                <w:rFonts w:hint="eastAsia" w:ascii="宋体" w:hAnsi="宋体" w:eastAsia="宋体" w:cs="宋体"/>
                <w:color w:val="auto"/>
                <w:sz w:val="24"/>
                <w:highlight w:val="none"/>
              </w:rPr>
            </w:pPr>
          </w:p>
        </w:tc>
      </w:tr>
      <w:tr w14:paraId="41BDE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145C52D">
            <w:pPr>
              <w:snapToGrid w:val="0"/>
              <w:spacing w:before="156" w:beforeLines="50" w:after="50" w:line="460" w:lineRule="exact"/>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4379346">
            <w:pPr>
              <w:snapToGrid w:val="0"/>
              <w:spacing w:before="156" w:beforeLines="50" w:after="50" w:line="460" w:lineRule="exact"/>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0A1E085">
            <w:pPr>
              <w:snapToGrid w:val="0"/>
              <w:spacing w:before="156" w:beforeLines="50" w:after="50" w:line="460" w:lineRule="exact"/>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553E60B">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05228FE">
            <w:pPr>
              <w:snapToGrid w:val="0"/>
              <w:spacing w:before="156" w:beforeLines="50" w:after="50" w:line="460" w:lineRule="exact"/>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85032F">
            <w:pPr>
              <w:snapToGrid w:val="0"/>
              <w:spacing w:before="156" w:beforeLines="50" w:after="50" w:line="460" w:lineRule="exact"/>
              <w:rPr>
                <w:rFonts w:hint="eastAsia" w:ascii="宋体" w:hAnsi="宋体" w:eastAsia="宋体" w:cs="宋体"/>
                <w:color w:val="auto"/>
                <w:sz w:val="24"/>
                <w:highlight w:val="none"/>
              </w:rPr>
            </w:pPr>
          </w:p>
        </w:tc>
      </w:tr>
    </w:tbl>
    <w:p w14:paraId="3F7B0323">
      <w:pPr>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注：在填写时，如本表格不适合投标单位的实际情况，可根据本表格式自行划表填写。 </w:t>
      </w:r>
    </w:p>
    <w:p w14:paraId="15F792A2">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057DEA1E">
      <w:pPr>
        <w:spacing w:line="360" w:lineRule="auto"/>
        <w:ind w:left="3780" w:leftChars="18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投标人全称（公章）：</w:t>
      </w:r>
    </w:p>
    <w:p w14:paraId="46975A39">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15BB0A3">
      <w:pPr>
        <w:spacing w:line="360" w:lineRule="auto"/>
        <w:jc w:val="center"/>
        <w:rPr>
          <w:rFonts w:hint="eastAsia" w:ascii="宋体" w:hAnsi="宋体" w:eastAsia="宋体" w:cs="宋体"/>
          <w:b/>
          <w:color w:val="auto"/>
          <w:kern w:val="0"/>
          <w:sz w:val="36"/>
          <w:szCs w:val="36"/>
          <w:highlight w:val="none"/>
        </w:rPr>
      </w:pPr>
    </w:p>
    <w:p w14:paraId="152AFD50">
      <w:pPr>
        <w:pStyle w:val="2"/>
        <w:spacing w:line="440" w:lineRule="exact"/>
        <w:ind w:left="0" w:leftChars="0" w:firstLine="4200" w:firstLineChars="1750"/>
        <w:rPr>
          <w:rFonts w:hint="eastAsia" w:ascii="宋体" w:hAnsi="宋体" w:eastAsia="宋体" w:cs="宋体"/>
          <w:color w:val="auto"/>
          <w:sz w:val="24"/>
          <w:highlight w:val="none"/>
        </w:rPr>
      </w:pPr>
    </w:p>
    <w:p w14:paraId="130DDF39">
      <w:pPr>
        <w:pStyle w:val="2"/>
        <w:spacing w:line="440" w:lineRule="exact"/>
        <w:ind w:left="0" w:leftChars="0" w:firstLine="4200" w:firstLineChars="1750"/>
        <w:rPr>
          <w:rFonts w:hint="eastAsia" w:ascii="宋体" w:hAnsi="宋体" w:eastAsia="宋体" w:cs="宋体"/>
          <w:color w:val="auto"/>
          <w:sz w:val="24"/>
          <w:highlight w:val="none"/>
        </w:rPr>
      </w:pPr>
    </w:p>
    <w:p w14:paraId="7C5404F5">
      <w:pPr>
        <w:snapToGrid w:val="0"/>
        <w:spacing w:before="50" w:after="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w:t>
      </w:r>
    </w:p>
    <w:p w14:paraId="148E2A1D">
      <w:pPr>
        <w:spacing w:line="360" w:lineRule="auto"/>
        <w:jc w:val="center"/>
        <w:rPr>
          <w:rFonts w:hint="eastAsia" w:ascii="宋体" w:hAnsi="宋体" w:eastAsia="宋体" w:cs="宋体"/>
          <w:b/>
          <w:color w:val="auto"/>
          <w:kern w:val="0"/>
          <w:sz w:val="36"/>
          <w:szCs w:val="36"/>
          <w:highlight w:val="none"/>
        </w:rPr>
      </w:pPr>
    </w:p>
    <w:p w14:paraId="15F2F802">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bookmarkStart w:id="495" w:name="_Toc97735541"/>
    </w:p>
    <w:p w14:paraId="1DA68DE8">
      <w:pPr>
        <w:spacing w:after="120"/>
        <w:ind w:left="420" w:leftChars="200" w:firstLine="723"/>
        <w:rPr>
          <w:rFonts w:hint="eastAsia" w:ascii="宋体" w:hAnsi="宋体" w:eastAsia="宋体" w:cs="宋体"/>
          <w:b/>
          <w:color w:val="auto"/>
          <w:kern w:val="0"/>
          <w:sz w:val="36"/>
          <w:szCs w:val="36"/>
          <w:highlight w:val="none"/>
        </w:rPr>
      </w:pPr>
    </w:p>
    <w:bookmarkEnd w:id="495"/>
    <w:p w14:paraId="343A7059">
      <w:pPr>
        <w:numPr>
          <w:ilvl w:val="0"/>
          <w:numId w:val="6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投标函（格式见附件）；</w:t>
      </w:r>
    </w:p>
    <w:p w14:paraId="7D04F9E0">
      <w:pPr>
        <w:numPr>
          <w:ilvl w:val="0"/>
          <w:numId w:val="6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开标一览表（格式见附件）；</w:t>
      </w:r>
    </w:p>
    <w:p w14:paraId="284AAC9F">
      <w:pPr>
        <w:numPr>
          <w:ilvl w:val="0"/>
          <w:numId w:val="60"/>
        </w:numPr>
        <w:adjustRightInd w:val="0"/>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投标报价明细表（格式见附件）</w:t>
      </w:r>
      <w:r>
        <w:rPr>
          <w:rFonts w:hint="eastAsia" w:ascii="宋体" w:hAnsi="宋体" w:eastAsia="宋体" w:cs="宋体"/>
          <w:color w:val="auto"/>
          <w:sz w:val="24"/>
          <w:highlight w:val="none"/>
          <w:lang w:eastAsia="zh-CN"/>
        </w:rPr>
        <w:t>。</w:t>
      </w:r>
    </w:p>
    <w:p w14:paraId="6C370AEE">
      <w:pPr>
        <w:pStyle w:val="2"/>
        <w:spacing w:line="440" w:lineRule="exact"/>
        <w:ind w:left="0" w:leftChars="0" w:firstLine="360" w:firstLineChars="150"/>
        <w:rPr>
          <w:rFonts w:hint="eastAsia" w:ascii="宋体" w:hAnsi="宋体" w:eastAsia="宋体" w:cs="宋体"/>
          <w:color w:val="auto"/>
          <w:sz w:val="24"/>
          <w:highlight w:val="none"/>
        </w:rPr>
      </w:pPr>
    </w:p>
    <w:p w14:paraId="03610A1E">
      <w:pPr>
        <w:pStyle w:val="2"/>
        <w:spacing w:line="440" w:lineRule="exact"/>
        <w:ind w:left="0" w:leftChars="0" w:firstLine="360" w:firstLineChars="150"/>
        <w:rPr>
          <w:rFonts w:hint="eastAsia" w:ascii="宋体" w:hAnsi="宋体" w:eastAsia="宋体" w:cs="宋体"/>
          <w:color w:val="auto"/>
          <w:sz w:val="24"/>
          <w:highlight w:val="none"/>
        </w:rPr>
      </w:pPr>
    </w:p>
    <w:p w14:paraId="4B386495">
      <w:pPr>
        <w:pStyle w:val="2"/>
        <w:spacing w:line="440" w:lineRule="exact"/>
        <w:ind w:left="0" w:leftChars="0" w:firstLine="360" w:firstLineChars="150"/>
        <w:rPr>
          <w:rFonts w:hint="eastAsia" w:ascii="宋体" w:hAnsi="宋体" w:eastAsia="宋体" w:cs="宋体"/>
          <w:color w:val="auto"/>
          <w:sz w:val="24"/>
          <w:highlight w:val="none"/>
        </w:rPr>
      </w:pPr>
    </w:p>
    <w:p w14:paraId="0EFA9154">
      <w:pPr>
        <w:pStyle w:val="2"/>
        <w:spacing w:line="440" w:lineRule="exact"/>
        <w:ind w:left="0" w:leftChars="0" w:firstLine="360" w:firstLineChars="150"/>
        <w:rPr>
          <w:rFonts w:hint="eastAsia" w:ascii="宋体" w:hAnsi="宋体" w:eastAsia="宋体" w:cs="宋体"/>
          <w:color w:val="auto"/>
          <w:sz w:val="24"/>
          <w:highlight w:val="none"/>
        </w:rPr>
      </w:pPr>
    </w:p>
    <w:p w14:paraId="040782FE">
      <w:pPr>
        <w:pStyle w:val="2"/>
        <w:spacing w:line="440" w:lineRule="exact"/>
        <w:ind w:left="0" w:leftChars="0" w:firstLine="360" w:firstLineChars="150"/>
        <w:rPr>
          <w:rFonts w:hint="eastAsia" w:ascii="宋体" w:hAnsi="宋体" w:eastAsia="宋体" w:cs="宋体"/>
          <w:color w:val="auto"/>
          <w:sz w:val="24"/>
          <w:highlight w:val="none"/>
        </w:rPr>
      </w:pPr>
    </w:p>
    <w:p w14:paraId="448AC75F">
      <w:pPr>
        <w:pStyle w:val="2"/>
        <w:spacing w:line="440" w:lineRule="exact"/>
        <w:ind w:left="0" w:leftChars="0" w:firstLine="360" w:firstLineChars="150"/>
        <w:rPr>
          <w:rFonts w:hint="eastAsia" w:ascii="宋体" w:hAnsi="宋体" w:eastAsia="宋体" w:cs="宋体"/>
          <w:color w:val="auto"/>
          <w:sz w:val="24"/>
          <w:highlight w:val="none"/>
        </w:rPr>
      </w:pPr>
    </w:p>
    <w:p w14:paraId="6DF40C4A">
      <w:pPr>
        <w:pStyle w:val="2"/>
        <w:spacing w:line="440" w:lineRule="exact"/>
        <w:ind w:left="0" w:leftChars="0" w:firstLine="360" w:firstLineChars="150"/>
        <w:rPr>
          <w:rFonts w:hint="eastAsia" w:ascii="宋体" w:hAnsi="宋体" w:eastAsia="宋体" w:cs="宋体"/>
          <w:color w:val="auto"/>
          <w:sz w:val="24"/>
          <w:highlight w:val="none"/>
        </w:rPr>
      </w:pPr>
    </w:p>
    <w:p w14:paraId="01C1740D">
      <w:pPr>
        <w:pStyle w:val="2"/>
        <w:spacing w:line="440" w:lineRule="exact"/>
        <w:ind w:left="0" w:leftChars="0" w:firstLine="360" w:firstLineChars="150"/>
        <w:rPr>
          <w:rFonts w:hint="eastAsia" w:ascii="宋体" w:hAnsi="宋体" w:eastAsia="宋体" w:cs="宋体"/>
          <w:color w:val="auto"/>
          <w:sz w:val="24"/>
          <w:highlight w:val="none"/>
        </w:rPr>
      </w:pPr>
    </w:p>
    <w:p w14:paraId="156B57E6">
      <w:pPr>
        <w:pStyle w:val="2"/>
        <w:spacing w:line="440" w:lineRule="exact"/>
        <w:ind w:left="0" w:leftChars="0" w:firstLine="360" w:firstLineChars="150"/>
        <w:rPr>
          <w:rFonts w:hint="eastAsia" w:ascii="宋体" w:hAnsi="宋体" w:eastAsia="宋体" w:cs="宋体"/>
          <w:color w:val="auto"/>
          <w:sz w:val="24"/>
          <w:highlight w:val="none"/>
        </w:rPr>
      </w:pPr>
    </w:p>
    <w:p w14:paraId="0583475B">
      <w:pPr>
        <w:pStyle w:val="2"/>
        <w:spacing w:line="440" w:lineRule="exact"/>
        <w:ind w:left="0" w:leftChars="0" w:firstLine="360" w:firstLineChars="150"/>
        <w:rPr>
          <w:rFonts w:hint="eastAsia" w:ascii="宋体" w:hAnsi="宋体" w:eastAsia="宋体" w:cs="宋体"/>
          <w:color w:val="auto"/>
          <w:sz w:val="24"/>
          <w:highlight w:val="none"/>
        </w:rPr>
      </w:pPr>
    </w:p>
    <w:p w14:paraId="2D1EDAFD">
      <w:pPr>
        <w:pStyle w:val="2"/>
        <w:spacing w:line="440" w:lineRule="exact"/>
        <w:ind w:left="0" w:leftChars="0" w:firstLine="360" w:firstLineChars="150"/>
        <w:rPr>
          <w:rFonts w:hint="eastAsia" w:ascii="宋体" w:hAnsi="宋体" w:eastAsia="宋体" w:cs="宋体"/>
          <w:color w:val="auto"/>
          <w:sz w:val="24"/>
          <w:highlight w:val="none"/>
        </w:rPr>
      </w:pPr>
    </w:p>
    <w:p w14:paraId="5577E4B4">
      <w:pPr>
        <w:pStyle w:val="2"/>
        <w:spacing w:line="440" w:lineRule="exact"/>
        <w:ind w:left="0" w:leftChars="0" w:firstLine="360" w:firstLineChars="150"/>
        <w:rPr>
          <w:rFonts w:hint="eastAsia" w:ascii="宋体" w:hAnsi="宋体" w:eastAsia="宋体" w:cs="宋体"/>
          <w:color w:val="auto"/>
          <w:sz w:val="24"/>
          <w:highlight w:val="none"/>
        </w:rPr>
      </w:pPr>
    </w:p>
    <w:p w14:paraId="45527C87">
      <w:pPr>
        <w:pStyle w:val="2"/>
        <w:spacing w:line="440" w:lineRule="exact"/>
        <w:ind w:left="0" w:leftChars="0" w:firstLine="360" w:firstLineChars="150"/>
        <w:rPr>
          <w:rFonts w:hint="eastAsia" w:ascii="宋体" w:hAnsi="宋体" w:eastAsia="宋体" w:cs="宋体"/>
          <w:color w:val="auto"/>
          <w:sz w:val="24"/>
          <w:highlight w:val="none"/>
        </w:rPr>
      </w:pPr>
    </w:p>
    <w:p w14:paraId="457CD17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AB581EE">
      <w:pPr>
        <w:pStyle w:val="2"/>
        <w:spacing w:line="440" w:lineRule="exact"/>
        <w:ind w:left="0" w:leftChars="0" w:firstLine="0" w:firstLineChars="0"/>
        <w:rPr>
          <w:rFonts w:hint="eastAsia" w:ascii="宋体" w:hAnsi="宋体" w:eastAsia="宋体" w:cs="宋体"/>
          <w:color w:val="auto"/>
          <w:sz w:val="24"/>
          <w:highlight w:val="none"/>
        </w:rPr>
      </w:pPr>
    </w:p>
    <w:p w14:paraId="1AE13120">
      <w:pP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附件</w:t>
      </w:r>
      <w:r>
        <w:rPr>
          <w:rFonts w:hint="eastAsia" w:ascii="宋体" w:hAnsi="宋体" w:eastAsia="宋体" w:cs="宋体"/>
          <w:b/>
          <w:bCs/>
          <w:color w:val="auto"/>
          <w:sz w:val="24"/>
          <w:highlight w:val="none"/>
        </w:rPr>
        <w:t>十：</w:t>
      </w:r>
    </w:p>
    <w:p w14:paraId="4FDE86F8">
      <w:pPr>
        <w:pStyle w:val="2"/>
        <w:spacing w:line="440" w:lineRule="exact"/>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投 标 函</w:t>
      </w:r>
    </w:p>
    <w:p w14:paraId="1BCF92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绍兴市上虞区水环环保科技有限公司：</w:t>
      </w:r>
    </w:p>
    <w:p w14:paraId="59C22E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浙江省房地产管理咨询有限公司</w:t>
      </w:r>
      <w:r>
        <w:rPr>
          <w:rFonts w:hint="eastAsia" w:ascii="宋体" w:hAnsi="宋体" w:eastAsia="宋体" w:cs="宋体"/>
          <w:color w:val="auto"/>
          <w:sz w:val="24"/>
          <w:highlight w:val="none"/>
        </w:rPr>
        <w:t>：</w:t>
      </w:r>
    </w:p>
    <w:p w14:paraId="17F4E34C">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我单位认真研究了关于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3C01FE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494665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38.95pt;height:0pt;width:0.05pt;z-index:251660288;mso-width-relative:page;mso-height-relative:page;" filled="f" stroked="t" coordsize="21600,21600" o:allowincell="f" o:gfxdata="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QzkdMAAAAH&#10;AQAADwAAAAAAAAABACAAAAAiAAAAZHJzL2Rvd25yZXYueG1sUEsBAhQAFAAAAAgAh07iQEbhRx7o&#10;AQAA1A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1、一旦我单位中标，我单位愿意按招标文件的要求提供一览表中所列的货物，交货期为：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04C1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2、我单位同意提供按照</w:t>
      </w:r>
      <w:r>
        <w:rPr>
          <w:rFonts w:hint="eastAsia" w:ascii="宋体" w:hAnsi="宋体" w:eastAsia="宋体" w:cs="宋体"/>
          <w:bCs/>
          <w:color w:val="auto"/>
          <w:sz w:val="24"/>
          <w:highlight w:val="none"/>
        </w:rPr>
        <w:t>采购人的可能要求与其投标有关的一切数据和资料，完全理解采购人不一定要接受最低价者作为中标人</w:t>
      </w:r>
      <w:r>
        <w:rPr>
          <w:rFonts w:hint="eastAsia" w:ascii="宋体" w:hAnsi="宋体" w:eastAsia="宋体" w:cs="宋体"/>
          <w:color w:val="auto"/>
          <w:sz w:val="24"/>
          <w:highlight w:val="none"/>
        </w:rPr>
        <w:t>。</w:t>
      </w:r>
    </w:p>
    <w:p w14:paraId="60273A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3、一旦我单位中标，我们保证按照招标文件的要求，完成交货、验收并交付使用。</w:t>
      </w:r>
    </w:p>
    <w:p w14:paraId="4D52DD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4、如果我单位中标，我方将按照要求提交履约保证金，严格履行合同义务。</w:t>
      </w:r>
    </w:p>
    <w:p w14:paraId="31437D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5、除非另行达成协议并生效，你方的中标通知书和本投标函将构成约束你我双方的合同。</w:t>
      </w:r>
    </w:p>
    <w:p w14:paraId="4BDA86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6、我单位承诺，一旦发生招标文件第二部分第11.1条规定情形之一的，承担该条款约定的责任。</w:t>
      </w:r>
    </w:p>
    <w:p w14:paraId="0D4A203B">
      <w:pPr>
        <w:snapToGrid w:val="0"/>
        <w:spacing w:line="360" w:lineRule="auto"/>
        <w:ind w:left="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56097B25">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邮编：</w:t>
      </w:r>
      <w:r>
        <w:rPr>
          <w:rFonts w:hint="eastAsia" w:ascii="宋体" w:hAnsi="宋体" w:eastAsia="宋体" w:cs="宋体"/>
          <w:bCs/>
          <w:color w:val="auto"/>
          <w:sz w:val="24"/>
          <w:szCs w:val="21"/>
          <w:highlight w:val="none"/>
          <w:u w:val="single"/>
        </w:rPr>
        <w:t xml:space="preserve">                 </w:t>
      </w:r>
    </w:p>
    <w:p w14:paraId="0A66EAD9">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电话：</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传真：</w:t>
      </w:r>
      <w:r>
        <w:rPr>
          <w:rFonts w:hint="eastAsia" w:ascii="宋体" w:hAnsi="宋体" w:eastAsia="宋体" w:cs="宋体"/>
          <w:bCs/>
          <w:color w:val="auto"/>
          <w:sz w:val="24"/>
          <w:szCs w:val="21"/>
          <w:highlight w:val="none"/>
          <w:u w:val="single"/>
        </w:rPr>
        <w:t xml:space="preserve">                 </w:t>
      </w:r>
    </w:p>
    <w:p w14:paraId="55CFCCEC">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供应商代表姓名：</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职务：</w:t>
      </w:r>
      <w:r>
        <w:rPr>
          <w:rFonts w:hint="eastAsia" w:ascii="宋体" w:hAnsi="宋体" w:eastAsia="宋体" w:cs="宋体"/>
          <w:bCs/>
          <w:color w:val="auto"/>
          <w:sz w:val="24"/>
          <w:szCs w:val="21"/>
          <w:highlight w:val="none"/>
          <w:u w:val="single"/>
        </w:rPr>
        <w:t xml:space="preserve">                 </w:t>
      </w:r>
    </w:p>
    <w:p w14:paraId="7D43F3F3">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供应商名称</w:t>
      </w:r>
      <w:r>
        <w:rPr>
          <w:rFonts w:hint="eastAsia" w:ascii="宋体" w:hAnsi="宋体" w:eastAsia="宋体" w:cs="宋体"/>
          <w:bCs/>
          <w:color w:val="auto"/>
          <w:sz w:val="24"/>
          <w:szCs w:val="21"/>
          <w:highlight w:val="none"/>
          <w:u w:val="single"/>
        </w:rPr>
        <w:t>：                   　　　</w:t>
      </w:r>
    </w:p>
    <w:p w14:paraId="35F86EE9">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（公章）：                   </w:t>
      </w:r>
    </w:p>
    <w:p w14:paraId="3928E7C0">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41426B6C">
      <w:pPr>
        <w:pStyle w:val="2"/>
        <w:spacing w:line="440" w:lineRule="exact"/>
        <w:ind w:left="0" w:leftChars="0"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885DE3B">
      <w:pPr>
        <w:pStyle w:val="2"/>
        <w:spacing w:line="440" w:lineRule="exact"/>
        <w:ind w:left="0" w:leftChars="0" w:firstLine="4200" w:firstLineChars="1750"/>
        <w:rPr>
          <w:rFonts w:hint="eastAsia" w:ascii="宋体" w:hAnsi="宋体" w:eastAsia="宋体" w:cs="宋体"/>
          <w:color w:val="auto"/>
          <w:sz w:val="24"/>
          <w:highlight w:val="none"/>
        </w:rPr>
      </w:pPr>
    </w:p>
    <w:p w14:paraId="59A78EA1">
      <w:pPr>
        <w:pStyle w:val="2"/>
        <w:spacing w:line="440" w:lineRule="exact"/>
        <w:ind w:left="0" w:leftChars="0" w:firstLine="4200" w:firstLineChars="1750"/>
        <w:rPr>
          <w:rFonts w:hint="eastAsia" w:ascii="宋体" w:hAnsi="宋体" w:eastAsia="宋体" w:cs="宋体"/>
          <w:color w:val="auto"/>
          <w:sz w:val="24"/>
          <w:highlight w:val="none"/>
        </w:rPr>
      </w:pPr>
    </w:p>
    <w:p w14:paraId="4FCC86FE">
      <w:pPr>
        <w:pStyle w:val="2"/>
        <w:spacing w:line="440" w:lineRule="exact"/>
        <w:ind w:left="0" w:leftChars="0" w:firstLine="4200" w:firstLineChars="1750"/>
        <w:rPr>
          <w:rFonts w:hint="eastAsia" w:ascii="宋体" w:hAnsi="宋体" w:eastAsia="宋体" w:cs="宋体"/>
          <w:color w:val="auto"/>
          <w:sz w:val="24"/>
          <w:highlight w:val="none"/>
        </w:rPr>
      </w:pPr>
    </w:p>
    <w:p w14:paraId="054A1BF4">
      <w:pPr>
        <w:pStyle w:val="2"/>
        <w:spacing w:line="440" w:lineRule="exact"/>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附件</w:t>
      </w:r>
      <w:r>
        <w:rPr>
          <w:rFonts w:hint="eastAsia" w:ascii="宋体" w:hAnsi="宋体" w:eastAsia="宋体" w:cs="宋体"/>
          <w:b/>
          <w:bCs/>
          <w:color w:val="auto"/>
          <w:sz w:val="24"/>
          <w:highlight w:val="none"/>
        </w:rPr>
        <w:t>十一：</w:t>
      </w:r>
    </w:p>
    <w:p w14:paraId="18D579DD">
      <w:pPr>
        <w:pStyle w:val="2"/>
        <w:spacing w:line="440" w:lineRule="exact"/>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开标一览表</w:t>
      </w:r>
    </w:p>
    <w:p w14:paraId="7165E2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6544F1D">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5276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30FB046A">
            <w:pPr>
              <w:spacing w:line="360" w:lineRule="auto"/>
              <w:jc w:val="center"/>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投标总价</w:t>
            </w:r>
          </w:p>
        </w:tc>
        <w:tc>
          <w:tcPr>
            <w:tcW w:w="6707" w:type="dxa"/>
            <w:vAlign w:val="center"/>
          </w:tcPr>
          <w:p w14:paraId="23560A76">
            <w:pPr>
              <w:spacing w:line="360" w:lineRule="auto"/>
              <w:jc w:val="left"/>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大写：</w:t>
            </w:r>
            <w:r>
              <w:rPr>
                <w:rFonts w:hint="eastAsia" w:ascii="宋体" w:hAnsi="宋体" w:eastAsia="宋体" w:cs="宋体"/>
                <w:b/>
                <w:bCs/>
                <w:color w:val="auto"/>
                <w:sz w:val="24"/>
                <w:szCs w:val="21"/>
                <w:highlight w:val="none"/>
                <w:u w:val="single"/>
              </w:rPr>
              <w:t xml:space="preserve">　　　　       </w:t>
            </w:r>
            <w:r>
              <w:rPr>
                <w:rFonts w:hint="eastAsia" w:ascii="宋体" w:hAnsi="宋体" w:eastAsia="宋体" w:cs="宋体"/>
                <w:b/>
                <w:bCs/>
                <w:color w:val="auto"/>
                <w:sz w:val="24"/>
                <w:szCs w:val="21"/>
                <w:highlight w:val="none"/>
              </w:rPr>
              <w:t>元 （小写：</w:t>
            </w:r>
            <w:r>
              <w:rPr>
                <w:rFonts w:hint="eastAsia" w:ascii="宋体" w:hAnsi="宋体" w:eastAsia="宋体" w:cs="宋体"/>
                <w:b/>
                <w:bCs/>
                <w:color w:val="auto"/>
                <w:sz w:val="24"/>
                <w:szCs w:val="21"/>
                <w:highlight w:val="none"/>
                <w:u w:val="single"/>
              </w:rPr>
              <w:t xml:space="preserve">　　     　 </w:t>
            </w:r>
            <w:r>
              <w:rPr>
                <w:rFonts w:hint="eastAsia" w:ascii="宋体" w:hAnsi="宋体" w:eastAsia="宋体" w:cs="宋体"/>
                <w:b/>
                <w:bCs/>
                <w:color w:val="auto"/>
                <w:sz w:val="24"/>
                <w:szCs w:val="21"/>
                <w:highlight w:val="none"/>
              </w:rPr>
              <w:t>元 ）</w:t>
            </w:r>
          </w:p>
        </w:tc>
      </w:tr>
      <w:tr w14:paraId="79C7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003C0E21">
            <w:pPr>
              <w:tabs>
                <w:tab w:val="left" w:pos="0"/>
              </w:tabs>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32"/>
                <w:highlight w:val="none"/>
              </w:rPr>
              <w:t>投标报价</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但不限于</w:t>
            </w:r>
            <w:r>
              <w:rPr>
                <w:rFonts w:hint="eastAsia" w:ascii="宋体" w:hAnsi="宋体" w:eastAsia="宋体" w:cs="宋体"/>
                <w:color w:val="auto"/>
                <w:sz w:val="24"/>
                <w:highlight w:val="none"/>
              </w:rPr>
              <w:t>清单中货物的设计、制造、供货、发货、运送到指定工地现场、卸货、保险、税费、安装、调试试验和交付使用、货物（设备）在本文规定的质保期内的维修保养，以及为达到安全、满意的运行所必需的所有装配部件及辅助设施等，并应保证货物（设备）在各方面均能达到正常运行要求的费用，以及招标代理费，以及其它一切不可预见和实际所需的一切其他费用等，如有漏报，视同已包含在其报价中</w:t>
            </w:r>
            <w:r>
              <w:rPr>
                <w:rFonts w:hint="eastAsia" w:ascii="宋体" w:hAnsi="宋体" w:eastAsia="宋体" w:cs="宋体"/>
                <w:color w:val="auto"/>
                <w:sz w:val="24"/>
                <w:szCs w:val="32"/>
                <w:highlight w:val="none"/>
              </w:rPr>
              <w:t>，结算时不再增加</w:t>
            </w:r>
            <w:r>
              <w:rPr>
                <w:rFonts w:hint="eastAsia" w:ascii="宋体" w:hAnsi="宋体" w:eastAsia="宋体" w:cs="宋体"/>
                <w:bCs/>
                <w:color w:val="auto"/>
                <w:sz w:val="24"/>
                <w:szCs w:val="32"/>
                <w:highlight w:val="none"/>
              </w:rPr>
              <w:t>。</w:t>
            </w:r>
          </w:p>
        </w:tc>
      </w:tr>
    </w:tbl>
    <w:p w14:paraId="008AFE0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1AAF1791">
      <w:pPr>
        <w:pStyle w:val="2"/>
        <w:spacing w:line="44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报价一经涂改，应在涂改处加盖单位公章或者由法定代表人或授权委托人签字或盖章，否则其投标作无效标处理。</w:t>
      </w:r>
    </w:p>
    <w:p w14:paraId="1732D94C">
      <w:pPr>
        <w:spacing w:line="360" w:lineRule="auto"/>
        <w:ind w:left="3780" w:leftChars="1800" w:firstLine="480" w:firstLineChars="200"/>
        <w:rPr>
          <w:rFonts w:hint="eastAsia" w:ascii="宋体" w:hAnsi="宋体" w:eastAsia="宋体" w:cs="宋体"/>
          <w:color w:val="auto"/>
          <w:sz w:val="24"/>
          <w:highlight w:val="none"/>
        </w:rPr>
      </w:pPr>
    </w:p>
    <w:p w14:paraId="6E2C819A">
      <w:pPr>
        <w:spacing w:line="360" w:lineRule="auto"/>
        <w:ind w:left="3780" w:leftChars="1800" w:firstLine="480" w:firstLineChars="200"/>
        <w:rPr>
          <w:rFonts w:hint="eastAsia" w:ascii="宋体" w:hAnsi="宋体" w:eastAsia="宋体" w:cs="宋体"/>
          <w:color w:val="auto"/>
          <w:sz w:val="24"/>
          <w:highlight w:val="none"/>
        </w:rPr>
      </w:pPr>
    </w:p>
    <w:p w14:paraId="122F8A0C">
      <w:pPr>
        <w:spacing w:line="360" w:lineRule="auto"/>
        <w:ind w:left="3780" w:leftChars="1800" w:firstLine="480" w:firstLineChars="200"/>
        <w:rPr>
          <w:rFonts w:hint="eastAsia" w:ascii="宋体" w:hAnsi="宋体" w:eastAsia="宋体" w:cs="宋体"/>
          <w:color w:val="auto"/>
          <w:sz w:val="24"/>
          <w:highlight w:val="none"/>
        </w:rPr>
      </w:pPr>
    </w:p>
    <w:p w14:paraId="159B2246">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789E0A09">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7BB8F82">
      <w:pPr>
        <w:spacing w:line="360" w:lineRule="auto"/>
        <w:ind w:left="378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69818ED5">
      <w:pPr>
        <w:pStyle w:val="2"/>
        <w:spacing w:line="440" w:lineRule="exact"/>
        <w:ind w:left="0" w:leftChars="0" w:firstLine="4200" w:firstLineChars="1750"/>
        <w:rPr>
          <w:rFonts w:hint="eastAsia" w:ascii="宋体" w:hAnsi="宋体" w:eastAsia="宋体" w:cs="宋体"/>
          <w:color w:val="auto"/>
          <w:sz w:val="24"/>
          <w:highlight w:val="none"/>
        </w:rPr>
      </w:pPr>
    </w:p>
    <w:p w14:paraId="038171CF">
      <w:pPr>
        <w:pStyle w:val="2"/>
        <w:spacing w:line="440" w:lineRule="exact"/>
        <w:ind w:left="0" w:leftChars="0" w:firstLine="4200" w:firstLineChars="1750"/>
        <w:rPr>
          <w:rFonts w:hint="eastAsia" w:ascii="宋体" w:hAnsi="宋体" w:eastAsia="宋体" w:cs="宋体"/>
          <w:color w:val="auto"/>
          <w:sz w:val="24"/>
          <w:highlight w:val="none"/>
        </w:rPr>
      </w:pPr>
    </w:p>
    <w:p w14:paraId="3931E263">
      <w:pPr>
        <w:pStyle w:val="2"/>
        <w:spacing w:line="440" w:lineRule="exact"/>
        <w:ind w:left="0" w:leftChars="0" w:firstLine="4200" w:firstLineChars="1750"/>
        <w:rPr>
          <w:rFonts w:hint="eastAsia" w:ascii="宋体" w:hAnsi="宋体" w:eastAsia="宋体" w:cs="宋体"/>
          <w:color w:val="auto"/>
          <w:sz w:val="24"/>
          <w:highlight w:val="none"/>
        </w:rPr>
      </w:pPr>
    </w:p>
    <w:p w14:paraId="4636C6BD">
      <w:pPr>
        <w:pStyle w:val="2"/>
        <w:spacing w:line="440" w:lineRule="exact"/>
        <w:ind w:left="0" w:leftChars="0" w:firstLine="4200" w:firstLineChars="1750"/>
        <w:rPr>
          <w:rFonts w:hint="eastAsia" w:ascii="宋体" w:hAnsi="宋体" w:eastAsia="宋体" w:cs="宋体"/>
          <w:color w:val="auto"/>
          <w:sz w:val="24"/>
          <w:highlight w:val="none"/>
        </w:rPr>
      </w:pPr>
    </w:p>
    <w:p w14:paraId="427A2B06">
      <w:pPr>
        <w:pStyle w:val="2"/>
        <w:spacing w:line="440" w:lineRule="exact"/>
        <w:ind w:left="0" w:leftChars="0" w:firstLine="4200" w:firstLineChars="1750"/>
        <w:rPr>
          <w:rFonts w:hint="eastAsia" w:ascii="宋体" w:hAnsi="宋体" w:eastAsia="宋体" w:cs="宋体"/>
          <w:color w:val="auto"/>
          <w:sz w:val="24"/>
          <w:highlight w:val="none"/>
        </w:rPr>
      </w:pPr>
    </w:p>
    <w:p w14:paraId="5270FC91">
      <w:pPr>
        <w:pStyle w:val="2"/>
        <w:spacing w:line="440" w:lineRule="exact"/>
        <w:ind w:left="0" w:leftChars="0" w:firstLine="4200" w:firstLineChars="1750"/>
        <w:rPr>
          <w:rFonts w:hint="eastAsia" w:ascii="宋体" w:hAnsi="宋体" w:eastAsia="宋体" w:cs="宋体"/>
          <w:color w:val="auto"/>
          <w:sz w:val="24"/>
          <w:highlight w:val="none"/>
        </w:rPr>
      </w:pPr>
    </w:p>
    <w:p w14:paraId="62024A54">
      <w:pPr>
        <w:spacing w:line="46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附件十二：</w:t>
      </w:r>
    </w:p>
    <w:p w14:paraId="7638A6BF">
      <w:pPr>
        <w:pStyle w:val="2"/>
        <w:spacing w:line="440" w:lineRule="exact"/>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投标报</w:t>
      </w:r>
      <w:bookmarkStart w:id="496" w:name="_Toc79569871"/>
      <w:bookmarkStart w:id="497" w:name="_Toc86067744"/>
      <w:bookmarkStart w:id="498" w:name="_Toc108015204"/>
      <w:bookmarkStart w:id="499" w:name="_Toc81917164"/>
      <w:bookmarkStart w:id="500" w:name="_Toc85732440"/>
      <w:bookmarkStart w:id="501" w:name="_Toc81917340"/>
      <w:r>
        <w:rPr>
          <w:rFonts w:hint="eastAsia" w:ascii="宋体" w:hAnsi="宋体" w:eastAsia="宋体" w:cs="宋体"/>
          <w:b/>
          <w:bCs/>
          <w:color w:val="auto"/>
          <w:sz w:val="32"/>
          <w:szCs w:val="32"/>
          <w:highlight w:val="none"/>
        </w:rPr>
        <w:t>价明细表</w:t>
      </w:r>
      <w:bookmarkEnd w:id="496"/>
      <w:bookmarkEnd w:id="497"/>
      <w:bookmarkEnd w:id="498"/>
      <w:bookmarkEnd w:id="499"/>
      <w:bookmarkEnd w:id="500"/>
      <w:bookmarkEnd w:id="501"/>
    </w:p>
    <w:p w14:paraId="54AB01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2232CDB">
      <w:pPr>
        <w:pStyle w:val="2"/>
        <w:spacing w:line="44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80"/>
        <w:gridCol w:w="1649"/>
        <w:gridCol w:w="1843"/>
        <w:gridCol w:w="708"/>
        <w:gridCol w:w="768"/>
        <w:gridCol w:w="1080"/>
        <w:gridCol w:w="1080"/>
      </w:tblGrid>
      <w:tr w14:paraId="1B43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83" w:type="dxa"/>
            <w:vMerge w:val="restart"/>
            <w:vAlign w:val="center"/>
          </w:tcPr>
          <w:p w14:paraId="25744989">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1080" w:type="dxa"/>
            <w:vMerge w:val="restart"/>
            <w:vAlign w:val="center"/>
          </w:tcPr>
          <w:p w14:paraId="68D3CD46">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货物</w:t>
            </w:r>
          </w:p>
          <w:p w14:paraId="494081B3">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名称</w:t>
            </w:r>
          </w:p>
        </w:tc>
        <w:tc>
          <w:tcPr>
            <w:tcW w:w="1649" w:type="dxa"/>
            <w:vMerge w:val="restart"/>
            <w:vAlign w:val="center"/>
          </w:tcPr>
          <w:p w14:paraId="27FFF689">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型号和规格</w:t>
            </w:r>
          </w:p>
        </w:tc>
        <w:tc>
          <w:tcPr>
            <w:tcW w:w="1843" w:type="dxa"/>
            <w:vMerge w:val="restart"/>
            <w:vAlign w:val="center"/>
          </w:tcPr>
          <w:p w14:paraId="1829A727">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其他（如制造商名称及产地）</w:t>
            </w:r>
          </w:p>
        </w:tc>
        <w:tc>
          <w:tcPr>
            <w:tcW w:w="708" w:type="dxa"/>
            <w:vMerge w:val="restart"/>
            <w:vAlign w:val="center"/>
          </w:tcPr>
          <w:p w14:paraId="65B7AF8B">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单位</w:t>
            </w:r>
          </w:p>
        </w:tc>
        <w:tc>
          <w:tcPr>
            <w:tcW w:w="768" w:type="dxa"/>
            <w:vMerge w:val="restart"/>
            <w:vAlign w:val="center"/>
          </w:tcPr>
          <w:p w14:paraId="130858D6">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数量</w:t>
            </w:r>
          </w:p>
        </w:tc>
        <w:tc>
          <w:tcPr>
            <w:tcW w:w="2160" w:type="dxa"/>
            <w:gridSpan w:val="2"/>
            <w:vAlign w:val="center"/>
          </w:tcPr>
          <w:p w14:paraId="37BE84EB">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投标报价（元）</w:t>
            </w:r>
          </w:p>
        </w:tc>
      </w:tr>
      <w:tr w14:paraId="5FCC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83" w:type="dxa"/>
            <w:vMerge w:val="continue"/>
            <w:vAlign w:val="center"/>
          </w:tcPr>
          <w:p w14:paraId="202F014D">
            <w:pPr>
              <w:spacing w:line="360" w:lineRule="auto"/>
              <w:jc w:val="center"/>
              <w:rPr>
                <w:rFonts w:hint="eastAsia" w:ascii="宋体" w:hAnsi="宋体" w:eastAsia="宋体" w:cs="宋体"/>
                <w:color w:val="auto"/>
                <w:sz w:val="24"/>
                <w:szCs w:val="21"/>
                <w:highlight w:val="none"/>
              </w:rPr>
            </w:pPr>
          </w:p>
        </w:tc>
        <w:tc>
          <w:tcPr>
            <w:tcW w:w="1080" w:type="dxa"/>
            <w:vMerge w:val="continue"/>
            <w:vAlign w:val="center"/>
          </w:tcPr>
          <w:p w14:paraId="1D8ACF6E">
            <w:pPr>
              <w:spacing w:line="360" w:lineRule="auto"/>
              <w:jc w:val="center"/>
              <w:rPr>
                <w:rFonts w:hint="eastAsia" w:ascii="宋体" w:hAnsi="宋体" w:eastAsia="宋体" w:cs="宋体"/>
                <w:color w:val="auto"/>
                <w:sz w:val="24"/>
                <w:szCs w:val="21"/>
                <w:highlight w:val="none"/>
              </w:rPr>
            </w:pPr>
          </w:p>
        </w:tc>
        <w:tc>
          <w:tcPr>
            <w:tcW w:w="1649" w:type="dxa"/>
            <w:vMerge w:val="continue"/>
            <w:vAlign w:val="center"/>
          </w:tcPr>
          <w:p w14:paraId="43175CBF">
            <w:pPr>
              <w:spacing w:line="360" w:lineRule="auto"/>
              <w:jc w:val="center"/>
              <w:rPr>
                <w:rFonts w:hint="eastAsia" w:ascii="宋体" w:hAnsi="宋体" w:eastAsia="宋体" w:cs="宋体"/>
                <w:color w:val="auto"/>
                <w:sz w:val="24"/>
                <w:szCs w:val="21"/>
                <w:highlight w:val="none"/>
              </w:rPr>
            </w:pPr>
          </w:p>
        </w:tc>
        <w:tc>
          <w:tcPr>
            <w:tcW w:w="1843" w:type="dxa"/>
            <w:vMerge w:val="continue"/>
            <w:vAlign w:val="center"/>
          </w:tcPr>
          <w:p w14:paraId="6AACCA21">
            <w:pPr>
              <w:spacing w:line="360" w:lineRule="auto"/>
              <w:jc w:val="center"/>
              <w:rPr>
                <w:rFonts w:hint="eastAsia" w:ascii="宋体" w:hAnsi="宋体" w:eastAsia="宋体" w:cs="宋体"/>
                <w:color w:val="auto"/>
                <w:sz w:val="24"/>
                <w:szCs w:val="21"/>
                <w:highlight w:val="none"/>
              </w:rPr>
            </w:pPr>
          </w:p>
        </w:tc>
        <w:tc>
          <w:tcPr>
            <w:tcW w:w="708" w:type="dxa"/>
            <w:vMerge w:val="continue"/>
            <w:vAlign w:val="center"/>
          </w:tcPr>
          <w:p w14:paraId="70FA1482">
            <w:pPr>
              <w:spacing w:line="360" w:lineRule="auto"/>
              <w:jc w:val="center"/>
              <w:rPr>
                <w:rFonts w:hint="eastAsia" w:ascii="宋体" w:hAnsi="宋体" w:eastAsia="宋体" w:cs="宋体"/>
                <w:color w:val="auto"/>
                <w:sz w:val="24"/>
                <w:szCs w:val="21"/>
                <w:highlight w:val="none"/>
              </w:rPr>
            </w:pPr>
          </w:p>
        </w:tc>
        <w:tc>
          <w:tcPr>
            <w:tcW w:w="768" w:type="dxa"/>
            <w:vMerge w:val="continue"/>
            <w:vAlign w:val="center"/>
          </w:tcPr>
          <w:p w14:paraId="4C13C005">
            <w:pPr>
              <w:spacing w:line="360" w:lineRule="auto"/>
              <w:jc w:val="center"/>
              <w:rPr>
                <w:rFonts w:hint="eastAsia" w:ascii="宋体" w:hAnsi="宋体" w:eastAsia="宋体" w:cs="宋体"/>
                <w:color w:val="auto"/>
                <w:sz w:val="24"/>
                <w:szCs w:val="21"/>
                <w:highlight w:val="none"/>
              </w:rPr>
            </w:pPr>
          </w:p>
        </w:tc>
        <w:tc>
          <w:tcPr>
            <w:tcW w:w="1080" w:type="dxa"/>
            <w:vAlign w:val="center"/>
          </w:tcPr>
          <w:p w14:paraId="6DDCBDBA">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单价</w:t>
            </w:r>
          </w:p>
        </w:tc>
        <w:tc>
          <w:tcPr>
            <w:tcW w:w="1080" w:type="dxa"/>
            <w:vAlign w:val="center"/>
          </w:tcPr>
          <w:p w14:paraId="07BFCB45">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小计</w:t>
            </w:r>
          </w:p>
        </w:tc>
      </w:tr>
      <w:tr w14:paraId="0309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83" w:type="dxa"/>
            <w:vAlign w:val="center"/>
          </w:tcPr>
          <w:p w14:paraId="47D8EAE7">
            <w:pPr>
              <w:spacing w:line="360" w:lineRule="auto"/>
              <w:rPr>
                <w:rFonts w:hint="eastAsia" w:ascii="宋体" w:hAnsi="宋体" w:eastAsia="宋体" w:cs="宋体"/>
                <w:b/>
                <w:color w:val="auto"/>
                <w:sz w:val="24"/>
                <w:szCs w:val="21"/>
                <w:highlight w:val="none"/>
              </w:rPr>
            </w:pPr>
          </w:p>
        </w:tc>
        <w:tc>
          <w:tcPr>
            <w:tcW w:w="1080" w:type="dxa"/>
            <w:vAlign w:val="center"/>
          </w:tcPr>
          <w:p w14:paraId="6C007688">
            <w:pPr>
              <w:spacing w:line="360" w:lineRule="auto"/>
              <w:rPr>
                <w:rFonts w:hint="eastAsia" w:ascii="宋体" w:hAnsi="宋体" w:eastAsia="宋体" w:cs="宋体"/>
                <w:b/>
                <w:color w:val="auto"/>
                <w:sz w:val="24"/>
                <w:szCs w:val="21"/>
                <w:highlight w:val="none"/>
              </w:rPr>
            </w:pPr>
          </w:p>
        </w:tc>
        <w:tc>
          <w:tcPr>
            <w:tcW w:w="1649" w:type="dxa"/>
            <w:vAlign w:val="center"/>
          </w:tcPr>
          <w:p w14:paraId="46DE6235">
            <w:pPr>
              <w:spacing w:line="360" w:lineRule="auto"/>
              <w:rPr>
                <w:rFonts w:hint="eastAsia" w:ascii="宋体" w:hAnsi="宋体" w:eastAsia="宋体" w:cs="宋体"/>
                <w:b/>
                <w:color w:val="auto"/>
                <w:sz w:val="24"/>
                <w:szCs w:val="21"/>
                <w:highlight w:val="none"/>
              </w:rPr>
            </w:pPr>
          </w:p>
        </w:tc>
        <w:tc>
          <w:tcPr>
            <w:tcW w:w="1843" w:type="dxa"/>
            <w:vAlign w:val="center"/>
          </w:tcPr>
          <w:p w14:paraId="7D8CD57C">
            <w:pPr>
              <w:spacing w:line="360" w:lineRule="auto"/>
              <w:rPr>
                <w:rFonts w:hint="eastAsia" w:ascii="宋体" w:hAnsi="宋体" w:eastAsia="宋体" w:cs="宋体"/>
                <w:b/>
                <w:color w:val="auto"/>
                <w:sz w:val="24"/>
                <w:szCs w:val="21"/>
                <w:highlight w:val="none"/>
              </w:rPr>
            </w:pPr>
          </w:p>
        </w:tc>
        <w:tc>
          <w:tcPr>
            <w:tcW w:w="708" w:type="dxa"/>
            <w:vAlign w:val="center"/>
          </w:tcPr>
          <w:p w14:paraId="47AF3CFD">
            <w:pPr>
              <w:spacing w:line="360" w:lineRule="auto"/>
              <w:rPr>
                <w:rFonts w:hint="eastAsia" w:ascii="宋体" w:hAnsi="宋体" w:eastAsia="宋体" w:cs="宋体"/>
                <w:b/>
                <w:color w:val="auto"/>
                <w:sz w:val="24"/>
                <w:szCs w:val="21"/>
                <w:highlight w:val="none"/>
              </w:rPr>
            </w:pPr>
          </w:p>
        </w:tc>
        <w:tc>
          <w:tcPr>
            <w:tcW w:w="768" w:type="dxa"/>
            <w:vAlign w:val="center"/>
          </w:tcPr>
          <w:p w14:paraId="35487CB0">
            <w:pPr>
              <w:spacing w:line="360" w:lineRule="auto"/>
              <w:rPr>
                <w:rFonts w:hint="eastAsia" w:ascii="宋体" w:hAnsi="宋体" w:eastAsia="宋体" w:cs="宋体"/>
                <w:b/>
                <w:color w:val="auto"/>
                <w:sz w:val="24"/>
                <w:szCs w:val="21"/>
                <w:highlight w:val="none"/>
              </w:rPr>
            </w:pPr>
          </w:p>
        </w:tc>
        <w:tc>
          <w:tcPr>
            <w:tcW w:w="1080" w:type="dxa"/>
          </w:tcPr>
          <w:p w14:paraId="73254BDF">
            <w:pPr>
              <w:spacing w:line="360" w:lineRule="auto"/>
              <w:rPr>
                <w:rFonts w:hint="eastAsia" w:ascii="宋体" w:hAnsi="宋体" w:eastAsia="宋体" w:cs="宋体"/>
                <w:color w:val="auto"/>
                <w:sz w:val="24"/>
                <w:szCs w:val="21"/>
                <w:highlight w:val="none"/>
              </w:rPr>
            </w:pPr>
          </w:p>
        </w:tc>
        <w:tc>
          <w:tcPr>
            <w:tcW w:w="1080" w:type="dxa"/>
          </w:tcPr>
          <w:p w14:paraId="58D92894">
            <w:pPr>
              <w:spacing w:line="360" w:lineRule="auto"/>
              <w:rPr>
                <w:rFonts w:hint="eastAsia" w:ascii="宋体" w:hAnsi="宋体" w:eastAsia="宋体" w:cs="宋体"/>
                <w:color w:val="auto"/>
                <w:sz w:val="24"/>
                <w:szCs w:val="21"/>
                <w:highlight w:val="none"/>
              </w:rPr>
            </w:pPr>
          </w:p>
        </w:tc>
      </w:tr>
      <w:tr w14:paraId="64B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vAlign w:val="center"/>
          </w:tcPr>
          <w:p w14:paraId="33B8DBF9">
            <w:pPr>
              <w:spacing w:line="360" w:lineRule="auto"/>
              <w:rPr>
                <w:rFonts w:hint="eastAsia" w:ascii="宋体" w:hAnsi="宋体" w:eastAsia="宋体" w:cs="宋体"/>
                <w:b/>
                <w:color w:val="auto"/>
                <w:sz w:val="24"/>
                <w:szCs w:val="21"/>
                <w:highlight w:val="none"/>
              </w:rPr>
            </w:pPr>
          </w:p>
        </w:tc>
        <w:tc>
          <w:tcPr>
            <w:tcW w:w="1080" w:type="dxa"/>
            <w:vAlign w:val="center"/>
          </w:tcPr>
          <w:p w14:paraId="1591686A">
            <w:pPr>
              <w:spacing w:line="360" w:lineRule="auto"/>
              <w:rPr>
                <w:rFonts w:hint="eastAsia" w:ascii="宋体" w:hAnsi="宋体" w:eastAsia="宋体" w:cs="宋体"/>
                <w:b/>
                <w:color w:val="auto"/>
                <w:sz w:val="24"/>
                <w:szCs w:val="21"/>
                <w:highlight w:val="none"/>
              </w:rPr>
            </w:pPr>
          </w:p>
        </w:tc>
        <w:tc>
          <w:tcPr>
            <w:tcW w:w="1649" w:type="dxa"/>
            <w:vAlign w:val="center"/>
          </w:tcPr>
          <w:p w14:paraId="66DE4D90">
            <w:pPr>
              <w:spacing w:line="360" w:lineRule="auto"/>
              <w:rPr>
                <w:rFonts w:hint="eastAsia" w:ascii="宋体" w:hAnsi="宋体" w:eastAsia="宋体" w:cs="宋体"/>
                <w:b/>
                <w:color w:val="auto"/>
                <w:sz w:val="24"/>
                <w:szCs w:val="21"/>
                <w:highlight w:val="none"/>
              </w:rPr>
            </w:pPr>
          </w:p>
        </w:tc>
        <w:tc>
          <w:tcPr>
            <w:tcW w:w="1843" w:type="dxa"/>
            <w:vAlign w:val="center"/>
          </w:tcPr>
          <w:p w14:paraId="5567D981">
            <w:pPr>
              <w:spacing w:line="360" w:lineRule="auto"/>
              <w:rPr>
                <w:rFonts w:hint="eastAsia" w:ascii="宋体" w:hAnsi="宋体" w:eastAsia="宋体" w:cs="宋体"/>
                <w:b/>
                <w:color w:val="auto"/>
                <w:sz w:val="24"/>
                <w:szCs w:val="21"/>
                <w:highlight w:val="none"/>
              </w:rPr>
            </w:pPr>
          </w:p>
        </w:tc>
        <w:tc>
          <w:tcPr>
            <w:tcW w:w="708" w:type="dxa"/>
            <w:vAlign w:val="center"/>
          </w:tcPr>
          <w:p w14:paraId="5B7E44F1">
            <w:pPr>
              <w:spacing w:line="360" w:lineRule="auto"/>
              <w:rPr>
                <w:rFonts w:hint="eastAsia" w:ascii="宋体" w:hAnsi="宋体" w:eastAsia="宋体" w:cs="宋体"/>
                <w:b/>
                <w:color w:val="auto"/>
                <w:sz w:val="24"/>
                <w:szCs w:val="21"/>
                <w:highlight w:val="none"/>
              </w:rPr>
            </w:pPr>
          </w:p>
        </w:tc>
        <w:tc>
          <w:tcPr>
            <w:tcW w:w="768" w:type="dxa"/>
            <w:vAlign w:val="center"/>
          </w:tcPr>
          <w:p w14:paraId="6C295319">
            <w:pPr>
              <w:spacing w:line="360" w:lineRule="auto"/>
              <w:rPr>
                <w:rFonts w:hint="eastAsia" w:ascii="宋体" w:hAnsi="宋体" w:eastAsia="宋体" w:cs="宋体"/>
                <w:b/>
                <w:color w:val="auto"/>
                <w:sz w:val="24"/>
                <w:szCs w:val="21"/>
                <w:highlight w:val="none"/>
              </w:rPr>
            </w:pPr>
          </w:p>
        </w:tc>
        <w:tc>
          <w:tcPr>
            <w:tcW w:w="1080" w:type="dxa"/>
          </w:tcPr>
          <w:p w14:paraId="7D9B315D">
            <w:pPr>
              <w:spacing w:line="360" w:lineRule="auto"/>
              <w:rPr>
                <w:rFonts w:hint="eastAsia" w:ascii="宋体" w:hAnsi="宋体" w:eastAsia="宋体" w:cs="宋体"/>
                <w:color w:val="auto"/>
                <w:sz w:val="24"/>
                <w:szCs w:val="21"/>
                <w:highlight w:val="none"/>
              </w:rPr>
            </w:pPr>
          </w:p>
        </w:tc>
        <w:tc>
          <w:tcPr>
            <w:tcW w:w="1080" w:type="dxa"/>
          </w:tcPr>
          <w:p w14:paraId="5BE4EE0F">
            <w:pPr>
              <w:spacing w:line="360" w:lineRule="auto"/>
              <w:rPr>
                <w:rFonts w:hint="eastAsia" w:ascii="宋体" w:hAnsi="宋体" w:eastAsia="宋体" w:cs="宋体"/>
                <w:color w:val="auto"/>
                <w:sz w:val="24"/>
                <w:szCs w:val="21"/>
                <w:highlight w:val="none"/>
              </w:rPr>
            </w:pPr>
          </w:p>
        </w:tc>
      </w:tr>
      <w:tr w14:paraId="1877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vAlign w:val="center"/>
          </w:tcPr>
          <w:p w14:paraId="4D7FE4FC">
            <w:pPr>
              <w:spacing w:line="360" w:lineRule="auto"/>
              <w:rPr>
                <w:rFonts w:hint="eastAsia" w:ascii="宋体" w:hAnsi="宋体" w:eastAsia="宋体" w:cs="宋体"/>
                <w:b/>
                <w:color w:val="auto"/>
                <w:sz w:val="24"/>
                <w:szCs w:val="21"/>
                <w:highlight w:val="none"/>
              </w:rPr>
            </w:pPr>
          </w:p>
          <w:p w14:paraId="2AE45F66">
            <w:pPr>
              <w:pStyle w:val="2"/>
              <w:rPr>
                <w:rFonts w:hint="eastAsia" w:ascii="宋体" w:hAnsi="宋体" w:eastAsia="宋体" w:cs="宋体"/>
                <w:color w:val="auto"/>
                <w:highlight w:val="none"/>
              </w:rPr>
            </w:pPr>
          </w:p>
        </w:tc>
        <w:tc>
          <w:tcPr>
            <w:tcW w:w="1080" w:type="dxa"/>
            <w:vAlign w:val="center"/>
          </w:tcPr>
          <w:p w14:paraId="32B0142B">
            <w:pPr>
              <w:spacing w:line="360" w:lineRule="auto"/>
              <w:rPr>
                <w:rFonts w:hint="eastAsia" w:ascii="宋体" w:hAnsi="宋体" w:eastAsia="宋体" w:cs="宋体"/>
                <w:b/>
                <w:color w:val="auto"/>
                <w:sz w:val="24"/>
                <w:szCs w:val="21"/>
                <w:highlight w:val="none"/>
              </w:rPr>
            </w:pPr>
          </w:p>
        </w:tc>
        <w:tc>
          <w:tcPr>
            <w:tcW w:w="1649" w:type="dxa"/>
            <w:vAlign w:val="center"/>
          </w:tcPr>
          <w:p w14:paraId="2FD3E975">
            <w:pPr>
              <w:spacing w:line="360" w:lineRule="auto"/>
              <w:rPr>
                <w:rFonts w:hint="eastAsia" w:ascii="宋体" w:hAnsi="宋体" w:eastAsia="宋体" w:cs="宋体"/>
                <w:b/>
                <w:color w:val="auto"/>
                <w:sz w:val="24"/>
                <w:szCs w:val="21"/>
                <w:highlight w:val="none"/>
              </w:rPr>
            </w:pPr>
          </w:p>
        </w:tc>
        <w:tc>
          <w:tcPr>
            <w:tcW w:w="1843" w:type="dxa"/>
            <w:vAlign w:val="center"/>
          </w:tcPr>
          <w:p w14:paraId="3E01C34C">
            <w:pPr>
              <w:spacing w:line="360" w:lineRule="auto"/>
              <w:rPr>
                <w:rFonts w:hint="eastAsia" w:ascii="宋体" w:hAnsi="宋体" w:eastAsia="宋体" w:cs="宋体"/>
                <w:b/>
                <w:color w:val="auto"/>
                <w:sz w:val="24"/>
                <w:szCs w:val="21"/>
                <w:highlight w:val="none"/>
              </w:rPr>
            </w:pPr>
          </w:p>
        </w:tc>
        <w:tc>
          <w:tcPr>
            <w:tcW w:w="708" w:type="dxa"/>
            <w:vAlign w:val="center"/>
          </w:tcPr>
          <w:p w14:paraId="0C095569">
            <w:pPr>
              <w:spacing w:line="360" w:lineRule="auto"/>
              <w:rPr>
                <w:rFonts w:hint="eastAsia" w:ascii="宋体" w:hAnsi="宋体" w:eastAsia="宋体" w:cs="宋体"/>
                <w:b/>
                <w:color w:val="auto"/>
                <w:sz w:val="24"/>
                <w:szCs w:val="21"/>
                <w:highlight w:val="none"/>
              </w:rPr>
            </w:pPr>
          </w:p>
        </w:tc>
        <w:tc>
          <w:tcPr>
            <w:tcW w:w="768" w:type="dxa"/>
            <w:vAlign w:val="center"/>
          </w:tcPr>
          <w:p w14:paraId="0EC350FE">
            <w:pPr>
              <w:spacing w:line="360" w:lineRule="auto"/>
              <w:rPr>
                <w:rFonts w:hint="eastAsia" w:ascii="宋体" w:hAnsi="宋体" w:eastAsia="宋体" w:cs="宋体"/>
                <w:b/>
                <w:color w:val="auto"/>
                <w:sz w:val="24"/>
                <w:szCs w:val="21"/>
                <w:highlight w:val="none"/>
              </w:rPr>
            </w:pPr>
          </w:p>
        </w:tc>
        <w:tc>
          <w:tcPr>
            <w:tcW w:w="1080" w:type="dxa"/>
          </w:tcPr>
          <w:p w14:paraId="226B6E0D">
            <w:pPr>
              <w:spacing w:line="360" w:lineRule="auto"/>
              <w:rPr>
                <w:rFonts w:hint="eastAsia" w:ascii="宋体" w:hAnsi="宋体" w:eastAsia="宋体" w:cs="宋体"/>
                <w:color w:val="auto"/>
                <w:sz w:val="24"/>
                <w:szCs w:val="21"/>
                <w:highlight w:val="none"/>
              </w:rPr>
            </w:pPr>
          </w:p>
        </w:tc>
        <w:tc>
          <w:tcPr>
            <w:tcW w:w="1080" w:type="dxa"/>
          </w:tcPr>
          <w:p w14:paraId="4476E6A5">
            <w:pPr>
              <w:spacing w:line="360" w:lineRule="auto"/>
              <w:rPr>
                <w:rFonts w:hint="eastAsia" w:ascii="宋体" w:hAnsi="宋体" w:eastAsia="宋体" w:cs="宋体"/>
                <w:color w:val="auto"/>
                <w:sz w:val="24"/>
                <w:szCs w:val="21"/>
                <w:highlight w:val="none"/>
              </w:rPr>
            </w:pPr>
          </w:p>
        </w:tc>
      </w:tr>
      <w:tr w14:paraId="193B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vAlign w:val="center"/>
          </w:tcPr>
          <w:p w14:paraId="3884C57A">
            <w:pPr>
              <w:spacing w:line="360" w:lineRule="auto"/>
              <w:rPr>
                <w:rFonts w:hint="eastAsia" w:ascii="宋体" w:hAnsi="宋体" w:eastAsia="宋体" w:cs="宋体"/>
                <w:b/>
                <w:color w:val="auto"/>
                <w:sz w:val="24"/>
                <w:szCs w:val="21"/>
                <w:highlight w:val="none"/>
              </w:rPr>
            </w:pPr>
          </w:p>
        </w:tc>
        <w:tc>
          <w:tcPr>
            <w:tcW w:w="1080" w:type="dxa"/>
            <w:vAlign w:val="center"/>
          </w:tcPr>
          <w:p w14:paraId="3031768E">
            <w:pPr>
              <w:spacing w:line="360" w:lineRule="auto"/>
              <w:rPr>
                <w:rFonts w:hint="eastAsia" w:ascii="宋体" w:hAnsi="宋体" w:eastAsia="宋体" w:cs="宋体"/>
                <w:b/>
                <w:color w:val="auto"/>
                <w:sz w:val="24"/>
                <w:szCs w:val="21"/>
                <w:highlight w:val="none"/>
              </w:rPr>
            </w:pPr>
          </w:p>
        </w:tc>
        <w:tc>
          <w:tcPr>
            <w:tcW w:w="1649" w:type="dxa"/>
            <w:vAlign w:val="center"/>
          </w:tcPr>
          <w:p w14:paraId="3F1649D4">
            <w:pPr>
              <w:spacing w:line="360" w:lineRule="auto"/>
              <w:rPr>
                <w:rFonts w:hint="eastAsia" w:ascii="宋体" w:hAnsi="宋体" w:eastAsia="宋体" w:cs="宋体"/>
                <w:b/>
                <w:color w:val="auto"/>
                <w:sz w:val="24"/>
                <w:szCs w:val="21"/>
                <w:highlight w:val="none"/>
              </w:rPr>
            </w:pPr>
          </w:p>
        </w:tc>
        <w:tc>
          <w:tcPr>
            <w:tcW w:w="1843" w:type="dxa"/>
            <w:vAlign w:val="center"/>
          </w:tcPr>
          <w:p w14:paraId="234FAB26">
            <w:pPr>
              <w:spacing w:line="360" w:lineRule="auto"/>
              <w:rPr>
                <w:rFonts w:hint="eastAsia" w:ascii="宋体" w:hAnsi="宋体" w:eastAsia="宋体" w:cs="宋体"/>
                <w:b/>
                <w:color w:val="auto"/>
                <w:sz w:val="24"/>
                <w:szCs w:val="21"/>
                <w:highlight w:val="none"/>
              </w:rPr>
            </w:pPr>
          </w:p>
        </w:tc>
        <w:tc>
          <w:tcPr>
            <w:tcW w:w="708" w:type="dxa"/>
            <w:vAlign w:val="center"/>
          </w:tcPr>
          <w:p w14:paraId="4FF9FD5F">
            <w:pPr>
              <w:spacing w:line="360" w:lineRule="auto"/>
              <w:rPr>
                <w:rFonts w:hint="eastAsia" w:ascii="宋体" w:hAnsi="宋体" w:eastAsia="宋体" w:cs="宋体"/>
                <w:b/>
                <w:color w:val="auto"/>
                <w:sz w:val="24"/>
                <w:szCs w:val="21"/>
                <w:highlight w:val="none"/>
              </w:rPr>
            </w:pPr>
          </w:p>
        </w:tc>
        <w:tc>
          <w:tcPr>
            <w:tcW w:w="768" w:type="dxa"/>
            <w:vAlign w:val="center"/>
          </w:tcPr>
          <w:p w14:paraId="29D1D31E">
            <w:pPr>
              <w:spacing w:line="360" w:lineRule="auto"/>
              <w:rPr>
                <w:rFonts w:hint="eastAsia" w:ascii="宋体" w:hAnsi="宋体" w:eastAsia="宋体" w:cs="宋体"/>
                <w:b/>
                <w:color w:val="auto"/>
                <w:sz w:val="24"/>
                <w:szCs w:val="21"/>
                <w:highlight w:val="none"/>
              </w:rPr>
            </w:pPr>
          </w:p>
        </w:tc>
        <w:tc>
          <w:tcPr>
            <w:tcW w:w="1080" w:type="dxa"/>
          </w:tcPr>
          <w:p w14:paraId="19D21BD7">
            <w:pPr>
              <w:spacing w:line="360" w:lineRule="auto"/>
              <w:rPr>
                <w:rFonts w:hint="eastAsia" w:ascii="宋体" w:hAnsi="宋体" w:eastAsia="宋体" w:cs="宋体"/>
                <w:color w:val="auto"/>
                <w:sz w:val="24"/>
                <w:szCs w:val="21"/>
                <w:highlight w:val="none"/>
              </w:rPr>
            </w:pPr>
          </w:p>
        </w:tc>
        <w:tc>
          <w:tcPr>
            <w:tcW w:w="1080" w:type="dxa"/>
          </w:tcPr>
          <w:p w14:paraId="31D31EB3">
            <w:pPr>
              <w:spacing w:line="360" w:lineRule="auto"/>
              <w:rPr>
                <w:rFonts w:hint="eastAsia" w:ascii="宋体" w:hAnsi="宋体" w:eastAsia="宋体" w:cs="宋体"/>
                <w:color w:val="auto"/>
                <w:sz w:val="24"/>
                <w:szCs w:val="21"/>
                <w:highlight w:val="none"/>
              </w:rPr>
            </w:pPr>
          </w:p>
        </w:tc>
      </w:tr>
      <w:tr w14:paraId="02E3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vAlign w:val="center"/>
          </w:tcPr>
          <w:p w14:paraId="6D4BD715">
            <w:pPr>
              <w:spacing w:line="360" w:lineRule="auto"/>
              <w:rPr>
                <w:rFonts w:hint="eastAsia" w:ascii="宋体" w:hAnsi="宋体" w:eastAsia="宋体" w:cs="宋体"/>
                <w:b/>
                <w:color w:val="auto"/>
                <w:sz w:val="24"/>
                <w:szCs w:val="21"/>
                <w:highlight w:val="none"/>
              </w:rPr>
            </w:pPr>
          </w:p>
        </w:tc>
        <w:tc>
          <w:tcPr>
            <w:tcW w:w="1080" w:type="dxa"/>
            <w:vAlign w:val="center"/>
          </w:tcPr>
          <w:p w14:paraId="0FCC1A91">
            <w:pPr>
              <w:spacing w:line="360" w:lineRule="auto"/>
              <w:rPr>
                <w:rFonts w:hint="eastAsia" w:ascii="宋体" w:hAnsi="宋体" w:eastAsia="宋体" w:cs="宋体"/>
                <w:b/>
                <w:color w:val="auto"/>
                <w:sz w:val="24"/>
                <w:szCs w:val="21"/>
                <w:highlight w:val="none"/>
              </w:rPr>
            </w:pPr>
          </w:p>
        </w:tc>
        <w:tc>
          <w:tcPr>
            <w:tcW w:w="1649" w:type="dxa"/>
            <w:vAlign w:val="center"/>
          </w:tcPr>
          <w:p w14:paraId="022512DB">
            <w:pPr>
              <w:spacing w:line="360" w:lineRule="auto"/>
              <w:rPr>
                <w:rFonts w:hint="eastAsia" w:ascii="宋体" w:hAnsi="宋体" w:eastAsia="宋体" w:cs="宋体"/>
                <w:b/>
                <w:color w:val="auto"/>
                <w:sz w:val="24"/>
                <w:szCs w:val="21"/>
                <w:highlight w:val="none"/>
              </w:rPr>
            </w:pPr>
          </w:p>
        </w:tc>
        <w:tc>
          <w:tcPr>
            <w:tcW w:w="1843" w:type="dxa"/>
            <w:vAlign w:val="center"/>
          </w:tcPr>
          <w:p w14:paraId="016DD647">
            <w:pPr>
              <w:spacing w:line="360" w:lineRule="auto"/>
              <w:rPr>
                <w:rFonts w:hint="eastAsia" w:ascii="宋体" w:hAnsi="宋体" w:eastAsia="宋体" w:cs="宋体"/>
                <w:b/>
                <w:color w:val="auto"/>
                <w:sz w:val="24"/>
                <w:szCs w:val="21"/>
                <w:highlight w:val="none"/>
              </w:rPr>
            </w:pPr>
          </w:p>
        </w:tc>
        <w:tc>
          <w:tcPr>
            <w:tcW w:w="708" w:type="dxa"/>
            <w:vAlign w:val="center"/>
          </w:tcPr>
          <w:p w14:paraId="568637F8">
            <w:pPr>
              <w:spacing w:line="360" w:lineRule="auto"/>
              <w:rPr>
                <w:rFonts w:hint="eastAsia" w:ascii="宋体" w:hAnsi="宋体" w:eastAsia="宋体" w:cs="宋体"/>
                <w:b/>
                <w:color w:val="auto"/>
                <w:sz w:val="24"/>
                <w:szCs w:val="21"/>
                <w:highlight w:val="none"/>
              </w:rPr>
            </w:pPr>
          </w:p>
        </w:tc>
        <w:tc>
          <w:tcPr>
            <w:tcW w:w="768" w:type="dxa"/>
            <w:vAlign w:val="center"/>
          </w:tcPr>
          <w:p w14:paraId="4833B458">
            <w:pPr>
              <w:spacing w:line="360" w:lineRule="auto"/>
              <w:rPr>
                <w:rFonts w:hint="eastAsia" w:ascii="宋体" w:hAnsi="宋体" w:eastAsia="宋体" w:cs="宋体"/>
                <w:b/>
                <w:color w:val="auto"/>
                <w:sz w:val="24"/>
                <w:szCs w:val="21"/>
                <w:highlight w:val="none"/>
              </w:rPr>
            </w:pPr>
          </w:p>
        </w:tc>
        <w:tc>
          <w:tcPr>
            <w:tcW w:w="1080" w:type="dxa"/>
          </w:tcPr>
          <w:p w14:paraId="559C2624">
            <w:pPr>
              <w:spacing w:line="360" w:lineRule="auto"/>
              <w:rPr>
                <w:rFonts w:hint="eastAsia" w:ascii="宋体" w:hAnsi="宋体" w:eastAsia="宋体" w:cs="宋体"/>
                <w:color w:val="auto"/>
                <w:sz w:val="24"/>
                <w:szCs w:val="21"/>
                <w:highlight w:val="none"/>
              </w:rPr>
            </w:pPr>
          </w:p>
        </w:tc>
        <w:tc>
          <w:tcPr>
            <w:tcW w:w="1080" w:type="dxa"/>
          </w:tcPr>
          <w:p w14:paraId="4CE7FE29">
            <w:pPr>
              <w:spacing w:line="360" w:lineRule="auto"/>
              <w:rPr>
                <w:rFonts w:hint="eastAsia" w:ascii="宋体" w:hAnsi="宋体" w:eastAsia="宋体" w:cs="宋体"/>
                <w:color w:val="auto"/>
                <w:sz w:val="24"/>
                <w:szCs w:val="21"/>
                <w:highlight w:val="none"/>
              </w:rPr>
            </w:pPr>
          </w:p>
        </w:tc>
      </w:tr>
      <w:tr w14:paraId="02EF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vAlign w:val="center"/>
          </w:tcPr>
          <w:p w14:paraId="48A43527">
            <w:pPr>
              <w:spacing w:line="360" w:lineRule="auto"/>
              <w:rPr>
                <w:rFonts w:hint="eastAsia" w:ascii="宋体" w:hAnsi="宋体" w:eastAsia="宋体" w:cs="宋体"/>
                <w:b/>
                <w:color w:val="auto"/>
                <w:sz w:val="24"/>
                <w:szCs w:val="21"/>
                <w:highlight w:val="none"/>
              </w:rPr>
            </w:pPr>
          </w:p>
        </w:tc>
        <w:tc>
          <w:tcPr>
            <w:tcW w:w="1080" w:type="dxa"/>
            <w:vAlign w:val="center"/>
          </w:tcPr>
          <w:p w14:paraId="332E83B3">
            <w:pPr>
              <w:spacing w:line="360" w:lineRule="auto"/>
              <w:rPr>
                <w:rFonts w:hint="eastAsia" w:ascii="宋体" w:hAnsi="宋体" w:eastAsia="宋体" w:cs="宋体"/>
                <w:b/>
                <w:color w:val="auto"/>
                <w:sz w:val="24"/>
                <w:szCs w:val="21"/>
                <w:highlight w:val="none"/>
              </w:rPr>
            </w:pPr>
          </w:p>
        </w:tc>
        <w:tc>
          <w:tcPr>
            <w:tcW w:w="1649" w:type="dxa"/>
            <w:vAlign w:val="center"/>
          </w:tcPr>
          <w:p w14:paraId="7D6A24D9">
            <w:pPr>
              <w:spacing w:line="360" w:lineRule="auto"/>
              <w:rPr>
                <w:rFonts w:hint="eastAsia" w:ascii="宋体" w:hAnsi="宋体" w:eastAsia="宋体" w:cs="宋体"/>
                <w:b/>
                <w:color w:val="auto"/>
                <w:sz w:val="24"/>
                <w:szCs w:val="21"/>
                <w:highlight w:val="none"/>
              </w:rPr>
            </w:pPr>
          </w:p>
        </w:tc>
        <w:tc>
          <w:tcPr>
            <w:tcW w:w="1843" w:type="dxa"/>
            <w:vAlign w:val="center"/>
          </w:tcPr>
          <w:p w14:paraId="071FF71F">
            <w:pPr>
              <w:spacing w:line="360" w:lineRule="auto"/>
              <w:rPr>
                <w:rFonts w:hint="eastAsia" w:ascii="宋体" w:hAnsi="宋体" w:eastAsia="宋体" w:cs="宋体"/>
                <w:b/>
                <w:color w:val="auto"/>
                <w:sz w:val="24"/>
                <w:szCs w:val="21"/>
                <w:highlight w:val="none"/>
              </w:rPr>
            </w:pPr>
          </w:p>
        </w:tc>
        <w:tc>
          <w:tcPr>
            <w:tcW w:w="708" w:type="dxa"/>
            <w:vAlign w:val="center"/>
          </w:tcPr>
          <w:p w14:paraId="7FAB031B">
            <w:pPr>
              <w:spacing w:line="360" w:lineRule="auto"/>
              <w:rPr>
                <w:rFonts w:hint="eastAsia" w:ascii="宋体" w:hAnsi="宋体" w:eastAsia="宋体" w:cs="宋体"/>
                <w:b/>
                <w:color w:val="auto"/>
                <w:sz w:val="24"/>
                <w:szCs w:val="21"/>
                <w:highlight w:val="none"/>
              </w:rPr>
            </w:pPr>
          </w:p>
        </w:tc>
        <w:tc>
          <w:tcPr>
            <w:tcW w:w="768" w:type="dxa"/>
            <w:vAlign w:val="center"/>
          </w:tcPr>
          <w:p w14:paraId="52498933">
            <w:pPr>
              <w:spacing w:line="360" w:lineRule="auto"/>
              <w:rPr>
                <w:rFonts w:hint="eastAsia" w:ascii="宋体" w:hAnsi="宋体" w:eastAsia="宋体" w:cs="宋体"/>
                <w:b/>
                <w:color w:val="auto"/>
                <w:sz w:val="24"/>
                <w:szCs w:val="21"/>
                <w:highlight w:val="none"/>
              </w:rPr>
            </w:pPr>
          </w:p>
        </w:tc>
        <w:tc>
          <w:tcPr>
            <w:tcW w:w="1080" w:type="dxa"/>
          </w:tcPr>
          <w:p w14:paraId="1BFC57DD">
            <w:pPr>
              <w:spacing w:line="360" w:lineRule="auto"/>
              <w:rPr>
                <w:rFonts w:hint="eastAsia" w:ascii="宋体" w:hAnsi="宋体" w:eastAsia="宋体" w:cs="宋体"/>
                <w:color w:val="auto"/>
                <w:sz w:val="24"/>
                <w:szCs w:val="21"/>
                <w:highlight w:val="none"/>
              </w:rPr>
            </w:pPr>
          </w:p>
        </w:tc>
        <w:tc>
          <w:tcPr>
            <w:tcW w:w="1080" w:type="dxa"/>
          </w:tcPr>
          <w:p w14:paraId="348E9A6D">
            <w:pPr>
              <w:spacing w:line="360" w:lineRule="auto"/>
              <w:rPr>
                <w:rFonts w:hint="eastAsia" w:ascii="宋体" w:hAnsi="宋体" w:eastAsia="宋体" w:cs="宋体"/>
                <w:color w:val="auto"/>
                <w:sz w:val="24"/>
                <w:szCs w:val="21"/>
                <w:highlight w:val="none"/>
              </w:rPr>
            </w:pPr>
          </w:p>
        </w:tc>
      </w:tr>
      <w:tr w14:paraId="57FB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jc w:val="center"/>
        </w:trPr>
        <w:tc>
          <w:tcPr>
            <w:tcW w:w="1763" w:type="dxa"/>
            <w:gridSpan w:val="2"/>
            <w:vAlign w:val="center"/>
          </w:tcPr>
          <w:p w14:paraId="12BB2197">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投标总价</w:t>
            </w:r>
          </w:p>
        </w:tc>
        <w:tc>
          <w:tcPr>
            <w:tcW w:w="7128" w:type="dxa"/>
            <w:gridSpan w:val="6"/>
            <w:vAlign w:val="center"/>
          </w:tcPr>
          <w:p w14:paraId="1727BE1F">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p>
        </w:tc>
      </w:tr>
      <w:tr w14:paraId="49CC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5" w:hRule="atLeast"/>
          <w:jc w:val="center"/>
        </w:trPr>
        <w:tc>
          <w:tcPr>
            <w:tcW w:w="8891" w:type="dxa"/>
            <w:gridSpan w:val="8"/>
            <w:vAlign w:val="center"/>
          </w:tcPr>
          <w:p w14:paraId="73C41872">
            <w:pPr>
              <w:spacing w:after="120" w:line="400" w:lineRule="exact"/>
              <w:ind w:firstLine="480" w:firstLineChars="200"/>
              <w:jc w:val="left"/>
              <w:rPr>
                <w:rFonts w:hint="eastAsia" w:ascii="宋体" w:hAnsi="宋体" w:eastAsia="宋体" w:cs="宋体"/>
                <w:bCs/>
                <w:color w:val="auto"/>
                <w:sz w:val="24"/>
                <w:szCs w:val="32"/>
                <w:highlight w:val="none"/>
              </w:rPr>
            </w:pPr>
            <w:r>
              <w:rPr>
                <w:rFonts w:hint="eastAsia" w:ascii="宋体" w:hAnsi="宋体" w:eastAsia="宋体" w:cs="宋体"/>
                <w:color w:val="auto"/>
                <w:sz w:val="24"/>
                <w:szCs w:val="32"/>
                <w:highlight w:val="none"/>
              </w:rPr>
              <w:t>投标报价</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但不限于</w:t>
            </w:r>
            <w:r>
              <w:rPr>
                <w:rFonts w:hint="eastAsia" w:ascii="宋体" w:hAnsi="宋体" w:eastAsia="宋体" w:cs="宋体"/>
                <w:color w:val="auto"/>
                <w:sz w:val="24"/>
                <w:highlight w:val="none"/>
              </w:rPr>
              <w:t>清单中货物的设计、制造、供货、发货、运送到指定工地现场、卸货、保险、税费、安装、调试试验和交付使用、货物（设备）在本文规定的质保期内的维修保养，以及为达到安全、满意的运行所必需的所有装配部件及辅助设施等，并应保证货物（设备）在各方面均能达到正常运行要求的费用，以及招标代理费，以及其它一切不可预见和实际所需的一切其他费用等，如有漏报，视同已包含在其报价中</w:t>
            </w:r>
            <w:r>
              <w:rPr>
                <w:rFonts w:hint="eastAsia" w:ascii="宋体" w:hAnsi="宋体" w:eastAsia="宋体" w:cs="宋体"/>
                <w:color w:val="auto"/>
                <w:sz w:val="24"/>
                <w:szCs w:val="32"/>
                <w:highlight w:val="none"/>
              </w:rPr>
              <w:t>，结算时不再增加</w:t>
            </w:r>
            <w:r>
              <w:rPr>
                <w:rFonts w:hint="eastAsia" w:ascii="宋体" w:hAnsi="宋体" w:eastAsia="宋体" w:cs="宋体"/>
                <w:bCs/>
                <w:color w:val="auto"/>
                <w:sz w:val="24"/>
                <w:szCs w:val="32"/>
                <w:highlight w:val="none"/>
              </w:rPr>
              <w:t>。</w:t>
            </w:r>
          </w:p>
          <w:p w14:paraId="21BD4CFE">
            <w:pPr>
              <w:spacing w:after="120" w:line="400" w:lineRule="exact"/>
              <w:ind w:firstLine="482" w:firstLineChars="200"/>
              <w:jc w:val="left"/>
              <w:rPr>
                <w:rFonts w:hint="eastAsia"/>
                <w:highlight w:val="none"/>
              </w:rPr>
            </w:pPr>
            <w:r>
              <w:rPr>
                <w:rFonts w:hint="eastAsia" w:ascii="宋体" w:hAnsi="宋体" w:eastAsia="宋体" w:cs="宋体"/>
                <w:b/>
                <w:bCs/>
                <w:color w:val="auto"/>
                <w:sz w:val="24"/>
                <w:szCs w:val="21"/>
                <w:highlight w:val="none"/>
              </w:rPr>
              <w:t>投标人的报价在最高限价内（单价和总价）的，为有效报价。</w:t>
            </w:r>
          </w:p>
        </w:tc>
      </w:tr>
    </w:tbl>
    <w:p w14:paraId="25455D03">
      <w:pPr>
        <w:pStyle w:val="2"/>
        <w:spacing w:line="44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注：在填写时，如上表不适合本项目的实际情况，可在确保投标报价明细内容完整的情况下，根据上表格式自行划表填写。</w:t>
      </w:r>
    </w:p>
    <w:p w14:paraId="112A15CA">
      <w:pPr>
        <w:pStyle w:val="2"/>
        <w:spacing w:line="440" w:lineRule="exact"/>
        <w:ind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71BE4DB">
      <w:pPr>
        <w:pStyle w:val="2"/>
        <w:spacing w:line="440" w:lineRule="exact"/>
        <w:ind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0D356B2B">
      <w:pPr>
        <w:pStyle w:val="2"/>
        <w:spacing w:line="440" w:lineRule="exact"/>
        <w:ind w:left="0" w:leftChars="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bookmarkEnd w:id="502"/>
    <w:sectPr>
      <w:footerReference r:id="rId4" w:type="first"/>
      <w:footerReference r:id="rId3" w:type="default"/>
      <w:pgSz w:w="11906" w:h="16838"/>
      <w:pgMar w:top="1418" w:right="1418" w:bottom="1418"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D8E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8EF3A">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8EF3A">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A37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1F98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E1F98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53938E1"/>
    <w:multiLevelType w:val="singleLevel"/>
    <w:tmpl w:val="853938E1"/>
    <w:lvl w:ilvl="0" w:tentative="0">
      <w:start w:val="1"/>
      <w:numFmt w:val="decimalEnclosedCircleChinese"/>
      <w:suff w:val="nothing"/>
      <w:lvlText w:val="%1　"/>
      <w:lvlJc w:val="left"/>
      <w:pPr>
        <w:ind w:left="0" w:firstLine="1134"/>
      </w:pPr>
      <w:rPr>
        <w:rFonts w:hint="eastAsia"/>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385FF2E"/>
    <w:multiLevelType w:val="singleLevel"/>
    <w:tmpl w:val="9385FF2E"/>
    <w:lvl w:ilvl="0" w:tentative="0">
      <w:start w:val="1"/>
      <w:numFmt w:val="decimalEnclosedCircleChinese"/>
      <w:suff w:val="nothing"/>
      <w:lvlText w:val="%1　"/>
      <w:lvlJc w:val="left"/>
      <w:pPr>
        <w:ind w:left="0" w:firstLine="1134"/>
      </w:pPr>
      <w:rPr>
        <w:rFonts w:hint="eastAsia"/>
      </w:rPr>
    </w:lvl>
  </w:abstractNum>
  <w:abstractNum w:abstractNumId="4">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5">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6">
    <w:nsid w:val="9D5DF37A"/>
    <w:multiLevelType w:val="singleLevel"/>
    <w:tmpl w:val="9D5DF37A"/>
    <w:lvl w:ilvl="0" w:tentative="0">
      <w:start w:val="1"/>
      <w:numFmt w:val="decimal"/>
      <w:lvlText w:val="%1."/>
      <w:lvlJc w:val="left"/>
      <w:pPr>
        <w:ind w:left="425" w:hanging="425"/>
      </w:pPr>
      <w:rPr>
        <w:rFonts w:hint="default" w:ascii="Times New Roman" w:hAnsi="Times New Roman" w:cs="Times New Roman"/>
      </w:rPr>
    </w:lvl>
  </w:abstractNum>
  <w:abstractNum w:abstractNumId="7">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8">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9">
    <w:nsid w:val="AA2BFAEB"/>
    <w:multiLevelType w:val="singleLevel"/>
    <w:tmpl w:val="AA2BFAEB"/>
    <w:lvl w:ilvl="0" w:tentative="0">
      <w:start w:val="1"/>
      <w:numFmt w:val="decimal"/>
      <w:lvlText w:val="%1."/>
      <w:lvlJc w:val="left"/>
      <w:pPr>
        <w:ind w:left="425" w:hanging="425"/>
      </w:pPr>
      <w:rPr>
        <w:rFonts w:hint="default"/>
      </w:rPr>
    </w:lvl>
  </w:abstractNum>
  <w:abstractNum w:abstractNumId="10">
    <w:nsid w:val="B2C2C383"/>
    <w:multiLevelType w:val="singleLevel"/>
    <w:tmpl w:val="B2C2C383"/>
    <w:lvl w:ilvl="0" w:tentative="0">
      <w:start w:val="1"/>
      <w:numFmt w:val="decimal"/>
      <w:lvlText w:val="%1."/>
      <w:lvlJc w:val="left"/>
      <w:pPr>
        <w:ind w:left="425" w:hanging="425"/>
      </w:pPr>
      <w:rPr>
        <w:rFonts w:hint="default"/>
      </w:rPr>
    </w:lvl>
  </w:abstractNum>
  <w:abstractNum w:abstractNumId="11">
    <w:nsid w:val="C5377895"/>
    <w:multiLevelType w:val="singleLevel"/>
    <w:tmpl w:val="C5377895"/>
    <w:lvl w:ilvl="0" w:tentative="0">
      <w:start w:val="1"/>
      <w:numFmt w:val="decimal"/>
      <w:lvlText w:val="(%1)"/>
      <w:lvlJc w:val="left"/>
      <w:pPr>
        <w:ind w:left="425" w:hanging="425"/>
      </w:pPr>
      <w:rPr>
        <w:rFonts w:hint="default"/>
      </w:rPr>
    </w:lvl>
  </w:abstractNum>
  <w:abstractNum w:abstractNumId="12">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3">
    <w:nsid w:val="C7C8F5DF"/>
    <w:multiLevelType w:val="singleLevel"/>
    <w:tmpl w:val="C7C8F5DF"/>
    <w:lvl w:ilvl="0" w:tentative="0">
      <w:start w:val="2"/>
      <w:numFmt w:val="decimal"/>
      <w:suff w:val="nothing"/>
      <w:lvlText w:val="%1、"/>
      <w:lvlJc w:val="left"/>
    </w:lvl>
  </w:abstractNum>
  <w:abstractNum w:abstractNumId="14">
    <w:nsid w:val="C7DD6B96"/>
    <w:multiLevelType w:val="singleLevel"/>
    <w:tmpl w:val="C7DD6B96"/>
    <w:lvl w:ilvl="0" w:tentative="0">
      <w:start w:val="1"/>
      <w:numFmt w:val="decimal"/>
      <w:lvlText w:val="%1."/>
      <w:lvlJc w:val="left"/>
      <w:pPr>
        <w:ind w:left="425" w:hanging="425"/>
      </w:pPr>
      <w:rPr>
        <w:rFonts w:hint="default"/>
      </w:rPr>
    </w:lvl>
  </w:abstractNum>
  <w:abstractNum w:abstractNumId="15">
    <w:nsid w:val="C85949A4"/>
    <w:multiLevelType w:val="singleLevel"/>
    <w:tmpl w:val="C85949A4"/>
    <w:lvl w:ilvl="0" w:tentative="0">
      <w:start w:val="1"/>
      <w:numFmt w:val="decimalEnclosedCircleChinese"/>
      <w:suff w:val="nothing"/>
      <w:lvlText w:val="%1　"/>
      <w:lvlJc w:val="left"/>
      <w:pPr>
        <w:ind w:left="0" w:firstLine="400"/>
      </w:pPr>
      <w:rPr>
        <w:rFonts w:hint="eastAsia"/>
      </w:rPr>
    </w:lvl>
  </w:abstractNum>
  <w:abstractNum w:abstractNumId="16">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7">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8">
    <w:nsid w:val="CB5BF318"/>
    <w:multiLevelType w:val="singleLevel"/>
    <w:tmpl w:val="CB5BF318"/>
    <w:lvl w:ilvl="0" w:tentative="0">
      <w:start w:val="1"/>
      <w:numFmt w:val="decimalEnclosedCircleChinese"/>
      <w:suff w:val="nothing"/>
      <w:lvlText w:val="%1　"/>
      <w:lvlJc w:val="left"/>
      <w:pPr>
        <w:ind w:left="0" w:firstLine="1134"/>
      </w:pPr>
      <w:rPr>
        <w:rFonts w:hint="eastAsia"/>
      </w:rPr>
    </w:lvl>
  </w:abstractNum>
  <w:abstractNum w:abstractNumId="19">
    <w:nsid w:val="CD8567D6"/>
    <w:multiLevelType w:val="singleLevel"/>
    <w:tmpl w:val="CD8567D6"/>
    <w:lvl w:ilvl="0" w:tentative="0">
      <w:start w:val="1"/>
      <w:numFmt w:val="decimal"/>
      <w:lvlText w:val="%1."/>
      <w:lvlJc w:val="left"/>
      <w:pPr>
        <w:ind w:left="425" w:hanging="425"/>
      </w:pPr>
      <w:rPr>
        <w:rFonts w:hint="default"/>
      </w:rPr>
    </w:lvl>
  </w:abstractNum>
  <w:abstractNum w:abstractNumId="20">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21">
    <w:nsid w:val="DF47A2E0"/>
    <w:multiLevelType w:val="singleLevel"/>
    <w:tmpl w:val="DF47A2E0"/>
    <w:lvl w:ilvl="0" w:tentative="0">
      <w:start w:val="1"/>
      <w:numFmt w:val="decimalEnclosedCircleChinese"/>
      <w:suff w:val="nothing"/>
      <w:lvlText w:val="%1　"/>
      <w:lvlJc w:val="left"/>
      <w:pPr>
        <w:ind w:left="0" w:firstLine="400"/>
      </w:pPr>
      <w:rPr>
        <w:rFonts w:hint="eastAsia"/>
      </w:rPr>
    </w:lvl>
  </w:abstractNum>
  <w:abstractNum w:abstractNumId="22">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23">
    <w:nsid w:val="E65CE5A9"/>
    <w:multiLevelType w:val="singleLevel"/>
    <w:tmpl w:val="E65CE5A9"/>
    <w:lvl w:ilvl="0" w:tentative="0">
      <w:start w:val="1"/>
      <w:numFmt w:val="decimal"/>
      <w:lvlText w:val="(%1)"/>
      <w:lvlJc w:val="left"/>
      <w:pPr>
        <w:ind w:left="425" w:hanging="425"/>
      </w:pPr>
      <w:rPr>
        <w:rFonts w:hint="default"/>
      </w:rPr>
    </w:lvl>
  </w:abstractNum>
  <w:abstractNum w:abstractNumId="24">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25">
    <w:nsid w:val="EDD0E352"/>
    <w:multiLevelType w:val="singleLevel"/>
    <w:tmpl w:val="EDD0E352"/>
    <w:lvl w:ilvl="0" w:tentative="0">
      <w:start w:val="1"/>
      <w:numFmt w:val="decimalEnclosedCircleChinese"/>
      <w:suff w:val="nothing"/>
      <w:lvlText w:val="%1　"/>
      <w:lvlJc w:val="left"/>
      <w:pPr>
        <w:ind w:left="0" w:firstLine="400"/>
      </w:pPr>
      <w:rPr>
        <w:rFonts w:hint="eastAsia"/>
      </w:rPr>
    </w:lvl>
  </w:abstractNum>
  <w:abstractNum w:abstractNumId="26">
    <w:nsid w:val="F4F3EE07"/>
    <w:multiLevelType w:val="singleLevel"/>
    <w:tmpl w:val="F4F3EE07"/>
    <w:lvl w:ilvl="0" w:tentative="0">
      <w:start w:val="1"/>
      <w:numFmt w:val="decimalEnclosedCircleChinese"/>
      <w:suff w:val="nothing"/>
      <w:lvlText w:val="%1　"/>
      <w:lvlJc w:val="left"/>
      <w:pPr>
        <w:ind w:left="0" w:firstLine="400"/>
      </w:pPr>
      <w:rPr>
        <w:rFonts w:hint="eastAsia"/>
      </w:rPr>
    </w:lvl>
  </w:abstractNum>
  <w:abstractNum w:abstractNumId="27">
    <w:nsid w:val="F66108BB"/>
    <w:multiLevelType w:val="singleLevel"/>
    <w:tmpl w:val="F66108BB"/>
    <w:lvl w:ilvl="0" w:tentative="0">
      <w:start w:val="1"/>
      <w:numFmt w:val="decimalEnclosedCircleChinese"/>
      <w:suff w:val="nothing"/>
      <w:lvlText w:val="%1　"/>
      <w:lvlJc w:val="left"/>
      <w:pPr>
        <w:ind w:left="0" w:firstLine="1134"/>
      </w:pPr>
      <w:rPr>
        <w:rFonts w:hint="eastAsia"/>
      </w:rPr>
    </w:lvl>
  </w:abstractNum>
  <w:abstractNum w:abstractNumId="28">
    <w:nsid w:val="F6F4A021"/>
    <w:multiLevelType w:val="singleLevel"/>
    <w:tmpl w:val="F6F4A021"/>
    <w:lvl w:ilvl="0" w:tentative="0">
      <w:start w:val="1"/>
      <w:numFmt w:val="decimal"/>
      <w:lvlText w:val="%1."/>
      <w:lvlJc w:val="left"/>
      <w:pPr>
        <w:ind w:left="425" w:hanging="425"/>
      </w:pPr>
      <w:rPr>
        <w:rFonts w:hint="default"/>
      </w:rPr>
    </w:lvl>
  </w:abstractNum>
  <w:abstractNum w:abstractNumId="29">
    <w:nsid w:val="FBA7722B"/>
    <w:multiLevelType w:val="singleLevel"/>
    <w:tmpl w:val="FBA7722B"/>
    <w:lvl w:ilvl="0" w:tentative="0">
      <w:start w:val="1"/>
      <w:numFmt w:val="decimalEnclosedCircleChinese"/>
      <w:suff w:val="nothing"/>
      <w:lvlText w:val="%1　"/>
      <w:lvlJc w:val="left"/>
      <w:pPr>
        <w:ind w:left="0" w:firstLine="1134"/>
      </w:pPr>
      <w:rPr>
        <w:rFonts w:hint="eastAsia"/>
      </w:rPr>
    </w:lvl>
  </w:abstractNum>
  <w:abstractNum w:abstractNumId="30">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31">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32">
    <w:nsid w:val="1709DD21"/>
    <w:multiLevelType w:val="singleLevel"/>
    <w:tmpl w:val="1709DD21"/>
    <w:lvl w:ilvl="0" w:tentative="0">
      <w:start w:val="1"/>
      <w:numFmt w:val="decimalEnclosedCircleChinese"/>
      <w:suff w:val="nothing"/>
      <w:lvlText w:val="%1　"/>
      <w:lvlJc w:val="left"/>
      <w:pPr>
        <w:ind w:left="0" w:firstLine="400"/>
      </w:pPr>
      <w:rPr>
        <w:rFonts w:hint="eastAsia"/>
      </w:rPr>
    </w:lvl>
  </w:abstractNum>
  <w:abstractNum w:abstractNumId="33">
    <w:nsid w:val="1815E74B"/>
    <w:multiLevelType w:val="singleLevel"/>
    <w:tmpl w:val="1815E74B"/>
    <w:lvl w:ilvl="0" w:tentative="0">
      <w:start w:val="1"/>
      <w:numFmt w:val="decimalEnclosedCircleChinese"/>
      <w:suff w:val="nothing"/>
      <w:lvlText w:val="%1　"/>
      <w:lvlJc w:val="left"/>
      <w:pPr>
        <w:ind w:left="0" w:firstLine="400"/>
      </w:pPr>
      <w:rPr>
        <w:rFonts w:hint="eastAsia"/>
      </w:rPr>
    </w:lvl>
  </w:abstractNum>
  <w:abstractNum w:abstractNumId="34">
    <w:nsid w:val="1A932DA6"/>
    <w:multiLevelType w:val="singleLevel"/>
    <w:tmpl w:val="1A932DA6"/>
    <w:lvl w:ilvl="0" w:tentative="0">
      <w:start w:val="1"/>
      <w:numFmt w:val="decimalEnclosedCircleChinese"/>
      <w:suff w:val="nothing"/>
      <w:lvlText w:val="%1　"/>
      <w:lvlJc w:val="left"/>
      <w:pPr>
        <w:ind w:left="0" w:firstLine="400"/>
      </w:pPr>
      <w:rPr>
        <w:rFonts w:hint="eastAsia"/>
      </w:rPr>
    </w:lvl>
  </w:abstractNum>
  <w:abstractNum w:abstractNumId="35">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36">
    <w:nsid w:val="1FEB6E80"/>
    <w:multiLevelType w:val="singleLevel"/>
    <w:tmpl w:val="1FEB6E80"/>
    <w:lvl w:ilvl="0" w:tentative="0">
      <w:start w:val="1"/>
      <w:numFmt w:val="decimal"/>
      <w:lvlText w:val="%1."/>
      <w:lvlJc w:val="left"/>
      <w:pPr>
        <w:ind w:left="425" w:hanging="425"/>
      </w:pPr>
      <w:rPr>
        <w:rFonts w:hint="default"/>
      </w:rPr>
    </w:lvl>
  </w:abstractNum>
  <w:abstractNum w:abstractNumId="37">
    <w:nsid w:val="22CAA529"/>
    <w:multiLevelType w:val="singleLevel"/>
    <w:tmpl w:val="22CAA529"/>
    <w:lvl w:ilvl="0" w:tentative="0">
      <w:start w:val="1"/>
      <w:numFmt w:val="decimal"/>
      <w:suff w:val="nothing"/>
      <w:lvlText w:val="16.%1 "/>
      <w:lvlJc w:val="left"/>
      <w:pPr>
        <w:ind w:left="0" w:firstLine="1134"/>
      </w:pPr>
      <w:rPr>
        <w:rFonts w:hint="default"/>
        <w:color w:val="auto"/>
      </w:rPr>
    </w:lvl>
  </w:abstractNum>
  <w:abstractNum w:abstractNumId="38">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39">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40">
    <w:nsid w:val="27AEF8E5"/>
    <w:multiLevelType w:val="singleLevel"/>
    <w:tmpl w:val="27AEF8E5"/>
    <w:lvl w:ilvl="0" w:tentative="0">
      <w:start w:val="1"/>
      <w:numFmt w:val="decimal"/>
      <w:lvlText w:val="(%1)"/>
      <w:lvlJc w:val="left"/>
      <w:pPr>
        <w:ind w:left="425" w:hanging="425"/>
      </w:pPr>
      <w:rPr>
        <w:rFonts w:hint="default"/>
      </w:rPr>
    </w:lvl>
  </w:abstractNum>
  <w:abstractNum w:abstractNumId="41">
    <w:nsid w:val="2C4F0A5A"/>
    <w:multiLevelType w:val="singleLevel"/>
    <w:tmpl w:val="2C4F0A5A"/>
    <w:lvl w:ilvl="0" w:tentative="0">
      <w:start w:val="1"/>
      <w:numFmt w:val="decimal"/>
      <w:lvlText w:val="%1."/>
      <w:lvlJc w:val="left"/>
      <w:pPr>
        <w:ind w:left="425" w:hanging="425"/>
      </w:pPr>
      <w:rPr>
        <w:rFonts w:hint="default"/>
      </w:rPr>
    </w:lvl>
  </w:abstractNum>
  <w:abstractNum w:abstractNumId="42">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43">
    <w:nsid w:val="34269D87"/>
    <w:multiLevelType w:val="singleLevel"/>
    <w:tmpl w:val="34269D87"/>
    <w:lvl w:ilvl="0" w:tentative="0">
      <w:start w:val="1"/>
      <w:numFmt w:val="decimal"/>
      <w:lvlText w:val="%1."/>
      <w:lvlJc w:val="left"/>
      <w:pPr>
        <w:ind w:left="425" w:hanging="425"/>
      </w:pPr>
      <w:rPr>
        <w:rFonts w:hint="default"/>
      </w:rPr>
    </w:lvl>
  </w:abstractNum>
  <w:abstractNum w:abstractNumId="44">
    <w:nsid w:val="351ECCB3"/>
    <w:multiLevelType w:val="singleLevel"/>
    <w:tmpl w:val="351ECCB3"/>
    <w:lvl w:ilvl="0" w:tentative="0">
      <w:start w:val="1"/>
      <w:numFmt w:val="decimal"/>
      <w:lvlText w:val="(%1)"/>
      <w:lvlJc w:val="left"/>
      <w:pPr>
        <w:ind w:left="425" w:hanging="425"/>
      </w:pPr>
      <w:rPr>
        <w:rFonts w:hint="default"/>
      </w:rPr>
    </w:lvl>
  </w:abstractNum>
  <w:abstractNum w:abstractNumId="45">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4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47">
    <w:nsid w:val="43F0E23A"/>
    <w:multiLevelType w:val="singleLevel"/>
    <w:tmpl w:val="43F0E23A"/>
    <w:lvl w:ilvl="0" w:tentative="0">
      <w:start w:val="1"/>
      <w:numFmt w:val="decimal"/>
      <w:lvlText w:val="%1."/>
      <w:lvlJc w:val="left"/>
      <w:pPr>
        <w:ind w:left="425" w:hanging="425"/>
      </w:pPr>
      <w:rPr>
        <w:rFonts w:hint="default"/>
      </w:rPr>
    </w:lvl>
  </w:abstractNum>
  <w:abstractNum w:abstractNumId="48">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49">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50">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51">
    <w:nsid w:val="5AD7A6AD"/>
    <w:multiLevelType w:val="singleLevel"/>
    <w:tmpl w:val="5AD7A6AD"/>
    <w:lvl w:ilvl="0" w:tentative="0">
      <w:start w:val="1"/>
      <w:numFmt w:val="decimal"/>
      <w:lvlText w:val="%1."/>
      <w:lvlJc w:val="left"/>
      <w:pPr>
        <w:tabs>
          <w:tab w:val="left" w:pos="312"/>
        </w:tabs>
      </w:pPr>
    </w:lvl>
  </w:abstractNum>
  <w:abstractNum w:abstractNumId="52">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53">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54">
    <w:nsid w:val="65C86ACB"/>
    <w:multiLevelType w:val="singleLevel"/>
    <w:tmpl w:val="65C86ACB"/>
    <w:lvl w:ilvl="0" w:tentative="0">
      <w:start w:val="1"/>
      <w:numFmt w:val="decimalEnclosedCircleChinese"/>
      <w:suff w:val="nothing"/>
      <w:lvlText w:val="%1　"/>
      <w:lvlJc w:val="left"/>
      <w:pPr>
        <w:ind w:left="0" w:firstLine="1134"/>
      </w:pPr>
      <w:rPr>
        <w:rFonts w:hint="eastAsia"/>
      </w:rPr>
    </w:lvl>
  </w:abstractNum>
  <w:abstractNum w:abstractNumId="55">
    <w:nsid w:val="68A7A228"/>
    <w:multiLevelType w:val="singleLevel"/>
    <w:tmpl w:val="68A7A228"/>
    <w:lvl w:ilvl="0" w:tentative="0">
      <w:start w:val="1"/>
      <w:numFmt w:val="decimal"/>
      <w:suff w:val="nothing"/>
      <w:lvlText w:val="%1、"/>
      <w:lvlJc w:val="left"/>
    </w:lvl>
  </w:abstractNum>
  <w:abstractNum w:abstractNumId="56">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57">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58">
    <w:nsid w:val="72817D3E"/>
    <w:multiLevelType w:val="singleLevel"/>
    <w:tmpl w:val="72817D3E"/>
    <w:lvl w:ilvl="0" w:tentative="0">
      <w:start w:val="1"/>
      <w:numFmt w:val="decimalEnclosedCircleChinese"/>
      <w:suff w:val="nothing"/>
      <w:lvlText w:val="%1　"/>
      <w:lvlJc w:val="left"/>
      <w:pPr>
        <w:ind w:left="0" w:firstLine="397"/>
      </w:pPr>
      <w:rPr>
        <w:rFonts w:hint="eastAsia"/>
      </w:rPr>
    </w:lvl>
  </w:abstractNum>
  <w:abstractNum w:abstractNumId="5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49"/>
  </w:num>
  <w:num w:numId="2">
    <w:abstractNumId w:val="58"/>
  </w:num>
  <w:num w:numId="3">
    <w:abstractNumId w:val="59"/>
  </w:num>
  <w:num w:numId="4">
    <w:abstractNumId w:val="35"/>
  </w:num>
  <w:num w:numId="5">
    <w:abstractNumId w:val="52"/>
  </w:num>
  <w:num w:numId="6">
    <w:abstractNumId w:val="51"/>
  </w:num>
  <w:num w:numId="7">
    <w:abstractNumId w:val="55"/>
  </w:num>
  <w:num w:numId="8">
    <w:abstractNumId w:val="0"/>
  </w:num>
  <w:num w:numId="9">
    <w:abstractNumId w:val="39"/>
  </w:num>
  <w:num w:numId="10">
    <w:abstractNumId w:val="7"/>
  </w:num>
  <w:num w:numId="11">
    <w:abstractNumId w:val="8"/>
  </w:num>
  <w:num w:numId="12">
    <w:abstractNumId w:val="30"/>
  </w:num>
  <w:num w:numId="13">
    <w:abstractNumId w:val="53"/>
  </w:num>
  <w:num w:numId="14">
    <w:abstractNumId w:val="17"/>
  </w:num>
  <w:num w:numId="15">
    <w:abstractNumId w:val="56"/>
  </w:num>
  <w:num w:numId="16">
    <w:abstractNumId w:val="31"/>
  </w:num>
  <w:num w:numId="17">
    <w:abstractNumId w:val="48"/>
  </w:num>
  <w:num w:numId="18">
    <w:abstractNumId w:val="1"/>
  </w:num>
  <w:num w:numId="19">
    <w:abstractNumId w:val="27"/>
  </w:num>
  <w:num w:numId="20">
    <w:abstractNumId w:val="20"/>
  </w:num>
  <w:num w:numId="21">
    <w:abstractNumId w:val="4"/>
  </w:num>
  <w:num w:numId="22">
    <w:abstractNumId w:val="24"/>
  </w:num>
  <w:num w:numId="23">
    <w:abstractNumId w:val="5"/>
  </w:num>
  <w:num w:numId="24">
    <w:abstractNumId w:val="37"/>
  </w:num>
  <w:num w:numId="25">
    <w:abstractNumId w:val="45"/>
  </w:num>
  <w:num w:numId="26">
    <w:abstractNumId w:val="22"/>
  </w:num>
  <w:num w:numId="27">
    <w:abstractNumId w:val="12"/>
  </w:num>
  <w:num w:numId="28">
    <w:abstractNumId w:val="46"/>
  </w:num>
  <w:num w:numId="29">
    <w:abstractNumId w:val="16"/>
  </w:num>
  <w:num w:numId="30">
    <w:abstractNumId w:val="42"/>
  </w:num>
  <w:num w:numId="31">
    <w:abstractNumId w:val="50"/>
  </w:num>
  <w:num w:numId="32">
    <w:abstractNumId w:val="38"/>
  </w:num>
  <w:num w:numId="33">
    <w:abstractNumId w:val="57"/>
  </w:num>
  <w:num w:numId="34">
    <w:abstractNumId w:val="2"/>
  </w:num>
  <w:num w:numId="35">
    <w:abstractNumId w:val="34"/>
  </w:num>
  <w:num w:numId="36">
    <w:abstractNumId w:val="13"/>
  </w:num>
  <w:num w:numId="37">
    <w:abstractNumId w:val="36"/>
  </w:num>
  <w:num w:numId="38">
    <w:abstractNumId w:val="43"/>
  </w:num>
  <w:num w:numId="39">
    <w:abstractNumId w:val="6"/>
  </w:num>
  <w:num w:numId="40">
    <w:abstractNumId w:val="9"/>
  </w:num>
  <w:num w:numId="41">
    <w:abstractNumId w:val="10"/>
  </w:num>
  <w:num w:numId="42">
    <w:abstractNumId w:val="14"/>
  </w:num>
  <w:num w:numId="43">
    <w:abstractNumId w:val="19"/>
  </w:num>
  <w:num w:numId="44">
    <w:abstractNumId w:val="28"/>
  </w:num>
  <w:num w:numId="45">
    <w:abstractNumId w:val="47"/>
  </w:num>
  <w:num w:numId="46">
    <w:abstractNumId w:val="41"/>
  </w:num>
  <w:num w:numId="47">
    <w:abstractNumId w:val="11"/>
  </w:num>
  <w:num w:numId="48">
    <w:abstractNumId w:val="32"/>
  </w:num>
  <w:num w:numId="49">
    <w:abstractNumId w:val="15"/>
  </w:num>
  <w:num w:numId="50">
    <w:abstractNumId w:val="44"/>
  </w:num>
  <w:num w:numId="51">
    <w:abstractNumId w:val="25"/>
  </w:num>
  <w:num w:numId="52">
    <w:abstractNumId w:val="33"/>
  </w:num>
  <w:num w:numId="53">
    <w:abstractNumId w:val="40"/>
  </w:num>
  <w:num w:numId="54">
    <w:abstractNumId w:val="21"/>
  </w:num>
  <w:num w:numId="55">
    <w:abstractNumId w:val="26"/>
  </w:num>
  <w:num w:numId="56">
    <w:abstractNumId w:val="23"/>
  </w:num>
  <w:num w:numId="57">
    <w:abstractNumId w:val="3"/>
  </w:num>
  <w:num w:numId="58">
    <w:abstractNumId w:val="18"/>
  </w:num>
  <w:num w:numId="59">
    <w:abstractNumId w:val="54"/>
  </w:num>
  <w:num w:numId="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63"/>
    <w:rsid w:val="00001D61"/>
    <w:rsid w:val="00033AB1"/>
    <w:rsid w:val="000366D6"/>
    <w:rsid w:val="00047217"/>
    <w:rsid w:val="0005287D"/>
    <w:rsid w:val="00064947"/>
    <w:rsid w:val="000736B4"/>
    <w:rsid w:val="00085608"/>
    <w:rsid w:val="000857CE"/>
    <w:rsid w:val="000923AC"/>
    <w:rsid w:val="000F4F73"/>
    <w:rsid w:val="001026B7"/>
    <w:rsid w:val="00136A47"/>
    <w:rsid w:val="0015205F"/>
    <w:rsid w:val="00174B9D"/>
    <w:rsid w:val="00192BF0"/>
    <w:rsid w:val="00194E22"/>
    <w:rsid w:val="00194F98"/>
    <w:rsid w:val="001A63AA"/>
    <w:rsid w:val="001B0481"/>
    <w:rsid w:val="001C4D62"/>
    <w:rsid w:val="001D6ABA"/>
    <w:rsid w:val="001D7DAE"/>
    <w:rsid w:val="00213BA0"/>
    <w:rsid w:val="0022078E"/>
    <w:rsid w:val="002304C9"/>
    <w:rsid w:val="0023124D"/>
    <w:rsid w:val="002320D8"/>
    <w:rsid w:val="002412A3"/>
    <w:rsid w:val="002459FC"/>
    <w:rsid w:val="00260B4E"/>
    <w:rsid w:val="00286C7B"/>
    <w:rsid w:val="00293656"/>
    <w:rsid w:val="002B64D2"/>
    <w:rsid w:val="00340009"/>
    <w:rsid w:val="00353193"/>
    <w:rsid w:val="00380F3B"/>
    <w:rsid w:val="003925DB"/>
    <w:rsid w:val="00395F1A"/>
    <w:rsid w:val="004342BD"/>
    <w:rsid w:val="00436137"/>
    <w:rsid w:val="00483921"/>
    <w:rsid w:val="0049126E"/>
    <w:rsid w:val="00491A84"/>
    <w:rsid w:val="00495C3A"/>
    <w:rsid w:val="004C4EC8"/>
    <w:rsid w:val="004E6F46"/>
    <w:rsid w:val="004F16EA"/>
    <w:rsid w:val="00513E54"/>
    <w:rsid w:val="00527A93"/>
    <w:rsid w:val="00530800"/>
    <w:rsid w:val="005375FA"/>
    <w:rsid w:val="00542F0F"/>
    <w:rsid w:val="005538CB"/>
    <w:rsid w:val="005618F3"/>
    <w:rsid w:val="005643FC"/>
    <w:rsid w:val="00577A99"/>
    <w:rsid w:val="0058177E"/>
    <w:rsid w:val="0058572E"/>
    <w:rsid w:val="005A2D64"/>
    <w:rsid w:val="005A55CA"/>
    <w:rsid w:val="005E20A7"/>
    <w:rsid w:val="00624B46"/>
    <w:rsid w:val="006526EB"/>
    <w:rsid w:val="00687831"/>
    <w:rsid w:val="0069297B"/>
    <w:rsid w:val="006935AE"/>
    <w:rsid w:val="006A43FA"/>
    <w:rsid w:val="006B133E"/>
    <w:rsid w:val="006B2BDA"/>
    <w:rsid w:val="006B7CD4"/>
    <w:rsid w:val="006C190D"/>
    <w:rsid w:val="006E5A30"/>
    <w:rsid w:val="006F7452"/>
    <w:rsid w:val="00763F1F"/>
    <w:rsid w:val="007679D3"/>
    <w:rsid w:val="00771B5A"/>
    <w:rsid w:val="007951FF"/>
    <w:rsid w:val="007B33D1"/>
    <w:rsid w:val="007B42A4"/>
    <w:rsid w:val="007B5E8D"/>
    <w:rsid w:val="007C43D6"/>
    <w:rsid w:val="007E14B3"/>
    <w:rsid w:val="007F2525"/>
    <w:rsid w:val="007F6B42"/>
    <w:rsid w:val="00800C4D"/>
    <w:rsid w:val="00810BFA"/>
    <w:rsid w:val="00855239"/>
    <w:rsid w:val="00877CB0"/>
    <w:rsid w:val="008B0BDA"/>
    <w:rsid w:val="008D70C5"/>
    <w:rsid w:val="008F0C12"/>
    <w:rsid w:val="0091199F"/>
    <w:rsid w:val="00922266"/>
    <w:rsid w:val="009365AF"/>
    <w:rsid w:val="00974089"/>
    <w:rsid w:val="009A2C94"/>
    <w:rsid w:val="009B22DF"/>
    <w:rsid w:val="009B2BED"/>
    <w:rsid w:val="009B5963"/>
    <w:rsid w:val="009E3308"/>
    <w:rsid w:val="009E5286"/>
    <w:rsid w:val="009E7CB0"/>
    <w:rsid w:val="00A16DD6"/>
    <w:rsid w:val="00A41547"/>
    <w:rsid w:val="00A4520E"/>
    <w:rsid w:val="00A53790"/>
    <w:rsid w:val="00A64445"/>
    <w:rsid w:val="00A70689"/>
    <w:rsid w:val="00AA0F83"/>
    <w:rsid w:val="00AC5902"/>
    <w:rsid w:val="00AE6F78"/>
    <w:rsid w:val="00B14E8B"/>
    <w:rsid w:val="00B24C58"/>
    <w:rsid w:val="00B37774"/>
    <w:rsid w:val="00B37849"/>
    <w:rsid w:val="00B52B76"/>
    <w:rsid w:val="00B65452"/>
    <w:rsid w:val="00B761A8"/>
    <w:rsid w:val="00B86608"/>
    <w:rsid w:val="00BB61A9"/>
    <w:rsid w:val="00BF2AFC"/>
    <w:rsid w:val="00C05609"/>
    <w:rsid w:val="00C131A0"/>
    <w:rsid w:val="00C149E1"/>
    <w:rsid w:val="00C21BE0"/>
    <w:rsid w:val="00C421A6"/>
    <w:rsid w:val="00C45C43"/>
    <w:rsid w:val="00C57AE6"/>
    <w:rsid w:val="00C6080F"/>
    <w:rsid w:val="00C67399"/>
    <w:rsid w:val="00C67F7B"/>
    <w:rsid w:val="00C917C9"/>
    <w:rsid w:val="00C94643"/>
    <w:rsid w:val="00CA3DC8"/>
    <w:rsid w:val="00CF3E43"/>
    <w:rsid w:val="00D0251E"/>
    <w:rsid w:val="00D30419"/>
    <w:rsid w:val="00D7299A"/>
    <w:rsid w:val="00DA377C"/>
    <w:rsid w:val="00DD4001"/>
    <w:rsid w:val="00DF457E"/>
    <w:rsid w:val="00E121CD"/>
    <w:rsid w:val="00E15C2F"/>
    <w:rsid w:val="00EA7D22"/>
    <w:rsid w:val="00EC53E4"/>
    <w:rsid w:val="00EE49EF"/>
    <w:rsid w:val="00EE4B5F"/>
    <w:rsid w:val="00F04B04"/>
    <w:rsid w:val="00F2069C"/>
    <w:rsid w:val="00F26643"/>
    <w:rsid w:val="00F27CCA"/>
    <w:rsid w:val="00F654BF"/>
    <w:rsid w:val="00F80334"/>
    <w:rsid w:val="00F90228"/>
    <w:rsid w:val="00FA3DA9"/>
    <w:rsid w:val="00FA51F1"/>
    <w:rsid w:val="00FC34F2"/>
    <w:rsid w:val="00FF0E81"/>
    <w:rsid w:val="01415CD2"/>
    <w:rsid w:val="01A050EF"/>
    <w:rsid w:val="01C761D7"/>
    <w:rsid w:val="022D017E"/>
    <w:rsid w:val="024737BC"/>
    <w:rsid w:val="027520D7"/>
    <w:rsid w:val="02980763"/>
    <w:rsid w:val="02D432A2"/>
    <w:rsid w:val="030516AD"/>
    <w:rsid w:val="0305345B"/>
    <w:rsid w:val="031273D2"/>
    <w:rsid w:val="0328714A"/>
    <w:rsid w:val="03AF786B"/>
    <w:rsid w:val="03D1158F"/>
    <w:rsid w:val="04874344"/>
    <w:rsid w:val="04B073F7"/>
    <w:rsid w:val="04BD733B"/>
    <w:rsid w:val="05015EA4"/>
    <w:rsid w:val="050D1232"/>
    <w:rsid w:val="055A55B4"/>
    <w:rsid w:val="056A1C9B"/>
    <w:rsid w:val="05856AD5"/>
    <w:rsid w:val="059E7B97"/>
    <w:rsid w:val="05F81055"/>
    <w:rsid w:val="0671705A"/>
    <w:rsid w:val="07097292"/>
    <w:rsid w:val="07707311"/>
    <w:rsid w:val="07A70F85"/>
    <w:rsid w:val="088C1F29"/>
    <w:rsid w:val="08B51480"/>
    <w:rsid w:val="08F71A98"/>
    <w:rsid w:val="0969226A"/>
    <w:rsid w:val="097F1A8E"/>
    <w:rsid w:val="098268F5"/>
    <w:rsid w:val="09A84B8F"/>
    <w:rsid w:val="0A171CC6"/>
    <w:rsid w:val="0A222B45"/>
    <w:rsid w:val="0A416FDA"/>
    <w:rsid w:val="0A9612BF"/>
    <w:rsid w:val="0A9D041D"/>
    <w:rsid w:val="0AEE2A27"/>
    <w:rsid w:val="0B974E6D"/>
    <w:rsid w:val="0BEF2EFA"/>
    <w:rsid w:val="0C5C1C12"/>
    <w:rsid w:val="0CC47EE3"/>
    <w:rsid w:val="0CDD71F7"/>
    <w:rsid w:val="0D4252AC"/>
    <w:rsid w:val="0D4A2113"/>
    <w:rsid w:val="0D8054F4"/>
    <w:rsid w:val="0DD34156"/>
    <w:rsid w:val="0E15476E"/>
    <w:rsid w:val="0E197DBB"/>
    <w:rsid w:val="0E2B3F92"/>
    <w:rsid w:val="0E8042DE"/>
    <w:rsid w:val="0EEA5BFB"/>
    <w:rsid w:val="0F4075C9"/>
    <w:rsid w:val="0F474DFC"/>
    <w:rsid w:val="0FD0094D"/>
    <w:rsid w:val="10C34956"/>
    <w:rsid w:val="10FD39C4"/>
    <w:rsid w:val="112A6783"/>
    <w:rsid w:val="11592BC4"/>
    <w:rsid w:val="11A007F3"/>
    <w:rsid w:val="11F823DD"/>
    <w:rsid w:val="122D02D9"/>
    <w:rsid w:val="123E4294"/>
    <w:rsid w:val="1359782F"/>
    <w:rsid w:val="13A93AE7"/>
    <w:rsid w:val="13BA052A"/>
    <w:rsid w:val="140908D1"/>
    <w:rsid w:val="143D67CD"/>
    <w:rsid w:val="14CA0061"/>
    <w:rsid w:val="14DE28C9"/>
    <w:rsid w:val="15396F94"/>
    <w:rsid w:val="15453B8B"/>
    <w:rsid w:val="1546345F"/>
    <w:rsid w:val="156B2323"/>
    <w:rsid w:val="163671BF"/>
    <w:rsid w:val="16691AFB"/>
    <w:rsid w:val="169C5A2D"/>
    <w:rsid w:val="16AA5BFF"/>
    <w:rsid w:val="16CD5BE6"/>
    <w:rsid w:val="16D81328"/>
    <w:rsid w:val="16EB0762"/>
    <w:rsid w:val="17485BB5"/>
    <w:rsid w:val="179E7583"/>
    <w:rsid w:val="17AC7EF2"/>
    <w:rsid w:val="17B40B54"/>
    <w:rsid w:val="17DF02C7"/>
    <w:rsid w:val="183028D1"/>
    <w:rsid w:val="189015C1"/>
    <w:rsid w:val="18CE5C46"/>
    <w:rsid w:val="192166BD"/>
    <w:rsid w:val="1991739F"/>
    <w:rsid w:val="19D4440C"/>
    <w:rsid w:val="19E34AED"/>
    <w:rsid w:val="1A1104E0"/>
    <w:rsid w:val="1A1678A4"/>
    <w:rsid w:val="1A46176C"/>
    <w:rsid w:val="1A491A28"/>
    <w:rsid w:val="1A5D5C62"/>
    <w:rsid w:val="1A6C5716"/>
    <w:rsid w:val="1A98475D"/>
    <w:rsid w:val="1ABA0B77"/>
    <w:rsid w:val="1ADF238C"/>
    <w:rsid w:val="1AF70E73"/>
    <w:rsid w:val="1B4346C9"/>
    <w:rsid w:val="1BC17CE4"/>
    <w:rsid w:val="1C2C1601"/>
    <w:rsid w:val="1C3E4B8B"/>
    <w:rsid w:val="1C444B9D"/>
    <w:rsid w:val="1CED6FE2"/>
    <w:rsid w:val="1DD12460"/>
    <w:rsid w:val="1E0F2F88"/>
    <w:rsid w:val="1E831280"/>
    <w:rsid w:val="1EB678A8"/>
    <w:rsid w:val="1EE73F05"/>
    <w:rsid w:val="1F493745"/>
    <w:rsid w:val="1F9D6372"/>
    <w:rsid w:val="1FE0525A"/>
    <w:rsid w:val="20337402"/>
    <w:rsid w:val="20390790"/>
    <w:rsid w:val="20DA787E"/>
    <w:rsid w:val="213D605E"/>
    <w:rsid w:val="22034BB2"/>
    <w:rsid w:val="232D0EB7"/>
    <w:rsid w:val="233139A1"/>
    <w:rsid w:val="2331574F"/>
    <w:rsid w:val="236E1A45"/>
    <w:rsid w:val="23A37038"/>
    <w:rsid w:val="23DD1433"/>
    <w:rsid w:val="244020ED"/>
    <w:rsid w:val="24C745BD"/>
    <w:rsid w:val="24C74672"/>
    <w:rsid w:val="25513E86"/>
    <w:rsid w:val="2580476C"/>
    <w:rsid w:val="25C1725E"/>
    <w:rsid w:val="2644546E"/>
    <w:rsid w:val="265E685B"/>
    <w:rsid w:val="266B541C"/>
    <w:rsid w:val="26A65805"/>
    <w:rsid w:val="26C37006"/>
    <w:rsid w:val="26C54B2C"/>
    <w:rsid w:val="26DD1E76"/>
    <w:rsid w:val="27003DB6"/>
    <w:rsid w:val="2758774E"/>
    <w:rsid w:val="28096C9A"/>
    <w:rsid w:val="28245882"/>
    <w:rsid w:val="28552771"/>
    <w:rsid w:val="28810F26"/>
    <w:rsid w:val="2919115F"/>
    <w:rsid w:val="2987256D"/>
    <w:rsid w:val="29B36EBE"/>
    <w:rsid w:val="29B9024C"/>
    <w:rsid w:val="2A225DF1"/>
    <w:rsid w:val="2A587A65"/>
    <w:rsid w:val="2A7E3970"/>
    <w:rsid w:val="2A9F114D"/>
    <w:rsid w:val="2AB27175"/>
    <w:rsid w:val="2AC45D4F"/>
    <w:rsid w:val="2B3D7387"/>
    <w:rsid w:val="2B4104F9"/>
    <w:rsid w:val="2B841D92"/>
    <w:rsid w:val="2BD31A99"/>
    <w:rsid w:val="2C106849"/>
    <w:rsid w:val="2C2A3C4B"/>
    <w:rsid w:val="2C2C73FB"/>
    <w:rsid w:val="2C53177E"/>
    <w:rsid w:val="2C5A5D16"/>
    <w:rsid w:val="2C697D08"/>
    <w:rsid w:val="2D2A56E9"/>
    <w:rsid w:val="2D483DC1"/>
    <w:rsid w:val="2D5664DE"/>
    <w:rsid w:val="2D8D3ECA"/>
    <w:rsid w:val="2DEA30CA"/>
    <w:rsid w:val="2E2959A0"/>
    <w:rsid w:val="2E314855"/>
    <w:rsid w:val="2E4C5B33"/>
    <w:rsid w:val="2E905A1F"/>
    <w:rsid w:val="2EED4C20"/>
    <w:rsid w:val="2F2B399A"/>
    <w:rsid w:val="2F5E167A"/>
    <w:rsid w:val="2F950E14"/>
    <w:rsid w:val="3002294D"/>
    <w:rsid w:val="308B2942"/>
    <w:rsid w:val="31B1117C"/>
    <w:rsid w:val="31CA573B"/>
    <w:rsid w:val="3216448E"/>
    <w:rsid w:val="32546D64"/>
    <w:rsid w:val="32F12805"/>
    <w:rsid w:val="33031CDF"/>
    <w:rsid w:val="3341378C"/>
    <w:rsid w:val="338B0EAB"/>
    <w:rsid w:val="340842AA"/>
    <w:rsid w:val="342C3844"/>
    <w:rsid w:val="34476B80"/>
    <w:rsid w:val="34EF0FC6"/>
    <w:rsid w:val="34F30AB6"/>
    <w:rsid w:val="34F605A6"/>
    <w:rsid w:val="34FA0097"/>
    <w:rsid w:val="35472BB0"/>
    <w:rsid w:val="359C73A0"/>
    <w:rsid w:val="368340BC"/>
    <w:rsid w:val="375168B8"/>
    <w:rsid w:val="376932B2"/>
    <w:rsid w:val="377A726D"/>
    <w:rsid w:val="37AD7642"/>
    <w:rsid w:val="37B207B5"/>
    <w:rsid w:val="37F76B0F"/>
    <w:rsid w:val="38060B00"/>
    <w:rsid w:val="380A05F1"/>
    <w:rsid w:val="383438BF"/>
    <w:rsid w:val="388A34DF"/>
    <w:rsid w:val="393B2A2C"/>
    <w:rsid w:val="395C3A29"/>
    <w:rsid w:val="397D3044"/>
    <w:rsid w:val="3ABE3914"/>
    <w:rsid w:val="3AE26520"/>
    <w:rsid w:val="3B1F0857"/>
    <w:rsid w:val="3B3911ED"/>
    <w:rsid w:val="3BC431AC"/>
    <w:rsid w:val="3BFE66BE"/>
    <w:rsid w:val="3C3F2F89"/>
    <w:rsid w:val="3C5A58BF"/>
    <w:rsid w:val="3D031AB2"/>
    <w:rsid w:val="3D0575D8"/>
    <w:rsid w:val="3D0C4E0B"/>
    <w:rsid w:val="3D4A5933"/>
    <w:rsid w:val="3D4F2F4A"/>
    <w:rsid w:val="3D510A70"/>
    <w:rsid w:val="3DBF1E7D"/>
    <w:rsid w:val="3E686071"/>
    <w:rsid w:val="3E75078E"/>
    <w:rsid w:val="3E8D1F7B"/>
    <w:rsid w:val="3EA6303D"/>
    <w:rsid w:val="3ED939F3"/>
    <w:rsid w:val="3F147FA7"/>
    <w:rsid w:val="3F161F71"/>
    <w:rsid w:val="3F1E2BD3"/>
    <w:rsid w:val="3F2C3542"/>
    <w:rsid w:val="3F7153F9"/>
    <w:rsid w:val="3F854A01"/>
    <w:rsid w:val="3F9A4950"/>
    <w:rsid w:val="3FCA4B09"/>
    <w:rsid w:val="400B3A02"/>
    <w:rsid w:val="40112738"/>
    <w:rsid w:val="4013200C"/>
    <w:rsid w:val="40D20119"/>
    <w:rsid w:val="414508EB"/>
    <w:rsid w:val="4159263F"/>
    <w:rsid w:val="41C07F20"/>
    <w:rsid w:val="41E225DE"/>
    <w:rsid w:val="423B16D9"/>
    <w:rsid w:val="431E13F4"/>
    <w:rsid w:val="433E55F2"/>
    <w:rsid w:val="43707776"/>
    <w:rsid w:val="43AC2EA4"/>
    <w:rsid w:val="43E02B4D"/>
    <w:rsid w:val="44B85878"/>
    <w:rsid w:val="44CB55AC"/>
    <w:rsid w:val="44D97CC8"/>
    <w:rsid w:val="459B4F7E"/>
    <w:rsid w:val="45A42E0A"/>
    <w:rsid w:val="45B63B66"/>
    <w:rsid w:val="45EA380F"/>
    <w:rsid w:val="46080139"/>
    <w:rsid w:val="4645313C"/>
    <w:rsid w:val="469B2D5C"/>
    <w:rsid w:val="46C67DD9"/>
    <w:rsid w:val="47D12ED9"/>
    <w:rsid w:val="480706A9"/>
    <w:rsid w:val="481152E6"/>
    <w:rsid w:val="48284AC3"/>
    <w:rsid w:val="485853A8"/>
    <w:rsid w:val="487F0B87"/>
    <w:rsid w:val="4925762B"/>
    <w:rsid w:val="49382AE4"/>
    <w:rsid w:val="49744906"/>
    <w:rsid w:val="49D40A5E"/>
    <w:rsid w:val="4A0A26D2"/>
    <w:rsid w:val="4A1672C9"/>
    <w:rsid w:val="4ACF1226"/>
    <w:rsid w:val="4B0B04B0"/>
    <w:rsid w:val="4B1A4B97"/>
    <w:rsid w:val="4BBF74EC"/>
    <w:rsid w:val="4BC468B1"/>
    <w:rsid w:val="4C191367"/>
    <w:rsid w:val="4C196BFC"/>
    <w:rsid w:val="4C39104D"/>
    <w:rsid w:val="4CC53868"/>
    <w:rsid w:val="4CDD7C2A"/>
    <w:rsid w:val="4D221AE1"/>
    <w:rsid w:val="4D64784A"/>
    <w:rsid w:val="4D78603B"/>
    <w:rsid w:val="4DC1579E"/>
    <w:rsid w:val="4DC5749E"/>
    <w:rsid w:val="4DFC0584"/>
    <w:rsid w:val="4E6C5DF8"/>
    <w:rsid w:val="4F2E4269"/>
    <w:rsid w:val="4FA47125"/>
    <w:rsid w:val="4FC652ED"/>
    <w:rsid w:val="4FE319FB"/>
    <w:rsid w:val="5023629C"/>
    <w:rsid w:val="506A5C79"/>
    <w:rsid w:val="508A00C9"/>
    <w:rsid w:val="509176A9"/>
    <w:rsid w:val="50A15417"/>
    <w:rsid w:val="50C730CB"/>
    <w:rsid w:val="51A76A58"/>
    <w:rsid w:val="51C615D4"/>
    <w:rsid w:val="51C63383"/>
    <w:rsid w:val="528F7C18"/>
    <w:rsid w:val="534C3D5B"/>
    <w:rsid w:val="53894668"/>
    <w:rsid w:val="54752E3E"/>
    <w:rsid w:val="54AD4386"/>
    <w:rsid w:val="55F12998"/>
    <w:rsid w:val="566A48F5"/>
    <w:rsid w:val="566E223B"/>
    <w:rsid w:val="567A298E"/>
    <w:rsid w:val="567D5FDA"/>
    <w:rsid w:val="56933A4F"/>
    <w:rsid w:val="569717C7"/>
    <w:rsid w:val="56EE0C86"/>
    <w:rsid w:val="570E5ABC"/>
    <w:rsid w:val="5721414D"/>
    <w:rsid w:val="57325016"/>
    <w:rsid w:val="575F166F"/>
    <w:rsid w:val="57DD1426"/>
    <w:rsid w:val="58977827"/>
    <w:rsid w:val="58F509F1"/>
    <w:rsid w:val="590A1717"/>
    <w:rsid w:val="591946E0"/>
    <w:rsid w:val="59D93E6F"/>
    <w:rsid w:val="59FE7432"/>
    <w:rsid w:val="5A9A1850"/>
    <w:rsid w:val="5AB83A84"/>
    <w:rsid w:val="5B062A42"/>
    <w:rsid w:val="5BCD17B1"/>
    <w:rsid w:val="5BD963A8"/>
    <w:rsid w:val="5C277114"/>
    <w:rsid w:val="5C675762"/>
    <w:rsid w:val="5CB46FBD"/>
    <w:rsid w:val="5D064F7B"/>
    <w:rsid w:val="5D172CE4"/>
    <w:rsid w:val="5D1A4582"/>
    <w:rsid w:val="5D312413"/>
    <w:rsid w:val="5D417D61"/>
    <w:rsid w:val="5D4D4958"/>
    <w:rsid w:val="5DC015CE"/>
    <w:rsid w:val="5DFC4FE8"/>
    <w:rsid w:val="5E67200E"/>
    <w:rsid w:val="5FEB66AA"/>
    <w:rsid w:val="60237BF2"/>
    <w:rsid w:val="603441C9"/>
    <w:rsid w:val="6052563D"/>
    <w:rsid w:val="60940AF0"/>
    <w:rsid w:val="60BD2FE8"/>
    <w:rsid w:val="60FD0443"/>
    <w:rsid w:val="612C6F7A"/>
    <w:rsid w:val="614E6EF1"/>
    <w:rsid w:val="61573F3F"/>
    <w:rsid w:val="61A30FEA"/>
    <w:rsid w:val="61AB4343"/>
    <w:rsid w:val="6200468F"/>
    <w:rsid w:val="620D6DAC"/>
    <w:rsid w:val="623460E6"/>
    <w:rsid w:val="625B18C5"/>
    <w:rsid w:val="62704A45"/>
    <w:rsid w:val="62E809BB"/>
    <w:rsid w:val="62F11DD6"/>
    <w:rsid w:val="630930CF"/>
    <w:rsid w:val="638C5AAE"/>
    <w:rsid w:val="63974B7F"/>
    <w:rsid w:val="639F3A33"/>
    <w:rsid w:val="63CF5EC7"/>
    <w:rsid w:val="63E8362C"/>
    <w:rsid w:val="63F91396"/>
    <w:rsid w:val="644840CB"/>
    <w:rsid w:val="64ED59C5"/>
    <w:rsid w:val="6518584B"/>
    <w:rsid w:val="654E3963"/>
    <w:rsid w:val="658253BB"/>
    <w:rsid w:val="662D17CA"/>
    <w:rsid w:val="6639016F"/>
    <w:rsid w:val="66AB1102"/>
    <w:rsid w:val="66B617C0"/>
    <w:rsid w:val="66CF4630"/>
    <w:rsid w:val="66ED0F5A"/>
    <w:rsid w:val="66ED2D08"/>
    <w:rsid w:val="67452B44"/>
    <w:rsid w:val="67801DCE"/>
    <w:rsid w:val="67803B7C"/>
    <w:rsid w:val="678216A2"/>
    <w:rsid w:val="680447AD"/>
    <w:rsid w:val="68150768"/>
    <w:rsid w:val="68262975"/>
    <w:rsid w:val="683055A2"/>
    <w:rsid w:val="683E7CBF"/>
    <w:rsid w:val="68B86C07"/>
    <w:rsid w:val="69085BD7"/>
    <w:rsid w:val="69270753"/>
    <w:rsid w:val="69561038"/>
    <w:rsid w:val="69D65CD5"/>
    <w:rsid w:val="69F152A0"/>
    <w:rsid w:val="6A7379C8"/>
    <w:rsid w:val="6A9E40CF"/>
    <w:rsid w:val="6AB53B3C"/>
    <w:rsid w:val="6B225676"/>
    <w:rsid w:val="6B673089"/>
    <w:rsid w:val="6B7D28AC"/>
    <w:rsid w:val="6BAA7419"/>
    <w:rsid w:val="6BD3071E"/>
    <w:rsid w:val="6C8E6D3B"/>
    <w:rsid w:val="6CCB5899"/>
    <w:rsid w:val="6CD504C6"/>
    <w:rsid w:val="6CF05300"/>
    <w:rsid w:val="6D286848"/>
    <w:rsid w:val="6D5835D1"/>
    <w:rsid w:val="6D9E2FAE"/>
    <w:rsid w:val="6E2B1402"/>
    <w:rsid w:val="6E496D4B"/>
    <w:rsid w:val="6E4F6056"/>
    <w:rsid w:val="6E7A7577"/>
    <w:rsid w:val="6E8037A9"/>
    <w:rsid w:val="6E906D9A"/>
    <w:rsid w:val="6E9D4CEC"/>
    <w:rsid w:val="6EC466C2"/>
    <w:rsid w:val="6EDC3CAF"/>
    <w:rsid w:val="6EED5F9B"/>
    <w:rsid w:val="6F305E87"/>
    <w:rsid w:val="6F6A1399"/>
    <w:rsid w:val="6F944668"/>
    <w:rsid w:val="700630E4"/>
    <w:rsid w:val="70983CE4"/>
    <w:rsid w:val="70C96594"/>
    <w:rsid w:val="70D32F6E"/>
    <w:rsid w:val="70FB5C41"/>
    <w:rsid w:val="711517D9"/>
    <w:rsid w:val="713C0B14"/>
    <w:rsid w:val="71431EA2"/>
    <w:rsid w:val="715776FB"/>
    <w:rsid w:val="71926986"/>
    <w:rsid w:val="71956476"/>
    <w:rsid w:val="719A3A8C"/>
    <w:rsid w:val="71F66F14"/>
    <w:rsid w:val="721F6E5B"/>
    <w:rsid w:val="7358775B"/>
    <w:rsid w:val="73905147"/>
    <w:rsid w:val="73CD0149"/>
    <w:rsid w:val="73FC458A"/>
    <w:rsid w:val="740D2C3B"/>
    <w:rsid w:val="7420471D"/>
    <w:rsid w:val="74510D7A"/>
    <w:rsid w:val="746E28B4"/>
    <w:rsid w:val="74B35591"/>
    <w:rsid w:val="74E120FE"/>
    <w:rsid w:val="75354225"/>
    <w:rsid w:val="75660855"/>
    <w:rsid w:val="75774810"/>
    <w:rsid w:val="75C24FBA"/>
    <w:rsid w:val="75C630A2"/>
    <w:rsid w:val="75F23E97"/>
    <w:rsid w:val="7686115E"/>
    <w:rsid w:val="7693567A"/>
    <w:rsid w:val="76B63116"/>
    <w:rsid w:val="76F105F2"/>
    <w:rsid w:val="76F1414E"/>
    <w:rsid w:val="77BC650A"/>
    <w:rsid w:val="77FA5285"/>
    <w:rsid w:val="78566B5A"/>
    <w:rsid w:val="787E7C64"/>
    <w:rsid w:val="79A951B4"/>
    <w:rsid w:val="79B31B8F"/>
    <w:rsid w:val="7A0917AF"/>
    <w:rsid w:val="7A150154"/>
    <w:rsid w:val="7A3E3B4E"/>
    <w:rsid w:val="7A7237F8"/>
    <w:rsid w:val="7A8552D9"/>
    <w:rsid w:val="7B3960C4"/>
    <w:rsid w:val="7B535B96"/>
    <w:rsid w:val="7B783090"/>
    <w:rsid w:val="7BB045D8"/>
    <w:rsid w:val="7C2D3E7B"/>
    <w:rsid w:val="7CC61BD9"/>
    <w:rsid w:val="7D4606AB"/>
    <w:rsid w:val="7DA261A2"/>
    <w:rsid w:val="7DF7467F"/>
    <w:rsid w:val="7E0B3D48"/>
    <w:rsid w:val="7E470AF8"/>
    <w:rsid w:val="7E56399B"/>
    <w:rsid w:val="7E5751DF"/>
    <w:rsid w:val="7E6B5FAF"/>
    <w:rsid w:val="7E9401E1"/>
    <w:rsid w:val="7F3D43D5"/>
    <w:rsid w:val="7F5B0CFF"/>
    <w:rsid w:val="7F703639"/>
    <w:rsid w:val="7F9D30C5"/>
    <w:rsid w:val="7FF13411"/>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7">
    <w:name w:val="heading 6"/>
    <w:basedOn w:val="1"/>
    <w:next w:val="1"/>
    <w:link w:val="39"/>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
    <w:qFormat/>
    <w:uiPriority w:val="0"/>
    <w:pPr>
      <w:ind w:firstLine="420" w:firstLineChars="200"/>
    </w:pPr>
  </w:style>
  <w:style w:type="paragraph" w:styleId="3">
    <w:name w:val="Body Text Indent"/>
    <w:basedOn w:val="1"/>
    <w:link w:val="22"/>
    <w:unhideWhenUsed/>
    <w:qFormat/>
    <w:uiPriority w:val="0"/>
    <w:pPr>
      <w:spacing w:after="120"/>
      <w:ind w:left="420" w:leftChars="200"/>
    </w:pPr>
  </w:style>
  <w:style w:type="paragraph" w:styleId="8">
    <w:name w:val="toc 7"/>
    <w:basedOn w:val="1"/>
    <w:next w:val="1"/>
    <w:semiHidden/>
    <w:qFormat/>
    <w:uiPriority w:val="0"/>
    <w:pPr>
      <w:ind w:left="2520" w:leftChars="1200"/>
    </w:pPr>
  </w:style>
  <w:style w:type="paragraph" w:styleId="9">
    <w:name w:val="Body Text"/>
    <w:basedOn w:val="1"/>
    <w:link w:val="24"/>
    <w:semiHidden/>
    <w:unhideWhenUsed/>
    <w:qFormat/>
    <w:uiPriority w:val="99"/>
    <w:pPr>
      <w:spacing w:after="120"/>
    </w:pPr>
  </w:style>
  <w:style w:type="paragraph" w:styleId="10">
    <w:name w:val="Plain Text"/>
    <w:basedOn w:val="1"/>
    <w:next w:val="1"/>
    <w:link w:val="29"/>
    <w:qFormat/>
    <w:uiPriority w:val="0"/>
    <w:rPr>
      <w:rFonts w:ascii="宋体" w:hAnsi="Courier New" w:cs="Courier New"/>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9"/>
    <w:next w:val="1"/>
    <w:link w:val="25"/>
    <w:qFormat/>
    <w:uiPriority w:val="99"/>
    <w:pPr>
      <w:autoSpaceDE w:val="0"/>
      <w:autoSpaceDN w:val="0"/>
      <w:adjustRightInd w:val="0"/>
      <w:spacing w:after="0"/>
      <w:ind w:firstLine="420" w:firstLineChars="100"/>
    </w:pPr>
    <w:rPr>
      <w:rFonts w:ascii="宋体" w:hAnsi="Arial"/>
      <w:snapToGrid w:val="0"/>
      <w:sz w:val="24"/>
      <w:szCs w:val="21"/>
      <w:lang w:val="zh-CN"/>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0"/>
    <w:rPr>
      <w:sz w:val="21"/>
      <w:szCs w:val="21"/>
    </w:rPr>
  </w:style>
  <w:style w:type="character" w:customStyle="1" w:styleId="22">
    <w:name w:val="正文文本缩进 Char"/>
    <w:basedOn w:val="19"/>
    <w:link w:val="3"/>
    <w:qFormat/>
    <w:uiPriority w:val="0"/>
    <w:rPr>
      <w:rFonts w:ascii="Times New Roman" w:hAnsi="Times New Roman" w:eastAsia="宋体" w:cs="Times New Roman"/>
      <w:szCs w:val="24"/>
    </w:rPr>
  </w:style>
  <w:style w:type="character" w:customStyle="1" w:styleId="23">
    <w:name w:val="正文首行缩进 2 Char"/>
    <w:basedOn w:val="22"/>
    <w:link w:val="2"/>
    <w:qFormat/>
    <w:uiPriority w:val="0"/>
    <w:rPr>
      <w:rFonts w:ascii="Times New Roman" w:hAnsi="Times New Roman" w:eastAsia="宋体" w:cs="Times New Roman"/>
      <w:szCs w:val="24"/>
    </w:rPr>
  </w:style>
  <w:style w:type="character" w:customStyle="1" w:styleId="24">
    <w:name w:val="正文文本 Char"/>
    <w:basedOn w:val="19"/>
    <w:link w:val="9"/>
    <w:semiHidden/>
    <w:qFormat/>
    <w:uiPriority w:val="99"/>
    <w:rPr>
      <w:rFonts w:ascii="Times New Roman" w:hAnsi="Times New Roman" w:eastAsia="宋体" w:cs="Times New Roman"/>
      <w:szCs w:val="24"/>
    </w:rPr>
  </w:style>
  <w:style w:type="character" w:customStyle="1" w:styleId="25">
    <w:name w:val="正文首行缩进 Char"/>
    <w:basedOn w:val="24"/>
    <w:link w:val="17"/>
    <w:qFormat/>
    <w:uiPriority w:val="99"/>
    <w:rPr>
      <w:rFonts w:ascii="宋体" w:hAnsi="Arial" w:eastAsia="宋体" w:cs="Times New Roman"/>
      <w:snapToGrid w:val="0"/>
      <w:sz w:val="24"/>
      <w:szCs w:val="21"/>
      <w:lang w:val="zh-CN"/>
    </w:rPr>
  </w:style>
  <w:style w:type="character" w:customStyle="1" w:styleId="26">
    <w:name w:val="页眉 Char"/>
    <w:basedOn w:val="19"/>
    <w:link w:val="13"/>
    <w:qFormat/>
    <w:uiPriority w:val="99"/>
    <w:rPr>
      <w:rFonts w:ascii="Times New Roman" w:hAnsi="Times New Roman" w:eastAsia="宋体" w:cs="Times New Roman"/>
      <w:sz w:val="18"/>
      <w:szCs w:val="18"/>
    </w:rPr>
  </w:style>
  <w:style w:type="character" w:customStyle="1" w:styleId="27">
    <w:name w:val="页脚 Char"/>
    <w:basedOn w:val="19"/>
    <w:link w:val="12"/>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纯文本 Char"/>
    <w:basedOn w:val="19"/>
    <w:link w:val="10"/>
    <w:qFormat/>
    <w:uiPriority w:val="0"/>
    <w:rPr>
      <w:rFonts w:ascii="宋体" w:hAnsi="Courier New" w:eastAsia="宋体" w:cs="Courier New"/>
      <w:szCs w:val="21"/>
    </w:rPr>
  </w:style>
  <w:style w:type="character" w:customStyle="1" w:styleId="30">
    <w:name w:val="标题 1 Char1"/>
    <w:basedOn w:val="19"/>
    <w:link w:val="4"/>
    <w:qFormat/>
    <w:uiPriority w:val="9"/>
    <w:rPr>
      <w:rFonts w:ascii="Times New Roman" w:hAnsi="Times New Roman" w:eastAsia="宋体" w:cs="Times New Roman"/>
      <w:b/>
      <w:bCs/>
      <w:kern w:val="44"/>
      <w:sz w:val="44"/>
      <w:szCs w:val="44"/>
    </w:rPr>
  </w:style>
  <w:style w:type="paragraph" w:customStyle="1" w:styleId="31">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9"/>
    <w:link w:val="11"/>
    <w:semiHidden/>
    <w:qFormat/>
    <w:uiPriority w:val="99"/>
    <w:rPr>
      <w:rFonts w:ascii="Times New Roman" w:hAnsi="Times New Roman" w:eastAsia="宋体" w:cs="Times New Roman"/>
      <w:sz w:val="18"/>
      <w:szCs w:val="18"/>
    </w:rPr>
  </w:style>
  <w:style w:type="character" w:customStyle="1" w:styleId="33">
    <w:name w:val="标题 1 Char"/>
    <w:qFormat/>
    <w:uiPriority w:val="0"/>
    <w:rPr>
      <w:rFonts w:ascii="宋体" w:hAnsi="宋体"/>
      <w:b/>
      <w:kern w:val="2"/>
      <w:sz w:val="30"/>
    </w:rPr>
  </w:style>
  <w:style w:type="character" w:customStyle="1" w:styleId="34">
    <w:name w:val="正文2 Char Char"/>
    <w:link w:val="35"/>
    <w:qFormat/>
    <w:uiPriority w:val="0"/>
    <w:rPr>
      <w:rFonts w:eastAsia="宋体"/>
      <w:sz w:val="24"/>
    </w:rPr>
  </w:style>
  <w:style w:type="paragraph" w:customStyle="1" w:styleId="35">
    <w:name w:val="正文2"/>
    <w:basedOn w:val="1"/>
    <w:link w:val="34"/>
    <w:qFormat/>
    <w:uiPriority w:val="0"/>
    <w:pPr>
      <w:adjustRightInd w:val="0"/>
      <w:spacing w:before="156" w:line="360" w:lineRule="auto"/>
      <w:ind w:firstLine="510" w:firstLineChars="200"/>
    </w:pPr>
    <w:rPr>
      <w:rFonts w:asciiTheme="minorHAnsi" w:hAnsiTheme="minorHAnsi" w:cstheme="minorBidi"/>
      <w:sz w:val="24"/>
      <w:szCs w:val="22"/>
    </w:rPr>
  </w:style>
  <w:style w:type="paragraph" w:customStyle="1" w:styleId="36">
    <w:name w:val="_Style 34"/>
    <w:basedOn w:val="1"/>
    <w:next w:val="28"/>
    <w:qFormat/>
    <w:uiPriority w:val="34"/>
    <w:pPr>
      <w:ind w:firstLine="420" w:firstLineChars="200"/>
    </w:pPr>
  </w:style>
  <w:style w:type="character" w:customStyle="1" w:styleId="37">
    <w:name w:val="标题 2 Char"/>
    <w:basedOn w:val="19"/>
    <w:link w:val="5"/>
    <w:semiHidden/>
    <w:qFormat/>
    <w:uiPriority w:val="9"/>
    <w:rPr>
      <w:rFonts w:asciiTheme="majorHAnsi" w:hAnsiTheme="majorHAnsi" w:eastAsiaTheme="majorEastAsia" w:cstheme="majorBidi"/>
      <w:b/>
      <w:bCs/>
      <w:sz w:val="32"/>
      <w:szCs w:val="32"/>
    </w:rPr>
  </w:style>
  <w:style w:type="character" w:customStyle="1" w:styleId="38">
    <w:name w:val="标题 3 Char"/>
    <w:basedOn w:val="19"/>
    <w:link w:val="6"/>
    <w:semiHidden/>
    <w:qFormat/>
    <w:uiPriority w:val="9"/>
    <w:rPr>
      <w:rFonts w:ascii="Times New Roman" w:hAnsi="Times New Roman" w:eastAsia="宋体" w:cs="Times New Roman"/>
      <w:b/>
      <w:bCs/>
      <w:sz w:val="32"/>
      <w:szCs w:val="32"/>
    </w:rPr>
  </w:style>
  <w:style w:type="character" w:customStyle="1" w:styleId="39">
    <w:name w:val="标题 6 Char"/>
    <w:basedOn w:val="19"/>
    <w:link w:val="7"/>
    <w:semiHidden/>
    <w:qFormat/>
    <w:uiPriority w:val="9"/>
    <w:rPr>
      <w:rFonts w:asciiTheme="majorHAnsi" w:hAnsiTheme="majorHAnsi" w:eastAsiaTheme="majorEastAsia" w:cstheme="maj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0D4F2-8AAF-4602-B2C6-19F99E6403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20016</Words>
  <Characters>20951</Characters>
  <Lines>289</Lines>
  <Paragraphs>81</Paragraphs>
  <TotalTime>16</TotalTime>
  <ScaleCrop>false</ScaleCrop>
  <LinksUpToDate>false</LinksUpToDate>
  <CharactersWithSpaces>21178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2025-02-24T02:33:00Z</dcterms:created>
  <dc:creator>China</dc:creator>
  <cp:lastModifiedBy>Admin</cp:lastModifiedBy>
  <cp:lastPrinted>2025-06-19T03:41:00Z</cp:lastPrinted>
  <dcterms:modified xsi:type="dcterms:W3CDTF">2025-07-11T02:12:58Z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eyJoZGlkIjoiYTc5YmE1ZDMyZWU4ZWEwZWRiNjNkMzcyZmFiMmFiNjEiLCJ1c2VySWQiOiIyOTM0NTI1NjcifQ==</vt:lpwstr>
  </property>
  <property fmtid="{D5CDD505-2E9C-101B-9397-08002B2CF9AE}" pid="3" name="KSOProductBuildVer">
    <vt:lpwstr>2052-12.1.0.20305</vt:lpwstr>
  </property>
  <property fmtid="{D5CDD505-2E9C-101B-9397-08002B2CF9AE}" pid="4" name="ICV">
    <vt:lpwstr>29EFB9C26FC542198F0FF1456D433A01_12</vt:lpwstr>
  </property>
</Properties>
</file>