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42359">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p>
    <w:p w14:paraId="1DC1C55B">
      <w:pPr>
        <w:pStyle w:val="970"/>
        <w:spacing w:line="760" w:lineRule="exact"/>
        <w:rPr>
          <w:rFonts w:hint="eastAsia" w:ascii="宋体" w:hAnsi="宋体" w:eastAsia="宋体" w:cs="宋体"/>
          <w:color w:val="000000" w:themeColor="text1"/>
          <w:sz w:val="72"/>
          <w:szCs w:val="72"/>
          <w:highlight w:val="none"/>
          <w14:textFill>
            <w14:solidFill>
              <w14:schemeClr w14:val="tx1"/>
            </w14:solidFill>
          </w14:textFill>
        </w:rPr>
      </w:pPr>
    </w:p>
    <w:p w14:paraId="211613FA">
      <w:pPr>
        <w:pStyle w:val="24"/>
        <w:jc w:val="center"/>
        <w:rPr>
          <w:rFonts w:hint="eastAsia" w:ascii="宋体" w:hAnsi="宋体" w:eastAsia="宋体" w:cs="宋体"/>
          <w:b/>
          <w:bCs/>
          <w:color w:val="000000" w:themeColor="text1"/>
          <w:sz w:val="52"/>
          <w:szCs w:val="52"/>
          <w:highlight w:val="none"/>
          <w:lang w:val="en-US" w:eastAsia="zh-CN"/>
          <w14:textFill>
            <w14:solidFill>
              <w14:schemeClr w14:val="tx1"/>
            </w14:solidFill>
          </w14:textFill>
        </w:rPr>
      </w:pPr>
      <w:r>
        <w:rPr>
          <w:rFonts w:hint="eastAsia" w:hAnsi="宋体" w:cs="宋体"/>
          <w:b/>
          <w:bCs/>
          <w:color w:val="000000" w:themeColor="text1"/>
          <w:sz w:val="48"/>
          <w:szCs w:val="48"/>
          <w:highlight w:val="none"/>
          <w:lang w:val="en-US" w:eastAsia="zh-CN"/>
          <w14:textFill>
            <w14:solidFill>
              <w14:schemeClr w14:val="tx1"/>
            </w14:solidFill>
          </w14:textFill>
        </w:rPr>
        <w:t>信息港九期新增电缆及低压柜采购</w:t>
      </w:r>
    </w:p>
    <w:p w14:paraId="62B98DF4">
      <w:pPr>
        <w:pStyle w:val="82"/>
        <w:rPr>
          <w:rFonts w:hint="eastAsia" w:ascii="宋体" w:hAnsi="宋体" w:eastAsia="宋体" w:cs="宋体"/>
          <w:color w:val="000000" w:themeColor="text1"/>
          <w:highlight w:val="none"/>
          <w:lang w:eastAsia="zh-CN"/>
          <w14:textFill>
            <w14:solidFill>
              <w14:schemeClr w14:val="tx1"/>
            </w14:solidFill>
          </w14:textFill>
        </w:rPr>
      </w:pPr>
    </w:p>
    <w:p w14:paraId="2FFA8B11">
      <w:pPr>
        <w:adjustRightInd/>
        <w:spacing w:line="360" w:lineRule="auto"/>
        <w:jc w:val="center"/>
        <w:rPr>
          <w:rFonts w:hint="eastAsia" w:ascii="宋体" w:hAnsi="宋体" w:eastAsia="宋体" w:cs="宋体"/>
          <w:b/>
          <w:bCs/>
          <w:color w:val="000000" w:themeColor="text1"/>
          <w:sz w:val="72"/>
          <w:szCs w:val="72"/>
          <w:highlight w:val="none"/>
          <w14:textFill>
            <w14:solidFill>
              <w14:schemeClr w14:val="tx1"/>
            </w14:solidFill>
          </w14:textFill>
        </w:rPr>
      </w:pPr>
    </w:p>
    <w:p w14:paraId="2DA1E6B3">
      <w:pPr>
        <w:adjustRightInd/>
        <w:spacing w:line="360" w:lineRule="auto"/>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公开竞争</w:t>
      </w:r>
    </w:p>
    <w:p w14:paraId="327630C6">
      <w:pPr>
        <w:adjustRightInd/>
        <w:spacing w:line="360" w:lineRule="auto"/>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（电子交易文件）</w:t>
      </w:r>
    </w:p>
    <w:p w14:paraId="09E31E9F">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6CCF4C6">
      <w:pPr>
        <w:snapToGrid w:val="0"/>
        <w:spacing w:line="360" w:lineRule="auto"/>
        <w:jc w:val="center"/>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交易编号：萧开企采（2025）43号</w:t>
      </w:r>
    </w:p>
    <w:p w14:paraId="418431EC">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3F2BA11B">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319D3848">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280FFAB1">
      <w:pPr>
        <w:pStyle w:val="85"/>
        <w:rPr>
          <w:rFonts w:hint="eastAsia" w:ascii="宋体" w:hAnsi="宋体" w:eastAsia="宋体" w:cs="宋体"/>
          <w:color w:val="000000" w:themeColor="text1"/>
          <w:highlight w:val="none"/>
          <w14:textFill>
            <w14:solidFill>
              <w14:schemeClr w14:val="tx1"/>
            </w14:solidFill>
          </w14:textFill>
        </w:rPr>
      </w:pPr>
    </w:p>
    <w:p w14:paraId="54976A61">
      <w:pPr>
        <w:pStyle w:val="85"/>
        <w:rPr>
          <w:rFonts w:hint="eastAsia" w:ascii="宋体" w:hAnsi="宋体" w:eastAsia="宋体" w:cs="宋体"/>
          <w:color w:val="000000" w:themeColor="text1"/>
          <w:highlight w:val="none"/>
          <w14:textFill>
            <w14:solidFill>
              <w14:schemeClr w14:val="tx1"/>
            </w14:solidFill>
          </w14:textFill>
        </w:rPr>
      </w:pPr>
    </w:p>
    <w:p w14:paraId="7BE1FD08">
      <w:pPr>
        <w:pStyle w:val="82"/>
        <w:ind w:firstLine="0"/>
        <w:rPr>
          <w:rFonts w:hint="eastAsia" w:ascii="宋体" w:hAnsi="宋体" w:eastAsia="宋体" w:cs="宋体"/>
          <w:color w:val="000000" w:themeColor="text1"/>
          <w:highlight w:val="none"/>
          <w:lang w:eastAsia="zh-CN"/>
          <w14:textFill>
            <w14:solidFill>
              <w14:schemeClr w14:val="tx1"/>
            </w14:solidFill>
          </w14:textFill>
        </w:rPr>
      </w:pPr>
    </w:p>
    <w:p w14:paraId="0D947602">
      <w:pPr>
        <w:spacing w:line="360" w:lineRule="auto"/>
        <w:ind w:firstLine="964" w:firstLineChars="300"/>
        <w:rPr>
          <w:rFonts w:hint="eastAsia" w:ascii="宋体" w:hAnsi="宋体" w:eastAsia="宋体" w:cs="宋体"/>
          <w:b/>
          <w:color w:val="000000" w:themeColor="text1"/>
          <w:sz w:val="32"/>
          <w:szCs w:val="30"/>
          <w:highlight w:val="none"/>
          <w14:textFill>
            <w14:solidFill>
              <w14:schemeClr w14:val="tx1"/>
            </w14:solidFill>
          </w14:textFill>
        </w:rPr>
      </w:pPr>
    </w:p>
    <w:p w14:paraId="37630D56">
      <w:pPr>
        <w:spacing w:line="360" w:lineRule="auto"/>
        <w:ind w:firstLine="964" w:firstLineChars="300"/>
        <w:rPr>
          <w:rFonts w:hint="eastAsia" w:ascii="宋体" w:hAnsi="宋体" w:eastAsia="宋体" w:cs="宋体"/>
          <w:b/>
          <w:color w:val="000000" w:themeColor="text1"/>
          <w:sz w:val="32"/>
          <w:szCs w:val="30"/>
          <w:highlight w:val="none"/>
          <w14:textFill>
            <w14:solidFill>
              <w14:schemeClr w14:val="tx1"/>
            </w14:solidFill>
          </w14:textFill>
        </w:rPr>
      </w:pPr>
      <w:r>
        <w:rPr>
          <w:rFonts w:hint="eastAsia" w:ascii="宋体" w:hAnsi="宋体" w:eastAsia="宋体" w:cs="宋体"/>
          <w:b/>
          <w:color w:val="000000" w:themeColor="text1"/>
          <w:sz w:val="32"/>
          <w:szCs w:val="30"/>
          <w:highlight w:val="none"/>
          <w14:textFill>
            <w14:solidFill>
              <w14:schemeClr w14:val="tx1"/>
            </w14:solidFill>
          </w14:textFill>
        </w:rPr>
        <w:t>交易发起人：浙江杭州湾信息港高新建设开发有限公司</w:t>
      </w:r>
    </w:p>
    <w:p w14:paraId="0EB58FB5">
      <w:pPr>
        <w:spacing w:line="360" w:lineRule="auto"/>
        <w:ind w:firstLine="964" w:firstLineChars="3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0"/>
          <w:highlight w:val="none"/>
          <w14:textFill>
            <w14:solidFill>
              <w14:schemeClr w14:val="tx1"/>
            </w14:solidFill>
          </w14:textFill>
        </w:rPr>
        <w:t>代理机构：</w:t>
      </w:r>
      <w:r>
        <w:rPr>
          <w:rFonts w:hint="eastAsia" w:ascii="宋体" w:hAnsi="宋体" w:cs="宋体"/>
          <w:b/>
          <w:color w:val="000000" w:themeColor="text1"/>
          <w:sz w:val="32"/>
          <w:szCs w:val="30"/>
          <w:highlight w:val="none"/>
          <w:lang w:val="en-US" w:eastAsia="zh-CN"/>
          <w14:textFill>
            <w14:solidFill>
              <w14:schemeClr w14:val="tx1"/>
            </w14:solidFill>
          </w14:textFill>
        </w:rPr>
        <w:t>浙江佳诚工程咨询股份有限公司</w:t>
      </w:r>
    </w:p>
    <w:p w14:paraId="3EDCDB20">
      <w:pPr>
        <w:snapToGri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二〇二</w:t>
      </w:r>
      <w:r>
        <w:rPr>
          <w:rFonts w:hint="eastAsia" w:ascii="宋体" w:hAnsi="宋体" w:cs="宋体"/>
          <w:b/>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二十五</w:t>
      </w:r>
      <w:r>
        <w:rPr>
          <w:rFonts w:hint="eastAsia" w:ascii="宋体" w:hAnsi="宋体" w:eastAsia="宋体" w:cs="宋体"/>
          <w:b/>
          <w:color w:val="000000" w:themeColor="text1"/>
          <w:sz w:val="32"/>
          <w:szCs w:val="32"/>
          <w:highlight w:val="none"/>
          <w14:textFill>
            <w14:solidFill>
              <w14:schemeClr w14:val="tx1"/>
            </w14:solidFill>
          </w14:textFill>
        </w:rPr>
        <w:t>日</w:t>
      </w:r>
    </w:p>
    <w:p w14:paraId="413188E3">
      <w:pP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br w:type="page"/>
      </w:r>
    </w:p>
    <w:p w14:paraId="22AE396A">
      <w:pPr>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2FCF16E">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040430A">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6B48595">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交易公告</w:t>
      </w:r>
    </w:p>
    <w:p w14:paraId="09F2113E">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响应人须知</w:t>
      </w:r>
    </w:p>
    <w:p w14:paraId="5DACC65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交易需求</w:t>
      </w:r>
    </w:p>
    <w:p w14:paraId="63544E40">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交易办法</w:t>
      </w:r>
    </w:p>
    <w:p w14:paraId="49FAE9E3">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7C2C0072">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20028CA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0" w:name="_Hlt91233176"/>
      <w:bookmarkEnd w:id="0"/>
      <w:bookmarkStart w:id="1" w:name="_Toc91899869"/>
    </w:p>
    <w:p w14:paraId="338503EA">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4B5131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46E94E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7EB5E8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ACB100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89F402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62687C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981B20F">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E620ED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156FAB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916A05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24675F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CD85E9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D17FFC9">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2"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000000" w:themeColor="text1"/>
          <w:sz w:val="36"/>
          <w:szCs w:val="20"/>
          <w:highlight w:val="none"/>
          <w14:textFill>
            <w14:solidFill>
              <w14:schemeClr w14:val="tx1"/>
            </w14:solidFill>
          </w14:textFill>
        </w:rPr>
        <w:t>第一部分 交易公告</w:t>
      </w:r>
    </w:p>
    <w:p w14:paraId="60937C9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一、基本情况</w:t>
      </w:r>
    </w:p>
    <w:p w14:paraId="757C662D">
      <w:pPr>
        <w:spacing w:line="360" w:lineRule="auto"/>
        <w:ind w:firstLine="482" w:firstLineChars="200"/>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交易编号：萧开企采（2025）43号</w:t>
      </w:r>
    </w:p>
    <w:p w14:paraId="53F195D7">
      <w:pPr>
        <w:spacing w:line="360" w:lineRule="auto"/>
        <w:ind w:firstLine="482" w:firstLineChars="200"/>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交易名称：</w:t>
      </w:r>
      <w:r>
        <w:rPr>
          <w:rFonts w:hint="eastAsia" w:ascii="宋体" w:hAnsi="宋体" w:cs="宋体"/>
          <w:bCs/>
          <w:color w:val="000000" w:themeColor="text1"/>
          <w:sz w:val="24"/>
          <w:highlight w:val="none"/>
          <w:lang w:val="en-US" w:eastAsia="zh-CN"/>
          <w14:textFill>
            <w14:solidFill>
              <w14:schemeClr w14:val="tx1"/>
            </w14:solidFill>
          </w14:textFill>
        </w:rPr>
        <w:t>信息港九期新增电缆及低压柜采购</w:t>
      </w:r>
    </w:p>
    <w:p w14:paraId="09E0DF21">
      <w:pPr>
        <w:spacing w:line="360" w:lineRule="auto"/>
        <w:ind w:firstLine="482" w:firstLineChars="200"/>
        <w:rPr>
          <w:rFonts w:hint="default"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590000</w:t>
      </w:r>
    </w:p>
    <w:p w14:paraId="5A9A27E7">
      <w:pPr>
        <w:spacing w:line="360"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590000</w:t>
      </w:r>
      <w:bookmarkStart w:id="381" w:name="_GoBack"/>
      <w:bookmarkEnd w:id="381"/>
    </w:p>
    <w:p w14:paraId="6A2A4657">
      <w:pPr>
        <w:pStyle w:val="16"/>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交易需求：</w:t>
      </w:r>
      <w:r>
        <w:rPr>
          <w:rFonts w:hint="eastAsia" w:hAnsi="宋体" w:cs="宋体"/>
          <w:b w:val="0"/>
          <w:bCs/>
          <w:color w:val="000000" w:themeColor="text1"/>
          <w:sz w:val="24"/>
          <w:highlight w:val="none"/>
          <w:lang w:val="en-US" w:eastAsia="zh-CN"/>
          <w14:textFill>
            <w14:solidFill>
              <w14:schemeClr w14:val="tx1"/>
            </w14:solidFill>
          </w14:textFill>
        </w:rPr>
        <w:t>信息港九期新增电缆及低压柜采购</w:t>
      </w:r>
      <w:r>
        <w:rPr>
          <w:rFonts w:hint="eastAsia" w:ascii="宋体" w:hAnsi="宋体" w:eastAsia="宋体" w:cs="宋体"/>
          <w:color w:val="000000" w:themeColor="text1"/>
          <w:sz w:val="24"/>
          <w:highlight w:val="none"/>
          <w14:textFill>
            <w14:solidFill>
              <w14:schemeClr w14:val="tx1"/>
            </w14:solidFill>
          </w14:textFill>
        </w:rPr>
        <w:t>，详见交易需求。</w:t>
      </w:r>
    </w:p>
    <w:p w14:paraId="4793E122">
      <w:pPr>
        <w:pStyle w:val="16"/>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18"/>
          <w:highlight w:val="none"/>
          <w14:textFill>
            <w14:solidFill>
              <w14:schemeClr w14:val="tx1"/>
            </w14:solidFill>
          </w14:textFill>
        </w:rPr>
        <w:t>合同履约期限：</w:t>
      </w:r>
      <w:r>
        <w:rPr>
          <w:rFonts w:hint="eastAsia" w:ascii="宋体" w:hAnsi="宋体" w:eastAsia="宋体" w:cs="宋体"/>
          <w:color w:val="000000" w:themeColor="text1"/>
          <w:sz w:val="24"/>
          <w:szCs w:val="28"/>
          <w:highlight w:val="none"/>
          <w14:textFill>
            <w14:solidFill>
              <w14:schemeClr w14:val="tx1"/>
            </w14:solidFill>
          </w14:textFill>
        </w:rPr>
        <w:t>详见公开竞争文件</w:t>
      </w:r>
    </w:p>
    <w:p w14:paraId="67D06352">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bCs/>
          <w:color w:val="000000" w:themeColor="text1"/>
          <w:sz w:val="24"/>
          <w:highlight w:val="none"/>
          <w14:textFill>
            <w14:solidFill>
              <w14:schemeClr w14:val="tx1"/>
            </w14:solidFill>
          </w14:textFill>
        </w:rPr>
        <w:t>（ ）是；（√）否。</w:t>
      </w:r>
    </w:p>
    <w:p w14:paraId="4635ECB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591F55C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6792577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2、具有良好的商业信誉和健全的财务会计制度；</w:t>
      </w:r>
    </w:p>
    <w:p w14:paraId="7049AFC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18A6EE6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6FA985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5、参加交易活动前三年内，在经营活动中没有重大违法记录；</w:t>
      </w:r>
    </w:p>
    <w:p w14:paraId="2701176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6、法律、行政法规规定的其他条件；</w:t>
      </w:r>
    </w:p>
    <w:p w14:paraId="723F7FB3">
      <w:pPr>
        <w:pStyle w:val="25"/>
        <w:ind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highlight w:val="none"/>
          <w:lang w:val="en-US"/>
          <w14:textFill>
            <w14:solidFill>
              <w14:schemeClr w14:val="tx1"/>
            </w14:solidFill>
          </w14:textFill>
        </w:rPr>
        <w:t>；</w:t>
      </w:r>
    </w:p>
    <w:p w14:paraId="0775E983">
      <w:pPr>
        <w:pStyle w:val="25"/>
        <w:ind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本项目不接受联合体参与（潜在响应人能独立完成本项目）。</w:t>
      </w:r>
    </w:p>
    <w:p w14:paraId="38B0CEB6">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三、获取公开竞争文件</w:t>
      </w:r>
    </w:p>
    <w:p w14:paraId="4036C50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02</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w:t>
      </w:r>
    </w:p>
    <w:p w14:paraId="735089F8">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https://www.lecaiyun.com/</w:t>
      </w:r>
      <w:r>
        <w:rPr>
          <w:rFonts w:hint="eastAsia" w:ascii="宋体" w:hAnsi="宋体" w:eastAsia="宋体" w:cs="宋体"/>
          <w:color w:val="000000" w:themeColor="text1"/>
          <w:sz w:val="24"/>
          <w:highlight w:val="none"/>
          <w14:textFill>
            <w14:solidFill>
              <w14:schemeClr w14:val="tx1"/>
            </w14:solidFill>
          </w14:textFill>
        </w:rPr>
        <w:t xml:space="preserve">） </w:t>
      </w:r>
    </w:p>
    <w:p w14:paraId="7F3CEB1C">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响应人登录</w:t>
      </w:r>
      <w:r>
        <w:rPr>
          <w:rFonts w:hint="eastAsia" w:ascii="宋体" w:hAnsi="宋体" w:eastAsia="宋体" w:cs="宋体"/>
          <w:color w:val="000000" w:themeColor="text1"/>
          <w:sz w:val="24"/>
          <w:highlight w:val="none"/>
          <w:lang w:eastAsia="zh-CN"/>
          <w14:textFill>
            <w14:solidFill>
              <w14:schemeClr w14:val="tx1"/>
            </w14:solidFill>
          </w14:textFill>
        </w:rPr>
        <w:t>乐采云平台https://www.lecaiyun.com/</w:t>
      </w:r>
      <w:r>
        <w:rPr>
          <w:rFonts w:hint="eastAsia" w:ascii="宋体" w:hAnsi="宋体" w:eastAsia="宋体" w:cs="宋体"/>
          <w:color w:val="000000" w:themeColor="text1"/>
          <w:sz w:val="24"/>
          <w:highlight w:val="none"/>
          <w14:textFill>
            <w14:solidFill>
              <w14:schemeClr w14:val="tx1"/>
            </w14:solidFill>
          </w14:textFill>
        </w:rPr>
        <w:t>在线申请获取公开竞争文件（进入“项目采购”应用，在获取</w:t>
      </w:r>
      <w:r>
        <w:rPr>
          <w:rFonts w:hint="eastAsia" w:ascii="宋体" w:hAnsi="宋体" w:eastAsia="宋体" w:cs="宋体"/>
          <w:color w:val="000000" w:themeColor="text1"/>
          <w:sz w:val="24"/>
          <w:highlight w:val="none"/>
          <w:lang w:eastAsia="zh-CN"/>
          <w14:textFill>
            <w14:solidFill>
              <w14:schemeClr w14:val="tx1"/>
            </w14:solidFill>
          </w14:textFill>
        </w:rPr>
        <w:t>公开竞争文件</w:t>
      </w:r>
      <w:r>
        <w:rPr>
          <w:rFonts w:hint="eastAsia" w:ascii="宋体" w:hAnsi="宋体" w:eastAsia="宋体" w:cs="宋体"/>
          <w:color w:val="000000" w:themeColor="text1"/>
          <w:sz w:val="24"/>
          <w:highlight w:val="none"/>
          <w14:textFill>
            <w14:solidFill>
              <w14:schemeClr w14:val="tx1"/>
            </w14:solidFill>
          </w14:textFill>
        </w:rPr>
        <w:t>菜单中选择项目，申请获取公开竞争文件）。</w:t>
      </w:r>
    </w:p>
    <w:p w14:paraId="1178A452">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0</w:t>
      </w:r>
    </w:p>
    <w:p w14:paraId="65EC744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四、提交响应文件截止时间、交易时间和地点</w:t>
      </w:r>
    </w:p>
    <w:p w14:paraId="59CF86F2">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提交响应文件截止时间：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02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eastAsia="宋体" w:cs="宋体"/>
          <w:color w:val="000000" w:themeColor="text1"/>
          <w:sz w:val="24"/>
          <w:highlight w:val="none"/>
          <w14:textFill>
            <w14:solidFill>
              <w14:schemeClr w14:val="tx1"/>
            </w14:solidFill>
          </w14:textFill>
        </w:rPr>
        <w:t>（北京时间）</w:t>
      </w:r>
    </w:p>
    <w:p w14:paraId="31815055">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https://www.lecaiyun.com/</w:t>
      </w:r>
      <w:r>
        <w:rPr>
          <w:rFonts w:hint="eastAsia" w:ascii="宋体" w:hAnsi="宋体" w:eastAsia="宋体" w:cs="宋体"/>
          <w:color w:val="000000" w:themeColor="text1"/>
          <w:sz w:val="24"/>
          <w:highlight w:val="none"/>
          <w14:textFill>
            <w14:solidFill>
              <w14:schemeClr w14:val="tx1"/>
            </w14:solidFill>
          </w14:textFill>
        </w:rPr>
        <w:t xml:space="preserve">） </w:t>
      </w:r>
    </w:p>
    <w:p w14:paraId="0B35101C">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交易时间：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02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highlight w:val="none"/>
          <w:u w:val="single"/>
          <w14:textFill>
            <w14:solidFill>
              <w14:schemeClr w14:val="tx1"/>
            </w14:solidFill>
          </w14:textFill>
        </w:rPr>
        <w:t>分</w:t>
      </w:r>
    </w:p>
    <w:p w14:paraId="311EF0A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https://www.lecaiyun.com/</w:t>
      </w:r>
      <w:r>
        <w:rPr>
          <w:rFonts w:hint="eastAsia" w:ascii="宋体" w:hAnsi="宋体" w:eastAsia="宋体" w:cs="宋体"/>
          <w:color w:val="000000" w:themeColor="text1"/>
          <w:sz w:val="24"/>
          <w:highlight w:val="none"/>
          <w14:textFill>
            <w14:solidFill>
              <w14:schemeClr w14:val="tx1"/>
            </w14:solidFill>
          </w14:textFill>
        </w:rPr>
        <w:t>）</w:t>
      </w:r>
    </w:p>
    <w:p w14:paraId="11AE36D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五、其他补充事宜</w:t>
      </w:r>
    </w:p>
    <w:p w14:paraId="788738A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F32F8B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2、其他事项：电子招投标的说明：①电子招投标：本项目以数据电文形式，依托“</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https://www.lecaiyun.com/</w:t>
      </w:r>
      <w:r>
        <w:rPr>
          <w:rFonts w:hint="eastAsia" w:ascii="宋体" w:hAnsi="宋体" w:eastAsia="宋体" w:cs="宋体"/>
          <w:color w:val="000000" w:themeColor="text1"/>
          <w:sz w:val="24"/>
          <w:highlight w:val="none"/>
          <w14:textFill>
            <w14:solidFill>
              <w14:schemeClr w14:val="tx1"/>
            </w14:solidFill>
          </w14:textFill>
        </w:rPr>
        <w:t>）”进行招投标活动，不接受纸质响应文件；②投标准备：注册账号--点击“商家入驻”，进行供应商资料填写；申领CA数字证书---申领流程详见“</w:t>
      </w:r>
      <w:r>
        <w:rPr>
          <w:rFonts w:hint="eastAsia" w:ascii="宋体" w:hAnsi="宋体" w:eastAsia="宋体" w:cs="宋体"/>
          <w:color w:val="000000" w:themeColor="text1"/>
          <w:sz w:val="24"/>
          <w:highlight w:val="none"/>
          <w:lang w:eastAsia="zh-CN"/>
          <w14:textFill>
            <w14:solidFill>
              <w14:schemeClr w14:val="tx1"/>
            </w14:solidFill>
          </w14:textFill>
        </w:rPr>
        <w:t>浙江企业采购信息服务网</w:t>
      </w:r>
      <w:r>
        <w:rPr>
          <w:rFonts w:hint="eastAsia" w:ascii="宋体" w:hAnsi="宋体" w:eastAsia="宋体" w:cs="宋体"/>
          <w:color w:val="000000" w:themeColor="text1"/>
          <w:sz w:val="24"/>
          <w:highlight w:val="none"/>
          <w14:textFill>
            <w14:solidFill>
              <w14:schemeClr w14:val="tx1"/>
            </w14:solidFill>
          </w14:textFill>
        </w:rPr>
        <w:t>-下载专区-电子交易客户端-CA驱动和申领流程”；安装“</w:t>
      </w:r>
      <w:r>
        <w:rPr>
          <w:rFonts w:hint="eastAsia" w:ascii="宋体" w:hAnsi="宋体" w:eastAsia="宋体" w:cs="宋体"/>
          <w:color w:val="000000" w:themeColor="text1"/>
          <w:sz w:val="24"/>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4"/>
          <w:highlight w:val="none"/>
          <w14:textFill>
            <w14:solidFill>
              <w14:schemeClr w14:val="tx1"/>
            </w14:solidFill>
          </w14:textFill>
        </w:rPr>
        <w:t>”----前往“</w:t>
      </w:r>
      <w:r>
        <w:rPr>
          <w:rFonts w:hint="eastAsia" w:ascii="宋体" w:hAnsi="宋体" w:eastAsia="宋体" w:cs="宋体"/>
          <w:color w:val="000000" w:themeColor="text1"/>
          <w:sz w:val="24"/>
          <w:highlight w:val="none"/>
          <w:lang w:eastAsia="zh-CN"/>
          <w14:textFill>
            <w14:solidFill>
              <w14:schemeClr w14:val="tx1"/>
            </w14:solidFill>
          </w14:textFill>
        </w:rPr>
        <w:t>浙江企业采购信息服务网</w:t>
      </w:r>
      <w:r>
        <w:rPr>
          <w:rFonts w:hint="eastAsia" w:ascii="宋体" w:hAnsi="宋体" w:eastAsia="宋体" w:cs="宋体"/>
          <w:color w:val="000000" w:themeColor="text1"/>
          <w:sz w:val="24"/>
          <w:highlight w:val="none"/>
          <w14:textFill>
            <w14:solidFill>
              <w14:schemeClr w14:val="tx1"/>
            </w14:solidFill>
          </w14:textFill>
        </w:rPr>
        <w:t>-下载专区-电子交易客户端”进行下载并安装；③公开竞争文件的获取：使用账号登录或者使用CA登录</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；进入“项目采购”应用，在获取</w:t>
      </w:r>
      <w:r>
        <w:rPr>
          <w:rFonts w:hint="eastAsia" w:ascii="宋体" w:hAnsi="宋体" w:eastAsia="宋体" w:cs="宋体"/>
          <w:color w:val="000000" w:themeColor="text1"/>
          <w:sz w:val="24"/>
          <w:highlight w:val="none"/>
          <w:lang w:eastAsia="zh-CN"/>
          <w14:textFill>
            <w14:solidFill>
              <w14:schemeClr w14:val="tx1"/>
            </w14:solidFill>
          </w14:textFill>
        </w:rPr>
        <w:t>公开竞争文件</w:t>
      </w:r>
      <w:r>
        <w:rPr>
          <w:rFonts w:hint="eastAsia" w:ascii="宋体" w:hAnsi="宋体" w:eastAsia="宋体" w:cs="宋体"/>
          <w:color w:val="000000" w:themeColor="text1"/>
          <w:sz w:val="24"/>
          <w:highlight w:val="none"/>
          <w14:textFill>
            <w14:solidFill>
              <w14:schemeClr w14:val="tx1"/>
            </w14:solidFill>
          </w14:textFill>
        </w:rPr>
        <w:t>菜单中选择项目，获取公开竞争文件；④响应文件的制作：在“</w:t>
      </w:r>
      <w:r>
        <w:rPr>
          <w:rFonts w:hint="eastAsia" w:ascii="宋体" w:hAnsi="宋体" w:eastAsia="宋体" w:cs="宋体"/>
          <w:color w:val="000000" w:themeColor="text1"/>
          <w:sz w:val="24"/>
          <w:highlight w:val="none"/>
          <w:lang w:eastAsia="zh-CN"/>
          <w14:textFill>
            <w14:solidFill>
              <w14:schemeClr w14:val="tx1"/>
            </w14:solidFill>
          </w14:textFill>
        </w:rPr>
        <w:t>乐采云电子交易客户端</w:t>
      </w:r>
      <w:r>
        <w:rPr>
          <w:rFonts w:hint="eastAsia" w:ascii="宋体" w:hAnsi="宋体" w:eastAsia="宋体" w:cs="宋体"/>
          <w:color w:val="000000" w:themeColor="text1"/>
          <w:sz w:val="24"/>
          <w:highlight w:val="none"/>
          <w14:textFill>
            <w14:solidFill>
              <w14:schemeClr w14:val="tx1"/>
            </w14:solidFill>
          </w14:textFill>
        </w:rPr>
        <w:t>”中完成“填写基本信息”“导入响应文件”“标书关联”“标书检查”“电子签名”“生成电子标书”等操作；⑤交易发起人、代理机构将依托</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；⑨响应文件的解密：响应人按照平台提示和公开竞争文件的规定在半小时内完成在线解密。通过“</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”上传递交的响应文件无法按时解密，视为响应文件撤回；⑩具体操作指南：详见</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“服务中心-帮助文档-项目采购-操作流程-电子招投标-项目电子交易管理操作指南-供应商”。</w:t>
      </w:r>
    </w:p>
    <w:p w14:paraId="5B3EECB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六、对本次交易提出异议、投诉，请按以下方式联系</w:t>
      </w:r>
    </w:p>
    <w:p w14:paraId="5F11C263">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1、交易发起人信息</w:t>
      </w:r>
    </w:p>
    <w:p w14:paraId="22081DC8">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名称：浙江杭州湾信息港高新建设开发有限公司</w:t>
      </w:r>
    </w:p>
    <w:p w14:paraId="7634B2A4">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地址：萧山区启迪路198号</w:t>
      </w:r>
    </w:p>
    <w:p w14:paraId="19A654F0">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项目联系人（询问）：王檬檬</w:t>
      </w:r>
    </w:p>
    <w:p w14:paraId="14A0F7E4">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项目联系方式（询问）：</w:t>
      </w:r>
      <w:r>
        <w:rPr>
          <w:rFonts w:hint="eastAsia" w:ascii="宋体" w:hAnsi="宋体" w:cs="宋体"/>
          <w:color w:val="000000" w:themeColor="text1"/>
          <w:sz w:val="24"/>
          <w:szCs w:val="28"/>
          <w:highlight w:val="none"/>
          <w:lang w:val="en-US" w:eastAsia="zh-CN"/>
          <w14:textFill>
            <w14:solidFill>
              <w14:schemeClr w14:val="tx1"/>
            </w14:solidFill>
          </w14:textFill>
        </w:rPr>
        <w:t>1</w:t>
      </w:r>
      <w:r>
        <w:rPr>
          <w:rFonts w:hint="eastAsia" w:ascii="宋体" w:hAnsi="宋体" w:eastAsia="宋体" w:cs="宋体"/>
          <w:color w:val="000000" w:themeColor="text1"/>
          <w:sz w:val="24"/>
          <w:szCs w:val="28"/>
          <w:highlight w:val="none"/>
          <w14:textFill>
            <w14:solidFill>
              <w14:schemeClr w14:val="tx1"/>
            </w14:solidFill>
          </w14:textFill>
        </w:rPr>
        <w:t>5958131350</w:t>
      </w:r>
    </w:p>
    <w:p w14:paraId="2B626106">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2、代理机构信息</w:t>
      </w:r>
    </w:p>
    <w:p w14:paraId="3A99FBF4">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名称：浙江佳诚工程咨询股份有限公司</w:t>
      </w:r>
    </w:p>
    <w:p w14:paraId="4235CCE8">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地址：杭州市萧山区宁围街道富业巷1号A座12楼</w:t>
      </w:r>
    </w:p>
    <w:p w14:paraId="3121D954">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项目联系人（询问）：夏婷</w:t>
      </w:r>
    </w:p>
    <w:p w14:paraId="0FC7A00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项目联系方式（询问）：15967157761</w:t>
      </w:r>
    </w:p>
    <w:p w14:paraId="6C05B22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014114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若对项目电子交易系统操作有疑问，可登录</w:t>
      </w:r>
      <w:r>
        <w:rPr>
          <w:rFonts w:hint="eastAsia" w:ascii="宋体" w:hAnsi="宋体" w:cs="宋体"/>
          <w:color w:val="000000" w:themeColor="text1"/>
          <w:sz w:val="24"/>
          <w:highlight w:val="none"/>
          <w:lang w:val="en-US" w:eastAsia="zh-CN"/>
          <w14:textFill>
            <w14:solidFill>
              <w14:schemeClr w14:val="tx1"/>
            </w14:solidFill>
          </w14:textFill>
        </w:rPr>
        <w:t>乐</w:t>
      </w:r>
      <w:r>
        <w:rPr>
          <w:rFonts w:hint="eastAsia" w:ascii="宋体" w:hAnsi="宋体" w:eastAsia="宋体" w:cs="宋体"/>
          <w:color w:val="000000" w:themeColor="text1"/>
          <w:sz w:val="24"/>
          <w:highlight w:val="none"/>
          <w14:textFill>
            <w14:solidFill>
              <w14:schemeClr w14:val="tx1"/>
            </w14:solidFill>
          </w14:textFill>
        </w:rPr>
        <w:t>采云（</w:t>
      </w:r>
      <w:r>
        <w:rPr>
          <w:rFonts w:hint="eastAsia" w:ascii="宋体" w:hAnsi="宋体" w:eastAsia="宋体" w:cs="宋体"/>
          <w:color w:val="000000" w:themeColor="text1"/>
          <w:sz w:val="24"/>
          <w:highlight w:val="none"/>
          <w:lang w:eastAsia="zh-CN"/>
          <w14:textFill>
            <w14:solidFill>
              <w14:schemeClr w14:val="tx1"/>
            </w14:solidFill>
          </w14:textFill>
        </w:rPr>
        <w:t>https://www.lecaiyun.com/</w:t>
      </w:r>
      <w:r>
        <w:rPr>
          <w:rFonts w:hint="eastAsia" w:ascii="宋体" w:hAnsi="宋体" w:eastAsia="宋体" w:cs="宋体"/>
          <w:color w:val="000000" w:themeColor="text1"/>
          <w:sz w:val="24"/>
          <w:highlight w:val="none"/>
          <w14:textFill>
            <w14:solidFill>
              <w14:schemeClr w14:val="tx1"/>
            </w14:solidFill>
          </w14:textFill>
        </w:rPr>
        <w:t>），点击右侧咨询小采，获取采小蜜智能服务管家帮助，或拨打</w:t>
      </w:r>
      <w:r>
        <w:rPr>
          <w:rFonts w:hint="eastAsia" w:ascii="宋体" w:hAnsi="宋体" w:cs="宋体"/>
          <w:color w:val="000000" w:themeColor="text1"/>
          <w:sz w:val="24"/>
          <w:highlight w:val="none"/>
          <w:lang w:val="en-US" w:eastAsia="zh-CN"/>
          <w14:textFill>
            <w14:solidFill>
              <w14:schemeClr w14:val="tx1"/>
            </w14:solidFill>
          </w14:textFill>
        </w:rPr>
        <w:t>乐</w:t>
      </w:r>
      <w:r>
        <w:rPr>
          <w:rFonts w:hint="eastAsia" w:ascii="宋体" w:hAnsi="宋体" w:eastAsia="宋体" w:cs="宋体"/>
          <w:color w:val="000000" w:themeColor="text1"/>
          <w:sz w:val="24"/>
          <w:highlight w:val="none"/>
          <w14:textFill>
            <w14:solidFill>
              <w14:schemeClr w14:val="tx1"/>
            </w14:solidFill>
          </w14:textFill>
        </w:rPr>
        <w:t>采云服务热线95763获取热线服务帮助。</w:t>
      </w:r>
    </w:p>
    <w:p w14:paraId="64116AA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5C5803A4">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7"/>
      <w:r>
        <w:rPr>
          <w:rFonts w:hint="eastAsia" w:ascii="宋体" w:hAnsi="宋体" w:eastAsia="宋体" w:cs="宋体"/>
          <w:b/>
          <w:color w:val="000000" w:themeColor="text1"/>
          <w:sz w:val="36"/>
          <w:szCs w:val="20"/>
          <w:highlight w:val="none"/>
          <w14:textFill>
            <w14:solidFill>
              <w14:schemeClr w14:val="tx1"/>
            </w14:solidFill>
          </w14:textFill>
        </w:rPr>
        <w:t>响应人须知</w:t>
      </w:r>
      <w:bookmarkEnd w:id="8"/>
    </w:p>
    <w:p w14:paraId="62A387B1">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E6D5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BDB7D">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944372">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7F29F6E6">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64CD4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A98C63">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2DE382">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74D214D8">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A货物类</w:t>
            </w:r>
            <w:r>
              <w:rPr>
                <w:rFonts w:hint="eastAsia" w:ascii="宋体" w:hAnsi="宋体" w:eastAsia="宋体" w:cs="宋体"/>
                <w:color w:val="000000" w:themeColor="text1"/>
                <w:sz w:val="24"/>
                <w:highlight w:val="none"/>
                <w14:textFill>
                  <w14:solidFill>
                    <w14:schemeClr w14:val="tx1"/>
                  </w14:solidFill>
                </w14:textFill>
              </w:rPr>
              <w:t>。</w:t>
            </w:r>
          </w:p>
          <w:p w14:paraId="01FFB59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B服务类</w:t>
            </w:r>
            <w:r>
              <w:rPr>
                <w:rFonts w:hint="eastAsia" w:ascii="宋体" w:hAnsi="宋体" w:eastAsia="宋体" w:cs="宋体"/>
                <w:color w:val="000000" w:themeColor="text1"/>
                <w:sz w:val="24"/>
                <w:highlight w:val="none"/>
                <w14:textFill>
                  <w14:solidFill>
                    <w14:schemeClr w14:val="tx1"/>
                  </w14:solidFill>
                </w14:textFill>
              </w:rPr>
              <w:t>。</w:t>
            </w:r>
          </w:p>
        </w:tc>
      </w:tr>
      <w:tr w14:paraId="3CED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6DCFD1">
            <w:pPr>
              <w:snapToGrid w:val="0"/>
              <w:jc w:val="center"/>
              <w:rPr>
                <w:rFonts w:hint="eastAsia" w:ascii="宋体" w:hAnsi="宋体" w:eastAsia="宋体" w:cs="宋体"/>
                <w:color w:val="000000" w:themeColor="text1"/>
                <w:sz w:val="24"/>
                <w:highlight w:val="none"/>
                <w14:textFill>
                  <w14:solidFill>
                    <w14:schemeClr w14:val="tx1"/>
                  </w14:solidFill>
                </w14:textFill>
              </w:rPr>
            </w:pPr>
          </w:p>
          <w:p w14:paraId="1E417522">
            <w:pPr>
              <w:snapToGrid w:val="0"/>
              <w:jc w:val="center"/>
              <w:rPr>
                <w:rFonts w:hint="eastAsia" w:ascii="宋体" w:hAnsi="宋体" w:eastAsia="宋体" w:cs="宋体"/>
                <w:color w:val="000000" w:themeColor="text1"/>
                <w:sz w:val="24"/>
                <w:highlight w:val="none"/>
                <w14:textFill>
                  <w14:solidFill>
                    <w14:schemeClr w14:val="tx1"/>
                  </w14:solidFill>
                </w14:textFill>
              </w:rPr>
            </w:pPr>
          </w:p>
          <w:p w14:paraId="228EC2A1">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198728">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69ADCBE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kern w:val="0"/>
                <w:sz w:val="24"/>
                <w:highlight w:val="none"/>
                <w:lang w:val="en-US" w:eastAsia="zh-CN"/>
                <w14:textFill>
                  <w14:solidFill>
                    <w14:schemeClr w14:val="tx1"/>
                  </w14:solidFill>
                </w14:textFill>
              </w:rPr>
              <w:t>不</w:t>
            </w:r>
            <w:r>
              <w:rPr>
                <w:rFonts w:hint="eastAsia" w:ascii="宋体" w:hAnsi="宋体" w:eastAsia="宋体" w:cs="宋体"/>
                <w:color w:val="000000" w:themeColor="text1"/>
                <w:kern w:val="0"/>
                <w:sz w:val="24"/>
                <w:highlight w:val="none"/>
                <w14:textFill>
                  <w14:solidFill>
                    <w14:schemeClr w14:val="tx1"/>
                  </w14:solidFill>
                </w14:textFill>
              </w:rPr>
              <w:t>适用</w:t>
            </w:r>
            <w:r>
              <w:rPr>
                <w:rFonts w:hint="eastAsia" w:ascii="宋体" w:hAnsi="宋体" w:eastAsia="宋体" w:cs="宋体"/>
                <w:color w:val="000000" w:themeColor="text1"/>
                <w:sz w:val="24"/>
                <w:highlight w:val="none"/>
                <w14:textFill>
                  <w14:solidFill>
                    <w14:schemeClr w14:val="tx1"/>
                  </w14:solidFill>
                </w14:textFill>
              </w:rPr>
              <w:t>。</w:t>
            </w:r>
          </w:p>
          <w:p w14:paraId="7B6FEDFE">
            <w:pP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B适用</w:t>
            </w:r>
            <w:r>
              <w:rPr>
                <w:rFonts w:hint="eastAsia" w:ascii="宋体" w:hAnsi="宋体" w:eastAsia="宋体" w:cs="宋体"/>
                <w:color w:val="000000" w:themeColor="text1"/>
                <w:sz w:val="24"/>
                <w:highlight w:val="none"/>
                <w14:textFill>
                  <w14:solidFill>
                    <w14:schemeClr w14:val="tx1"/>
                  </w14:solidFill>
                </w14:textFill>
              </w:rPr>
              <w:t>。</w:t>
            </w:r>
          </w:p>
        </w:tc>
      </w:tr>
      <w:tr w14:paraId="4F9D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FB7E5B">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71AE1B">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19BFF860">
            <w:pPr>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szCs w:val="32"/>
                <w:highlight w:val="none"/>
                <w14:textFill>
                  <w14:solidFill>
                    <w14:schemeClr w14:val="tx1"/>
                  </w14:solidFill>
                </w14:textFill>
              </w:rPr>
              <w:t>本项目不允许采购进口产品。</w:t>
            </w:r>
          </w:p>
          <w:p w14:paraId="65F2DEA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B</w:t>
            </w:r>
            <w:r>
              <w:rPr>
                <w:rFonts w:hint="eastAsia" w:ascii="宋体" w:hAnsi="宋体" w:eastAsia="宋体" w:cs="宋体"/>
                <w:color w:val="000000" w:themeColor="text1"/>
                <w:sz w:val="24"/>
                <w:szCs w:val="32"/>
                <w:highlight w:val="none"/>
                <w14:textFill>
                  <w14:solidFill>
                    <w14:schemeClr w14:val="tx1"/>
                  </w14:solidFill>
                </w14:textFill>
              </w:rPr>
              <w:t>本项目允许采购进口产品。</w:t>
            </w:r>
          </w:p>
        </w:tc>
      </w:tr>
      <w:tr w14:paraId="3663D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62FDFB">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4C49F2">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613C95A1">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A不</w:t>
            </w:r>
            <w:r>
              <w:rPr>
                <w:rFonts w:hint="eastAsia" w:ascii="宋体" w:hAnsi="宋体" w:eastAsia="宋体" w:cs="宋体"/>
                <w:bCs/>
                <w:color w:val="000000" w:themeColor="text1"/>
                <w:sz w:val="24"/>
                <w:highlight w:val="none"/>
                <w14:textFill>
                  <w14:solidFill>
                    <w14:schemeClr w14:val="tx1"/>
                  </w14:solidFill>
                </w14:textFill>
              </w:rPr>
              <w:t>同意分包。</w:t>
            </w:r>
          </w:p>
          <w:p w14:paraId="78D8B7B6">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B</w:t>
            </w:r>
            <w:r>
              <w:rPr>
                <w:rFonts w:hint="eastAsia" w:ascii="宋体" w:hAnsi="宋体" w:eastAsia="宋体" w:cs="宋体"/>
                <w:bCs/>
                <w:color w:val="000000" w:themeColor="text1"/>
                <w:sz w:val="24"/>
                <w:highlight w:val="none"/>
                <w14:textFill>
                  <w14:solidFill>
                    <w14:schemeClr w14:val="tx1"/>
                  </w14:solidFill>
                </w14:textFill>
              </w:rPr>
              <w:t>同意分包。</w:t>
            </w:r>
          </w:p>
        </w:tc>
      </w:tr>
      <w:tr w14:paraId="327CD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FABCCD">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B04F82">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362271E6">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A</w:t>
            </w:r>
            <w:r>
              <w:rPr>
                <w:rFonts w:hint="eastAsia" w:ascii="宋体" w:hAnsi="宋体" w:eastAsia="宋体" w:cs="宋体"/>
                <w:bCs/>
                <w:color w:val="000000" w:themeColor="text1"/>
                <w:sz w:val="24"/>
                <w:highlight w:val="none"/>
                <w14:textFill>
                  <w14:solidFill>
                    <w14:schemeClr w14:val="tx1"/>
                  </w14:solidFill>
                </w14:textFill>
              </w:rPr>
              <w:t>不组织。</w:t>
            </w:r>
          </w:p>
          <w:p w14:paraId="12C4FD0D">
            <w:pPr>
              <w:rPr>
                <w:rFonts w:hint="eastAsia"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A</w:t>
            </w:r>
            <w:r>
              <w:rPr>
                <w:rFonts w:hint="eastAsia" w:ascii="宋体" w:hAnsi="宋体" w:eastAsia="宋体" w:cs="宋体"/>
                <w:bCs/>
                <w:color w:val="000000" w:themeColor="text1"/>
                <w:sz w:val="24"/>
                <w:highlight w:val="none"/>
                <w14:textFill>
                  <w14:solidFill>
                    <w14:schemeClr w14:val="tx1"/>
                  </w14:solidFill>
                </w14:textFill>
              </w:rPr>
              <w:t>组织。</w:t>
            </w:r>
          </w:p>
        </w:tc>
      </w:tr>
      <w:tr w14:paraId="01A77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08496F">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A69BF8">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7FA4A439">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A</w:t>
            </w:r>
            <w:r>
              <w:rPr>
                <w:rFonts w:hint="eastAsia" w:ascii="宋体" w:hAnsi="宋体" w:eastAsia="宋体" w:cs="宋体"/>
                <w:bCs/>
                <w:color w:val="000000" w:themeColor="text1"/>
                <w:sz w:val="24"/>
                <w:highlight w:val="none"/>
                <w14:textFill>
                  <w14:solidFill>
                    <w14:schemeClr w14:val="tx1"/>
                  </w14:solidFill>
                </w14:textFill>
              </w:rPr>
              <w:t>不要求提供。</w:t>
            </w:r>
          </w:p>
        </w:tc>
      </w:tr>
      <w:tr w14:paraId="311EB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00A7A5">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299B91">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56FFAF1">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（√）A不组织。</w:t>
            </w:r>
          </w:p>
          <w:p w14:paraId="34A8D23F">
            <w:pPr>
              <w:snapToGrid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）B组织。</w:t>
            </w:r>
          </w:p>
        </w:tc>
      </w:tr>
      <w:tr w14:paraId="4E624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71DC13">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14:paraId="7C4F8608">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A941356">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（1）资格证明文件：见公开竞争文件第二部分10.1。</w:t>
            </w:r>
          </w:p>
          <w:p w14:paraId="276FE0B6">
            <w:pP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响应人未提供有效的资格证明文件的，视为响应人不具备公开竞争文件中规定的资格要求，交易无效。</w:t>
            </w:r>
          </w:p>
        </w:tc>
      </w:tr>
      <w:tr w14:paraId="61309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47DF4A7">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auto" w:sz="4" w:space="0"/>
              <w:right w:val="single" w:color="000000" w:sz="8" w:space="0"/>
            </w:tcBorders>
            <w:vAlign w:val="center"/>
          </w:tcPr>
          <w:p w14:paraId="56A8A3A4">
            <w:pPr>
              <w:snapToGrid w:val="0"/>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4AB263EA">
            <w:pPr>
              <w:ind w:firstLine="480" w:firstLineChars="200"/>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kern w:val="0"/>
                <w:sz w:val="24"/>
                <w:highlight w:val="none"/>
                <w14:textFill>
                  <w14:solidFill>
                    <w14:schemeClr w14:val="tx1"/>
                  </w14:solidFill>
                </w14:textFill>
              </w:rPr>
              <w:t>交易一览表（报价表）是报价的唯一载体</w:t>
            </w:r>
            <w:r>
              <w:rPr>
                <w:rFonts w:hint="eastAsia" w:ascii="宋体" w:hAnsi="宋体" w:eastAsia="宋体" w:cs="宋体"/>
                <w:bCs/>
                <w:color w:val="000000" w:themeColor="text1"/>
                <w:kern w:val="0"/>
                <w:sz w:val="24"/>
                <w:highlight w:val="none"/>
                <w:lang w:val="zh-CN"/>
                <w14:textFill>
                  <w14:solidFill>
                    <w14:schemeClr w14:val="tx1"/>
                  </w14:solidFill>
                </w14:textFill>
              </w:rPr>
              <w:t>。响应文件中价格全部采用人民币报价。公开竞争文件未列明，而响应人认为必需的费用也需列入报价。</w:t>
            </w:r>
          </w:p>
          <w:p w14:paraId="3D3C0357">
            <w:pPr>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交易报价出现下列情形的，交易无效：</w:t>
            </w:r>
          </w:p>
          <w:p w14:paraId="38CB6068">
            <w:pPr>
              <w:ind w:firstLine="480" w:firstLineChars="200"/>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响应文件出现不是唯一的、有选择性交易报价的；</w:t>
            </w:r>
          </w:p>
          <w:p w14:paraId="1198CF61">
            <w:pPr>
              <w:ind w:firstLine="480" w:firstLineChars="200"/>
              <w:rPr>
                <w:rFonts w:hint="eastAsia" w:ascii="宋体" w:hAnsi="宋体" w:eastAsia="宋体" w:cs="宋体"/>
                <w:bCs/>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lang w:val="zh-CN"/>
                <w14:textFill>
                  <w14:solidFill>
                    <w14:schemeClr w14:val="tx1"/>
                  </w14:solidFill>
                </w14:textFill>
              </w:rPr>
              <w:t>交易报价超过公开竞争文件中规定的预算金额或者最高限价的；</w:t>
            </w:r>
          </w:p>
          <w:p w14:paraId="13DCFC7C">
            <w:pPr>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p>
          <w:p w14:paraId="5FC59243">
            <w:pPr>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响应人对根据修正原则修正后的报价不确认的。</w:t>
            </w:r>
          </w:p>
        </w:tc>
      </w:tr>
      <w:tr w14:paraId="165AC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FAAE3">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562787">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DAEA554">
            <w:pPr>
              <w:pStyle w:val="34"/>
              <w:ind w:hanging="4"/>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备份文件是否收取：不收取。</w:t>
            </w:r>
          </w:p>
          <w:p w14:paraId="2656A72D">
            <w:pPr>
              <w:pStyle w:val="34"/>
              <w:ind w:hanging="4"/>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成交单位在成交后提供纸质响应文件一正二副。</w:t>
            </w:r>
          </w:p>
        </w:tc>
      </w:tr>
      <w:tr w14:paraId="498D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D20C4B">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2260CAC">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C2CC2E7">
            <w:pPr>
              <w:snapToGrid w:val="0"/>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采购人支付</w:t>
            </w:r>
          </w:p>
        </w:tc>
      </w:tr>
      <w:tr w14:paraId="678A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77D42A">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4E7D4">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22F56BA5">
            <w:pPr>
              <w:snapToGrid w:val="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履约保证金：不收取。</w:t>
            </w:r>
          </w:p>
        </w:tc>
      </w:tr>
      <w:tr w14:paraId="6CB3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6E1BC5">
            <w:pPr>
              <w:snapToGrid w:val="0"/>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673831F">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34797FF4">
            <w:pPr>
              <w:snapToGrid w:val="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本项目由交易发起人进行资格文件及信用信息查询。</w:t>
            </w:r>
          </w:p>
        </w:tc>
      </w:tr>
      <w:tr w14:paraId="0957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73BD0C">
            <w:pPr>
              <w:snapToGrid w:val="0"/>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A8E10">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03B438CF">
            <w:pPr>
              <w:snapToGrid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代理机构异议接收人：</w:t>
            </w:r>
            <w:r>
              <w:rPr>
                <w:rFonts w:hint="eastAsia" w:ascii="宋体" w:hAnsi="宋体" w:cs="宋体"/>
                <w:color w:val="000000" w:themeColor="text1"/>
                <w:sz w:val="24"/>
                <w:highlight w:val="none"/>
                <w:u w:val="single"/>
                <w:lang w:val="en-US" w:eastAsia="zh-CN"/>
                <w14:textFill>
                  <w14:solidFill>
                    <w14:schemeClr w14:val="tx1"/>
                  </w14:solidFill>
                </w14:textFill>
              </w:rPr>
              <w:t>周立军</w:t>
            </w:r>
            <w:r>
              <w:rPr>
                <w:rFonts w:hint="eastAsia" w:ascii="宋体" w:hAnsi="宋体" w:eastAsia="宋体" w:cs="宋体"/>
                <w:color w:val="000000" w:themeColor="text1"/>
                <w:sz w:val="24"/>
                <w:highlight w:val="none"/>
                <w14:textFill>
                  <w14:solidFill>
                    <w14:schemeClr w14:val="tx1"/>
                  </w14:solidFill>
                </w14:textFill>
              </w:rPr>
              <w:t xml:space="preserve"> 联系方式：</w:t>
            </w:r>
            <w:r>
              <w:rPr>
                <w:rFonts w:hint="eastAsia" w:ascii="宋体" w:hAnsi="宋体" w:eastAsia="宋体" w:cs="宋体"/>
                <w:color w:val="000000" w:themeColor="text1"/>
                <w:sz w:val="24"/>
                <w:highlight w:val="none"/>
                <w:u w:val="single"/>
                <w14:textFill>
                  <w14:solidFill>
                    <w14:schemeClr w14:val="tx1"/>
                  </w14:solidFill>
                </w14:textFill>
              </w:rPr>
              <w:t>0571-</w:t>
            </w:r>
            <w:r>
              <w:rPr>
                <w:rFonts w:hint="eastAsia" w:ascii="宋体" w:hAnsi="宋体" w:cs="宋体"/>
                <w:color w:val="000000" w:themeColor="text1"/>
                <w:sz w:val="24"/>
                <w:highlight w:val="none"/>
                <w:u w:val="single"/>
                <w:lang w:val="en-US" w:eastAsia="zh-CN"/>
                <w14:textFill>
                  <w14:solidFill>
                    <w14:schemeClr w14:val="tx1"/>
                  </w14:solidFill>
                </w14:textFill>
              </w:rPr>
              <w:t>82951586</w:t>
            </w:r>
          </w:p>
          <w:p w14:paraId="317C3B10">
            <w:pPr>
              <w:snapToGrid w:val="0"/>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single"/>
                <w:lang w:val="en-US" w:eastAsia="zh-CN"/>
                <w14:textFill>
                  <w14:solidFill>
                    <w14:schemeClr w14:val="tx1"/>
                  </w14:solidFill>
                </w14:textFill>
              </w:rPr>
              <w:t>杭州市萧山区宁围街道富业巷1号A座12楼</w:t>
            </w:r>
          </w:p>
          <w:p w14:paraId="78176DE1">
            <w:pPr>
              <w:snapToGrid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异议文件须符合法规及公开竞争文件要求（参考附件1），盖章扫描后</w:t>
            </w:r>
            <w:r>
              <w:rPr>
                <w:rFonts w:hint="eastAsia" w:ascii="宋体" w:hAnsi="宋体" w:cs="宋体"/>
                <w:b/>
                <w:color w:val="000000" w:themeColor="text1"/>
                <w:sz w:val="24"/>
                <w:highlight w:val="none"/>
                <w:lang w:val="en-US" w:eastAsia="zh-CN"/>
                <w14:textFill>
                  <w14:solidFill>
                    <w14:schemeClr w14:val="tx1"/>
                  </w14:solidFill>
                </w14:textFill>
              </w:rPr>
              <w:t>提交</w:t>
            </w:r>
            <w:r>
              <w:rPr>
                <w:rFonts w:hint="eastAsia" w:ascii="宋体" w:hAnsi="宋体" w:eastAsia="宋体" w:cs="宋体"/>
                <w:b/>
                <w:color w:val="000000" w:themeColor="text1"/>
                <w:sz w:val="24"/>
                <w:highlight w:val="none"/>
                <w14:textFill>
                  <w14:solidFill>
                    <w14:schemeClr w14:val="tx1"/>
                  </w14:solidFill>
                </w14:textFill>
              </w:rPr>
              <w:t>。</w:t>
            </w:r>
          </w:p>
          <w:p w14:paraId="4CFC8D9B">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本项目涉及资格条件、交易需求、评分办法及交易过程中有关现场考察或开标前答疑会事项由交易发起人进行答复。</w:t>
            </w:r>
          </w:p>
          <w:p w14:paraId="15A060B8">
            <w:pPr>
              <w:pStyle w:val="34"/>
              <w:ind w:hanging="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涉及流程组织等相关事项，由代理机构进行答复。</w:t>
            </w:r>
          </w:p>
        </w:tc>
      </w:tr>
      <w:tr w14:paraId="77ABD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CB7F7E">
            <w:pPr>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95CF2C6">
            <w:pPr>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5AD493FE">
            <w:pPr>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本项目通用总则条款与前附表等专用特别规定有冲突之处，以专用条款（特别规定）为准。</w:t>
            </w:r>
          </w:p>
        </w:tc>
      </w:tr>
    </w:tbl>
    <w:p w14:paraId="045B8A1F">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p>
    <w:bookmarkEnd w:id="9"/>
    <w:p w14:paraId="3EEDDA28">
      <w:pPr>
        <w:rPr>
          <w:rFonts w:hint="eastAsia" w:ascii="宋体" w:hAnsi="宋体" w:eastAsia="宋体" w:cs="宋体"/>
          <w:b/>
          <w:color w:val="000000" w:themeColor="text1"/>
          <w:sz w:val="32"/>
          <w:szCs w:val="20"/>
          <w:highlight w:val="none"/>
          <w14:textFill>
            <w14:solidFill>
              <w14:schemeClr w14:val="tx1"/>
            </w14:solidFill>
          </w14:textFill>
        </w:rPr>
      </w:pPr>
      <w:bookmarkStart w:id="10" w:name="第三部分"/>
      <w:bookmarkStart w:id="11" w:name="_Toc164416483"/>
      <w:r>
        <w:rPr>
          <w:rFonts w:hint="eastAsia" w:ascii="宋体" w:hAnsi="宋体" w:eastAsia="宋体" w:cs="宋体"/>
          <w:b/>
          <w:color w:val="000000" w:themeColor="text1"/>
          <w:sz w:val="32"/>
          <w:szCs w:val="20"/>
          <w:highlight w:val="none"/>
          <w14:textFill>
            <w14:solidFill>
              <w14:schemeClr w14:val="tx1"/>
            </w14:solidFill>
          </w14:textFill>
        </w:rPr>
        <w:br w:type="page"/>
      </w:r>
    </w:p>
    <w:p w14:paraId="09B5E4DA">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472D3F88">
      <w:pPr>
        <w:snapToGrid w:val="0"/>
        <w:spacing w:line="460" w:lineRule="exact"/>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1.适用范围</w:t>
      </w:r>
    </w:p>
    <w:p w14:paraId="351DAAB5">
      <w:pPr>
        <w:snapToGrid w:val="0"/>
        <w:spacing w:line="460" w:lineRule="exact"/>
        <w:ind w:firstLine="420" w:firstLineChars="175"/>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本公开竞争文件适用于该项目的交易、响应、评审、资格审查及信用信息查询、评审、定标、合同、验收等行为（法律、法规另有规定的，从其规定）。</w:t>
      </w:r>
    </w:p>
    <w:p w14:paraId="60BA03DF">
      <w:pPr>
        <w:adjustRightInd/>
        <w:spacing w:line="460" w:lineRule="exact"/>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29C0C3DA">
      <w:pPr>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2.1“交易发起人”系指交易公告中载明的本项目的交易发起人。</w:t>
      </w:r>
    </w:p>
    <w:p w14:paraId="4D86BE4A">
      <w:pPr>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2.2“代理机构”系指交易公告中载明的本项目的代理机构。</w:t>
      </w:r>
    </w:p>
    <w:p w14:paraId="5B94A2F2">
      <w:pPr>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2.3“响应人”系指响应招标、参加投标竞争的法人、其他组织或者自然人。</w:t>
      </w:r>
    </w:p>
    <w:p w14:paraId="17F437F6">
      <w:pPr>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2.4“负责人”系指法人企业的法定负责人，或其他组织为法律、行政法规规定代表单位行使职权的主要负责人，或自然人本人。</w:t>
      </w:r>
    </w:p>
    <w:p w14:paraId="180FB743">
      <w:pPr>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AC1C505">
      <w:pPr>
        <w:spacing w:line="460" w:lineRule="exact"/>
        <w:ind w:firstLine="420" w:firstLineChars="175"/>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2.6“电子交易平台”是指本项目交易活动所依托的</w:t>
      </w:r>
      <w:r>
        <w:rPr>
          <w:rFonts w:hint="eastAsia" w:ascii="宋体" w:hAnsi="宋体" w:eastAsia="宋体" w:cs="宋体"/>
          <w:color w:val="000000" w:themeColor="text1"/>
          <w:sz w:val="24"/>
          <w:highlight w:val="none"/>
          <w:lang w:eastAsia="zh-CN"/>
          <w14:textFill>
            <w14:solidFill>
              <w14:schemeClr w14:val="tx1"/>
            </w14:solidFill>
          </w14:textFill>
        </w:rPr>
        <w:t>乐采云平台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https://www.lecaiyun.com/</w:t>
      </w:r>
      <w:r>
        <w:rPr>
          <w:rFonts w:hint="eastAsia" w:ascii="宋体" w:hAnsi="宋体" w:eastAsia="宋体" w:cs="宋体"/>
          <w:color w:val="000000" w:themeColor="text1"/>
          <w:sz w:val="24"/>
          <w:highlight w:val="none"/>
          <w14:textFill>
            <w14:solidFill>
              <w14:schemeClr w14:val="tx1"/>
            </w14:solidFill>
          </w14:textFill>
        </w:rPr>
        <w:t>）。</w:t>
      </w:r>
    </w:p>
    <w:p w14:paraId="29C09ECA">
      <w:pPr>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系指实质性要求条款，“（</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系指适用本项目的要求，“（  ）”系指不适用本项目的要求。</w:t>
      </w:r>
    </w:p>
    <w:p w14:paraId="79478982">
      <w:pPr>
        <w:spacing w:line="46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3.异议、投诉</w:t>
      </w:r>
    </w:p>
    <w:p w14:paraId="1F3421CA">
      <w:pPr>
        <w:autoSpaceDE w:val="0"/>
        <w:autoSpaceDN w:val="0"/>
        <w:spacing w:line="460" w:lineRule="exact"/>
        <w:ind w:firstLine="420" w:firstLineChars="175"/>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.1响应人异议</w:t>
      </w:r>
    </w:p>
    <w:p w14:paraId="7631B263">
      <w:pPr>
        <w:autoSpaceDE w:val="0"/>
        <w:autoSpaceDN w:val="0"/>
        <w:spacing w:line="460" w:lineRule="exact"/>
        <w:ind w:firstLine="420" w:firstLineChars="175"/>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响应人对</w:t>
      </w:r>
      <w:r>
        <w:rPr>
          <w:rFonts w:hint="eastAsia" w:ascii="宋体" w:hAnsi="宋体" w:eastAsia="宋体" w:cs="宋体"/>
          <w:color w:val="000000" w:themeColor="text1"/>
          <w:kern w:val="0"/>
          <w:sz w:val="24"/>
          <w:highlight w:val="none"/>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3BCF830">
      <w:pPr>
        <w:autoSpaceDE w:val="0"/>
        <w:autoSpaceDN w:val="0"/>
        <w:spacing w:line="460" w:lineRule="exact"/>
        <w:ind w:firstLine="420" w:firstLineChars="175"/>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.2响应人异议</w:t>
      </w:r>
    </w:p>
    <w:p w14:paraId="1D75737B">
      <w:pPr>
        <w:pStyle w:val="34"/>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.1提出</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的响应人应当是参与所质</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项目交易活动的响应人。潜在响应人已依法获取其可</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的公开竞争文件的，可以对该文件提出</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w:t>
      </w:r>
    </w:p>
    <w:p w14:paraId="0F8A4CEE">
      <w:pPr>
        <w:pStyle w:val="34"/>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，否则，交易发起人或者代理机构不予受理：</w:t>
      </w:r>
    </w:p>
    <w:p w14:paraId="4CDC9720">
      <w:pPr>
        <w:pStyle w:val="34"/>
        <w:spacing w:line="46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3.2.2.1对交易过程提出</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期限为各交易程序环节结束之日起计算。对同一交易程序环节的</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，响应人须一次性提出。</w:t>
      </w:r>
    </w:p>
    <w:p w14:paraId="65842179">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w:t>
      </w:r>
      <w:r>
        <w:rPr>
          <w:rFonts w:hint="eastAsia" w:ascii="宋体" w:hAnsi="宋体" w:eastAsia="宋体" w:cs="宋体"/>
          <w:color w:val="000000" w:themeColor="text1"/>
          <w:sz w:val="24"/>
          <w:highlight w:val="none"/>
          <w14:textFill>
            <w14:solidFill>
              <w14:schemeClr w14:val="tx1"/>
            </w14:solidFill>
          </w14:textFill>
        </w:rPr>
        <w:t>响应人提出</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应当提交</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函和必要的证明材料。</w:t>
      </w:r>
      <w:r>
        <w:rPr>
          <w:rFonts w:hint="eastAsia" w:ascii="宋体" w:hAnsi="宋体" w:eastAsia="宋体" w:cs="宋体"/>
          <w:color w:val="000000" w:themeColor="text1"/>
          <w:kern w:val="0"/>
          <w:sz w:val="24"/>
          <w:highlight w:val="none"/>
          <w:lang w:val="zh-CN"/>
          <w14:textFill>
            <w14:solidFill>
              <w14:schemeClr w14:val="tx1"/>
            </w14:solidFill>
          </w14:textFill>
        </w:rPr>
        <w:t>异议</w:t>
      </w:r>
      <w:r>
        <w:rPr>
          <w:rFonts w:hint="eastAsia" w:ascii="宋体" w:hAnsi="宋体" w:eastAsia="宋体" w:cs="宋体"/>
          <w:color w:val="000000" w:themeColor="text1"/>
          <w:sz w:val="24"/>
          <w:highlight w:val="none"/>
          <w14:textFill>
            <w14:solidFill>
              <w14:schemeClr w14:val="tx1"/>
            </w14:solidFill>
          </w14:textFill>
        </w:rPr>
        <w:t>函应当包括下列内容：</w:t>
      </w:r>
    </w:p>
    <w:p w14:paraId="47A73A9E">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.2.3.1响应人的姓名或者名称、地址、邮编、联系人及联系电话；</w:t>
      </w:r>
    </w:p>
    <w:p w14:paraId="2251057F">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.2.3.2异议项目的名称、编号；</w:t>
      </w:r>
    </w:p>
    <w:p w14:paraId="62AC2BFA">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.2.3.3具体、明确的异议事项和与异议事项相关的请求；</w:t>
      </w:r>
    </w:p>
    <w:p w14:paraId="7F3C745D">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.2.3.4事实依据；</w:t>
      </w:r>
    </w:p>
    <w:p w14:paraId="1C0A5884">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.2.3.5必要的法律依据；</w:t>
      </w:r>
    </w:p>
    <w:p w14:paraId="4B695F04">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.2.3.6提出异议的日期。</w:t>
      </w:r>
    </w:p>
    <w:p w14:paraId="71502330">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响应人提交的异议函</w:t>
      </w:r>
      <w:r>
        <w:rPr>
          <w:rFonts w:hint="eastAsia" w:hAnsi="宋体" w:cs="宋体"/>
          <w:color w:val="000000" w:themeColor="text1"/>
          <w:kern w:val="0"/>
          <w:sz w:val="24"/>
          <w:highlight w:val="none"/>
          <w:lang w:val="en-US" w:eastAsia="zh-CN"/>
          <w14:textFill>
            <w14:solidFill>
              <w14:schemeClr w14:val="tx1"/>
            </w14:solidFill>
          </w14:textFill>
        </w:rPr>
        <w:t>需在乐彩云平台提交</w:t>
      </w:r>
      <w:r>
        <w:rPr>
          <w:rFonts w:hint="eastAsia" w:ascii="宋体" w:hAnsi="宋体" w:eastAsia="宋体" w:cs="宋体"/>
          <w:color w:val="000000" w:themeColor="text1"/>
          <w:kern w:val="0"/>
          <w:sz w:val="24"/>
          <w:highlight w:val="none"/>
          <w:lang w:val="zh-CN"/>
          <w14:textFill>
            <w14:solidFill>
              <w14:schemeClr w14:val="tx1"/>
            </w14:solidFill>
          </w14:textFill>
        </w:rPr>
        <w:t>。响应人为自然人的，应当由本人签字；响应人为法人或者其他组织的，应当由法定代表人、主要负责人，或者其授权代表签字或者盖章，并加盖公章。</w:t>
      </w:r>
    </w:p>
    <w:p w14:paraId="5C5E5B7A">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异议函范本及制作说明详见附件</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F6F2633">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.2.4交易发起人或者代理机构应当在收到响应人的书面异议后</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日内作出答复，并以书面形式通知异议响应人和其他与异议处理结果有利害关系的交易当事人，但答复的内容不得涉及商业秘密。</w:t>
      </w:r>
    </w:p>
    <w:p w14:paraId="0FB0A6B5">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.2.5询问或者异议事项可能影响</w:t>
      </w:r>
      <w:r>
        <w:rPr>
          <w:rFonts w:hint="eastAsia" w:ascii="宋体" w:hAnsi="宋体" w:eastAsia="宋体" w:cs="宋体"/>
          <w:color w:val="000000" w:themeColor="text1"/>
          <w:kern w:val="0"/>
          <w:sz w:val="24"/>
          <w:highlight w:val="none"/>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结果的，交易发起人应当暂停签订合同，已经签订合同的，应当中止履行合同。</w:t>
      </w:r>
    </w:p>
    <w:p w14:paraId="0CE53925">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.3响应人投诉</w:t>
      </w:r>
    </w:p>
    <w:p w14:paraId="2D2E2B81">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.3.1异议响应人对交易发起人、代理机构的答复不满意或者交易发起人、代理机构未在规定的时间内作出答复的，可以在答复期满后</w:t>
      </w:r>
      <w:r>
        <w:rPr>
          <w:rFonts w:hint="eastAsia" w:ascii="宋体" w:hAnsi="宋体" w:eastAsia="宋体" w:cs="宋体"/>
          <w:color w:val="000000" w:themeColor="text1"/>
          <w:kern w:val="0"/>
          <w:sz w:val="24"/>
          <w:highlight w:val="none"/>
          <w14:textFill>
            <w14:solidFill>
              <w14:schemeClr w14:val="tx1"/>
            </w14:solidFill>
          </w14:textFill>
        </w:rPr>
        <w:t>10</w:t>
      </w:r>
      <w:r>
        <w:rPr>
          <w:rFonts w:hint="eastAsia" w:ascii="宋体" w:hAnsi="宋体" w:eastAsia="宋体" w:cs="宋体"/>
          <w:color w:val="000000" w:themeColor="text1"/>
          <w:kern w:val="0"/>
          <w:sz w:val="24"/>
          <w:highlight w:val="none"/>
          <w:lang w:val="zh-CN"/>
          <w14:textFill>
            <w14:solidFill>
              <w14:schemeClr w14:val="tx1"/>
            </w14:solidFill>
          </w14:textFill>
        </w:rPr>
        <w:t>日内向基层监督机构部门提出投诉。</w:t>
      </w:r>
    </w:p>
    <w:p w14:paraId="43508E42">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.3.2响应人投诉的事项不得超出已异议事项的范围，基于异议答复内容提出的投诉事项除外。</w:t>
      </w:r>
    </w:p>
    <w:p w14:paraId="57854982">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.3.3响应人投诉应当有明确的请求和必要的证明材料。</w:t>
      </w:r>
    </w:p>
    <w:p w14:paraId="11BE7A39">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以联合体形式参加交易活动的，其投诉应当由组成联合体的所有响应人共同提出。</w:t>
      </w:r>
    </w:p>
    <w:p w14:paraId="3C4F5A25">
      <w:pPr>
        <w:pStyle w:val="34"/>
        <w:spacing w:line="460" w:lineRule="exact"/>
        <w:ind w:firstLine="420" w:firstLineChars="17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投诉书范本及制作说明详见附件</w:t>
      </w: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AEF04BA">
      <w:pPr>
        <w:pStyle w:val="137"/>
        <w:snapToGrid w:val="0"/>
        <w:spacing w:before="0" w:line="460" w:lineRule="exact"/>
        <w:ind w:firstLine="360"/>
        <w:rPr>
          <w:rFonts w:hint="eastAsia" w:ascii="宋体" w:hAnsi="宋体" w:eastAsia="宋体" w:cs="宋体"/>
          <w:color w:val="000000" w:themeColor="text1"/>
          <w:sz w:val="18"/>
          <w:szCs w:val="18"/>
          <w:highlight w:val="none"/>
          <w14:textFill>
            <w14:solidFill>
              <w14:schemeClr w14:val="tx1"/>
            </w14:solidFill>
          </w14:textFill>
        </w:rPr>
      </w:pPr>
    </w:p>
    <w:p w14:paraId="3DE7772C">
      <w:pPr>
        <w:adjustRightInd/>
        <w:spacing w:line="460" w:lineRule="exact"/>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二、公开竞争文件的构成、澄清、修改</w:t>
      </w:r>
    </w:p>
    <w:p w14:paraId="706F9128">
      <w:pPr>
        <w:pStyle w:val="34"/>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4．公开竞争文件的构成</w:t>
      </w:r>
    </w:p>
    <w:p w14:paraId="473117AF">
      <w:pPr>
        <w:pStyle w:val="34"/>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4.1公开竞争文件包括下列文件及附件：</w:t>
      </w:r>
    </w:p>
    <w:p w14:paraId="03A027E7">
      <w:pPr>
        <w:pStyle w:val="34"/>
        <w:tabs>
          <w:tab w:val="left" w:pos="840"/>
        </w:tabs>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4.1.1交易公告；</w:t>
      </w:r>
    </w:p>
    <w:p w14:paraId="0EE5C18B">
      <w:pPr>
        <w:pStyle w:val="34"/>
        <w:tabs>
          <w:tab w:val="left" w:pos="840"/>
        </w:tabs>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4.1.2响应人须知；</w:t>
      </w:r>
    </w:p>
    <w:p w14:paraId="16A66EEA">
      <w:pPr>
        <w:pStyle w:val="34"/>
        <w:tabs>
          <w:tab w:val="left" w:pos="840"/>
        </w:tabs>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4.1.3交易需求；</w:t>
      </w:r>
    </w:p>
    <w:p w14:paraId="6EA31F29">
      <w:pPr>
        <w:pStyle w:val="34"/>
        <w:tabs>
          <w:tab w:val="left" w:pos="840"/>
        </w:tabs>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4.1.4交易办法；</w:t>
      </w:r>
    </w:p>
    <w:p w14:paraId="6D919814">
      <w:pPr>
        <w:pStyle w:val="34"/>
        <w:tabs>
          <w:tab w:val="left" w:pos="840"/>
        </w:tabs>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4.1.5拟签订的合同文本；</w:t>
      </w:r>
    </w:p>
    <w:p w14:paraId="2B22268C">
      <w:pPr>
        <w:pStyle w:val="34"/>
        <w:tabs>
          <w:tab w:val="left" w:pos="840"/>
        </w:tabs>
        <w:spacing w:line="460" w:lineRule="exact"/>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6DD46CB1">
      <w:pPr>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澄清或者修改的内容为公开竞争文件的组成部分</w:t>
      </w:r>
      <w:r>
        <w:rPr>
          <w:rFonts w:hint="eastAsia" w:ascii="宋体" w:hAnsi="宋体" w:eastAsia="宋体" w:cs="宋体"/>
          <w:color w:val="000000" w:themeColor="text1"/>
          <w:sz w:val="24"/>
          <w:highlight w:val="none"/>
          <w14:textFill>
            <w14:solidFill>
              <w14:schemeClr w14:val="tx1"/>
            </w14:solidFill>
          </w14:textFill>
        </w:rPr>
        <w:t>。</w:t>
      </w:r>
    </w:p>
    <w:p w14:paraId="617AD0EA">
      <w:pPr>
        <w:pStyle w:val="34"/>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5.公开竞争文件的澄清、修改</w:t>
      </w:r>
    </w:p>
    <w:p w14:paraId="1D759FC2">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5.1已获取公开竞争文件的潜在响应人，若有问题需要澄清，应于响应截止时间前，以书面形式向代理机构提出。</w:t>
      </w:r>
    </w:p>
    <w:p w14:paraId="60A2EA09">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35822091">
      <w:pPr>
        <w:adjustRightInd/>
        <w:spacing w:line="460" w:lineRule="exact"/>
        <w:jc w:val="center"/>
        <w:outlineLvl w:val="0"/>
        <w:rPr>
          <w:rFonts w:hint="eastAsia" w:ascii="宋体" w:hAnsi="宋体" w:eastAsia="宋体" w:cs="宋体"/>
          <w:b/>
          <w:color w:val="000000" w:themeColor="text1"/>
          <w:sz w:val="30"/>
          <w:szCs w:val="20"/>
          <w:highlight w:val="none"/>
          <w14:textFill>
            <w14:solidFill>
              <w14:schemeClr w14:val="tx1"/>
            </w14:solidFill>
          </w14:textFill>
        </w:rPr>
      </w:pPr>
    </w:p>
    <w:p w14:paraId="2AEDDC31">
      <w:pPr>
        <w:adjustRightInd/>
        <w:spacing w:line="460" w:lineRule="exact"/>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三、响应</w:t>
      </w:r>
    </w:p>
    <w:p w14:paraId="439E74C3">
      <w:pPr>
        <w:pStyle w:val="34"/>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6.公开竞争文件的获取</w:t>
      </w:r>
    </w:p>
    <w:p w14:paraId="1F9F3431">
      <w:pPr>
        <w:spacing w:line="460" w:lineRule="exact"/>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详见交易公告中获取公开竞争文件的时间期限、地点、方式及公开竞争文件售价。</w:t>
      </w:r>
    </w:p>
    <w:p w14:paraId="665510D7">
      <w:pPr>
        <w:pStyle w:val="34"/>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7.交易前答疑会或现场考察</w:t>
      </w:r>
    </w:p>
    <w:p w14:paraId="7C7F4D92">
      <w:pPr>
        <w:pStyle w:val="34"/>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本项目不组织交易前答疑会或现场考察。</w:t>
      </w:r>
    </w:p>
    <w:p w14:paraId="7C9B859A">
      <w:pPr>
        <w:pStyle w:val="34"/>
        <w:spacing w:line="460" w:lineRule="exact"/>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8.交易保证金</w:t>
      </w:r>
    </w:p>
    <w:p w14:paraId="4441481B">
      <w:pPr>
        <w:pStyle w:val="16"/>
        <w:spacing w:line="460" w:lineRule="exact"/>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本项目不需缴纳交易保证金。</w:t>
      </w:r>
    </w:p>
    <w:p w14:paraId="4CEA62B2">
      <w:pPr>
        <w:pStyle w:val="34"/>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9.响应文件的语言</w:t>
      </w:r>
    </w:p>
    <w:p w14:paraId="4A44E058">
      <w:pPr>
        <w:autoSpaceDE w:val="0"/>
        <w:autoSpaceDN w:val="0"/>
        <w:spacing w:line="46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响应文件及响应人与交易有关的来往通知、函件和文件均应使用中文。</w:t>
      </w:r>
    </w:p>
    <w:p w14:paraId="5C4EEB59">
      <w:pPr>
        <w:pStyle w:val="34"/>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10.响应文件的组成</w:t>
      </w:r>
    </w:p>
    <w:p w14:paraId="0FE64688">
      <w:pPr>
        <w:snapToGrid w:val="0"/>
        <w:spacing w:line="460" w:lineRule="exact"/>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10.1资格文件：</w:t>
      </w:r>
    </w:p>
    <w:p w14:paraId="1A64438A">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10.1.1符合参加交易活动应当具备的一般条件的承诺函；</w:t>
      </w:r>
    </w:p>
    <w:p w14:paraId="7F97E7B2">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10.1.2本项目的特定资格要求。</w:t>
      </w:r>
    </w:p>
    <w:p w14:paraId="1057CFB8">
      <w:pPr>
        <w:snapToGrid w:val="0"/>
        <w:spacing w:line="460" w:lineRule="exact"/>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0</w:t>
      </w:r>
      <w:r>
        <w:rPr>
          <w:rFonts w:hint="eastAsia" w:ascii="宋体" w:hAnsi="宋体" w:eastAsia="宋体" w:cs="宋体"/>
          <w:b/>
          <w:bCs/>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2商务技术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14:paraId="174EF905">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10.2.1交易函；</w:t>
      </w:r>
    </w:p>
    <w:p w14:paraId="707D4556">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10.2.2授权委托书或法定代表人（单位负责人、自然人本人）身份证明；</w:t>
      </w:r>
    </w:p>
    <w:p w14:paraId="2B97F504">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10.2.3营业执照；</w:t>
      </w:r>
    </w:p>
    <w:p w14:paraId="0149CF9F">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10.2.4符合性审查资料；</w:t>
      </w:r>
    </w:p>
    <w:p w14:paraId="288082C5">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10.2.5评审标准相应的商务技术资料；</w:t>
      </w:r>
    </w:p>
    <w:p w14:paraId="34D9E795">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10.2.6商务技术偏离表；</w:t>
      </w:r>
    </w:p>
    <w:p w14:paraId="699E1B09">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10.2.7</w:t>
      </w:r>
      <w:r>
        <w:rPr>
          <w:rFonts w:hint="eastAsia" w:ascii="宋体" w:hAnsi="宋体" w:eastAsia="宋体" w:cs="宋体"/>
          <w:color w:val="000000" w:themeColor="text1"/>
          <w:sz w:val="24"/>
          <w:highlight w:val="none"/>
          <w:lang w:val="zh-CN"/>
          <w14:textFill>
            <w14:solidFill>
              <w14:schemeClr w14:val="tx1"/>
            </w14:solidFill>
          </w14:textFill>
        </w:rPr>
        <w:t>响应人廉洁自律承诺书。</w:t>
      </w:r>
    </w:p>
    <w:p w14:paraId="560EDECA">
      <w:pPr>
        <w:snapToGrid w:val="0"/>
        <w:spacing w:line="460" w:lineRule="exact"/>
        <w:ind w:firstLine="482" w:firstLineChars="200"/>
        <w:rPr>
          <w:rFonts w:hint="eastAsia" w:ascii="宋体" w:hAnsi="宋体" w:eastAsia="宋体" w:cs="宋体"/>
          <w:b/>
          <w:bCs/>
          <w:color w:val="000000" w:themeColor="text1"/>
          <w:sz w:val="24"/>
          <w:highlight w:val="none"/>
          <w:u w:val="single"/>
          <w:lang w:val="zh-CN"/>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0</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报价文件：</w:t>
      </w:r>
    </w:p>
    <w:p w14:paraId="5DF95ECF">
      <w:pPr>
        <w:snapToGrid w:val="0"/>
        <w:spacing w:line="4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10.3.1交易一览表（报价表）。</w:t>
      </w:r>
    </w:p>
    <w:p w14:paraId="6CC9446A">
      <w:pPr>
        <w:spacing w:line="460" w:lineRule="exact"/>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响应文件含有交易发起人不能接受的附加条件的，交易无效；</w:t>
      </w:r>
    </w:p>
    <w:p w14:paraId="7CC77E46">
      <w:pPr>
        <w:spacing w:line="460" w:lineRule="exact"/>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响应人提供虚假材料投标的，交易无效。</w:t>
      </w:r>
    </w:p>
    <w:p w14:paraId="7E22C27A">
      <w:pPr>
        <w:pStyle w:val="137"/>
        <w:snapToGrid w:val="0"/>
        <w:spacing w:before="0" w:line="460" w:lineRule="exact"/>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11</w:t>
      </w:r>
      <w:r>
        <w:rPr>
          <w:rFonts w:hint="eastAsia" w:ascii="宋体" w:hAnsi="宋体" w:eastAsia="宋体" w:cs="宋体"/>
          <w:b/>
          <w:color w:val="000000" w:themeColor="text1"/>
          <w:kern w:val="0"/>
          <w:szCs w:val="24"/>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响应文件的编制</w:t>
      </w:r>
    </w:p>
    <w:p w14:paraId="408055D3">
      <w:pPr>
        <w:spacing w:line="4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6B2BD25F">
      <w:pPr>
        <w:spacing w:line="460" w:lineRule="exact"/>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.2响应人进行电子投标应安装客户端软件—“乐采云电子交易客户端”，并按照公开竞争文件和电子交易平台的要求编制并加密响应文件。响应人未按规定加密的响应文件，电子交易平台将拒收并提示。</w:t>
      </w:r>
    </w:p>
    <w:p w14:paraId="7DDD4785">
      <w:pPr>
        <w:spacing w:line="460" w:lineRule="exact"/>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.3使用“乐采云电子交易客户端”需要提前申领CA数字证书，申领流程请自行前往“浙江企业采购信息服务网-下载专区-电子交易客户端-CA驱动和申领流程”进行查阅。</w:t>
      </w:r>
    </w:p>
    <w:p w14:paraId="7773F523">
      <w:pPr>
        <w:snapToGrid w:val="0"/>
        <w:spacing w:line="46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12.响应文件的签署、盖章</w:t>
      </w:r>
    </w:p>
    <w:p w14:paraId="379BF99B">
      <w:pPr>
        <w:pStyle w:val="137"/>
        <w:snapToGrid w:val="0"/>
        <w:spacing w:before="0" w:line="460" w:lineRule="exact"/>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12.1响应文件按照公开竞争文件第六部分格式要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▲响应人的响应文件未按照公开竞争文件要求签署、盖章的，其交易无效</w:t>
      </w:r>
      <w:r>
        <w:rPr>
          <w:rFonts w:hint="eastAsia" w:ascii="宋体" w:hAnsi="宋体" w:eastAsia="宋体" w:cs="宋体"/>
          <w:color w:val="000000" w:themeColor="text1"/>
          <w:szCs w:val="24"/>
          <w:highlight w:val="none"/>
          <w14:textFill>
            <w14:solidFill>
              <w14:schemeClr w14:val="tx1"/>
            </w14:solidFill>
          </w14:textFill>
        </w:rPr>
        <w:t>。</w:t>
      </w:r>
    </w:p>
    <w:p w14:paraId="345D3ECE">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12.2为确保网上操作合法、有效和安全，响应人应当在响应截止时间前完成在“</w:t>
      </w:r>
      <w:r>
        <w:rPr>
          <w:rFonts w:hint="eastAsia" w:ascii="宋体" w:hAnsi="宋体" w:eastAsia="宋体" w:cs="宋体"/>
          <w:color w:val="000000" w:themeColor="text1"/>
          <w:highlight w:val="none"/>
          <w:lang w:eastAsia="zh-CN"/>
          <w14:textFill>
            <w14:solidFill>
              <w14:schemeClr w14:val="tx1"/>
            </w14:solidFill>
          </w14:textFill>
        </w:rPr>
        <w:t>乐采云平台</w:t>
      </w:r>
      <w:r>
        <w:rPr>
          <w:rFonts w:hint="eastAsia" w:ascii="宋体" w:hAnsi="宋体" w:eastAsia="宋体" w:cs="宋体"/>
          <w:color w:val="000000" w:themeColor="text1"/>
          <w:highlight w:val="none"/>
          <w14:textFill>
            <w14:solidFill>
              <w14:schemeClr w14:val="tx1"/>
            </w14:solidFill>
          </w14:textFill>
        </w:rPr>
        <w:t>”的身份认证，确保在电子投标过程中能够对相关数据电文进行加密和使用电子签名。</w:t>
      </w:r>
    </w:p>
    <w:p w14:paraId="50115C0A">
      <w:pPr>
        <w:pStyle w:val="137"/>
        <w:snapToGrid w:val="0"/>
        <w:spacing w:before="0" w:line="460" w:lineRule="exact"/>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12.3公开竞争文件对响应文件签署、盖章的要求适用于电子签名。</w:t>
      </w:r>
    </w:p>
    <w:p w14:paraId="6400E22B">
      <w:pPr>
        <w:pStyle w:val="137"/>
        <w:spacing w:before="0" w:line="460" w:lineRule="exact"/>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13.响应文件的提交、补充、修改、撤回</w:t>
      </w:r>
    </w:p>
    <w:p w14:paraId="4F7E839B">
      <w:pPr>
        <w:pStyle w:val="137"/>
        <w:spacing w:line="460" w:lineRule="exact"/>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890A07C">
      <w:pPr>
        <w:pStyle w:val="137"/>
        <w:spacing w:before="0" w:line="460" w:lineRule="exact"/>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13.2电子交易平台收到响应文件，将妥善保存并即时向响应人发出确认回执通知。在响应截止时间前，除响应人补充、修改或者撤回响应文件外，任何单位和个人不得解密或提取响应文件。</w:t>
      </w:r>
    </w:p>
    <w:p w14:paraId="7A04A476">
      <w:pPr>
        <w:pStyle w:val="137"/>
        <w:spacing w:before="0" w:line="460" w:lineRule="exact"/>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13.3交易发起人、代理机构可以视情况延长响应文件提交的截止时间。在上述情况下，代理机构与响应人以前在投标截止期方面的全部权利、责任和义务，将适用于延长至新的投标截止期。</w:t>
      </w:r>
    </w:p>
    <w:p w14:paraId="6567D645">
      <w:pPr>
        <w:pStyle w:val="34"/>
        <w:numPr>
          <w:ilvl w:val="0"/>
          <w:numId w:val="1"/>
        </w:numPr>
        <w:spacing w:line="46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备份响应文件</w:t>
      </w:r>
    </w:p>
    <w:p w14:paraId="4B563DFA">
      <w:pPr>
        <w:pStyle w:val="34"/>
        <w:spacing w:line="460" w:lineRule="exact"/>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不收取备份响应文件。</w:t>
      </w:r>
    </w:p>
    <w:p w14:paraId="77F2C9DE">
      <w:pPr>
        <w:pStyle w:val="137"/>
        <w:spacing w:before="0" w:line="460" w:lineRule="exact"/>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15.响应文件的无效处理</w:t>
      </w:r>
    </w:p>
    <w:p w14:paraId="1A390F0B">
      <w:pPr>
        <w:pStyle w:val="26"/>
        <w:spacing w:line="46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有公开竞争文件第四部分</w:t>
      </w:r>
      <w:r>
        <w:rPr>
          <w:rFonts w:hint="eastAsia" w:ascii="宋体" w:hAnsi="宋体" w:eastAsia="宋体" w:cs="宋体"/>
          <w:color w:val="000000" w:themeColor="text1"/>
          <w:highlight w:val="none"/>
          <w14:textFill>
            <w14:solidFill>
              <w14:schemeClr w14:val="tx1"/>
            </w14:solidFill>
          </w14:textFill>
        </w:rPr>
        <w:t>4.2规定</w:t>
      </w:r>
      <w:r>
        <w:rPr>
          <w:rFonts w:hint="eastAsia" w:ascii="宋体" w:hAnsi="宋体" w:eastAsia="宋体" w:cs="宋体"/>
          <w:color w:val="000000" w:themeColor="text1"/>
          <w:szCs w:val="21"/>
          <w:highlight w:val="none"/>
          <w14:textFill>
            <w14:solidFill>
              <w14:schemeClr w14:val="tx1"/>
            </w14:solidFill>
          </w14:textFill>
        </w:rPr>
        <w:t>的情形之一的，交易无效：</w:t>
      </w:r>
    </w:p>
    <w:p w14:paraId="3AE2FE67">
      <w:pPr>
        <w:pStyle w:val="137"/>
        <w:spacing w:before="0" w:line="460" w:lineRule="exact"/>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16.交易有效期</w:t>
      </w:r>
    </w:p>
    <w:p w14:paraId="30945007">
      <w:pPr>
        <w:spacing w:line="460" w:lineRule="exact"/>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16.1交易有效期为从提交响应文件的截止之日起90天。▲</w:t>
      </w:r>
      <w:r>
        <w:rPr>
          <w:rFonts w:hint="eastAsia" w:ascii="宋体" w:hAnsi="宋体" w:eastAsia="宋体" w:cs="宋体"/>
          <w:b/>
          <w:color w:val="000000" w:themeColor="text1"/>
          <w:sz w:val="24"/>
          <w:szCs w:val="20"/>
          <w:highlight w:val="none"/>
          <w14:textFill>
            <w14:solidFill>
              <w14:schemeClr w14:val="tx1"/>
            </w14:solidFill>
          </w14:textFill>
        </w:rPr>
        <w:t>响应人的响应文件中承</w:t>
      </w:r>
      <w:r>
        <w:rPr>
          <w:rFonts w:hint="eastAsia" w:ascii="宋体" w:hAnsi="宋体" w:eastAsia="宋体" w:cs="宋体"/>
          <w:b/>
          <w:color w:val="000000" w:themeColor="text1"/>
          <w:sz w:val="24"/>
          <w:szCs w:val="21"/>
          <w:highlight w:val="none"/>
          <w14:textFill>
            <w14:solidFill>
              <w14:schemeClr w14:val="tx1"/>
            </w14:solidFill>
          </w14:textFill>
        </w:rPr>
        <w:t>诺的交易有效期少于公开竞争文件中载明的交易有效期的，交易无效。</w:t>
      </w:r>
    </w:p>
    <w:p w14:paraId="677CCEB4">
      <w:pPr>
        <w:pStyle w:val="137"/>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16.2响应文件合格投递后，自投标截止日期起，在交易有效期内有效。</w:t>
      </w:r>
    </w:p>
    <w:p w14:paraId="2107BF0A">
      <w:pPr>
        <w:pStyle w:val="137"/>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16.3在原定交易有效期满之前，如果出现特殊情况，代理机构可以以书面形式通知响应人延长交易有效期。响应人同意延长的，不得要求或被允许修改其响应文件，响应人拒绝延长的，其交易无效。</w:t>
      </w:r>
    </w:p>
    <w:p w14:paraId="188FE72F">
      <w:pPr>
        <w:pStyle w:val="137"/>
        <w:spacing w:before="0" w:line="460" w:lineRule="exact"/>
        <w:ind w:firstLine="643"/>
        <w:rPr>
          <w:rFonts w:hint="eastAsia" w:ascii="宋体" w:hAnsi="宋体" w:eastAsia="宋体" w:cs="宋体"/>
          <w:b/>
          <w:color w:val="000000" w:themeColor="text1"/>
          <w:sz w:val="32"/>
          <w:highlight w:val="none"/>
          <w14:textFill>
            <w14:solidFill>
              <w14:schemeClr w14:val="tx1"/>
            </w14:solidFill>
          </w14:textFill>
        </w:rPr>
      </w:pPr>
    </w:p>
    <w:p w14:paraId="201C6A19">
      <w:pPr>
        <w:pStyle w:val="137"/>
        <w:spacing w:before="0" w:line="460" w:lineRule="exact"/>
        <w:ind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四、交易、资格审查</w:t>
      </w:r>
    </w:p>
    <w:p w14:paraId="029DED63">
      <w:pPr>
        <w:pStyle w:val="562"/>
        <w:spacing w:before="0" w:line="460" w:lineRule="exact"/>
        <w:ind w:left="0" w:firstLine="0"/>
        <w:contextualSpacing/>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 xml:space="preserve">17.交易 </w:t>
      </w:r>
    </w:p>
    <w:p w14:paraId="73490965">
      <w:pPr>
        <w:pStyle w:val="562"/>
        <w:spacing w:before="0" w:line="460" w:lineRule="exact"/>
        <w:ind w:left="0" w:firstLine="420"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17.1代理机构按照公开竞争文件规定的时间通过电子交易平台组织开标，所有响应人均应当准时在线参加。响应人不足3家的，不得开标。</w:t>
      </w:r>
    </w:p>
    <w:p w14:paraId="450CAACA">
      <w:pPr>
        <w:pStyle w:val="562"/>
        <w:spacing w:before="0" w:line="460" w:lineRule="exact"/>
        <w:ind w:left="0" w:firstLine="420"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17.2交易时，电子交易平台按交易时间自动提取所有响应文件。代理机构依托电子交易平台发起开始解密指令，响应人按照平台提示和公开竞争文件的规定在半小时内完成在线解密。</w:t>
      </w:r>
    </w:p>
    <w:p w14:paraId="4A8410EE">
      <w:pPr>
        <w:pStyle w:val="562"/>
        <w:spacing w:before="0" w:line="460" w:lineRule="exact"/>
        <w:ind w:left="0" w:firstLine="420" w:firstLineChars="175"/>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17.3响应文件未按时解密，视为响应文件撤回。</w:t>
      </w:r>
    </w:p>
    <w:p w14:paraId="7B616F4A">
      <w:pPr>
        <w:pStyle w:val="26"/>
        <w:spacing w:line="460" w:lineRule="exact"/>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18、资格审查</w:t>
      </w:r>
    </w:p>
    <w:p w14:paraId="634FCC77">
      <w:pPr>
        <w:pStyle w:val="137"/>
        <w:spacing w:before="0" w:line="46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18.1交易后，交易发起人或代理机构将依法对响应人的资格进行审查。</w:t>
      </w:r>
    </w:p>
    <w:p w14:paraId="2A7DE8FA">
      <w:pPr>
        <w:snapToGrid w:val="0"/>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w:t>
      </w:r>
      <w:r>
        <w:rPr>
          <w:rFonts w:hint="eastAsia" w:ascii="宋体" w:hAnsi="宋体" w:eastAsia="宋体" w:cs="宋体"/>
          <w:color w:val="000000" w:themeColor="text1"/>
          <w:sz w:val="24"/>
          <w:highlight w:val="none"/>
          <w14:textFill>
            <w14:solidFill>
              <w14:schemeClr w14:val="tx1"/>
            </w14:solidFill>
          </w14:textFill>
        </w:rPr>
        <w:t>交易发起人或代理机构依据法律法规和公开竞争文件的规定，对响应人的基本资格条件、特定资格条件进行审查。</w:t>
      </w:r>
    </w:p>
    <w:p w14:paraId="6D17E02F">
      <w:pPr>
        <w:pStyle w:val="137"/>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18.3响应人未按照公开竞争文件要求提供与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响应人不具备公开竞争文件中规定的资格要求，其交易无效。</w:t>
      </w:r>
    </w:p>
    <w:p w14:paraId="4E9EE600">
      <w:pPr>
        <w:pStyle w:val="137"/>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4对未通过资格审查的响应人，交易发起人或代理机构告知其未通过的原因。</w:t>
      </w:r>
    </w:p>
    <w:p w14:paraId="38EEFE3F">
      <w:pPr>
        <w:pStyle w:val="137"/>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5合格响应人不足3家的，不再评标。</w:t>
      </w:r>
    </w:p>
    <w:p w14:paraId="17696C1B">
      <w:pPr>
        <w:pStyle w:val="137"/>
        <w:spacing w:before="0" w:line="460" w:lineRule="exact"/>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6432C490">
      <w:pPr>
        <w:snapToGrid w:val="0"/>
        <w:spacing w:line="460" w:lineRule="exact"/>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五、评审</w:t>
      </w:r>
    </w:p>
    <w:p w14:paraId="2524FAE1">
      <w:pPr>
        <w:spacing w:line="460" w:lineRule="exact"/>
        <w:rPr>
          <w:rFonts w:hint="eastAsia" w:ascii="宋体" w:hAnsi="宋体" w:eastAsia="宋体" w:cs="宋体"/>
          <w:color w:val="000000" w:themeColor="text1"/>
          <w:sz w:val="24"/>
          <w:highlight w:val="none"/>
          <w14:textFill>
            <w14:solidFill>
              <w14:schemeClr w14:val="tx1"/>
            </w14:solidFill>
          </w14:textFill>
        </w:rPr>
      </w:pPr>
      <w:bookmarkStart w:id="12" w:name="_Toc91899903"/>
      <w:r>
        <w:rPr>
          <w:rFonts w:hint="eastAsia" w:ascii="宋体" w:hAnsi="宋体" w:eastAsia="宋体" w:cs="宋体"/>
          <w:b/>
          <w:color w:val="000000" w:themeColor="text1"/>
          <w:sz w:val="24"/>
          <w:highlight w:val="none"/>
          <w14:textFill>
            <w14:solidFill>
              <w14:schemeClr w14:val="tx1"/>
            </w14:solidFill>
          </w14:textFill>
        </w:rPr>
        <w:t>19.</w:t>
      </w:r>
      <w:r>
        <w:rPr>
          <w:rFonts w:hint="eastAsia" w:ascii="宋体" w:hAnsi="宋体" w:eastAsia="宋体" w:cs="宋体"/>
          <w:color w:val="000000" w:themeColor="text1"/>
          <w:sz w:val="24"/>
          <w:highlight w:val="none"/>
          <w14:textFill>
            <w14:solidFill>
              <w14:schemeClr w14:val="tx1"/>
            </w14:solidFill>
          </w14:textFill>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68A4AF5C">
      <w:pPr>
        <w:spacing w:line="46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详见公开竞争文件第四部分交易办法。</w:t>
      </w:r>
    </w:p>
    <w:p w14:paraId="40F1FF23">
      <w:pPr>
        <w:spacing w:line="460" w:lineRule="exact"/>
        <w:rPr>
          <w:rFonts w:hint="eastAsia" w:ascii="宋体" w:hAnsi="宋体" w:eastAsia="宋体" w:cs="宋体"/>
          <w:b/>
          <w:color w:val="000000" w:themeColor="text1"/>
          <w:sz w:val="24"/>
          <w:highlight w:val="none"/>
          <w14:textFill>
            <w14:solidFill>
              <w14:schemeClr w14:val="tx1"/>
            </w14:solidFill>
          </w14:textFill>
        </w:rPr>
      </w:pPr>
    </w:p>
    <w:p w14:paraId="450A6B25">
      <w:pPr>
        <w:snapToGrid w:val="0"/>
        <w:spacing w:line="460" w:lineRule="exact"/>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六、定标</w:t>
      </w:r>
    </w:p>
    <w:p w14:paraId="418F5181">
      <w:pPr>
        <w:pStyle w:val="26"/>
        <w:spacing w:line="460" w:lineRule="exact"/>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20.确定成交响应人</w:t>
      </w:r>
    </w:p>
    <w:p w14:paraId="77E23F41">
      <w:pPr>
        <w:pStyle w:val="137"/>
        <w:snapToGrid w:val="0"/>
        <w:spacing w:before="0" w:line="460" w:lineRule="exact"/>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交易发起人将自收到评审报告之日起5个工作日内通过电子交易平台在评审报告推荐的成交候选人中按顺序确定成交响应人。</w:t>
      </w:r>
    </w:p>
    <w:p w14:paraId="28EC4A93">
      <w:pPr>
        <w:pStyle w:val="137"/>
        <w:snapToGrid w:val="0"/>
        <w:spacing w:before="0" w:line="460" w:lineRule="exact"/>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21.成交通知与成交结果公告</w:t>
      </w:r>
    </w:p>
    <w:p w14:paraId="06FF654C">
      <w:pPr>
        <w:widowControl/>
        <w:shd w:val="clear" w:color="auto" w:fill="FFFFFF"/>
        <w:spacing w:line="460" w:lineRule="exact"/>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21.1自成交人确定之日起3天内，代理机构通过电子交易平台向成交人发出成交通知书，同时编制发布成交结果公告。代理机构也可以以纸质形式进行成交通知。</w:t>
      </w:r>
    </w:p>
    <w:p w14:paraId="63CF1830">
      <w:pPr>
        <w:widowControl/>
        <w:shd w:val="clear" w:color="auto" w:fill="FFFFFF"/>
        <w:spacing w:line="460" w:lineRule="exact"/>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21.2成交结果公告内容包括交易发起人及其委托的代理机构的名称、地址、联系方式，项目名称和交易编号，成交人名称、地址和成交金额。</w:t>
      </w:r>
    </w:p>
    <w:p w14:paraId="2F17A3A3">
      <w:pPr>
        <w:snapToGrid w:val="0"/>
        <w:spacing w:line="460" w:lineRule="exact"/>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5F454EA1">
      <w:pPr>
        <w:snapToGrid w:val="0"/>
        <w:spacing w:line="460" w:lineRule="exact"/>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0AEA2428">
      <w:pPr>
        <w:pStyle w:val="26"/>
        <w:spacing w:line="460" w:lineRule="exact"/>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2B4C295E">
      <w:pPr>
        <w:pStyle w:val="26"/>
        <w:spacing w:line="460" w:lineRule="exact"/>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23.合同的签订</w:t>
      </w:r>
    </w:p>
    <w:p w14:paraId="5CB36D61">
      <w:pPr>
        <w:widowControl/>
        <w:shd w:val="clear" w:color="auto" w:fill="FFFFFF"/>
        <w:spacing w:line="460" w:lineRule="exac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w:t>
      </w:r>
      <w:r>
        <w:rPr>
          <w:rFonts w:hint="eastAsia" w:ascii="宋体" w:hAnsi="宋体" w:eastAsia="宋体" w:cs="宋体"/>
          <w:color w:val="000000" w:themeColor="text1"/>
          <w:kern w:val="0"/>
          <w:sz w:val="24"/>
          <w:highlight w:val="none"/>
          <w14:textFill>
            <w14:solidFill>
              <w14:schemeClr w14:val="tx1"/>
            </w14:solidFill>
          </w14:textFill>
        </w:rPr>
        <w:t>交易发起人与成交人应当通过电子交易平台在成交通知书发出之日起三十日内，按照公开竞争文件确定的事项签订书面合同。</w:t>
      </w:r>
    </w:p>
    <w:p w14:paraId="26A94D2C">
      <w:pPr>
        <w:pStyle w:val="137"/>
        <w:snapToGrid w:val="0"/>
        <w:spacing w:before="0" w:line="460" w:lineRule="exact"/>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3</w:t>
      </w:r>
      <w:r>
        <w:rPr>
          <w:rFonts w:hint="eastAsia" w:ascii="宋体" w:hAnsi="宋体" w:eastAsia="宋体" w:cs="宋体"/>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6497BE4A">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23.3如签订合同并生效后，响应人无故拒绝或延期，除按照合同条款处理外，列入不良行为记录一次，并给予通报。</w:t>
      </w:r>
    </w:p>
    <w:p w14:paraId="60C122B7">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23.4成交响应人拒绝与交易发起人签订合同的，交易发起人可以按照评审报告推荐的</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或者成交候选人名单排序，确定下一候选人为成交响应人，也可以重新开展交易活动。</w:t>
      </w:r>
    </w:p>
    <w:p w14:paraId="09DA66DF">
      <w:pPr>
        <w:pStyle w:val="137"/>
        <w:snapToGrid w:val="0"/>
        <w:spacing w:before="0" w:after="12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23.5书面合同由交易发起人与成交响应人根据公开竞争文件、响应文件等内容签订合同。</w:t>
      </w:r>
    </w:p>
    <w:p w14:paraId="4A79039C">
      <w:pPr>
        <w:pStyle w:val="26"/>
        <w:spacing w:line="460" w:lineRule="exact"/>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24.履约保证金：</w:t>
      </w:r>
      <w:r>
        <w:rPr>
          <w:rFonts w:hint="eastAsia" w:ascii="宋体" w:hAnsi="宋体" w:eastAsia="宋体" w:cs="宋体"/>
          <w:bCs/>
          <w:color w:val="000000" w:themeColor="text1"/>
          <w:highlight w:val="none"/>
          <w14:textFill>
            <w14:solidFill>
              <w14:schemeClr w14:val="tx1"/>
            </w14:solidFill>
          </w14:textFill>
        </w:rPr>
        <w:t>不收取。</w:t>
      </w:r>
    </w:p>
    <w:p w14:paraId="743CE8CB">
      <w:pPr>
        <w:snapToGrid w:val="0"/>
        <w:spacing w:line="460" w:lineRule="exact"/>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2550C647">
      <w:pPr>
        <w:snapToGrid w:val="0"/>
        <w:spacing w:line="460" w:lineRule="exact"/>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6C4BB2FF">
      <w:pPr>
        <w:pStyle w:val="137"/>
        <w:snapToGrid w:val="0"/>
        <w:spacing w:before="0" w:line="460" w:lineRule="exact"/>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color w:val="000000" w:themeColor="text1"/>
          <w:szCs w:val="24"/>
          <w:highlight w:val="none"/>
          <w14:textFill>
            <w14:solidFill>
              <w14:schemeClr w14:val="tx1"/>
            </w14:solidFill>
          </w14:textFill>
        </w:rPr>
        <w:t>5.电子交易活动的中止。</w:t>
      </w:r>
      <w:r>
        <w:rPr>
          <w:rFonts w:hint="eastAsia" w:ascii="宋体" w:hAnsi="宋体" w:eastAsia="宋体" w:cs="宋体"/>
          <w:bCs/>
          <w:color w:val="000000" w:themeColor="text1"/>
          <w:szCs w:val="24"/>
          <w:highlight w:val="none"/>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过程中出现以下情形，导致电子交易平台无法正常运行，或者无法保证电子交易的公平、公正和安全时，代理机构可中止电子交易活动：</w:t>
      </w:r>
    </w:p>
    <w:p w14:paraId="4CDEA5EE">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25.1电子交易平台发生故障而无法登录访问的； </w:t>
      </w:r>
    </w:p>
    <w:p w14:paraId="35435C03">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25.2电子交易平台应用或数据库出现错误，不能进行正常操作的；</w:t>
      </w:r>
    </w:p>
    <w:p w14:paraId="16FDB776">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25.3电子交易平台发现严重安全漏洞，有潜在泄密危险的；</w:t>
      </w:r>
    </w:p>
    <w:p w14:paraId="5E0E5E97">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25.4病毒发作导致不能进行正常操作的； </w:t>
      </w:r>
    </w:p>
    <w:p w14:paraId="1DD4E1F0">
      <w:pPr>
        <w:pStyle w:val="137"/>
        <w:snapToGrid w:val="0"/>
        <w:spacing w:before="0" w:line="460" w:lineRule="exact"/>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25.5其他无法保证电子交易的公平、公正和安全的情况。</w:t>
      </w:r>
    </w:p>
    <w:p w14:paraId="6C7C2996">
      <w:pPr>
        <w:pStyle w:val="137"/>
        <w:snapToGrid w:val="0"/>
        <w:spacing w:before="0" w:line="460" w:lineRule="exact"/>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t>出现以上情形，不影响交易公平、公正性的，代理机构可以待上述情形消除后继续组织电子交易活动，也可以决定某些环节以纸质形式进行；影响或可能影响交易公平、公正性的，应当重新交易。</w:t>
      </w:r>
    </w:p>
    <w:p w14:paraId="5969B2D4">
      <w:pPr>
        <w:snapToGrid w:val="0"/>
        <w:spacing w:line="460" w:lineRule="exact"/>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7CF83FA9">
      <w:pPr>
        <w:pStyle w:val="26"/>
        <w:spacing w:line="460" w:lineRule="exact"/>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27.验收</w:t>
      </w:r>
    </w:p>
    <w:p w14:paraId="280625BD">
      <w:pPr>
        <w:tabs>
          <w:tab w:val="left" w:pos="0"/>
        </w:tabs>
        <w:spacing w:line="460" w:lineRule="exac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27.1交易发起人应当组织对响应人履约的验收。</w:t>
      </w:r>
    </w:p>
    <w:bookmarkEnd w:id="10"/>
    <w:bookmarkEnd w:id="11"/>
    <w:bookmarkEnd w:id="12"/>
    <w:p w14:paraId="71BBC776">
      <w:pPr>
        <w:rPr>
          <w:rFonts w:hint="eastAsia" w:ascii="宋体" w:hAnsi="宋体" w:eastAsia="宋体" w:cs="宋体"/>
          <w:b/>
          <w:color w:val="000000" w:themeColor="text1"/>
          <w:sz w:val="36"/>
          <w:szCs w:val="36"/>
          <w:highlight w:val="none"/>
          <w14:textFill>
            <w14:solidFill>
              <w14:schemeClr w14:val="tx1"/>
            </w14:solidFill>
          </w14:textFill>
        </w:rPr>
      </w:pPr>
      <w:bookmarkStart w:id="13" w:name="第四部分"/>
      <w:r>
        <w:rPr>
          <w:rFonts w:hint="eastAsia" w:ascii="宋体" w:hAnsi="宋体" w:eastAsia="宋体" w:cs="宋体"/>
          <w:b/>
          <w:color w:val="000000" w:themeColor="text1"/>
          <w:sz w:val="36"/>
          <w:szCs w:val="36"/>
          <w:highlight w:val="none"/>
          <w14:textFill>
            <w14:solidFill>
              <w14:schemeClr w14:val="tx1"/>
            </w14:solidFill>
          </w14:textFill>
        </w:rPr>
        <w:br w:type="page"/>
      </w:r>
    </w:p>
    <w:p w14:paraId="3B2852E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第三部分   交易需求</w:t>
      </w:r>
    </w:p>
    <w:p w14:paraId="3B22614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属于实质性要求条款的，请用符号“▲”标明，否则属于非实质性要求。</w:t>
      </w:r>
    </w:p>
    <w:p w14:paraId="525E0CF2">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b/>
          <w:color w:val="000000" w:themeColor="text1"/>
          <w:sz w:val="28"/>
          <w:szCs w:val="28"/>
          <w:highlight w:val="none"/>
          <w14:textFill>
            <w14:solidFill>
              <w14:schemeClr w14:val="tx1"/>
            </w14:solidFill>
          </w14:textFill>
        </w:rPr>
        <w:t>交易一览表</w:t>
      </w:r>
    </w:p>
    <w:p w14:paraId="5CF06443">
      <w:pPr>
        <w:spacing w:after="1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标项：1</w:t>
      </w:r>
    </w:p>
    <w:tbl>
      <w:tblPr>
        <w:tblStyle w:val="65"/>
        <w:tblW w:w="9719" w:type="dxa"/>
        <w:jc w:val="center"/>
        <w:tblLayout w:type="fixed"/>
        <w:tblCellMar>
          <w:top w:w="0" w:type="dxa"/>
          <w:left w:w="0" w:type="dxa"/>
          <w:bottom w:w="0" w:type="dxa"/>
          <w:right w:w="0" w:type="dxa"/>
        </w:tblCellMar>
      </w:tblPr>
      <w:tblGrid>
        <w:gridCol w:w="726"/>
        <w:gridCol w:w="4425"/>
        <w:gridCol w:w="2007"/>
        <w:gridCol w:w="853"/>
        <w:gridCol w:w="853"/>
        <w:gridCol w:w="855"/>
      </w:tblGrid>
      <w:tr w14:paraId="3B583E3F">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7B50D5">
            <w:pPr>
              <w:spacing w:line="24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序号</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B95278">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2ECD73">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具体服务要求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14D0F2">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3A0E6C">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855" w:type="dxa"/>
            <w:tcBorders>
              <w:top w:val="single" w:color="auto" w:sz="4" w:space="0"/>
              <w:left w:val="nil"/>
              <w:bottom w:val="single" w:color="auto" w:sz="4" w:space="0"/>
              <w:right w:val="single" w:color="auto" w:sz="4" w:space="0"/>
            </w:tcBorders>
            <w:vAlign w:val="center"/>
          </w:tcPr>
          <w:p w14:paraId="13FC7631">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797D7DC5">
        <w:tblPrEx>
          <w:tblCellMar>
            <w:top w:w="0" w:type="dxa"/>
            <w:left w:w="0" w:type="dxa"/>
            <w:bottom w:w="0" w:type="dxa"/>
            <w:right w:w="0" w:type="dxa"/>
          </w:tblCellMar>
        </w:tblPrEx>
        <w:trPr>
          <w:cantSplit/>
          <w:trHeight w:val="1200"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6DBBA1">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A2B1CA">
            <w:pPr>
              <w:spacing w:line="24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信息港九期新增电缆及低压柜采购</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B63C9B">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详见交易需求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B417F">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批</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E6FFC">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855" w:type="dxa"/>
            <w:tcBorders>
              <w:top w:val="single" w:color="auto" w:sz="4" w:space="0"/>
              <w:left w:val="nil"/>
              <w:bottom w:val="single" w:color="auto" w:sz="4" w:space="0"/>
              <w:right w:val="single" w:color="auto" w:sz="4" w:space="0"/>
            </w:tcBorders>
            <w:vAlign w:val="center"/>
          </w:tcPr>
          <w:p w14:paraId="6C8666CF">
            <w:pPr>
              <w:spacing w:line="240" w:lineRule="auto"/>
              <w:rPr>
                <w:rFonts w:hint="eastAsia" w:ascii="宋体" w:hAnsi="宋体" w:eastAsia="宋体" w:cs="宋体"/>
                <w:color w:val="000000" w:themeColor="text1"/>
                <w:sz w:val="24"/>
                <w:highlight w:val="none"/>
                <w14:textFill>
                  <w14:solidFill>
                    <w14:schemeClr w14:val="tx1"/>
                  </w14:solidFill>
                </w14:textFill>
              </w:rPr>
            </w:pPr>
          </w:p>
        </w:tc>
      </w:tr>
    </w:tbl>
    <w:p w14:paraId="02F3E4A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D8EE23C">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二、交易需求</w:t>
      </w:r>
    </w:p>
    <w:p w14:paraId="044DD2B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一、基本概述</w:t>
      </w:r>
    </w:p>
    <w:p w14:paraId="642D8D2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提出的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规格参数</w:t>
      </w:r>
      <w:r>
        <w:rPr>
          <w:rFonts w:hint="eastAsia" w:ascii="宋体" w:hAnsi="宋体" w:eastAsia="宋体" w:cs="宋体"/>
          <w:color w:val="000000" w:themeColor="text1"/>
          <w:sz w:val="24"/>
          <w:szCs w:val="24"/>
          <w:highlight w:val="none"/>
          <w14:textFill>
            <w14:solidFill>
              <w14:schemeClr w14:val="tx1"/>
            </w14:solidFill>
          </w14:textFill>
        </w:rPr>
        <w:t>是最低限度的基本技术要求，并未对所有技术细节作出规定，供应商应提供符合本技术要求和国家标准、行业标准的优质产品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标明所执行的质量标准，若同一标准已颁发新标准，则按最新标准执行。若同一产品同时有几个标准（国家标准、行业标准、企业标准等），则按最高层次的标准执行。</w:t>
      </w:r>
    </w:p>
    <w:p w14:paraId="4C3642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.供应商须按国家有关规定及标准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公开竞争文件</w:t>
      </w:r>
      <w:r>
        <w:rPr>
          <w:rFonts w:hint="eastAsia" w:ascii="宋体" w:hAnsi="宋体" w:eastAsia="宋体" w:cs="宋体"/>
          <w:color w:val="000000" w:themeColor="text1"/>
          <w:sz w:val="24"/>
          <w:szCs w:val="24"/>
          <w:highlight w:val="none"/>
          <w:lang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完成本次采购产品的供货、运输、装卸、就位、安装、调试、技术培训、检验、通过有关部门验收、售后服务、售后服务期后维保等各项工作，并保证产品使用的安全性能与检测结果的可靠性。如成交，成交供应商及制造企业对成交产品使用的安全性能与可靠性负全部责任</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须随产品提供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合格证</w:t>
      </w:r>
      <w:r>
        <w:rPr>
          <w:rFonts w:hint="eastAsia" w:ascii="宋体" w:hAnsi="宋体" w:eastAsia="宋体" w:cs="宋体"/>
          <w:color w:val="000000" w:themeColor="text1"/>
          <w:sz w:val="24"/>
          <w:szCs w:val="24"/>
          <w:highlight w:val="none"/>
          <w14:textFill>
            <w14:solidFill>
              <w14:schemeClr w14:val="tx1"/>
            </w14:solidFill>
          </w14:textFill>
        </w:rPr>
        <w:t>。</w:t>
      </w:r>
    </w:p>
    <w:p w14:paraId="3A55324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3.该项目采购电力电缆设施包含安装人工、专业工具、附件材料、安全保险、加班费、质保验收等全部费用，供应商应综合考虑上述情况和安装难度对费用的影响。</w:t>
      </w:r>
    </w:p>
    <w:p w14:paraId="19DE7B7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二、项目清单</w:t>
      </w:r>
    </w:p>
    <w:tbl>
      <w:tblPr>
        <w:tblStyle w:val="6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577"/>
        <w:gridCol w:w="4507"/>
        <w:gridCol w:w="984"/>
        <w:gridCol w:w="1423"/>
      </w:tblGrid>
      <w:tr w14:paraId="2146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98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577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B7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3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05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1AC4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10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AD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低压柜</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49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800*1000*2200（内装1250A框架断路器1只、三相四线计量电表1只、多功能表1只、含现场拼柜铜排）</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BA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87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27EF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AF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20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桥架</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6F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400*200（支架配套）</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5E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30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r>
      <w:tr w14:paraId="3684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39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FD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C4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电力电缆敷设，型号：YJV22-0.6/1-4*240mm2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6D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32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549</w:t>
            </w:r>
          </w:p>
        </w:tc>
      </w:tr>
      <w:tr w14:paraId="7F84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4E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7B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低压电缆头</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70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低压电缆头制安，型号：4*240mm2，热缩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71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70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r>
    </w:tbl>
    <w:p w14:paraId="69EDD814">
      <w:pPr>
        <w:spacing w:beforeAutospacing="0" w:afterAutospacing="0" w:line="360" w:lineRule="auto"/>
        <w:rPr>
          <w:rFonts w:hint="eastAsia" w:ascii="宋体" w:hAnsi="宋体" w:eastAsia="宋体" w:cs="宋体"/>
          <w:b/>
          <w:bCs/>
          <w:color w:val="000000" w:themeColor="text1"/>
          <w:kern w:val="0"/>
          <w:sz w:val="24"/>
          <w:szCs w:val="24"/>
          <w:highlight w:val="none"/>
          <w14:textFill>
            <w14:solidFill>
              <w14:schemeClr w14:val="tx1"/>
            </w14:solidFill>
          </w14:textFill>
        </w:rPr>
      </w:pPr>
    </w:p>
    <w:p w14:paraId="1FEF753B">
      <w:pPr>
        <w:keepNext w:val="0"/>
        <w:keepLines w:val="0"/>
        <w:pageBreakBefore w:val="0"/>
        <w:kinsoku/>
        <w:wordWrap/>
        <w:overflowPunct/>
        <w:topLinePunct w:val="0"/>
        <w:bidi w:val="0"/>
        <w:spacing w:beforeAutospacing="0" w:afterAutospacing="0" w:line="360" w:lineRule="auto"/>
        <w:ind w:right="0" w:rightChars="0"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备注：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电力电缆设备进场后，采购人组织人员进行检验和到货验收，查验材料合格证明，到货验收合格后方可使用；经验收不合格，此批次材料、产品全部退还。</w:t>
      </w:r>
    </w:p>
    <w:p w14:paraId="4625E3E3">
      <w:pPr>
        <w:keepNext w:val="0"/>
        <w:keepLines w:val="0"/>
        <w:pageBreakBefore w:val="0"/>
        <w:kinsoku/>
        <w:wordWrap/>
        <w:overflowPunct/>
        <w:topLinePunct w:val="0"/>
        <w:bidi w:val="0"/>
        <w:spacing w:line="360" w:lineRule="auto"/>
        <w:ind w:right="0" w:righ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lang w:eastAsia="zh-CN"/>
          <w14:textFill>
            <w14:solidFill>
              <w14:schemeClr w14:val="tx1"/>
            </w14:solidFill>
          </w14:textFill>
        </w:rPr>
        <w:t>、项目组人员配置</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6D20958D">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1.为使项目按质、按量、按时及有序完成，供应商必须有一个完善的项目组及项目负责人。</w:t>
      </w:r>
    </w:p>
    <w:p w14:paraId="4B1710D0">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2.电缆拆除和安装施工人员应具备工程技术管理人员职称或有相关上岗证书，并满足施工和规范要求，并对安全负全部责任。</w:t>
      </w:r>
    </w:p>
    <w:p w14:paraId="5398B6DA">
      <w:pPr>
        <w:keepNext w:val="0"/>
        <w:keepLines w:val="0"/>
        <w:pageBreakBefore w:val="0"/>
        <w:kinsoku/>
        <w:wordWrap/>
        <w:overflowPunct/>
        <w:topLinePunct w:val="0"/>
        <w:bidi w:val="0"/>
        <w:spacing w:line="360" w:lineRule="auto"/>
        <w:ind w:right="0" w:rightChars="0" w:firstLine="482"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、现场踏勘</w:t>
      </w:r>
    </w:p>
    <w:p w14:paraId="3A8AA38B">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自行组织现场踏勘（采购人不组织现场踏勘），充分了解安装现场情况，需做保护措施的建筑及其他设施等，根据项目建设的需要及采购人的要求制定项目实施方案，供应商现场踏勘发生的费用自理。供应商自行负责在踏勘现场中所发生的人员伤亡和财产损失。如供应商投标前未进行现场踏勘，所造成的损失及风险由供应商自行承担。</w:t>
      </w:r>
    </w:p>
    <w:p w14:paraId="66E47EB1">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2、中标后, 成交人不得以未对现场踏勘或踏勘不详为由调整价款或提出其他任何权利主张。</w:t>
      </w:r>
    </w:p>
    <w:p w14:paraId="252A0AAB">
      <w:pPr>
        <w:keepNext w:val="0"/>
        <w:keepLines w:val="0"/>
        <w:pageBreakBefore w:val="0"/>
        <w:kinsoku/>
        <w:wordWrap/>
        <w:overflowPunct/>
        <w:topLinePunct w:val="0"/>
        <w:bidi w:val="0"/>
        <w:snapToGrid w:val="0"/>
        <w:spacing w:line="360" w:lineRule="auto"/>
        <w:ind w:right="0" w:rightChars="0"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质量保证</w:t>
      </w:r>
    </w:p>
    <w:p w14:paraId="0ED9DEBB">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1.供应商应保证提供的产品完全符合国家有关法律、法规、规章的规定，国家有关部门最新颁布强制性技术质量规范及国家现行相关政策的要求。</w:t>
      </w:r>
    </w:p>
    <w:p w14:paraId="2C50C0A9">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2.供应商应保证提供的产品应满足采购人的使用功能要求。</w:t>
      </w:r>
    </w:p>
    <w:p w14:paraId="6BD555F3">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3.供应商应保证提供的产品与投标文件相一致，产品是原厂生产、全新、未使用过，符合国家规定的质量、规格、性能和技术规范等的要求。</w:t>
      </w:r>
    </w:p>
    <w:p w14:paraId="31D5EFE0">
      <w:pPr>
        <w:keepNext w:val="0"/>
        <w:keepLines w:val="0"/>
        <w:pageBreakBefore w:val="0"/>
        <w:kinsoku/>
        <w:wordWrap/>
        <w:overflowPunct/>
        <w:topLinePunct w:val="0"/>
        <w:autoSpaceDE w:val="0"/>
        <w:autoSpaceDN w:val="0"/>
        <w:bidi w:val="0"/>
        <w:adjustRightInd w:val="0"/>
        <w:snapToGrid w:val="0"/>
        <w:spacing w:line="360" w:lineRule="auto"/>
        <w:ind w:right="0" w:righ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售后服</w:t>
      </w:r>
      <w:r>
        <w:rPr>
          <w:rFonts w:hint="eastAsia" w:ascii="宋体" w:hAnsi="宋体" w:eastAsia="宋体" w:cs="宋体"/>
          <w:b/>
          <w:color w:val="000000" w:themeColor="text1"/>
          <w:sz w:val="24"/>
          <w:szCs w:val="24"/>
          <w:highlight w:val="none"/>
          <w14:textFill>
            <w14:solidFill>
              <w14:schemeClr w14:val="tx1"/>
            </w14:solidFill>
          </w14:textFill>
        </w:rPr>
        <w:t>务</w:t>
      </w:r>
    </w:p>
    <w:p w14:paraId="1263F75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的售后服务期自验收合格之日起两年（自采购人（或其被委托人）在验收报告上签署“验收合格”之日起计算），售后服务期内，供应商应保证除人为因素和法律规定的不可抗力造成的故障外免费负责维保、更换配件等；售后服务期满后应保证优惠提供备件和维保服务。</w:t>
      </w:r>
    </w:p>
    <w:p w14:paraId="47436567">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2.供应商须提供详细的售后服务承诺及准确有效的服务机构联系方式。</w:t>
      </w:r>
    </w:p>
    <w:p w14:paraId="25EE6E36">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能提供24小时全天候召修服务，接到故障通知后6小时以内到达现场履行维修服务义务，12小时解决问题，若不能在12小时内解决，须提供同等性能、同等配置的产品替换，售后服务期内发生的一切费用由供应商承担。</w:t>
      </w:r>
    </w:p>
    <w:p w14:paraId="7430DC3F">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4.备品备件及耗材要求：该产品所需要的所有配件，供应商应常年备货以保证产品正常运行。</w:t>
      </w:r>
    </w:p>
    <w:p w14:paraId="482D31E7">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5.售后服务期内供应商应提供免费软件升级与技术支持服务。</w:t>
      </w:r>
    </w:p>
    <w:p w14:paraId="19234736">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6.供应商应结合产品的使用、保养过程，无偿对采购人派出的管理人员进行产品的基本知识、使用、维护保养技术的现场培训，以保证售后产品的良好运行状态。</w:t>
      </w:r>
    </w:p>
    <w:p w14:paraId="18EF7154">
      <w:pPr>
        <w:pStyle w:val="24"/>
        <w:keepNext w:val="0"/>
        <w:keepLines w:val="0"/>
        <w:pageBreakBefore w:val="0"/>
        <w:tabs>
          <w:tab w:val="left" w:pos="208"/>
        </w:tabs>
        <w:kinsoku/>
        <w:wordWrap/>
        <w:overflowPunct/>
        <w:topLinePunct w:val="0"/>
        <w:bidi w:val="0"/>
        <w:spacing w:line="360" w:lineRule="auto"/>
        <w:ind w:right="0" w:righ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、项目安全事项</w:t>
      </w:r>
    </w:p>
    <w:p w14:paraId="27EBF109">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1.供应商须按国家有关规定及标准完成本次项目所需的产品供货、安装、调试、验收、质保等各项工作，供应商对产品使用的安全性与可靠性负全部责任。</w:t>
      </w:r>
    </w:p>
    <w:p w14:paraId="3D5014DA">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2.供应商在本项目合同履行期间必须为完成本项目所招用的所有人员【劳务人员、技术人员、管理人员等】办理人身意外保险和第三方责任险。</w:t>
      </w:r>
    </w:p>
    <w:p w14:paraId="4E949A23">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应严格执行各项国家地方有关规定，应实施严格的各类安全防护保证措施，做好安全工作。供应商在项目实施期间，若发生与本项目相关的安全事故、交通事故等事故，一切法律和经济责任均由供应商承担，采购人概不负责。</w:t>
      </w:r>
    </w:p>
    <w:p w14:paraId="65F91132">
      <w:pPr>
        <w:keepNext w:val="0"/>
        <w:keepLines w:val="0"/>
        <w:pageBreakBefore w:val="0"/>
        <w:kinsoku/>
        <w:wordWrap/>
        <w:overflowPunct/>
        <w:topLinePunct w:val="0"/>
        <w:bidi w:val="0"/>
        <w:snapToGrid w:val="0"/>
        <w:spacing w:line="360" w:lineRule="auto"/>
        <w:ind w:right="0" w:rightChars="0"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、商务要求</w:t>
      </w:r>
    </w:p>
    <w:p w14:paraId="36E4EB5A">
      <w:pPr>
        <w:keepNext w:val="0"/>
        <w:keepLines w:val="0"/>
        <w:pageBreakBefore w:val="0"/>
        <w:widowControl/>
        <w:kinsoku/>
        <w:wordWrap/>
        <w:overflowPunct/>
        <w:topLinePunct w:val="0"/>
        <w:autoSpaceDE/>
        <w:autoSpaceDN/>
        <w:bidi w:val="0"/>
        <w:adjustRightInd/>
        <w:snapToGrid/>
        <w:spacing w:after="0" w:line="360" w:lineRule="auto"/>
        <w:ind w:right="0" w:rightChars="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1.工期要求及安装地点</w:t>
      </w:r>
    </w:p>
    <w:p w14:paraId="460C0B12">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工期要求：合同签订后30日历天。</w:t>
      </w:r>
    </w:p>
    <w:p w14:paraId="6B21BB57">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 安装地点：按采购人要求。</w:t>
      </w:r>
    </w:p>
    <w:p w14:paraId="4A6D64EE">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产品供货、安装、调试过程中发生的费用由成交人承担。</w:t>
      </w:r>
    </w:p>
    <w:p w14:paraId="1DC0D4BD">
      <w:pPr>
        <w:keepNext w:val="0"/>
        <w:keepLines w:val="0"/>
        <w:pageBreakBefore w:val="0"/>
        <w:widowControl/>
        <w:kinsoku/>
        <w:wordWrap/>
        <w:overflowPunct/>
        <w:topLinePunct w:val="0"/>
        <w:autoSpaceDE/>
        <w:autoSpaceDN/>
        <w:bidi w:val="0"/>
        <w:adjustRightInd/>
        <w:snapToGrid/>
        <w:spacing w:after="0" w:line="360" w:lineRule="auto"/>
        <w:ind w:right="0" w:rightChars="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2.验收（验收时间按采购人要求）</w:t>
      </w:r>
    </w:p>
    <w:p w14:paraId="2FCF689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2.1成交人完成产品供货、安装、调试后，采购人组织专业技术人员进行验收，验收按照国家有关验收标准、公开竞争文件要求、投标文件执行，所有的技术资料向采购人提交并签署验收报告后视为合格。</w:t>
      </w:r>
    </w:p>
    <w:p w14:paraId="58C5BAFF">
      <w:pPr>
        <w:keepNext w:val="0"/>
        <w:keepLines w:val="0"/>
        <w:pageBreakBefore w:val="0"/>
        <w:widowControl w:val="0"/>
        <w:kinsoku/>
        <w:wordWrap/>
        <w:overflowPunct/>
        <w:topLinePunct w:val="0"/>
        <w:autoSpaceDE w:val="0"/>
        <w:autoSpaceDN w:val="0"/>
        <w:bidi w:val="0"/>
        <w:adjustRightInd w:val="0"/>
        <w:spacing w:line="360" w:lineRule="auto"/>
        <w:ind w:right="0" w:rightChars="0" w:firstLine="482" w:firstLineChars="200"/>
        <w:textAlignment w:val="bottom"/>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.2若验收不合格，</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成交人</w:t>
      </w:r>
      <w:r>
        <w:rPr>
          <w:rFonts w:hint="eastAsia" w:ascii="宋体" w:hAnsi="宋体" w:eastAsia="宋体" w:cs="宋体"/>
          <w:b/>
          <w:bCs/>
          <w:color w:val="000000" w:themeColor="text1"/>
          <w:sz w:val="24"/>
          <w:szCs w:val="24"/>
          <w:highlight w:val="none"/>
          <w14:textFill>
            <w14:solidFill>
              <w14:schemeClr w14:val="tx1"/>
            </w14:solidFill>
          </w14:textFill>
        </w:rPr>
        <w:t>应在</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14:textFill>
            <w14:solidFill>
              <w14:schemeClr w14:val="tx1"/>
            </w14:solidFill>
          </w14:textFill>
        </w:rPr>
        <w:t>0日历天</w:t>
      </w:r>
      <w:r>
        <w:rPr>
          <w:rFonts w:hint="eastAsia" w:ascii="宋体" w:hAnsi="宋体" w:eastAsia="宋体" w:cs="宋体"/>
          <w:b/>
          <w:bCs/>
          <w:color w:val="000000" w:themeColor="text1"/>
          <w:sz w:val="24"/>
          <w:szCs w:val="24"/>
          <w:highlight w:val="none"/>
          <w14:textFill>
            <w14:solidFill>
              <w14:schemeClr w14:val="tx1"/>
            </w14:solidFill>
          </w14:textFill>
        </w:rPr>
        <w:t>内整改到位，进行二次验收，若二次验收不合格，</w:t>
      </w:r>
      <w:r>
        <w:rPr>
          <w:rFonts w:hint="eastAsia" w:ascii="宋体" w:hAnsi="宋体" w:eastAsia="宋体" w:cs="宋体"/>
          <w:b/>
          <w:color w:val="000000" w:themeColor="text1"/>
          <w:sz w:val="24"/>
          <w:szCs w:val="24"/>
          <w:highlight w:val="none"/>
          <w14:textFill>
            <w14:solidFill>
              <w14:schemeClr w14:val="tx1"/>
            </w14:solidFill>
          </w14:textFill>
        </w:rPr>
        <w:t>采购人有权解除合同，解除合同的通知自到达</w:t>
      </w:r>
      <w:r>
        <w:rPr>
          <w:rFonts w:hint="eastAsia" w:ascii="宋体" w:hAnsi="宋体" w:eastAsia="宋体" w:cs="宋体"/>
          <w:b/>
          <w:color w:val="000000" w:themeColor="text1"/>
          <w:sz w:val="24"/>
          <w:szCs w:val="24"/>
          <w:highlight w:val="none"/>
          <w:lang w:eastAsia="zh-CN"/>
          <w14:textFill>
            <w14:solidFill>
              <w14:schemeClr w14:val="tx1"/>
            </w14:solidFill>
          </w14:textFill>
        </w:rPr>
        <w:t>成交人</w:t>
      </w:r>
      <w:r>
        <w:rPr>
          <w:rFonts w:hint="eastAsia" w:ascii="宋体" w:hAnsi="宋体" w:eastAsia="宋体" w:cs="宋体"/>
          <w:b/>
          <w:color w:val="000000" w:themeColor="text1"/>
          <w:sz w:val="24"/>
          <w:szCs w:val="24"/>
          <w:highlight w:val="none"/>
          <w14:textFill>
            <w14:solidFill>
              <w14:schemeClr w14:val="tx1"/>
            </w14:solidFill>
          </w14:textFill>
        </w:rPr>
        <w:t>时生效，且不予支付</w:t>
      </w:r>
      <w:r>
        <w:rPr>
          <w:rFonts w:hint="eastAsia" w:ascii="宋体" w:hAnsi="宋体" w:eastAsia="宋体" w:cs="宋体"/>
          <w:b/>
          <w:color w:val="000000" w:themeColor="text1"/>
          <w:sz w:val="24"/>
          <w:szCs w:val="24"/>
          <w:highlight w:val="none"/>
          <w:lang w:eastAsia="zh-CN"/>
          <w14:textFill>
            <w14:solidFill>
              <w14:schemeClr w14:val="tx1"/>
            </w14:solidFill>
          </w14:textFill>
        </w:rPr>
        <w:t>剩余</w:t>
      </w:r>
      <w:r>
        <w:rPr>
          <w:rFonts w:hint="eastAsia" w:ascii="宋体" w:hAnsi="宋体" w:eastAsia="宋体" w:cs="宋体"/>
          <w:b/>
          <w:color w:val="000000" w:themeColor="text1"/>
          <w:sz w:val="24"/>
          <w:szCs w:val="24"/>
          <w:highlight w:val="none"/>
          <w14:textFill>
            <w14:solidFill>
              <w14:schemeClr w14:val="tx1"/>
            </w14:solidFill>
          </w14:textFill>
        </w:rPr>
        <w:t>合同款，采购人保留向</w:t>
      </w:r>
      <w:r>
        <w:rPr>
          <w:rFonts w:hint="eastAsia" w:ascii="宋体" w:hAnsi="宋体" w:eastAsia="宋体" w:cs="宋体"/>
          <w:b/>
          <w:color w:val="000000" w:themeColor="text1"/>
          <w:sz w:val="24"/>
          <w:szCs w:val="24"/>
          <w:highlight w:val="none"/>
          <w:lang w:eastAsia="zh-CN"/>
          <w14:textFill>
            <w14:solidFill>
              <w14:schemeClr w14:val="tx1"/>
            </w14:solidFill>
          </w14:textFill>
        </w:rPr>
        <w:t>成交人</w:t>
      </w:r>
      <w:r>
        <w:rPr>
          <w:rFonts w:hint="eastAsia" w:ascii="宋体" w:hAnsi="宋体" w:eastAsia="宋体" w:cs="宋体"/>
          <w:b/>
          <w:color w:val="000000" w:themeColor="text1"/>
          <w:sz w:val="24"/>
          <w:szCs w:val="24"/>
          <w:highlight w:val="none"/>
          <w14:textFill>
            <w14:solidFill>
              <w14:schemeClr w14:val="tx1"/>
            </w14:solidFill>
          </w14:textFill>
        </w:rPr>
        <w:t>索赔的权利。</w:t>
      </w:r>
    </w:p>
    <w:p w14:paraId="7A8D07C4">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2.3验收过程中发生的一切费用、风险由成交人承担。</w:t>
      </w:r>
    </w:p>
    <w:p w14:paraId="66A28A17">
      <w:pPr>
        <w:keepNext w:val="0"/>
        <w:keepLines w:val="0"/>
        <w:pageBreakBefore w:val="0"/>
        <w:widowControl w:val="0"/>
        <w:kinsoku/>
        <w:wordWrap/>
        <w:overflowPunct/>
        <w:topLinePunct w:val="0"/>
        <w:bidi w:val="0"/>
        <w:snapToGrid w:val="0"/>
        <w:spacing w:line="360" w:lineRule="auto"/>
        <w:ind w:right="0" w:rightChars="0" w:firstLine="480"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highlight w:val="none"/>
          <w14:textFill>
            <w14:solidFill>
              <w14:schemeClr w14:val="tx1"/>
            </w14:solidFill>
          </w14:textFill>
        </w:rPr>
        <w:t>.付款方式</w:t>
      </w:r>
    </w:p>
    <w:p w14:paraId="58264E31">
      <w:pPr>
        <w:pStyle w:val="34"/>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3.1、付款方式</w:t>
      </w:r>
    </w:p>
    <w:p w14:paraId="67295514">
      <w:pPr>
        <w:pStyle w:val="34"/>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（1）合同签订及正式开工后7天内支付预付款</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0%；</w:t>
      </w:r>
    </w:p>
    <w:p w14:paraId="39998E32">
      <w:pPr>
        <w:pStyle w:val="34"/>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（2）设备安装及调试完成，经初验合格后15天内支付至合同总价的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zh-CN"/>
          <w14:textFill>
            <w14:solidFill>
              <w14:schemeClr w14:val="tx1"/>
            </w14:solidFill>
          </w14:textFill>
        </w:rPr>
        <w:t>0%；</w:t>
      </w:r>
    </w:p>
    <w:p w14:paraId="5CBE69DE">
      <w:pPr>
        <w:pStyle w:val="34"/>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（3）所有设备在运行三个月后未出现质量或故障等问题，供应商提交质量复验申请，经监理、采购方等单位验收合格后，支付至合同总价的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z w:val="24"/>
          <w:szCs w:val="24"/>
          <w:highlight w:val="none"/>
          <w:lang w:val="zh-CN"/>
          <w14:textFill>
            <w14:solidFill>
              <w14:schemeClr w14:val="tx1"/>
            </w14:solidFill>
          </w14:textFill>
        </w:rPr>
        <w:t>%；如出现质量或故障问题，则顺延进行复验程序，直至合格为止。</w:t>
      </w:r>
    </w:p>
    <w:p w14:paraId="65DBBCDB">
      <w:pPr>
        <w:keepNext w:val="0"/>
        <w:keepLines w:val="0"/>
        <w:pageBreakBefore w:val="0"/>
        <w:shd w:val="clear" w:color="auto" w:fill="auto"/>
        <w:kinsoku/>
        <w:wordWrap/>
        <w:overflowPunct/>
        <w:topLinePunct w:val="0"/>
        <w:bidi w:val="0"/>
        <w:snapToGrid w:val="0"/>
        <w:spacing w:line="360" w:lineRule="auto"/>
        <w:ind w:right="0" w:righ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、其他</w:t>
      </w:r>
    </w:p>
    <w:p w14:paraId="4BBF646F">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成交人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未按本项目合同、公开竞争文件和成交人投标文件的规定及政府采购法律、法规的规定履行责任和义务，采购人有权解除或终止合同，并提请政府采购监管部门将其列入政府采购不良行为记录名单。</w:t>
      </w:r>
    </w:p>
    <w:p w14:paraId="6AE5E2E6">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项目所涉及的报价，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14:paraId="7A009462">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3.打▲内容为实质性要求，不允许有负偏离，否则将以涉及无效投标条款作无效投标。</w:t>
      </w:r>
    </w:p>
    <w:p w14:paraId="67D909EC">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4.成交人所提供的货物、服务须与投标承诺一致，不得以次充好、偷工减料，若在项目验收中发现有上述情况，将向有关部门举报，根据相关规定进行处理。</w:t>
      </w:r>
    </w:p>
    <w:p w14:paraId="74138943">
      <w:pPr>
        <w:pageBreakBefore w:val="0"/>
        <w:kinsoku/>
        <w:wordWrap/>
        <w:overflowPunct/>
        <w:topLinePunct w:val="0"/>
        <w:autoSpaceDE/>
        <w:autoSpaceDN/>
        <w:bidi w:val="0"/>
        <w:snapToGrid/>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F53F9A4">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766C7C5A">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7A1D1414">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03C84829">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6AF7A12B">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7CDC9A95">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721BA3D2">
      <w:pPr>
        <w:pageBreakBefore w:val="0"/>
        <w:widowControl/>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3C6849F8">
      <w:pPr>
        <w:rPr>
          <w:rFonts w:hint="eastAsia" w:ascii="宋体" w:hAnsi="宋体" w:eastAsia="宋体" w:cs="宋体"/>
          <w:color w:val="000000" w:themeColor="text1"/>
          <w:sz w:val="24"/>
          <w:szCs w:val="24"/>
          <w:highlight w:val="none"/>
          <w14:textFill>
            <w14:solidFill>
              <w14:schemeClr w14:val="tx1"/>
            </w14:solidFill>
          </w14:textFill>
        </w:rPr>
      </w:pPr>
    </w:p>
    <w:p w14:paraId="5EFF3915">
      <w:pPr>
        <w:pStyle w:val="2"/>
        <w:rPr>
          <w:rFonts w:hint="eastAsia"/>
          <w:color w:val="000000" w:themeColor="text1"/>
          <w:highlight w:val="none"/>
          <w14:textFill>
            <w14:solidFill>
              <w14:schemeClr w14:val="tx1"/>
            </w14:solidFill>
          </w14:textFill>
        </w:rPr>
      </w:pPr>
    </w:p>
    <w:p w14:paraId="69E121E7">
      <w:pPr>
        <w:rPr>
          <w:rFonts w:hint="eastAsia"/>
          <w:color w:val="000000" w:themeColor="text1"/>
          <w:highlight w:val="none"/>
          <w14:textFill>
            <w14:solidFill>
              <w14:schemeClr w14:val="tx1"/>
            </w14:solidFill>
          </w14:textFill>
        </w:rPr>
      </w:pPr>
    </w:p>
    <w:p w14:paraId="4B597A02">
      <w:pPr>
        <w:pStyle w:val="2"/>
        <w:rPr>
          <w:rFonts w:hint="eastAsia"/>
          <w:color w:val="000000" w:themeColor="text1"/>
          <w:highlight w:val="none"/>
          <w14:textFill>
            <w14:solidFill>
              <w14:schemeClr w14:val="tx1"/>
            </w14:solidFill>
          </w14:textFill>
        </w:rPr>
      </w:pPr>
    </w:p>
    <w:p w14:paraId="05C8699D">
      <w:pPr>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14" w:name="_Toc184314419"/>
      <w:bookmarkEnd w:id="14"/>
      <w:bookmarkStart w:id="15" w:name="_Toc184314474"/>
      <w:bookmarkEnd w:id="15"/>
      <w:bookmarkStart w:id="16" w:name="_Toc184314441"/>
      <w:bookmarkEnd w:id="16"/>
      <w:bookmarkStart w:id="17" w:name="_Toc184312100"/>
      <w:bookmarkEnd w:id="17"/>
      <w:bookmarkStart w:id="18" w:name="_Toc184308058"/>
      <w:bookmarkEnd w:id="18"/>
      <w:bookmarkStart w:id="19" w:name="_Toc184313307"/>
      <w:bookmarkEnd w:id="19"/>
      <w:bookmarkStart w:id="20" w:name="_Toc184314472"/>
      <w:bookmarkEnd w:id="20"/>
      <w:bookmarkStart w:id="21" w:name="_Toc184312128"/>
      <w:bookmarkEnd w:id="21"/>
      <w:bookmarkStart w:id="22" w:name="_Toc184312126"/>
      <w:bookmarkEnd w:id="22"/>
      <w:bookmarkStart w:id="23" w:name="_Toc184314481"/>
      <w:bookmarkEnd w:id="23"/>
      <w:bookmarkStart w:id="24" w:name="_Toc184308051"/>
      <w:bookmarkEnd w:id="24"/>
      <w:bookmarkStart w:id="25" w:name="_Toc184314410"/>
      <w:bookmarkEnd w:id="25"/>
      <w:bookmarkStart w:id="26" w:name="_Toc184313294"/>
      <w:bookmarkEnd w:id="26"/>
      <w:bookmarkStart w:id="27" w:name="_Toc184314466"/>
      <w:bookmarkEnd w:id="27"/>
      <w:bookmarkStart w:id="28" w:name="_Toc184308077"/>
      <w:bookmarkEnd w:id="28"/>
      <w:bookmarkStart w:id="29" w:name="_Toc184310283"/>
      <w:bookmarkEnd w:id="29"/>
      <w:bookmarkStart w:id="30" w:name="_Toc184310278"/>
      <w:bookmarkEnd w:id="30"/>
      <w:bookmarkStart w:id="31" w:name="_Toc184312118"/>
      <w:bookmarkEnd w:id="31"/>
      <w:bookmarkStart w:id="32" w:name="_Toc184312107"/>
      <w:bookmarkEnd w:id="32"/>
      <w:bookmarkStart w:id="33" w:name="_Toc184310328"/>
      <w:bookmarkEnd w:id="33"/>
      <w:bookmarkStart w:id="34" w:name="_Toc184313238"/>
      <w:bookmarkEnd w:id="34"/>
      <w:bookmarkStart w:id="35" w:name="_Toc184310310"/>
      <w:bookmarkEnd w:id="35"/>
      <w:bookmarkStart w:id="36" w:name="_Toc184313281"/>
      <w:bookmarkEnd w:id="36"/>
      <w:bookmarkStart w:id="37" w:name="_Toc184313239"/>
      <w:bookmarkEnd w:id="37"/>
      <w:bookmarkStart w:id="38" w:name="_Toc184308062"/>
      <w:bookmarkEnd w:id="38"/>
      <w:bookmarkStart w:id="39" w:name="_Toc184308063"/>
      <w:bookmarkEnd w:id="39"/>
      <w:bookmarkStart w:id="40" w:name="_Toc184314437"/>
      <w:bookmarkEnd w:id="40"/>
      <w:bookmarkStart w:id="41" w:name="_Toc184310292"/>
      <w:bookmarkEnd w:id="41"/>
      <w:bookmarkStart w:id="42" w:name="_Toc184308042"/>
      <w:bookmarkEnd w:id="42"/>
      <w:bookmarkStart w:id="43" w:name="_Toc184313305"/>
      <w:bookmarkEnd w:id="43"/>
      <w:bookmarkStart w:id="44" w:name="_Toc184313277"/>
      <w:bookmarkEnd w:id="44"/>
      <w:bookmarkStart w:id="45" w:name="_Toc184314454"/>
      <w:bookmarkEnd w:id="45"/>
      <w:bookmarkStart w:id="46" w:name="_Toc184314442"/>
      <w:bookmarkEnd w:id="46"/>
      <w:bookmarkStart w:id="47" w:name="_Toc184310321"/>
      <w:bookmarkEnd w:id="47"/>
      <w:bookmarkStart w:id="48" w:name="_Toc184308044"/>
      <w:bookmarkEnd w:id="48"/>
      <w:bookmarkStart w:id="49" w:name="_Toc184310336"/>
      <w:bookmarkEnd w:id="49"/>
      <w:bookmarkStart w:id="50" w:name="_Toc184310311"/>
      <w:bookmarkEnd w:id="50"/>
      <w:bookmarkStart w:id="51" w:name="_Toc184313268"/>
      <w:bookmarkEnd w:id="51"/>
      <w:bookmarkStart w:id="52" w:name="_Toc184313304"/>
      <w:bookmarkEnd w:id="52"/>
      <w:bookmarkStart w:id="53" w:name="_Toc184308068"/>
      <w:bookmarkEnd w:id="53"/>
      <w:bookmarkStart w:id="54" w:name="_Toc184310338"/>
      <w:bookmarkEnd w:id="54"/>
      <w:bookmarkStart w:id="55" w:name="_Toc184313276"/>
      <w:bookmarkEnd w:id="55"/>
      <w:bookmarkStart w:id="56" w:name="_Toc184312133"/>
      <w:bookmarkEnd w:id="56"/>
      <w:bookmarkStart w:id="57" w:name="_Toc184312094"/>
      <w:bookmarkEnd w:id="57"/>
      <w:bookmarkStart w:id="58" w:name="_Toc184312108"/>
      <w:bookmarkEnd w:id="58"/>
      <w:bookmarkStart w:id="59" w:name="_Toc184308049"/>
      <w:bookmarkEnd w:id="59"/>
      <w:bookmarkStart w:id="60" w:name="_Toc184314415"/>
      <w:bookmarkEnd w:id="60"/>
      <w:bookmarkStart w:id="61" w:name="_Toc184313240"/>
      <w:bookmarkEnd w:id="61"/>
      <w:bookmarkStart w:id="62" w:name="_Toc184310329"/>
      <w:bookmarkEnd w:id="62"/>
      <w:bookmarkStart w:id="63" w:name="_Toc184314476"/>
      <w:bookmarkEnd w:id="63"/>
      <w:bookmarkStart w:id="64" w:name="_Toc184313260"/>
      <w:bookmarkEnd w:id="64"/>
      <w:bookmarkStart w:id="65" w:name="_Toc184313253"/>
      <w:bookmarkEnd w:id="65"/>
      <w:bookmarkStart w:id="66" w:name="_Toc184310313"/>
      <w:bookmarkEnd w:id="66"/>
      <w:bookmarkStart w:id="67" w:name="_Toc184313291"/>
      <w:bookmarkEnd w:id="67"/>
      <w:bookmarkStart w:id="68" w:name="_Toc184313274"/>
      <w:bookmarkEnd w:id="68"/>
      <w:bookmarkStart w:id="69" w:name="_Toc184312106"/>
      <w:bookmarkEnd w:id="69"/>
      <w:bookmarkStart w:id="70" w:name="_Toc184312086"/>
      <w:bookmarkEnd w:id="70"/>
      <w:bookmarkStart w:id="71" w:name="_Toc184310330"/>
      <w:bookmarkEnd w:id="71"/>
      <w:bookmarkStart w:id="72" w:name="_Toc184313247"/>
      <w:bookmarkEnd w:id="72"/>
      <w:bookmarkStart w:id="73" w:name="_Toc184312098"/>
      <w:bookmarkEnd w:id="73"/>
      <w:bookmarkStart w:id="74" w:name="_Toc184314457"/>
      <w:bookmarkEnd w:id="74"/>
      <w:bookmarkStart w:id="75" w:name="_Toc184312131"/>
      <w:bookmarkEnd w:id="75"/>
      <w:bookmarkStart w:id="76" w:name="_Toc184308098"/>
      <w:bookmarkEnd w:id="76"/>
      <w:bookmarkStart w:id="77" w:name="_Toc184308045"/>
      <w:bookmarkEnd w:id="77"/>
      <w:bookmarkStart w:id="78" w:name="_Toc184308089"/>
      <w:bookmarkEnd w:id="78"/>
      <w:bookmarkStart w:id="79" w:name="_Toc184314462"/>
      <w:bookmarkEnd w:id="79"/>
      <w:bookmarkStart w:id="80" w:name="_Toc184308096"/>
      <w:bookmarkEnd w:id="80"/>
      <w:bookmarkStart w:id="81" w:name="_Toc184308061"/>
      <w:bookmarkEnd w:id="81"/>
      <w:bookmarkStart w:id="82" w:name="_Toc184314469"/>
      <w:bookmarkEnd w:id="82"/>
      <w:bookmarkStart w:id="83" w:name="_Toc184313283"/>
      <w:bookmarkEnd w:id="83"/>
      <w:bookmarkStart w:id="84" w:name="_Toc184312101"/>
      <w:bookmarkEnd w:id="84"/>
      <w:bookmarkStart w:id="85" w:name="_Toc184314477"/>
      <w:bookmarkEnd w:id="85"/>
      <w:bookmarkStart w:id="86" w:name="_Toc184312073"/>
      <w:bookmarkEnd w:id="86"/>
      <w:bookmarkStart w:id="87" w:name="_Toc184308082"/>
      <w:bookmarkEnd w:id="87"/>
      <w:bookmarkStart w:id="88" w:name="_Toc184310308"/>
      <w:bookmarkEnd w:id="88"/>
      <w:bookmarkStart w:id="89" w:name="_Toc184312129"/>
      <w:bookmarkEnd w:id="89"/>
      <w:bookmarkStart w:id="90" w:name="_Toc184314446"/>
      <w:bookmarkEnd w:id="90"/>
      <w:bookmarkStart w:id="91" w:name="_Toc184308069"/>
      <w:bookmarkEnd w:id="91"/>
      <w:bookmarkStart w:id="92" w:name="_Toc184313241"/>
      <w:bookmarkEnd w:id="92"/>
      <w:bookmarkStart w:id="93" w:name="_Toc184312091"/>
      <w:bookmarkEnd w:id="93"/>
      <w:bookmarkStart w:id="94" w:name="_Toc184314443"/>
      <w:bookmarkEnd w:id="94"/>
      <w:bookmarkStart w:id="95" w:name="_Toc184310334"/>
      <w:bookmarkEnd w:id="95"/>
      <w:bookmarkStart w:id="96" w:name="_Toc184313251"/>
      <w:bookmarkEnd w:id="96"/>
      <w:bookmarkStart w:id="97" w:name="_Toc184312075"/>
      <w:bookmarkEnd w:id="97"/>
      <w:bookmarkStart w:id="98" w:name="_Toc184310272"/>
      <w:bookmarkEnd w:id="98"/>
      <w:bookmarkStart w:id="99" w:name="_Toc184312076"/>
      <w:bookmarkEnd w:id="99"/>
      <w:bookmarkStart w:id="100" w:name="_Toc184313288"/>
      <w:bookmarkEnd w:id="100"/>
      <w:bookmarkStart w:id="101" w:name="_Toc184310315"/>
      <w:bookmarkEnd w:id="101"/>
      <w:bookmarkStart w:id="102" w:name="_Toc184313282"/>
      <w:bookmarkEnd w:id="102"/>
      <w:bookmarkStart w:id="103" w:name="_Toc184310340"/>
      <w:bookmarkEnd w:id="103"/>
      <w:bookmarkStart w:id="104" w:name="_Toc184314450"/>
      <w:bookmarkEnd w:id="104"/>
      <w:bookmarkStart w:id="105" w:name="_Toc184314475"/>
      <w:bookmarkEnd w:id="105"/>
      <w:bookmarkStart w:id="106" w:name="_Toc184310316"/>
      <w:bookmarkEnd w:id="106"/>
      <w:bookmarkStart w:id="107" w:name="_Toc184312095"/>
      <w:bookmarkEnd w:id="107"/>
      <w:bookmarkStart w:id="108" w:name="_Toc184313246"/>
      <w:bookmarkEnd w:id="108"/>
      <w:bookmarkStart w:id="109" w:name="_Toc184312116"/>
      <w:bookmarkEnd w:id="109"/>
      <w:bookmarkStart w:id="110" w:name="_Toc184314440"/>
      <w:bookmarkEnd w:id="110"/>
      <w:bookmarkStart w:id="111" w:name="_Toc184312068"/>
      <w:bookmarkEnd w:id="111"/>
      <w:bookmarkStart w:id="112" w:name="_Toc184312109"/>
      <w:bookmarkEnd w:id="112"/>
      <w:bookmarkStart w:id="113" w:name="_Toc184313266"/>
      <w:bookmarkEnd w:id="113"/>
      <w:bookmarkStart w:id="114" w:name="_Toc184313270"/>
      <w:bookmarkEnd w:id="114"/>
      <w:bookmarkStart w:id="115" w:name="_Toc184308083"/>
      <w:bookmarkEnd w:id="115"/>
      <w:bookmarkStart w:id="116" w:name="_Toc184310289"/>
      <w:bookmarkEnd w:id="116"/>
      <w:bookmarkStart w:id="117" w:name="_Toc184308065"/>
      <w:bookmarkEnd w:id="117"/>
      <w:bookmarkStart w:id="118" w:name="_Toc184308066"/>
      <w:bookmarkEnd w:id="118"/>
      <w:bookmarkStart w:id="119" w:name="_Toc184310294"/>
      <w:bookmarkEnd w:id="119"/>
      <w:bookmarkStart w:id="120" w:name="_Toc184314417"/>
      <w:bookmarkEnd w:id="120"/>
      <w:bookmarkStart w:id="121" w:name="_Toc184313250"/>
      <w:bookmarkEnd w:id="121"/>
      <w:bookmarkStart w:id="122" w:name="_Toc184312110"/>
      <w:bookmarkEnd w:id="122"/>
      <w:bookmarkStart w:id="123" w:name="_Toc184314451"/>
      <w:bookmarkEnd w:id="123"/>
      <w:bookmarkStart w:id="124" w:name="_Toc184308104"/>
      <w:bookmarkEnd w:id="124"/>
      <w:bookmarkStart w:id="125" w:name="_Toc184312134"/>
      <w:bookmarkEnd w:id="125"/>
      <w:bookmarkStart w:id="126" w:name="_Toc184313309"/>
      <w:bookmarkEnd w:id="126"/>
      <w:bookmarkStart w:id="127" w:name="_Toc184314448"/>
      <w:bookmarkEnd w:id="127"/>
      <w:bookmarkStart w:id="128" w:name="_Toc184314412"/>
      <w:bookmarkEnd w:id="128"/>
      <w:bookmarkStart w:id="129" w:name="_Toc184310304"/>
      <w:bookmarkEnd w:id="129"/>
      <w:bookmarkStart w:id="130" w:name="_Toc184313297"/>
      <w:bookmarkEnd w:id="130"/>
      <w:bookmarkStart w:id="131" w:name="_Toc184313256"/>
      <w:bookmarkEnd w:id="131"/>
      <w:bookmarkStart w:id="132" w:name="_Toc184313245"/>
      <w:bookmarkEnd w:id="132"/>
      <w:bookmarkStart w:id="133" w:name="_Toc184310320"/>
      <w:bookmarkEnd w:id="133"/>
      <w:bookmarkStart w:id="134" w:name="_Toc184310317"/>
      <w:bookmarkEnd w:id="134"/>
      <w:bookmarkStart w:id="135" w:name="_Toc184314455"/>
      <w:bookmarkEnd w:id="135"/>
      <w:bookmarkStart w:id="136" w:name="_Toc184312120"/>
      <w:bookmarkEnd w:id="136"/>
      <w:bookmarkStart w:id="137" w:name="_Toc184312136"/>
      <w:bookmarkEnd w:id="137"/>
      <w:bookmarkStart w:id="138" w:name="_Toc184312079"/>
      <w:bookmarkEnd w:id="138"/>
      <w:bookmarkStart w:id="139" w:name="_Toc184313280"/>
      <w:bookmarkEnd w:id="139"/>
      <w:bookmarkStart w:id="140" w:name="_Toc184308040"/>
      <w:bookmarkEnd w:id="140"/>
      <w:bookmarkStart w:id="141" w:name="_Toc184312115"/>
      <w:bookmarkEnd w:id="141"/>
      <w:bookmarkStart w:id="142" w:name="_Toc184312080"/>
      <w:bookmarkEnd w:id="142"/>
      <w:bookmarkStart w:id="143" w:name="_Toc184308079"/>
      <w:bookmarkEnd w:id="143"/>
      <w:bookmarkStart w:id="144" w:name="_Toc184308075"/>
      <w:bookmarkEnd w:id="144"/>
      <w:bookmarkStart w:id="145" w:name="_Toc184310302"/>
      <w:bookmarkEnd w:id="145"/>
      <w:bookmarkStart w:id="146" w:name="_Toc184314467"/>
      <w:bookmarkEnd w:id="146"/>
      <w:bookmarkStart w:id="147" w:name="_Toc184313252"/>
      <w:bookmarkEnd w:id="147"/>
      <w:bookmarkStart w:id="148" w:name="_Toc184312103"/>
      <w:bookmarkEnd w:id="148"/>
      <w:bookmarkStart w:id="149" w:name="_Toc184308088"/>
      <w:bookmarkEnd w:id="149"/>
      <w:bookmarkStart w:id="150" w:name="_Toc184308039"/>
      <w:bookmarkEnd w:id="150"/>
      <w:bookmarkStart w:id="151" w:name="_Toc184310341"/>
      <w:bookmarkEnd w:id="151"/>
      <w:bookmarkStart w:id="152" w:name="_Toc184308105"/>
      <w:bookmarkEnd w:id="152"/>
      <w:bookmarkStart w:id="153" w:name="_Toc184314416"/>
      <w:bookmarkEnd w:id="153"/>
      <w:bookmarkStart w:id="154" w:name="_Toc184308086"/>
      <w:bookmarkEnd w:id="154"/>
      <w:bookmarkStart w:id="155" w:name="_Toc184313267"/>
      <w:bookmarkEnd w:id="155"/>
      <w:bookmarkStart w:id="156" w:name="_Toc184308107"/>
      <w:bookmarkEnd w:id="156"/>
      <w:bookmarkStart w:id="157" w:name="_Toc184310312"/>
      <w:bookmarkEnd w:id="157"/>
      <w:bookmarkStart w:id="158" w:name="_Toc184314464"/>
      <w:bookmarkEnd w:id="158"/>
      <w:bookmarkStart w:id="159" w:name="_Toc184314459"/>
      <w:bookmarkEnd w:id="159"/>
      <w:bookmarkStart w:id="160" w:name="_Toc184314465"/>
      <w:bookmarkEnd w:id="160"/>
      <w:bookmarkStart w:id="161" w:name="_Toc184314429"/>
      <w:bookmarkEnd w:id="161"/>
      <w:bookmarkStart w:id="162" w:name="_Toc184308060"/>
      <w:bookmarkEnd w:id="162"/>
      <w:bookmarkStart w:id="163" w:name="_Toc184314434"/>
      <w:bookmarkEnd w:id="163"/>
      <w:bookmarkStart w:id="164" w:name="_Toc184308050"/>
      <w:bookmarkEnd w:id="164"/>
      <w:bookmarkStart w:id="165" w:name="_Toc184310280"/>
      <w:bookmarkEnd w:id="165"/>
      <w:bookmarkStart w:id="166" w:name="_Toc184312071"/>
      <w:bookmarkEnd w:id="166"/>
      <w:bookmarkStart w:id="167" w:name="_Toc184313257"/>
      <w:bookmarkEnd w:id="167"/>
      <w:bookmarkStart w:id="168" w:name="_Toc184312092"/>
      <w:bookmarkEnd w:id="168"/>
      <w:bookmarkStart w:id="169" w:name="_Toc184314439"/>
      <w:bookmarkEnd w:id="169"/>
      <w:bookmarkStart w:id="170" w:name="_Toc184314427"/>
      <w:bookmarkEnd w:id="170"/>
      <w:bookmarkStart w:id="171" w:name="_Toc184314426"/>
      <w:bookmarkEnd w:id="171"/>
      <w:bookmarkStart w:id="172" w:name="_Toc184308059"/>
      <w:bookmarkEnd w:id="172"/>
      <w:bookmarkStart w:id="173" w:name="_Toc184313254"/>
      <w:bookmarkEnd w:id="173"/>
      <w:bookmarkStart w:id="174" w:name="_Toc184314422"/>
      <w:bookmarkEnd w:id="174"/>
      <w:bookmarkStart w:id="175" w:name="_Toc184313255"/>
      <w:bookmarkEnd w:id="175"/>
      <w:bookmarkStart w:id="176" w:name="_Toc184314470"/>
      <w:bookmarkEnd w:id="176"/>
      <w:bookmarkStart w:id="177" w:name="_Toc184312122"/>
      <w:bookmarkEnd w:id="177"/>
      <w:bookmarkStart w:id="178" w:name="_Toc184310318"/>
      <w:bookmarkEnd w:id="178"/>
      <w:bookmarkStart w:id="179" w:name="_Toc184310314"/>
      <w:bookmarkEnd w:id="179"/>
      <w:bookmarkStart w:id="180" w:name="_Toc184314449"/>
      <w:bookmarkEnd w:id="180"/>
      <w:bookmarkStart w:id="181" w:name="_Toc184308071"/>
      <w:bookmarkEnd w:id="181"/>
      <w:bookmarkStart w:id="182" w:name="_Toc184314411"/>
      <w:bookmarkEnd w:id="182"/>
      <w:bookmarkStart w:id="183" w:name="_Toc184308078"/>
      <w:bookmarkEnd w:id="183"/>
      <w:bookmarkStart w:id="184" w:name="_Toc184310296"/>
      <w:bookmarkEnd w:id="184"/>
      <w:bookmarkStart w:id="185" w:name="_Toc184308094"/>
      <w:bookmarkEnd w:id="185"/>
      <w:bookmarkStart w:id="186" w:name="_Toc184308073"/>
      <w:bookmarkEnd w:id="186"/>
      <w:bookmarkStart w:id="187" w:name="_Toc184308072"/>
      <w:bookmarkEnd w:id="187"/>
      <w:bookmarkStart w:id="188" w:name="_Toc184310282"/>
      <w:bookmarkEnd w:id="188"/>
      <w:bookmarkStart w:id="189" w:name="_Toc184310287"/>
      <w:bookmarkEnd w:id="189"/>
      <w:bookmarkStart w:id="190" w:name="_Toc184312087"/>
      <w:bookmarkEnd w:id="190"/>
      <w:bookmarkStart w:id="191" w:name="_Toc184314423"/>
      <w:bookmarkEnd w:id="191"/>
      <w:bookmarkStart w:id="192" w:name="_Toc184312067"/>
      <w:bookmarkEnd w:id="192"/>
      <w:bookmarkStart w:id="193" w:name="_Toc184313302"/>
      <w:bookmarkEnd w:id="193"/>
      <w:bookmarkStart w:id="194" w:name="_Toc184314414"/>
      <w:bookmarkEnd w:id="194"/>
      <w:bookmarkStart w:id="195" w:name="_Toc184313263"/>
      <w:bookmarkEnd w:id="195"/>
      <w:bookmarkStart w:id="196" w:name="_Toc184310303"/>
      <w:bookmarkEnd w:id="196"/>
      <w:bookmarkStart w:id="197" w:name="_Toc184313243"/>
      <w:bookmarkEnd w:id="197"/>
      <w:bookmarkStart w:id="198" w:name="_Toc184308090"/>
      <w:bookmarkEnd w:id="198"/>
      <w:bookmarkStart w:id="199" w:name="_Toc184313285"/>
      <w:bookmarkEnd w:id="199"/>
      <w:bookmarkStart w:id="200" w:name="_Toc184312121"/>
      <w:bookmarkEnd w:id="200"/>
      <w:bookmarkStart w:id="201" w:name="_Toc184310327"/>
      <w:bookmarkEnd w:id="201"/>
      <w:bookmarkStart w:id="202" w:name="_Toc184312127"/>
      <w:bookmarkEnd w:id="202"/>
      <w:bookmarkStart w:id="203" w:name="_Toc184313278"/>
      <w:bookmarkEnd w:id="203"/>
      <w:bookmarkStart w:id="204" w:name="_Toc184313279"/>
      <w:bookmarkEnd w:id="204"/>
      <w:bookmarkStart w:id="205" w:name="_Toc184314456"/>
      <w:bookmarkEnd w:id="205"/>
      <w:bookmarkStart w:id="206" w:name="_Toc184308041"/>
      <w:bookmarkEnd w:id="206"/>
      <w:bookmarkStart w:id="207" w:name="_Toc184308047"/>
      <w:bookmarkEnd w:id="207"/>
      <w:bookmarkStart w:id="208" w:name="_Toc184312105"/>
      <w:bookmarkEnd w:id="208"/>
      <w:bookmarkStart w:id="209" w:name="_Toc184310295"/>
      <w:bookmarkEnd w:id="209"/>
      <w:bookmarkStart w:id="210" w:name="_Toc184308093"/>
      <w:bookmarkEnd w:id="210"/>
      <w:bookmarkStart w:id="211" w:name="_Toc184310297"/>
      <w:bookmarkEnd w:id="211"/>
      <w:bookmarkStart w:id="212" w:name="_Toc184313308"/>
      <w:bookmarkEnd w:id="212"/>
      <w:bookmarkStart w:id="213" w:name="_Toc184312074"/>
      <w:bookmarkEnd w:id="213"/>
      <w:bookmarkStart w:id="214" w:name="_Toc184310301"/>
      <w:bookmarkEnd w:id="214"/>
      <w:bookmarkStart w:id="215" w:name="_Toc184310286"/>
      <w:bookmarkEnd w:id="215"/>
      <w:bookmarkStart w:id="216" w:name="_Toc184312084"/>
      <w:bookmarkEnd w:id="216"/>
      <w:bookmarkStart w:id="217" w:name="_Toc184310322"/>
      <w:bookmarkEnd w:id="217"/>
      <w:bookmarkStart w:id="218" w:name="_Toc184310279"/>
      <w:bookmarkEnd w:id="218"/>
      <w:bookmarkStart w:id="219" w:name="_Toc184308091"/>
      <w:bookmarkEnd w:id="219"/>
      <w:bookmarkStart w:id="220" w:name="_Toc184308043"/>
      <w:bookmarkEnd w:id="220"/>
      <w:bookmarkStart w:id="221" w:name="_Toc184313287"/>
      <w:bookmarkEnd w:id="221"/>
      <w:bookmarkStart w:id="222" w:name="_Toc184308101"/>
      <w:bookmarkEnd w:id="222"/>
      <w:bookmarkStart w:id="223" w:name="_Toc184308076"/>
      <w:bookmarkEnd w:id="223"/>
      <w:bookmarkStart w:id="224" w:name="_Toc184314445"/>
      <w:bookmarkEnd w:id="224"/>
      <w:bookmarkStart w:id="225" w:name="_Toc184314433"/>
      <w:bookmarkEnd w:id="225"/>
      <w:bookmarkStart w:id="226" w:name="_Toc184310324"/>
      <w:bookmarkEnd w:id="226"/>
      <w:bookmarkStart w:id="227" w:name="_Toc184312132"/>
      <w:bookmarkEnd w:id="227"/>
      <w:bookmarkStart w:id="228" w:name="_Toc184310343"/>
      <w:bookmarkEnd w:id="228"/>
      <w:bookmarkStart w:id="229" w:name="_Toc184312137"/>
      <w:bookmarkEnd w:id="229"/>
      <w:bookmarkStart w:id="230" w:name="_Toc184313258"/>
      <w:bookmarkEnd w:id="230"/>
      <w:bookmarkStart w:id="231" w:name="_Toc184312077"/>
      <w:bookmarkEnd w:id="231"/>
      <w:bookmarkStart w:id="232" w:name="_Toc184312072"/>
      <w:bookmarkEnd w:id="232"/>
      <w:bookmarkStart w:id="233" w:name="_Toc184314468"/>
      <w:bookmarkEnd w:id="233"/>
      <w:bookmarkStart w:id="234" w:name="_Toc184308055"/>
      <w:bookmarkEnd w:id="234"/>
      <w:bookmarkStart w:id="235" w:name="_Toc184314447"/>
      <w:bookmarkEnd w:id="235"/>
      <w:bookmarkStart w:id="236" w:name="_Toc184310306"/>
      <w:bookmarkEnd w:id="236"/>
      <w:bookmarkStart w:id="237" w:name="_Toc184312111"/>
      <w:bookmarkEnd w:id="237"/>
      <w:bookmarkStart w:id="238" w:name="_Toc184313289"/>
      <w:bookmarkEnd w:id="238"/>
      <w:bookmarkStart w:id="239" w:name="_Toc184308037"/>
      <w:bookmarkEnd w:id="239"/>
      <w:bookmarkStart w:id="240" w:name="_Toc184310299"/>
      <w:bookmarkEnd w:id="240"/>
      <w:bookmarkStart w:id="241" w:name="_Toc184314438"/>
      <w:bookmarkEnd w:id="241"/>
      <w:bookmarkStart w:id="242" w:name="_Toc184308095"/>
      <w:bookmarkEnd w:id="242"/>
      <w:bookmarkStart w:id="243" w:name="_Toc184308080"/>
      <w:bookmarkEnd w:id="243"/>
      <w:bookmarkStart w:id="244" w:name="_Toc184313265"/>
      <w:bookmarkEnd w:id="244"/>
      <w:bookmarkStart w:id="245" w:name="_Toc184310276"/>
      <w:bookmarkEnd w:id="245"/>
      <w:bookmarkStart w:id="246" w:name="_Toc184310300"/>
      <w:bookmarkEnd w:id="246"/>
      <w:bookmarkStart w:id="247" w:name="_Toc184314428"/>
      <w:bookmarkEnd w:id="247"/>
      <w:bookmarkStart w:id="248" w:name="_Toc184308106"/>
      <w:bookmarkEnd w:id="248"/>
      <w:bookmarkStart w:id="249" w:name="_Toc184312104"/>
      <w:bookmarkEnd w:id="249"/>
      <w:bookmarkStart w:id="250" w:name="_Toc184308054"/>
      <w:bookmarkEnd w:id="250"/>
      <w:bookmarkStart w:id="251" w:name="_Toc184312112"/>
      <w:bookmarkEnd w:id="251"/>
      <w:bookmarkStart w:id="252" w:name="_Toc184310307"/>
      <w:bookmarkEnd w:id="252"/>
      <w:bookmarkStart w:id="253" w:name="_Toc184310323"/>
      <w:bookmarkEnd w:id="253"/>
      <w:bookmarkStart w:id="254" w:name="_Toc184312113"/>
      <w:bookmarkEnd w:id="254"/>
      <w:bookmarkStart w:id="255" w:name="_Toc184312102"/>
      <w:bookmarkEnd w:id="255"/>
      <w:bookmarkStart w:id="256" w:name="_Toc184312081"/>
      <w:bookmarkEnd w:id="256"/>
      <w:bookmarkStart w:id="257" w:name="_Toc184313242"/>
      <w:bookmarkEnd w:id="257"/>
      <w:bookmarkStart w:id="258" w:name="_Toc184313249"/>
      <w:bookmarkEnd w:id="258"/>
      <w:bookmarkStart w:id="259" w:name="_Toc184308084"/>
      <w:bookmarkEnd w:id="259"/>
      <w:bookmarkStart w:id="260" w:name="_Toc184308097"/>
      <w:bookmarkEnd w:id="260"/>
      <w:bookmarkStart w:id="261" w:name="_Toc184313290"/>
      <w:bookmarkEnd w:id="261"/>
      <w:bookmarkStart w:id="262" w:name="_Toc184312082"/>
      <w:bookmarkEnd w:id="262"/>
      <w:bookmarkStart w:id="263" w:name="_Toc184312124"/>
      <w:bookmarkEnd w:id="263"/>
      <w:bookmarkStart w:id="264" w:name="_Toc184314421"/>
      <w:bookmarkEnd w:id="264"/>
      <w:bookmarkStart w:id="265" w:name="_Toc184308099"/>
      <w:bookmarkEnd w:id="265"/>
      <w:bookmarkStart w:id="266" w:name="_Toc184312070"/>
      <w:bookmarkEnd w:id="266"/>
      <w:bookmarkStart w:id="267" w:name="_Toc184308038"/>
      <w:bookmarkEnd w:id="267"/>
      <w:bookmarkStart w:id="268" w:name="_Toc184313298"/>
      <w:bookmarkEnd w:id="268"/>
      <w:bookmarkStart w:id="269" w:name="_Toc184312083"/>
      <w:bookmarkEnd w:id="269"/>
      <w:bookmarkStart w:id="270" w:name="_Toc184310293"/>
      <w:bookmarkEnd w:id="270"/>
      <w:bookmarkStart w:id="271" w:name="_Toc184313262"/>
      <w:bookmarkEnd w:id="271"/>
      <w:bookmarkStart w:id="272" w:name="_Toc184310335"/>
      <w:bookmarkEnd w:id="272"/>
      <w:bookmarkStart w:id="273" w:name="_Toc184313301"/>
      <w:bookmarkEnd w:id="273"/>
      <w:bookmarkStart w:id="274" w:name="_Toc184310298"/>
      <w:bookmarkEnd w:id="274"/>
      <w:bookmarkStart w:id="275" w:name="_Toc184314479"/>
      <w:bookmarkEnd w:id="275"/>
      <w:bookmarkStart w:id="276" w:name="_Toc184308064"/>
      <w:bookmarkEnd w:id="276"/>
      <w:bookmarkStart w:id="277" w:name="_Toc184314473"/>
      <w:bookmarkEnd w:id="277"/>
      <w:bookmarkStart w:id="278" w:name="_Toc184313284"/>
      <w:bookmarkEnd w:id="278"/>
      <w:bookmarkStart w:id="279" w:name="_Toc184313286"/>
      <w:bookmarkEnd w:id="279"/>
      <w:bookmarkStart w:id="280" w:name="_Toc184312085"/>
      <w:bookmarkEnd w:id="280"/>
      <w:bookmarkStart w:id="281" w:name="_Toc184313269"/>
      <w:bookmarkEnd w:id="281"/>
      <w:bookmarkStart w:id="282" w:name="_Toc184313296"/>
      <w:bookmarkEnd w:id="282"/>
      <w:bookmarkStart w:id="283" w:name="_Toc184314418"/>
      <w:bookmarkEnd w:id="283"/>
      <w:bookmarkStart w:id="284" w:name="_Toc184314436"/>
      <w:bookmarkEnd w:id="284"/>
      <w:bookmarkStart w:id="285" w:name="_Toc184310290"/>
      <w:bookmarkEnd w:id="285"/>
      <w:bookmarkStart w:id="286" w:name="_Toc184308085"/>
      <w:bookmarkEnd w:id="286"/>
      <w:bookmarkStart w:id="287" w:name="_Toc184314471"/>
      <w:bookmarkEnd w:id="287"/>
      <w:bookmarkStart w:id="288" w:name="_Toc184310288"/>
      <w:bookmarkEnd w:id="288"/>
      <w:bookmarkStart w:id="289" w:name="_Toc184308046"/>
      <w:bookmarkEnd w:id="289"/>
      <w:bookmarkStart w:id="290" w:name="_Toc184308103"/>
      <w:bookmarkEnd w:id="290"/>
      <w:bookmarkStart w:id="291" w:name="_Toc184313275"/>
      <w:bookmarkEnd w:id="291"/>
      <w:bookmarkStart w:id="292" w:name="_Toc184313299"/>
      <w:bookmarkEnd w:id="292"/>
      <w:bookmarkStart w:id="293" w:name="_Toc184310344"/>
      <w:bookmarkEnd w:id="293"/>
      <w:bookmarkStart w:id="294" w:name="_Toc184308100"/>
      <w:bookmarkEnd w:id="294"/>
      <w:bookmarkStart w:id="295" w:name="_Toc184308057"/>
      <w:bookmarkEnd w:id="295"/>
      <w:bookmarkStart w:id="296" w:name="_Toc184314420"/>
      <w:bookmarkEnd w:id="296"/>
      <w:bookmarkStart w:id="297" w:name="_Toc184312069"/>
      <w:bookmarkEnd w:id="297"/>
      <w:bookmarkStart w:id="298" w:name="_Toc184312078"/>
      <w:bookmarkEnd w:id="298"/>
      <w:bookmarkStart w:id="299" w:name="_Toc184308052"/>
      <w:bookmarkEnd w:id="299"/>
      <w:bookmarkStart w:id="300" w:name="_Toc184310284"/>
      <w:bookmarkEnd w:id="300"/>
      <w:bookmarkStart w:id="301" w:name="_Toc184310332"/>
      <w:bookmarkEnd w:id="301"/>
      <w:bookmarkStart w:id="302" w:name="_Toc184310331"/>
      <w:bookmarkEnd w:id="302"/>
      <w:bookmarkStart w:id="303" w:name="_Toc184310275"/>
      <w:bookmarkEnd w:id="303"/>
      <w:bookmarkStart w:id="304" w:name="_Toc184314432"/>
      <w:bookmarkEnd w:id="304"/>
      <w:bookmarkStart w:id="305" w:name="_Toc184314413"/>
      <w:bookmarkEnd w:id="305"/>
      <w:bookmarkStart w:id="306" w:name="_Toc184308036"/>
      <w:bookmarkEnd w:id="306"/>
      <w:bookmarkStart w:id="307" w:name="_Toc184312114"/>
      <w:bookmarkEnd w:id="307"/>
      <w:bookmarkStart w:id="308" w:name="_Toc184314452"/>
      <w:bookmarkEnd w:id="308"/>
      <w:bookmarkStart w:id="309" w:name="_Toc184313292"/>
      <w:bookmarkEnd w:id="309"/>
      <w:bookmarkStart w:id="310" w:name="_Toc184310281"/>
      <w:bookmarkEnd w:id="310"/>
      <w:bookmarkStart w:id="311" w:name="_Toc184314480"/>
      <w:bookmarkEnd w:id="311"/>
      <w:bookmarkStart w:id="312" w:name="_Toc184310339"/>
      <w:bookmarkEnd w:id="312"/>
      <w:bookmarkStart w:id="313" w:name="_Toc184312123"/>
      <w:bookmarkEnd w:id="313"/>
      <w:bookmarkStart w:id="314" w:name="_Toc184310325"/>
      <w:bookmarkEnd w:id="314"/>
      <w:bookmarkStart w:id="315" w:name="_Toc184312135"/>
      <w:bookmarkEnd w:id="315"/>
      <w:bookmarkStart w:id="316" w:name="_Toc184310333"/>
      <w:bookmarkEnd w:id="316"/>
      <w:bookmarkStart w:id="317" w:name="_Toc184310305"/>
      <w:bookmarkEnd w:id="317"/>
      <w:bookmarkStart w:id="318" w:name="_Toc184308048"/>
      <w:bookmarkEnd w:id="318"/>
      <w:bookmarkStart w:id="319" w:name="_Toc184312090"/>
      <w:bookmarkEnd w:id="319"/>
      <w:bookmarkStart w:id="320" w:name="_Toc184313271"/>
      <w:bookmarkEnd w:id="320"/>
      <w:bookmarkStart w:id="321" w:name="_Toc184313303"/>
      <w:bookmarkEnd w:id="321"/>
      <w:bookmarkStart w:id="322" w:name="_Toc184314444"/>
      <w:bookmarkEnd w:id="322"/>
      <w:bookmarkStart w:id="323" w:name="_Toc184312093"/>
      <w:bookmarkEnd w:id="323"/>
      <w:bookmarkStart w:id="324" w:name="_Toc184314431"/>
      <w:bookmarkEnd w:id="324"/>
      <w:bookmarkStart w:id="325" w:name="_Toc184310342"/>
      <w:bookmarkEnd w:id="325"/>
      <w:bookmarkStart w:id="326" w:name="_Toc184313261"/>
      <w:bookmarkEnd w:id="326"/>
      <w:bookmarkStart w:id="327" w:name="_Toc184314425"/>
      <w:bookmarkEnd w:id="327"/>
      <w:bookmarkStart w:id="328" w:name="_Toc184314424"/>
      <w:bookmarkEnd w:id="328"/>
      <w:bookmarkStart w:id="329" w:name="_Toc184310274"/>
      <w:bookmarkEnd w:id="329"/>
      <w:bookmarkStart w:id="330" w:name="_Toc184308074"/>
      <w:bookmarkEnd w:id="330"/>
      <w:bookmarkStart w:id="331" w:name="_Toc184312099"/>
      <w:bookmarkEnd w:id="331"/>
      <w:bookmarkStart w:id="332" w:name="_Toc184310326"/>
      <w:bookmarkEnd w:id="332"/>
      <w:bookmarkStart w:id="333" w:name="_Toc184312130"/>
      <w:bookmarkEnd w:id="333"/>
      <w:bookmarkStart w:id="334" w:name="_Toc184310277"/>
      <w:bookmarkEnd w:id="334"/>
      <w:bookmarkStart w:id="335" w:name="_Toc184312096"/>
      <w:bookmarkEnd w:id="335"/>
      <w:bookmarkStart w:id="336" w:name="_Toc184310291"/>
      <w:bookmarkEnd w:id="336"/>
      <w:bookmarkStart w:id="337" w:name="_Toc184313259"/>
      <w:bookmarkEnd w:id="337"/>
      <w:bookmarkStart w:id="338" w:name="_Toc184313272"/>
      <w:bookmarkEnd w:id="338"/>
      <w:bookmarkStart w:id="339" w:name="_Toc184313273"/>
      <w:bookmarkEnd w:id="339"/>
      <w:bookmarkStart w:id="340" w:name="_Toc184314460"/>
      <w:bookmarkEnd w:id="340"/>
      <w:bookmarkStart w:id="341" w:name="_Toc184313293"/>
      <w:bookmarkEnd w:id="341"/>
      <w:bookmarkStart w:id="342" w:name="_Toc184313248"/>
      <w:bookmarkEnd w:id="342"/>
      <w:bookmarkStart w:id="343" w:name="_Toc184310273"/>
      <w:bookmarkEnd w:id="343"/>
      <w:bookmarkStart w:id="344" w:name="_Toc184308067"/>
      <w:bookmarkEnd w:id="344"/>
      <w:bookmarkStart w:id="345" w:name="_Toc184314430"/>
      <w:bookmarkEnd w:id="345"/>
      <w:bookmarkStart w:id="346" w:name="_Toc184313264"/>
      <w:bookmarkEnd w:id="346"/>
      <w:bookmarkStart w:id="347" w:name="_Toc184314463"/>
      <w:bookmarkEnd w:id="347"/>
      <w:bookmarkStart w:id="348" w:name="_Toc184308053"/>
      <w:bookmarkEnd w:id="348"/>
      <w:bookmarkStart w:id="349" w:name="_Toc184312117"/>
      <w:bookmarkEnd w:id="349"/>
      <w:bookmarkStart w:id="350" w:name="_Toc184314482"/>
      <w:bookmarkEnd w:id="350"/>
      <w:bookmarkStart w:id="351" w:name="_Toc184314453"/>
      <w:bookmarkEnd w:id="351"/>
      <w:bookmarkStart w:id="352" w:name="_Toc184313300"/>
      <w:bookmarkEnd w:id="352"/>
      <w:bookmarkStart w:id="353" w:name="_Toc184310309"/>
      <w:bookmarkEnd w:id="353"/>
      <w:bookmarkStart w:id="354" w:name="_Toc184312139"/>
      <w:bookmarkEnd w:id="354"/>
      <w:bookmarkStart w:id="355" w:name="_Toc184312125"/>
      <w:bookmarkEnd w:id="355"/>
      <w:bookmarkStart w:id="356" w:name="_Toc184312097"/>
      <w:bookmarkEnd w:id="356"/>
      <w:bookmarkStart w:id="357" w:name="_Toc184308070"/>
      <w:bookmarkEnd w:id="357"/>
      <w:bookmarkStart w:id="358" w:name="_Toc184313244"/>
      <w:bookmarkEnd w:id="358"/>
      <w:bookmarkStart w:id="359" w:name="_Toc184308056"/>
      <w:bookmarkEnd w:id="359"/>
      <w:bookmarkStart w:id="360" w:name="_Toc184314435"/>
      <w:bookmarkEnd w:id="360"/>
      <w:bookmarkStart w:id="361" w:name="_Toc184313310"/>
      <w:bookmarkEnd w:id="361"/>
      <w:bookmarkStart w:id="362" w:name="_Toc184312089"/>
      <w:bookmarkEnd w:id="362"/>
      <w:bookmarkStart w:id="363" w:name="_Toc184308087"/>
      <w:bookmarkEnd w:id="363"/>
      <w:bookmarkStart w:id="364" w:name="_Toc184310319"/>
      <w:bookmarkEnd w:id="364"/>
      <w:bookmarkStart w:id="365" w:name="_Toc184314458"/>
      <w:bookmarkEnd w:id="365"/>
      <w:bookmarkStart w:id="366" w:name="_Toc184313295"/>
      <w:bookmarkEnd w:id="366"/>
      <w:bookmarkStart w:id="367" w:name="_Toc184313306"/>
      <w:bookmarkEnd w:id="367"/>
      <w:bookmarkStart w:id="368" w:name="_Toc184310337"/>
      <w:bookmarkEnd w:id="368"/>
      <w:bookmarkStart w:id="369" w:name="_Toc184312119"/>
      <w:bookmarkEnd w:id="369"/>
      <w:bookmarkStart w:id="370" w:name="_Toc184308102"/>
      <w:bookmarkEnd w:id="370"/>
      <w:bookmarkStart w:id="371" w:name="_Toc184308081"/>
      <w:bookmarkEnd w:id="371"/>
      <w:bookmarkStart w:id="372" w:name="_Toc184312088"/>
      <w:bookmarkEnd w:id="372"/>
      <w:bookmarkStart w:id="373" w:name="_Toc184308108"/>
      <w:bookmarkEnd w:id="373"/>
      <w:bookmarkStart w:id="374" w:name="_Toc184310285"/>
      <w:bookmarkEnd w:id="374"/>
      <w:bookmarkStart w:id="375" w:name="_Toc184314478"/>
      <w:bookmarkEnd w:id="375"/>
      <w:bookmarkStart w:id="376" w:name="_Toc184314461"/>
      <w:bookmarkEnd w:id="376"/>
      <w:bookmarkStart w:id="377" w:name="_Toc184312138"/>
      <w:bookmarkEnd w:id="377"/>
      <w:bookmarkStart w:id="378" w:name="_Toc184308092"/>
      <w:bookmarkEnd w:id="378"/>
      <w:r>
        <w:rPr>
          <w:rFonts w:hint="eastAsia" w:ascii="宋体" w:hAnsi="宋体" w:eastAsia="宋体" w:cs="宋体"/>
          <w:b/>
          <w:color w:val="000000" w:themeColor="text1"/>
          <w:sz w:val="36"/>
          <w:szCs w:val="36"/>
          <w:highlight w:val="none"/>
          <w14:textFill>
            <w14:solidFill>
              <w14:schemeClr w14:val="tx1"/>
            </w14:solidFill>
          </w14:textFill>
        </w:rPr>
        <w:t>交易办法</w:t>
      </w:r>
    </w:p>
    <w:p w14:paraId="200B077B">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交易办法前附表</w:t>
      </w:r>
    </w:p>
    <w:p w14:paraId="6B81B241">
      <w:pPr>
        <w:widowControl/>
        <w:numPr>
          <w:ilvl w:val="0"/>
          <w:numId w:val="2"/>
        </w:num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商务技术部分（</w:t>
      </w:r>
      <w:r>
        <w:rPr>
          <w:rFonts w:hint="eastAsia" w:ascii="宋体" w:hAnsi="宋体" w:cs="宋体"/>
          <w:b/>
          <w:bCs/>
          <w:color w:val="000000" w:themeColor="text1"/>
          <w:sz w:val="24"/>
          <w:highlight w:val="none"/>
          <w:lang w:val="en-US" w:eastAsia="zh-CN"/>
          <w14:textFill>
            <w14:solidFill>
              <w14:schemeClr w14:val="tx1"/>
            </w14:solidFill>
          </w14:textFill>
        </w:rPr>
        <w:t>70</w:t>
      </w:r>
      <w:r>
        <w:rPr>
          <w:rFonts w:hint="eastAsia" w:ascii="宋体" w:hAnsi="宋体" w:eastAsia="宋体" w:cs="宋体"/>
          <w:b/>
          <w:bCs/>
          <w:color w:val="000000" w:themeColor="text1"/>
          <w:sz w:val="24"/>
          <w:highlight w:val="none"/>
          <w14:textFill>
            <w14:solidFill>
              <w14:schemeClr w14:val="tx1"/>
            </w14:solidFill>
          </w14:textFill>
        </w:rPr>
        <w:t>分）：</w:t>
      </w:r>
    </w:p>
    <w:tbl>
      <w:tblPr>
        <w:tblStyle w:val="65"/>
        <w:tblW w:w="8670" w:type="dxa"/>
        <w:tblInd w:w="0" w:type="dxa"/>
        <w:tblLayout w:type="fixed"/>
        <w:tblCellMar>
          <w:top w:w="0" w:type="dxa"/>
          <w:left w:w="108" w:type="dxa"/>
          <w:bottom w:w="0" w:type="dxa"/>
          <w:right w:w="108" w:type="dxa"/>
        </w:tblCellMar>
      </w:tblPr>
      <w:tblGrid>
        <w:gridCol w:w="607"/>
        <w:gridCol w:w="5664"/>
        <w:gridCol w:w="1005"/>
        <w:gridCol w:w="1394"/>
      </w:tblGrid>
      <w:tr w14:paraId="3502C02B">
        <w:tblPrEx>
          <w:tblCellMar>
            <w:top w:w="0" w:type="dxa"/>
            <w:left w:w="108" w:type="dxa"/>
            <w:bottom w:w="0" w:type="dxa"/>
            <w:right w:w="108" w:type="dxa"/>
          </w:tblCellMar>
        </w:tblPrEx>
        <w:trPr>
          <w:trHeight w:val="557" w:hRule="atLeast"/>
        </w:trPr>
        <w:tc>
          <w:tcPr>
            <w:tcW w:w="6271" w:type="dxa"/>
            <w:gridSpan w:val="2"/>
            <w:tcBorders>
              <w:top w:val="single" w:color="auto" w:sz="8" w:space="0"/>
              <w:left w:val="single" w:color="auto" w:sz="8" w:space="0"/>
              <w:bottom w:val="single" w:color="auto" w:sz="8" w:space="0"/>
              <w:right w:val="single" w:color="auto" w:sz="8" w:space="0"/>
            </w:tcBorders>
            <w:noWrap w:val="0"/>
            <w:vAlign w:val="center"/>
          </w:tcPr>
          <w:p w14:paraId="33FB338E">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评分内容和标准</w:t>
            </w:r>
          </w:p>
        </w:tc>
        <w:tc>
          <w:tcPr>
            <w:tcW w:w="1005" w:type="dxa"/>
            <w:tcBorders>
              <w:top w:val="single" w:color="auto" w:sz="8" w:space="0"/>
              <w:left w:val="single" w:color="auto" w:sz="8" w:space="0"/>
              <w:bottom w:val="single" w:color="auto" w:sz="8" w:space="0"/>
              <w:right w:val="single" w:color="auto" w:sz="8" w:space="0"/>
            </w:tcBorders>
            <w:noWrap w:val="0"/>
            <w:vAlign w:val="center"/>
          </w:tcPr>
          <w:p w14:paraId="237457DA">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w:t>
            </w:r>
          </w:p>
        </w:tc>
        <w:tc>
          <w:tcPr>
            <w:tcW w:w="1394" w:type="dxa"/>
            <w:tcBorders>
              <w:top w:val="single" w:color="auto" w:sz="8" w:space="0"/>
              <w:left w:val="single" w:color="auto" w:sz="8" w:space="0"/>
              <w:bottom w:val="single" w:color="auto" w:sz="8" w:space="0"/>
              <w:right w:val="single" w:color="auto" w:sz="8" w:space="0"/>
            </w:tcBorders>
            <w:noWrap w:val="0"/>
            <w:vAlign w:val="center"/>
          </w:tcPr>
          <w:p w14:paraId="3C2560BC">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主/客观分</w:t>
            </w:r>
          </w:p>
        </w:tc>
      </w:tr>
      <w:tr w14:paraId="4ACE71A0">
        <w:tblPrEx>
          <w:tblCellMar>
            <w:top w:w="0" w:type="dxa"/>
            <w:left w:w="108" w:type="dxa"/>
            <w:bottom w:w="0" w:type="dxa"/>
            <w:right w:w="108" w:type="dxa"/>
          </w:tblCellMar>
        </w:tblPrEx>
        <w:trPr>
          <w:trHeight w:val="527" w:hRule="atLeast"/>
        </w:trPr>
        <w:tc>
          <w:tcPr>
            <w:tcW w:w="607" w:type="dxa"/>
            <w:tcBorders>
              <w:top w:val="single" w:color="auto" w:sz="8" w:space="0"/>
              <w:left w:val="single" w:color="auto" w:sz="4" w:space="0"/>
              <w:bottom w:val="single" w:color="auto" w:sz="4" w:space="0"/>
              <w:right w:val="single" w:color="auto" w:sz="4" w:space="0"/>
            </w:tcBorders>
            <w:noWrap w:val="0"/>
            <w:vAlign w:val="center"/>
          </w:tcPr>
          <w:p w14:paraId="1BC94595">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64" w:type="dxa"/>
            <w:tcBorders>
              <w:top w:val="single" w:color="auto" w:sz="8" w:space="0"/>
              <w:left w:val="nil"/>
              <w:bottom w:val="single" w:color="auto" w:sz="4" w:space="0"/>
              <w:right w:val="single" w:color="auto" w:sz="4" w:space="0"/>
            </w:tcBorders>
            <w:noWrap w:val="0"/>
            <w:vAlign w:val="center"/>
          </w:tcPr>
          <w:p w14:paraId="408905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供应商同时具备质量管理体系认证、职业健康安全管理体系认证、环境管理体系认证且在有效期内，一个得1分，最高得3分。提供认证证书复印件，不提供不得分。</w:t>
            </w:r>
          </w:p>
        </w:tc>
        <w:tc>
          <w:tcPr>
            <w:tcW w:w="1005" w:type="dxa"/>
            <w:tcBorders>
              <w:top w:val="single" w:color="auto" w:sz="8" w:space="0"/>
              <w:left w:val="nil"/>
              <w:bottom w:val="single" w:color="auto" w:sz="4" w:space="0"/>
              <w:right w:val="single" w:color="auto" w:sz="4" w:space="0"/>
            </w:tcBorders>
            <w:noWrap w:val="0"/>
            <w:vAlign w:val="center"/>
          </w:tcPr>
          <w:p w14:paraId="5EF18012">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w:t>
            </w:r>
          </w:p>
        </w:tc>
        <w:tc>
          <w:tcPr>
            <w:tcW w:w="1394" w:type="dxa"/>
            <w:tcBorders>
              <w:top w:val="single" w:color="auto" w:sz="8" w:space="0"/>
              <w:left w:val="nil"/>
              <w:bottom w:val="single" w:color="auto" w:sz="4" w:space="0"/>
              <w:right w:val="single" w:color="auto" w:sz="4" w:space="0"/>
            </w:tcBorders>
            <w:noWrap w:val="0"/>
            <w:vAlign w:val="center"/>
          </w:tcPr>
          <w:p w14:paraId="31EF40F3">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客观</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6F80D8FA">
        <w:tblPrEx>
          <w:tblCellMar>
            <w:top w:w="0" w:type="dxa"/>
            <w:left w:w="108" w:type="dxa"/>
            <w:bottom w:w="0" w:type="dxa"/>
            <w:right w:w="108" w:type="dxa"/>
          </w:tblCellMar>
        </w:tblPrEx>
        <w:trPr>
          <w:trHeight w:val="893" w:hRule="atLeast"/>
        </w:trPr>
        <w:tc>
          <w:tcPr>
            <w:tcW w:w="607" w:type="dxa"/>
            <w:tcBorders>
              <w:top w:val="nil"/>
              <w:left w:val="single" w:color="auto" w:sz="4" w:space="0"/>
              <w:bottom w:val="single" w:color="auto" w:sz="4" w:space="0"/>
              <w:right w:val="single" w:color="auto" w:sz="4" w:space="0"/>
            </w:tcBorders>
            <w:noWrap w:val="0"/>
            <w:vAlign w:val="center"/>
          </w:tcPr>
          <w:p w14:paraId="24436152">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5664" w:type="dxa"/>
            <w:tcBorders>
              <w:top w:val="nil"/>
              <w:left w:val="nil"/>
              <w:bottom w:val="single" w:color="auto" w:sz="4" w:space="0"/>
              <w:right w:val="single" w:color="auto" w:sz="4" w:space="0"/>
            </w:tcBorders>
            <w:noWrap w:val="0"/>
            <w:vAlign w:val="center"/>
          </w:tcPr>
          <w:p w14:paraId="4129F4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供应商自2022年1月1日以来（以合同签订时间为准）承担过类似</w:t>
            </w:r>
            <w:r>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t>业绩每一个得</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t>分。本项最高得</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t>分。</w:t>
            </w:r>
          </w:p>
          <w:p w14:paraId="07F79C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t>（证明材料：合同复印件加盖公章。）</w:t>
            </w:r>
          </w:p>
        </w:tc>
        <w:tc>
          <w:tcPr>
            <w:tcW w:w="1005" w:type="dxa"/>
            <w:tcBorders>
              <w:top w:val="nil"/>
              <w:left w:val="nil"/>
              <w:bottom w:val="single" w:color="auto" w:sz="4" w:space="0"/>
              <w:right w:val="single" w:color="auto" w:sz="4" w:space="0"/>
            </w:tcBorders>
            <w:noWrap w:val="0"/>
            <w:vAlign w:val="center"/>
          </w:tcPr>
          <w:p w14:paraId="7429E7F0">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0-3</w:t>
            </w:r>
          </w:p>
        </w:tc>
        <w:tc>
          <w:tcPr>
            <w:tcW w:w="1394" w:type="dxa"/>
            <w:tcBorders>
              <w:top w:val="nil"/>
              <w:left w:val="nil"/>
              <w:bottom w:val="single" w:color="auto" w:sz="4" w:space="0"/>
              <w:right w:val="single" w:color="auto" w:sz="4" w:space="0"/>
            </w:tcBorders>
            <w:noWrap w:val="0"/>
            <w:vAlign w:val="center"/>
          </w:tcPr>
          <w:p w14:paraId="46C3A98B">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0744789D">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74F81D95">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3D9F2DA6">
            <w:pPr>
              <w:keepNext/>
              <w:keepLines w:val="0"/>
              <w:pageBreakBefore w:val="0"/>
              <w:tabs>
                <w:tab w:val="left" w:pos="3808"/>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供应商拟派的项目负责人具有机电工程专业二级及以上资格的注册建造师</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的得2分</w:t>
            </w:r>
            <w:r>
              <w:rPr>
                <w:rFonts w:hint="eastAsia" w:ascii="宋体" w:hAnsi="宋体" w:eastAsia="宋体" w:cs="宋体"/>
                <w:color w:val="000000" w:themeColor="text1"/>
                <w:sz w:val="24"/>
                <w:szCs w:val="24"/>
                <w:highlight w:val="none"/>
                <w14:textFill>
                  <w14:solidFill>
                    <w14:schemeClr w14:val="tx1"/>
                  </w14:solidFill>
                </w14:textFill>
              </w:rPr>
              <w:t>。</w:t>
            </w:r>
          </w:p>
          <w:p w14:paraId="7C72D6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提供本单位近3个月及以上的社保缴纳凭证及相关证书等证明材料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cs="宋体"/>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7D43E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0-2</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1FC1F15">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客观分</w:t>
            </w:r>
          </w:p>
        </w:tc>
      </w:tr>
      <w:tr w14:paraId="53BFBB32">
        <w:tblPrEx>
          <w:tblCellMar>
            <w:top w:w="0" w:type="dxa"/>
            <w:left w:w="108" w:type="dxa"/>
            <w:bottom w:w="0" w:type="dxa"/>
            <w:right w:w="108" w:type="dxa"/>
          </w:tblCellMar>
        </w:tblPrEx>
        <w:trPr>
          <w:trHeight w:val="1206"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734228DA">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59E69D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电缆安装、施工人员应具备工程技术管理人员职称或有相关上岗证书。每满足一个得1分，最高得2分。</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546E948">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0-2</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3B770557">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070F9D1B">
        <w:tblPrEx>
          <w:tblCellMar>
            <w:top w:w="0" w:type="dxa"/>
            <w:left w:w="108" w:type="dxa"/>
            <w:bottom w:w="0" w:type="dxa"/>
            <w:right w:w="108" w:type="dxa"/>
          </w:tblCellMar>
        </w:tblPrEx>
        <w:trPr>
          <w:trHeight w:val="1887"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309BD0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5</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410C83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供应商拟派驻现场的项目组人员的组织分工、专业配置以及各专业工种配置和劳动力投入方案综合评分。包括但不限于：项目组管理人员的组织分工方案、</w:t>
            </w:r>
          </w:p>
          <w:p w14:paraId="5E8EEB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专业配置以及各专业工种配置。</w:t>
            </w:r>
          </w:p>
          <w:p w14:paraId="4DB3FD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（分值：5、4、3、2、1、0）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6082678">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170A172">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E45CF6E">
        <w:tblPrEx>
          <w:tblCellMar>
            <w:top w:w="0" w:type="dxa"/>
            <w:left w:w="108" w:type="dxa"/>
            <w:bottom w:w="0" w:type="dxa"/>
            <w:right w:w="108" w:type="dxa"/>
          </w:tblCellMar>
        </w:tblPrEx>
        <w:trPr>
          <w:trHeight w:val="1887"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C8C54AD">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09D155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对本项目响应方案的合理性、科学性、全面性（包括对项目的理解程度、总体设计、独到优势等情况综合评定）。（分值：5、4、3、2、1、0）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082D9A4">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785A7D2F">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2541A406">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304CA82">
            <w:pPr>
              <w:keepNext w:val="0"/>
              <w:keepLines w:val="0"/>
              <w:pageBreakBefore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7719B9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响应方案中提供或使用主要设备的优劣、</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施工机具和检验仪器的投入与项目的符合程度等</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进行综合评定。（分值：6、5、4、3、2、1、0）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6908D28">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0-6</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54F6C2B">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主观</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3DBA0E8D">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295D24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4C3035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材料进场计划及施工计划情况：具有详细的材料进场计划且计划周密程度、材料进场计划的合理性、可行性等综合评定。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（分值：6、5、4、3、2、1、0）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6843B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0-6</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7A20A9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3F5826F9">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05AFA8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66AC3D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安装过程中的安全、文明施工及市政、市容、环保、消防等的保证措施的科学性、合理性等综合评定。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（分值：6、5、4、3、2、1、0）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56864F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0-6</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3ACAC6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1DE674B">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F9EEE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327FE21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安装过程中的降噪措施的合理性、可操作性等进行综合评定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（分值：5、4、3、2、1、0）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8310F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6EABE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39F9E00B">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137F7E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38F4EE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货物质量保证情况：包括“供货、运输、装卸、安装、调试”等环节方案内容的科学性、完整性、可行性方面进行综合评定。（分值：6、5、4、3、2、1、0）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D28F1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0-6</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234AED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主观分</w:t>
            </w:r>
          </w:p>
        </w:tc>
      </w:tr>
      <w:tr w14:paraId="4DCA17DB">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515764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12</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13D2E7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对本项目响应的应急实施方案的科学性、合理性、可行性，严密性进行综合评定。（分值：6、5、4、3、2、1、0）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4A13D8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0-6</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8D41E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主观分</w:t>
            </w:r>
          </w:p>
        </w:tc>
      </w:tr>
      <w:tr w14:paraId="6DF9CE79">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42479C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13</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6C1430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服务承诺：售后服务方案、维保措施、响应等情况综合评定，包括承诺内容及方案科学合理性等。（分值：5、4、3、2、1、0）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57A4B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0-5</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57FCA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主观分</w:t>
            </w:r>
          </w:p>
        </w:tc>
      </w:tr>
      <w:tr w14:paraId="3281E86B">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175568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14</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0E5072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对本项目的本地化服务能力方案进行综合评定。包括服务方案的全面性、及时性等。（分值：5、4、3、2、1、0）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D5215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0-5</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672BB5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主观分</w:t>
            </w:r>
          </w:p>
        </w:tc>
      </w:tr>
      <w:tr w14:paraId="2B933BF0">
        <w:tblPrEx>
          <w:tblCellMar>
            <w:top w:w="0" w:type="dxa"/>
            <w:left w:w="108" w:type="dxa"/>
            <w:bottom w:w="0" w:type="dxa"/>
            <w:right w:w="108" w:type="dxa"/>
          </w:tblCellMar>
        </w:tblPrEx>
        <w:trPr>
          <w:trHeight w:val="893"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724079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15</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0455FA5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针对本项目提供的技术培训方案进行综合评定。包括技术培训方案的全面性、综合性、针对性等。（分值：5、4、3、2、1、0）</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4FC7F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0-5</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4E6DB4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主观分</w:t>
            </w:r>
          </w:p>
        </w:tc>
      </w:tr>
    </w:tbl>
    <w:p w14:paraId="5CD6DE49">
      <w:pPr>
        <w:widowControl/>
        <w:numPr>
          <w:ilvl w:val="0"/>
          <w:numId w:val="0"/>
        </w:numPr>
        <w:spacing w:line="360" w:lineRule="auto"/>
        <w:rPr>
          <w:rFonts w:hint="eastAsia" w:ascii="宋体" w:hAnsi="宋体" w:eastAsia="宋体" w:cs="宋体"/>
          <w:b/>
          <w:bCs/>
          <w:color w:val="000000" w:themeColor="text1"/>
          <w:sz w:val="24"/>
          <w:highlight w:val="none"/>
          <w14:textFill>
            <w14:solidFill>
              <w14:schemeClr w14:val="tx1"/>
            </w14:solidFill>
          </w14:textFill>
        </w:rPr>
      </w:pPr>
    </w:p>
    <w:p w14:paraId="193B22EC">
      <w:pPr>
        <w:widowControl/>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color w:val="000000" w:themeColor="text1"/>
          <w:sz w:val="24"/>
          <w:highlight w:val="none"/>
          <w14:textFill>
            <w14:solidFill>
              <w14:schemeClr w14:val="tx1"/>
            </w14:solidFill>
          </w14:textFill>
        </w:rPr>
        <w:t>1、评分条款中涉及的业绩、荣誉、人员、社保等分公司均有效。</w:t>
      </w:r>
    </w:p>
    <w:p w14:paraId="45913E10">
      <w:pPr>
        <w:widowControl/>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4C1091E9">
      <w:pPr>
        <w:widowControl/>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3、响应人编制响应文件（商务技术文件部分）时，建议按此目录（序号和内容）提供评审标准相应的商务技术资料。</w:t>
      </w:r>
    </w:p>
    <w:p w14:paraId="510E64B9">
      <w:pPr>
        <w:widowControl/>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2、价格</w:t>
      </w:r>
      <w:r>
        <w:rPr>
          <w:rFonts w:hint="eastAsia" w:ascii="宋体" w:hAnsi="宋体" w:eastAsia="宋体" w:cs="宋体"/>
          <w:b/>
          <w:bCs/>
          <w:color w:val="000000" w:themeColor="text1"/>
          <w:sz w:val="24"/>
          <w:highlight w:val="none"/>
          <w:lang w:val="en-US" w:eastAsia="zh-CN"/>
          <w14:textFill>
            <w14:solidFill>
              <w14:schemeClr w14:val="tx1"/>
            </w14:solidFill>
          </w14:textFill>
        </w:rPr>
        <w:t>部分</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highlight w:val="none"/>
          <w14:textFill>
            <w14:solidFill>
              <w14:schemeClr w14:val="tx1"/>
            </w14:solidFill>
          </w14:textFill>
        </w:rPr>
        <w:t>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421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36B05492">
            <w:pPr>
              <w:adjustRightInd/>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价格权值</w:t>
            </w:r>
          </w:p>
        </w:tc>
        <w:tc>
          <w:tcPr>
            <w:tcW w:w="6905" w:type="dxa"/>
            <w:vAlign w:val="center"/>
          </w:tcPr>
          <w:p w14:paraId="00739902">
            <w:pPr>
              <w:adjustRightInd/>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    算    方    法</w:t>
            </w:r>
          </w:p>
        </w:tc>
      </w:tr>
      <w:tr w14:paraId="4BF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6" w:hRule="atLeast"/>
          <w:jc w:val="center"/>
        </w:trPr>
        <w:tc>
          <w:tcPr>
            <w:tcW w:w="2169" w:type="dxa"/>
            <w:vAlign w:val="center"/>
          </w:tcPr>
          <w:p w14:paraId="49818A23">
            <w:pPr>
              <w:adjustRightInd/>
              <w:spacing w:line="24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价格权值=0.</w:t>
            </w:r>
            <w:r>
              <w:rPr>
                <w:rFonts w:hint="eastAsia" w:ascii="宋体" w:hAnsi="宋体" w:cs="宋体"/>
                <w:color w:val="000000" w:themeColor="text1"/>
                <w:sz w:val="24"/>
                <w:highlight w:val="none"/>
                <w:lang w:val="en-US" w:eastAsia="zh-CN"/>
                <w14:textFill>
                  <w14:solidFill>
                    <w14:schemeClr w14:val="tx1"/>
                  </w14:solidFill>
                </w14:textFill>
              </w:rPr>
              <w:t>3</w:t>
            </w:r>
          </w:p>
        </w:tc>
        <w:tc>
          <w:tcPr>
            <w:tcW w:w="6905" w:type="dxa"/>
            <w:vAlign w:val="center"/>
          </w:tcPr>
          <w:p w14:paraId="4F5CE3E2">
            <w:pPr>
              <w:adjustRightInd/>
              <w:spacing w:line="24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最低有效响应价格为评标基准价</w:t>
            </w:r>
          </w:p>
          <w:p w14:paraId="48189156">
            <w:pPr>
              <w:adjustRightInd/>
              <w:spacing w:line="24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响应报价得分=(评标基准价／响应报价)×价格权值×100</w:t>
            </w:r>
          </w:p>
          <w:p w14:paraId="6AA94606">
            <w:pPr>
              <w:adjustRightInd/>
              <w:spacing w:line="24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（计算得分保留小数点后2位）</w:t>
            </w:r>
          </w:p>
          <w:p w14:paraId="68D5CF1F">
            <w:pPr>
              <w:widowControl/>
              <w:shd w:val="clear" w:color="auto" w:fill="FFFFFF"/>
              <w:adjustRightInd/>
              <w:snapToGrid w:val="0"/>
              <w:spacing w:line="24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评标过程中，不得去掉报价中的最高报价和最低报价。</w:t>
            </w:r>
          </w:p>
        </w:tc>
      </w:tr>
    </w:tbl>
    <w:p w14:paraId="0A09B829">
      <w:pP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08DF1ECE">
      <w:pPr>
        <w:snapToGrid w:val="0"/>
        <w:spacing w:line="57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一、交易方法</w:t>
      </w:r>
    </w:p>
    <w:p w14:paraId="41E8C267">
      <w:pPr>
        <w:adjustRightInd/>
        <w:spacing w:line="57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1.本项目采用综合评估法。</w:t>
      </w:r>
      <w:r>
        <w:rPr>
          <w:rFonts w:hint="eastAsia" w:ascii="宋体" w:hAnsi="宋体" w:eastAsia="宋体" w:cs="宋体"/>
          <w:color w:val="000000" w:themeColor="text1"/>
          <w:kern w:val="0"/>
          <w:sz w:val="24"/>
          <w:highlight w:val="none"/>
          <w14:textFill>
            <w14:solidFill>
              <w14:schemeClr w14:val="tx1"/>
            </w14:solidFill>
          </w14:textFill>
        </w:rPr>
        <w:t>综合评估法，是指响应文件满足公开竞争文件全部实质性要求，且按照评审因素的量化指标评审得分最高的响应人为成交候选人的评标方法。</w:t>
      </w:r>
    </w:p>
    <w:p w14:paraId="3AC3EBE9">
      <w:pPr>
        <w:snapToGrid w:val="0"/>
        <w:spacing w:line="57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二、交易标准</w:t>
      </w:r>
    </w:p>
    <w:p w14:paraId="18121F09">
      <w:pPr>
        <w:spacing w:line="570" w:lineRule="exact"/>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2.评标标准：</w:t>
      </w:r>
      <w:r>
        <w:rPr>
          <w:rFonts w:hint="eastAsia" w:ascii="宋体" w:hAnsi="宋体" w:eastAsia="宋体" w:cs="宋体"/>
          <w:color w:val="000000" w:themeColor="text1"/>
          <w:kern w:val="0"/>
          <w:sz w:val="24"/>
          <w:highlight w:val="none"/>
          <w14:textFill>
            <w14:solidFill>
              <w14:schemeClr w14:val="tx1"/>
            </w14:solidFill>
          </w14:textFill>
        </w:rPr>
        <w:t>见交易办法前附表。</w:t>
      </w:r>
    </w:p>
    <w:p w14:paraId="113FBC9D">
      <w:pPr>
        <w:snapToGrid w:val="0"/>
        <w:spacing w:line="57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三、交易程序</w:t>
      </w:r>
    </w:p>
    <w:bookmarkEnd w:id="13"/>
    <w:p w14:paraId="33DBE4A0">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bookmarkStart w:id="379" w:name="第五部分"/>
      <w:bookmarkStart w:id="380" w:name="_Toc86217003"/>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评审委员会应当对符合资格的响应人的响应文件进行符合性审查，以确定其是否满足公开竞争文件的实质性要求。不满足公开竞争文件的实质性要求的，交易无效。</w:t>
      </w:r>
    </w:p>
    <w:p w14:paraId="1FB99FE3">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3.2比较与评价。</w:t>
      </w:r>
      <w:r>
        <w:rPr>
          <w:rFonts w:hint="eastAsia" w:ascii="宋体" w:hAnsi="宋体" w:eastAsia="宋体" w:cs="宋体"/>
          <w:color w:val="000000" w:themeColor="text1"/>
          <w:kern w:val="0"/>
          <w:sz w:val="24"/>
          <w:highlight w:val="none"/>
          <w14:textFill>
            <w14:solidFill>
              <w14:schemeClr w14:val="tx1"/>
            </w14:solidFill>
          </w14:textFill>
        </w:rPr>
        <w:t>评审委员会应当按照公开竞争文件中规定的评标方法和标准，对符合性审查合格的响应文件进行商务和技术评估，综合比较与评价。</w:t>
      </w:r>
    </w:p>
    <w:p w14:paraId="567B1BE1">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评审委员会各成员应当独立对每个响应人的商务和技术文件进行评价，并汇总商务技术得分情况。</w:t>
      </w:r>
    </w:p>
    <w:p w14:paraId="4DEEE795">
      <w:pPr>
        <w:spacing w:line="570" w:lineRule="exact"/>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71A03425">
      <w:pPr>
        <w:pStyle w:val="137"/>
        <w:spacing w:before="0" w:line="570" w:lineRule="exact"/>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3.4.1响应文件报价出现前后不一致的，按照下列规定修正：</w:t>
      </w:r>
    </w:p>
    <w:p w14:paraId="5E5343A3">
      <w:pPr>
        <w:pStyle w:val="137"/>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3.4.1.1响应文件中交易一览表(报价表)内容与响应文件中相应内容不一致的，以交易一览表(报价表)为准；</w:t>
      </w:r>
    </w:p>
    <w:p w14:paraId="1B2DFEF6">
      <w:pPr>
        <w:pStyle w:val="137"/>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55A79AF5">
      <w:pPr>
        <w:pStyle w:val="137"/>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3.4.1.3单价金额小数点或者百分比有明显错位的，以交易一览表的总价为准，并修改单价；</w:t>
      </w:r>
    </w:p>
    <w:p w14:paraId="2A052F86">
      <w:pPr>
        <w:pStyle w:val="137"/>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354DDBB3">
      <w:pPr>
        <w:pStyle w:val="137"/>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w:t>
      </w:r>
    </w:p>
    <w:p w14:paraId="0D6920CF">
      <w:pPr>
        <w:snapToGrid w:val="0"/>
        <w:spacing w:line="57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3.4.2响应文件出现不是唯一的、有选择性交易报价的，交易无效。</w:t>
      </w:r>
    </w:p>
    <w:p w14:paraId="1B0FC600">
      <w:pPr>
        <w:snapToGrid w:val="0"/>
        <w:spacing w:line="57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3.4.3交易报价超过公开竞争文件中规定的预算金额或者最高限价的，交易无效。</w:t>
      </w:r>
    </w:p>
    <w:p w14:paraId="469032B6">
      <w:pPr>
        <w:pStyle w:val="137"/>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5631B24">
      <w:pPr>
        <w:spacing w:line="57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CAB90EC">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3.6编写评审报告。</w:t>
      </w:r>
      <w:r>
        <w:rPr>
          <w:rFonts w:hint="eastAsia" w:ascii="宋体" w:hAnsi="宋体" w:eastAsia="宋体" w:cs="宋体"/>
          <w:color w:val="000000" w:themeColor="text1"/>
          <w:kern w:val="0"/>
          <w:sz w:val="24"/>
          <w:highlight w:val="none"/>
          <w14:textFill>
            <w14:solidFill>
              <w14:schemeClr w14:val="tx1"/>
            </w14:solidFill>
          </w14:textFill>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7C7A920">
      <w:pPr>
        <w:snapToGrid w:val="0"/>
        <w:spacing w:line="57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四、评标中的其他事项</w:t>
      </w:r>
    </w:p>
    <w:p w14:paraId="250BE24E">
      <w:pPr>
        <w:pStyle w:val="137"/>
        <w:spacing w:before="0" w:line="570" w:lineRule="exact"/>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4.1响应人澄清、说明或者补正。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89DFC74">
      <w:pPr>
        <w:pStyle w:val="26"/>
        <w:spacing w:line="570" w:lineRule="exact"/>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4.2交易无效。</w:t>
      </w:r>
      <w:r>
        <w:rPr>
          <w:rFonts w:hint="eastAsia" w:ascii="宋体" w:hAnsi="宋体" w:eastAsia="宋体" w:cs="宋体"/>
          <w:color w:val="000000" w:themeColor="text1"/>
          <w:szCs w:val="21"/>
          <w:highlight w:val="none"/>
          <w14:textFill>
            <w14:solidFill>
              <w14:schemeClr w14:val="tx1"/>
            </w14:solidFill>
          </w14:textFill>
        </w:rPr>
        <w:t>有下列情形之一的，交易无效：</w:t>
      </w:r>
    </w:p>
    <w:p w14:paraId="3D49943B">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4.2.1响应人不具备公开竞争文件中规定的资格要求的（响应人未提供有效的资格文件的，视为响应人不具备公开竞争文件中规定的资格要求）；</w:t>
      </w:r>
    </w:p>
    <w:p w14:paraId="09CCE626">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4.2.2响应文件未按照公开竞争文件要求签署、盖章的；</w:t>
      </w:r>
    </w:p>
    <w:p w14:paraId="59AC334D">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4.2.3响应文件含有交易发起人不能接受的附加条件的；</w:t>
      </w:r>
    </w:p>
    <w:p w14:paraId="60E21C16">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4.2.4响应文件中承诺的交易有效期少于公开竞争文件中载明的交易有效期的；</w:t>
      </w:r>
    </w:p>
    <w:p w14:paraId="5D5AECAB">
      <w:pPr>
        <w:snapToGrid w:val="0"/>
        <w:spacing w:line="570" w:lineRule="exact"/>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4.2.5响应文件出现不是唯一的、有选择性交易报价的；</w:t>
      </w:r>
    </w:p>
    <w:p w14:paraId="6AB00DCF">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4.2.6交易报价超过公开竞争文件中规定的预算金额或者最高限价的；</w:t>
      </w:r>
    </w:p>
    <w:p w14:paraId="79B46E30">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14:paraId="04FF6E61">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4.2.8响应人对根据修正原则修正后的报价不确认的；</w:t>
      </w:r>
    </w:p>
    <w:p w14:paraId="43D18919">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4.2.9响应人提供虚假材料投标的；</w:t>
      </w:r>
    </w:p>
    <w:p w14:paraId="7F217E94">
      <w:pPr>
        <w:spacing w:line="570" w:lineRule="exact"/>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4.2.10响应人有恶意串通、妨碍其他响应人的竞争行为、损害交易发起人或者其他响应人的合法权益情形的；</w:t>
      </w:r>
    </w:p>
    <w:p w14:paraId="6EA7EEA6">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4.2.11响应人未在电子交易平台传输递交响应文件的，交易无效；</w:t>
      </w:r>
    </w:p>
    <w:p w14:paraId="61872C36">
      <w:pPr>
        <w:pStyle w:val="4"/>
        <w:spacing w:line="570" w:lineRule="exact"/>
        <w:ind w:left="862" w:leftChars="205"/>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4.2.12响应文件不满足公开竞争文件的其它实质性要求的；</w:t>
      </w:r>
    </w:p>
    <w:p w14:paraId="5235460A">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4.2.13法律、法规、规章（适用本市的）及省级以上规范性文件（适用本市的）规定的其他无效情形。</w:t>
      </w:r>
    </w:p>
    <w:p w14:paraId="5042DEA0">
      <w:pPr>
        <w:pStyle w:val="26"/>
        <w:snapToGrid w:val="0"/>
        <w:spacing w:line="570" w:lineRule="exact"/>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在交易过程中，出现下列情形之一的，应予废标：</w:t>
      </w:r>
    </w:p>
    <w:p w14:paraId="6B7C0DD1">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5.1符合专业条件的响应人或者对公开竞争文件作实质响应的响应人不足3家的；</w:t>
      </w:r>
    </w:p>
    <w:p w14:paraId="5287CC4B">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1DE652D8">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5.3响应人的报价均超过了采购预算，交易发起人不能支付的；</w:t>
      </w:r>
    </w:p>
    <w:p w14:paraId="696E1B8E">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2911B12B">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废标后，代理机构应当将废标理由通知所有响应人。</w:t>
      </w:r>
    </w:p>
    <w:p w14:paraId="26B3FAE1">
      <w:pPr>
        <w:pStyle w:val="26"/>
        <w:snapToGrid w:val="0"/>
        <w:spacing w:line="570" w:lineRule="exact"/>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6.修改公开竞争文件，重新组织交易活动。</w:t>
      </w:r>
      <w:r>
        <w:rPr>
          <w:rFonts w:hint="eastAsia" w:ascii="宋体" w:hAnsi="宋体" w:eastAsia="宋体" w:cs="宋体"/>
          <w:color w:val="000000" w:themeColor="text1"/>
          <w:highlight w:val="none"/>
          <w14:textFill>
            <w14:solidFill>
              <w14:schemeClr w14:val="tx1"/>
            </w14:solidFill>
          </w14:textFill>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9D239F5">
      <w:pPr>
        <w:pStyle w:val="26"/>
        <w:snapToGrid w:val="0"/>
        <w:spacing w:line="570" w:lineRule="exact"/>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7.重新开展交易。</w:t>
      </w:r>
      <w:r>
        <w:rPr>
          <w:rFonts w:hint="eastAsia" w:ascii="宋体" w:hAnsi="宋体" w:eastAsia="宋体" w:cs="宋体"/>
          <w:color w:val="000000" w:themeColor="text1"/>
          <w:highlight w:val="none"/>
          <w14:textFill>
            <w14:solidFill>
              <w14:schemeClr w14:val="tx1"/>
            </w14:solidFill>
          </w14:textFill>
        </w:rPr>
        <w:t>影响或者可能影响</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、成交结果的，依照下列规定处理：</w:t>
      </w:r>
    </w:p>
    <w:p w14:paraId="0A74464C">
      <w:pPr>
        <w:pStyle w:val="26"/>
        <w:snapToGrid w:val="0"/>
        <w:spacing w:line="57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或者成交人的，终止本次交易活动，重新开展交易活动。</w:t>
      </w:r>
    </w:p>
    <w:p w14:paraId="2E08DE70">
      <w:pPr>
        <w:pStyle w:val="26"/>
        <w:snapToGrid w:val="0"/>
        <w:spacing w:line="57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或者成交人但尚未签订合同的，</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或者成交结果无效，从合格的</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或者成交候选人中另行确定</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或者成交人；没有合格的</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或者成交候选人的，重新开展交易活动。</w:t>
      </w:r>
    </w:p>
    <w:p w14:paraId="5C6C9044">
      <w:pPr>
        <w:pStyle w:val="26"/>
        <w:snapToGrid w:val="0"/>
        <w:spacing w:line="57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7.3书面合同已签订但尚未履行的，撤销合同，从合格的</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或者成交候选人中另行确定</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或者成交人；没有合格的</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或者成交候选人的，重新开展交易活动。</w:t>
      </w:r>
    </w:p>
    <w:p w14:paraId="0B938652">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7.4书面合同已经履行，给交易发起人、响应人造成损失的，由责任人承担赔偿责任。</w:t>
      </w:r>
    </w:p>
    <w:p w14:paraId="2817948E">
      <w:pPr>
        <w:pStyle w:val="26"/>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7.5交易当事人有其他违反</w:t>
      </w:r>
      <w:r>
        <w:rPr>
          <w:rFonts w:hint="eastAsia" w:ascii="宋体" w:hAnsi="宋体" w:eastAsia="宋体" w:cs="宋体"/>
          <w:color w:val="000000" w:themeColor="text1"/>
          <w:kern w:val="0"/>
          <w:highlight w:val="none"/>
          <w14:textFill>
            <w14:solidFill>
              <w14:schemeClr w14:val="tx1"/>
            </w14:solidFill>
          </w14:textFill>
        </w:rPr>
        <w:t>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、成交结果或者依法被认定为</w:t>
      </w:r>
      <w:r>
        <w:rPr>
          <w:rFonts w:hint="eastAsia" w:ascii="宋体" w:hAnsi="宋体" w:eastAsia="宋体" w:cs="宋体"/>
          <w:color w:val="000000" w:themeColor="text1"/>
          <w:kern w:val="0"/>
          <w:highlight w:val="none"/>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、成交无效的，依照7.1-7.4规定处理。</w:t>
      </w:r>
    </w:p>
    <w:p w14:paraId="3DD6ABD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76DB2A7A">
      <w:pPr>
        <w:pStyle w:val="16"/>
        <w:rPr>
          <w:rFonts w:hint="eastAsia" w:ascii="宋体" w:hAnsi="宋体" w:eastAsia="宋体" w:cs="宋体"/>
          <w:color w:val="000000" w:themeColor="text1"/>
          <w:highlight w:val="none"/>
          <w14:textFill>
            <w14:solidFill>
              <w14:schemeClr w14:val="tx1"/>
            </w14:solidFill>
          </w14:textFill>
        </w:rPr>
      </w:pPr>
    </w:p>
    <w:p w14:paraId="7DC18050">
      <w:pPr>
        <w:rPr>
          <w:rFonts w:hint="eastAsia" w:ascii="宋体" w:hAnsi="宋体" w:eastAsia="宋体" w:cs="宋体"/>
          <w:color w:val="000000" w:themeColor="text1"/>
          <w:highlight w:val="none"/>
          <w14:textFill>
            <w14:solidFill>
              <w14:schemeClr w14:val="tx1"/>
            </w14:solidFill>
          </w14:textFill>
        </w:rPr>
      </w:pPr>
    </w:p>
    <w:p w14:paraId="0EE837F7">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14ABB37A">
      <w:pPr>
        <w:numPr>
          <w:ilvl w:val="0"/>
          <w:numId w:val="0"/>
        </w:numPr>
        <w:spacing w:line="360" w:lineRule="auto"/>
        <w:ind w:left="718" w:leftChars="342" w:firstLine="119" w:firstLineChars="33"/>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kern w:val="2"/>
          <w:sz w:val="36"/>
          <w:szCs w:val="36"/>
          <w:highlight w:val="none"/>
          <w:lang w:val="en-US" w:eastAsia="zh-CN" w:bidi="ar-SA"/>
          <w14:textFill>
            <w14:solidFill>
              <w14:schemeClr w14:val="tx1"/>
            </w14:solidFill>
          </w14:textFill>
        </w:rPr>
        <w:t xml:space="preserve">第五部分 </w:t>
      </w:r>
      <w:r>
        <w:rPr>
          <w:rFonts w:hint="eastAsia" w:ascii="宋体" w:hAnsi="宋体" w:eastAsia="宋体" w:cs="宋体"/>
          <w:b/>
          <w:color w:val="000000" w:themeColor="text1"/>
          <w:sz w:val="36"/>
          <w:szCs w:val="36"/>
          <w:highlight w:val="none"/>
          <w14:textFill>
            <w14:solidFill>
              <w14:schemeClr w14:val="tx1"/>
            </w14:solidFill>
          </w14:textFill>
        </w:rPr>
        <w:t>拟签订的合同文本</w:t>
      </w:r>
    </w:p>
    <w:p w14:paraId="21359A65">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合同编号：</w:t>
      </w:r>
    </w:p>
    <w:p w14:paraId="6BC22A77">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签订地点：                                 签订时间：202</w:t>
      </w:r>
      <w:r>
        <w:rPr>
          <w:rFonts w:hint="eastAsia"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年  月  日</w:t>
      </w:r>
    </w:p>
    <w:p w14:paraId="7C95B3D2">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p w14:paraId="7FC4EFE1">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甲方（需方）：                                     </w:t>
      </w:r>
    </w:p>
    <w:p w14:paraId="6A8CCB7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乙方（供方）：                                     </w:t>
      </w:r>
    </w:p>
    <w:p w14:paraId="3155B34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供、需双方根据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项目（交易编号  -  -   ）成交结果和公开竞争文件的要求，并经双方协调一致，订立本合同。</w:t>
      </w:r>
    </w:p>
    <w:p w14:paraId="05E85A01">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一、合同文件：</w:t>
      </w:r>
    </w:p>
    <w:p w14:paraId="2A8A969D">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1、合同条款。</w:t>
      </w:r>
    </w:p>
    <w:p w14:paraId="65188444">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63F6BDAB">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3、公开竞争文件。</w:t>
      </w:r>
    </w:p>
    <w:p w14:paraId="58F94613">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4、更正公告。</w:t>
      </w:r>
    </w:p>
    <w:p w14:paraId="359D8477">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5、成交单位响应文件。</w:t>
      </w:r>
    </w:p>
    <w:p w14:paraId="11CBE8D0">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6、其他。</w:t>
      </w:r>
    </w:p>
    <w:p w14:paraId="3E75DA0D">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二、合同金额: 本合同金额为（大写）</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元（￥</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元）人民币。</w:t>
      </w:r>
    </w:p>
    <w:p w14:paraId="055F5D2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w:t>
      </w:r>
    </w:p>
    <w:p w14:paraId="63A7A2EE">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33E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53FC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AF4EF8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16C46A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63AF65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FB6E3E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成交总价（元）</w:t>
            </w:r>
          </w:p>
        </w:tc>
      </w:tr>
      <w:tr w14:paraId="29E8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799A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637" w:type="dxa"/>
            <w:tcBorders>
              <w:top w:val="single" w:color="auto" w:sz="4" w:space="0"/>
              <w:left w:val="single" w:color="auto" w:sz="4" w:space="0"/>
              <w:bottom w:val="single" w:color="auto" w:sz="4" w:space="0"/>
              <w:right w:val="single" w:color="auto" w:sz="4" w:space="0"/>
            </w:tcBorders>
            <w:vAlign w:val="center"/>
          </w:tcPr>
          <w:p w14:paraId="7119F9F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217A83F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0F2930C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487FB9E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02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73EE5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637" w:type="dxa"/>
            <w:tcBorders>
              <w:top w:val="single" w:color="auto" w:sz="4" w:space="0"/>
              <w:left w:val="single" w:color="auto" w:sz="4" w:space="0"/>
              <w:bottom w:val="single" w:color="auto" w:sz="4" w:space="0"/>
              <w:right w:val="single" w:color="auto" w:sz="4" w:space="0"/>
            </w:tcBorders>
            <w:vAlign w:val="center"/>
          </w:tcPr>
          <w:p w14:paraId="40ABC62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198C85D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397E13D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5E9A7CA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1CA6396E">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三、技术资料</w:t>
      </w:r>
    </w:p>
    <w:p w14:paraId="4FB4503B">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1.乙方应按公开竞争文件规定的时间向甲方提供有关技术资料。</w:t>
      </w:r>
    </w:p>
    <w:p w14:paraId="23732BC7">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4E033E7">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四、转包或分包</w:t>
      </w:r>
    </w:p>
    <w:p w14:paraId="521C58F8">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1.本合同范围的服务，应由乙方直接提供，乙方不得将本合同范围的服务全部或部分分包给他人供应；</w:t>
      </w:r>
    </w:p>
    <w:p w14:paraId="4DCA47F9">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2.如有转让和未经甲方同意的分包行为，甲方有权解除合同，追究乙方的违约责任。</w:t>
      </w:r>
    </w:p>
    <w:p w14:paraId="433D214A">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五、服务质量保证期</w:t>
      </w:r>
    </w:p>
    <w:p w14:paraId="1B4FDD05">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服务时间：</w:t>
      </w:r>
    </w:p>
    <w:p w14:paraId="09E72E45">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六、合同履行时间、履行方式及履行地点</w:t>
      </w:r>
    </w:p>
    <w:p w14:paraId="6BA10BFA">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履行时间：</w:t>
      </w:r>
    </w:p>
    <w:p w14:paraId="592DA1E5">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履行方式：按合同履行。</w:t>
      </w:r>
    </w:p>
    <w:p w14:paraId="16742FF4">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履行地点：甲方指定地点内。</w:t>
      </w:r>
    </w:p>
    <w:p w14:paraId="1847E754">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七、款项支付</w:t>
      </w:r>
    </w:p>
    <w:p w14:paraId="65D7362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参照交易需求。</w:t>
      </w:r>
    </w:p>
    <w:p w14:paraId="32B8BEAD">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十、税费</w:t>
      </w:r>
    </w:p>
    <w:p w14:paraId="597CC143">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本合同执行中相关的一切税费均由乙方负担。</w:t>
      </w:r>
    </w:p>
    <w:p w14:paraId="085F8B9C">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十一、质量保证及后续服务</w:t>
      </w:r>
    </w:p>
    <w:p w14:paraId="3258FF0A">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乙方应按公开竞争文件规定向甲方提供服务。</w:t>
      </w:r>
    </w:p>
    <w:p w14:paraId="16FD0495">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乙方提供的服务发生问题或产出重大不良影响的，除按结算条款扣除结算金额外，乙方应负责免费提供后续善后服务，同时承担相应责任。</w:t>
      </w:r>
    </w:p>
    <w:p w14:paraId="4E738820">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十二、违约责任</w:t>
      </w:r>
    </w:p>
    <w:p w14:paraId="653FAF0D">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1.甲方无正当理由拒绝接收服务的，甲方向乙方偿付合同款项百分之五作为违约金。</w:t>
      </w:r>
    </w:p>
    <w:p w14:paraId="2E7BC054">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对乙方进行处罚，并有权提前终止合同。</w:t>
      </w:r>
    </w:p>
    <w:p w14:paraId="2540249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十三、争议的解决</w:t>
      </w:r>
    </w:p>
    <w:p w14:paraId="1A12EA9E">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因本合同引起的或与本合同有关的任何争议，合同双方应首先通过协商解决，达成书面协议，如协商不成，可选择下列方式解决。</w:t>
      </w:r>
    </w:p>
    <w:p w14:paraId="43494810">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（1）提请杭州仲裁委员会按照该会仲裁规则进行仲裁，仲裁裁决是终局的，对合同双方均有约束力。</w:t>
      </w:r>
    </w:p>
    <w:p w14:paraId="3F4AA9CE">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（2）向有管辖权的人民法院提起诉讼。</w:t>
      </w:r>
    </w:p>
    <w:p w14:paraId="0652E0C7">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十四、合同生效</w:t>
      </w:r>
    </w:p>
    <w:p w14:paraId="74E243C0">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1.成交方持成交通知书作为与需方签订合同的凭证。</w:t>
      </w:r>
    </w:p>
    <w:p w14:paraId="644B1541">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2.本合同经需、供双方法定代表人或其授权委托人签字并加盖单位公章后生效。</w:t>
      </w:r>
    </w:p>
    <w:p w14:paraId="4A4DA274">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1567FE7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25EC9651">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需方（盖章）：                     供方（盖章）：</w:t>
      </w:r>
    </w:p>
    <w:p w14:paraId="1947104F">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                             地址：</w:t>
      </w:r>
    </w:p>
    <w:p w14:paraId="78E6B3B4">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法定代表人（或委托代理人）签名：   法定代表人（或委托代理人）签名：</w:t>
      </w:r>
    </w:p>
    <w:p w14:paraId="06777F99">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                         联系电话：</w:t>
      </w:r>
    </w:p>
    <w:p w14:paraId="7092172C">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                         邮政编码：</w:t>
      </w:r>
    </w:p>
    <w:p w14:paraId="23948646">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开户银行：                         开户银行：      </w:t>
      </w:r>
    </w:p>
    <w:p w14:paraId="3FDC03A5">
      <w:pPr>
        <w:pStyle w:val="26"/>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帐号：                             帐号：</w:t>
      </w:r>
      <w:r>
        <w:rPr>
          <w:rFonts w:hint="eastAsia" w:ascii="宋体" w:hAnsi="宋体" w:eastAsia="宋体" w:cs="宋体"/>
          <w:color w:val="000000" w:themeColor="text1"/>
          <w:highlight w:val="none"/>
          <w14:textFill>
            <w14:solidFill>
              <w14:schemeClr w14:val="tx1"/>
            </w14:solidFill>
          </w14:textFill>
        </w:rPr>
        <w:br w:type="page"/>
      </w:r>
    </w:p>
    <w:p w14:paraId="38A799F2">
      <w:pPr>
        <w:rPr>
          <w:rFonts w:hint="eastAsia" w:ascii="宋体" w:hAnsi="宋体" w:eastAsia="宋体" w:cs="宋体"/>
          <w:color w:val="000000" w:themeColor="text1"/>
          <w:highlight w:val="none"/>
          <w14:textFill>
            <w14:solidFill>
              <w14:schemeClr w14:val="tx1"/>
            </w14:solidFill>
          </w14:textFill>
        </w:rPr>
      </w:pPr>
    </w:p>
    <w:p w14:paraId="440EC163">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79"/>
      <w:bookmarkEnd w:id="380"/>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590A1E1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36DC03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2C2BF009">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256A9A3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0966C6B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（1）符合参加交易活动应当具备的一般条件的承诺函…………………（页码）</w:t>
      </w:r>
    </w:p>
    <w:p w14:paraId="0558D00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（2）本项目的特定资格要求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…………………………………（页码）</w:t>
      </w:r>
    </w:p>
    <w:p w14:paraId="232EBC1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62C1D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757604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符合参加交易活动应当具备的一般条件的承诺函</w:t>
      </w:r>
    </w:p>
    <w:p w14:paraId="66DC386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9204D14">
      <w:pPr>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p>
    <w:p w14:paraId="6B15219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14:textFill>
            <w14:solidFill>
              <w14:schemeClr w14:val="tx1"/>
            </w14:solidFill>
          </w14:textFill>
        </w:rPr>
        <w:t>（项目名称）【交易编号：】</w:t>
      </w:r>
      <w:r>
        <w:rPr>
          <w:rFonts w:hint="eastAsia" w:ascii="宋体" w:hAnsi="宋体" w:eastAsia="宋体" w:cs="宋体"/>
          <w:color w:val="000000" w:themeColor="text1"/>
          <w:sz w:val="24"/>
          <w:highlight w:val="none"/>
          <w14:textFill>
            <w14:solidFill>
              <w14:schemeClr w14:val="tx1"/>
            </w14:solidFill>
          </w14:textFill>
        </w:rPr>
        <w:t>交易活动，郑重承诺：</w:t>
      </w:r>
    </w:p>
    <w:p w14:paraId="6379F768">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（一）具备以下条件：</w:t>
      </w:r>
    </w:p>
    <w:p w14:paraId="4FB0095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552F878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15CBF74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3427D44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4BD0688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5、参加交易活动前三年内，在经营活动中没有重大违法记录；</w:t>
      </w:r>
    </w:p>
    <w:p w14:paraId="130565B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7BDDF8C9">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3CB9936E">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1E33B002">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4A4A9749">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响应人名称(电子签名)：</w:t>
      </w:r>
    </w:p>
    <w:p w14:paraId="40A2AEE4">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月日</w:t>
      </w:r>
    </w:p>
    <w:p w14:paraId="7124FCF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E4201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31A07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851AB70">
      <w:pPr>
        <w:rPr>
          <w:rFonts w:hint="eastAsia" w:ascii="宋体" w:hAnsi="宋体" w:eastAsia="宋体" w:cs="宋体"/>
          <w:color w:val="000000" w:themeColor="text1"/>
          <w:highlight w:val="none"/>
          <w14:textFill>
            <w14:solidFill>
              <w14:schemeClr w14:val="tx1"/>
            </w14:solidFill>
          </w14:textFill>
        </w:rPr>
      </w:pPr>
    </w:p>
    <w:p w14:paraId="66345178">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D1B9798">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9D4A94">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二、本项目的特定资格要求</w:t>
      </w:r>
    </w:p>
    <w:p w14:paraId="29A2A01D">
      <w:pPr>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（根据交易公告本项目的特定资格要求提供相应的材料；未要求的，无需提供）</w:t>
      </w:r>
    </w:p>
    <w:p w14:paraId="0E72E71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E3381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B4D37A0">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252484D7">
      <w:pPr>
        <w:spacing w:line="360" w:lineRule="auto"/>
        <w:ind w:right="420"/>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4A892A77">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4B73DF50">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44BB6063">
      <w:pPr>
        <w:snapToGrid w:val="0"/>
        <w:spacing w:line="360" w:lineRule="auto"/>
        <w:ind w:left="479" w:leftChars="228"/>
        <w:jc w:val="distribut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（1）交易函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4CDDB51B">
      <w:pPr>
        <w:snapToGrid w:val="0"/>
        <w:spacing w:line="360" w:lineRule="auto"/>
        <w:ind w:firstLine="480" w:firstLineChars="200"/>
        <w:jc w:val="distribut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（3）营业执照</w:t>
      </w:r>
      <w:r>
        <w:rPr>
          <w:rFonts w:hint="eastAsia" w:ascii="宋体" w:hAnsi="宋体" w:eastAsia="宋体" w:cs="宋体"/>
          <w:color w:val="000000" w:themeColor="text1"/>
          <w:highlight w:val="none"/>
          <w14:textFill>
            <w14:solidFill>
              <w14:schemeClr w14:val="tx1"/>
            </w14:solidFill>
          </w14:textFill>
        </w:rPr>
        <w:t>………………………………………………………………………………（页码）</w:t>
      </w:r>
    </w:p>
    <w:p w14:paraId="2367AE19">
      <w:pPr>
        <w:snapToGrid w:val="0"/>
        <w:spacing w:line="360" w:lineRule="auto"/>
        <w:ind w:firstLine="480" w:firstLineChars="200"/>
        <w:jc w:val="distribut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26E55B2E">
      <w:pPr>
        <w:snapToGrid w:val="0"/>
        <w:spacing w:line="360" w:lineRule="auto"/>
        <w:ind w:firstLine="480" w:firstLineChars="200"/>
        <w:jc w:val="distribut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（5）评审标准相应的商务技术资料</w:t>
      </w:r>
      <w:r>
        <w:rPr>
          <w:rFonts w:hint="eastAsia" w:ascii="宋体" w:hAnsi="宋体" w:eastAsia="宋体" w:cs="宋体"/>
          <w:color w:val="000000" w:themeColor="text1"/>
          <w:highlight w:val="none"/>
          <w14:textFill>
            <w14:solidFill>
              <w14:schemeClr w14:val="tx1"/>
            </w14:solidFill>
          </w14:textFill>
        </w:rPr>
        <w:t>……………………………………………………（页码）</w:t>
      </w:r>
    </w:p>
    <w:p w14:paraId="1E0BADE7">
      <w:pPr>
        <w:snapToGrid w:val="0"/>
        <w:spacing w:line="360" w:lineRule="auto"/>
        <w:ind w:firstLine="480" w:firstLineChars="200"/>
        <w:jc w:val="distribut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（6）商务技术偏离表</w:t>
      </w:r>
      <w:r>
        <w:rPr>
          <w:rFonts w:hint="eastAsia" w:ascii="宋体" w:hAnsi="宋体" w:eastAsia="宋体" w:cs="宋体"/>
          <w:color w:val="000000" w:themeColor="text1"/>
          <w:highlight w:val="none"/>
          <w14:textFill>
            <w14:solidFill>
              <w14:schemeClr w14:val="tx1"/>
            </w14:solidFill>
          </w14:textFill>
        </w:rPr>
        <w:t>………………………………………………………………………（页码）</w:t>
      </w:r>
    </w:p>
    <w:p w14:paraId="4B2EFF94">
      <w:pPr>
        <w:snapToGrid w:val="0"/>
        <w:spacing w:line="360" w:lineRule="auto"/>
        <w:ind w:left="479" w:leftChars="228"/>
        <w:jc w:val="distribut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响应人廉洁自律承诺书</w:t>
      </w:r>
      <w:r>
        <w:rPr>
          <w:rFonts w:hint="eastAsia" w:ascii="宋体" w:hAnsi="宋体" w:eastAsia="宋体" w:cs="宋体"/>
          <w:color w:val="000000" w:themeColor="text1"/>
          <w:highlight w:val="none"/>
          <w14:textFill>
            <w14:solidFill>
              <w14:schemeClr w14:val="tx1"/>
            </w14:solidFill>
          </w14:textFill>
        </w:rPr>
        <w:t>……………………………………………………………（页码）</w:t>
      </w:r>
    </w:p>
    <w:p w14:paraId="64B00B7E">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7DC2AF7">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44FEE1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ED5ADC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8AAE88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5D36938">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2F70DCA5">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7E195728">
      <w:pPr>
        <w:rPr>
          <w:rFonts w:hint="eastAsia" w:ascii="宋体" w:hAnsi="宋体" w:eastAsia="宋体" w:cs="宋体"/>
          <w:color w:val="000000" w:themeColor="text1"/>
          <w:highlight w:val="none"/>
          <w14:textFill>
            <w14:solidFill>
              <w14:schemeClr w14:val="tx1"/>
            </w14:solidFill>
          </w14:textFill>
        </w:rPr>
      </w:pPr>
    </w:p>
    <w:p w14:paraId="17614137">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37572B96">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310642FE">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5E6BD942">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220D8556">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3045B009">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267D3FA3">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DC30591">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一、交易函</w:t>
      </w:r>
    </w:p>
    <w:p w14:paraId="4EAF5BCF">
      <w:pPr>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p>
    <w:p w14:paraId="0FF66D12">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14:textFill>
            <w14:solidFill>
              <w14:schemeClr w14:val="tx1"/>
            </w14:solidFill>
          </w14:textFill>
        </w:rPr>
        <w:t>（项目名称）【交易编号：】</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004DDEF2">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1、我方承诺交易有效期从提交响应文件的截止之日起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本响应文件在交易有效期满之前均具有约束力。</w:t>
      </w:r>
    </w:p>
    <w:p w14:paraId="25D1B3F0">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2、我方的响应文件包括以下内容：</w:t>
      </w:r>
    </w:p>
    <w:p w14:paraId="4F056C69">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12C2CF85">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01AA23B2">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2.1.2本项目的特定资格要求（如果有）。</w:t>
      </w:r>
    </w:p>
    <w:p w14:paraId="3A1563FE">
      <w:pPr>
        <w:snapToGrid w:val="0"/>
        <w:spacing w:line="440" w:lineRule="exact"/>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4F7DFAD8">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2.2.1交易函；</w:t>
      </w:r>
    </w:p>
    <w:p w14:paraId="5887B096">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630F0494">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2.2.3营业执照；</w:t>
      </w:r>
    </w:p>
    <w:p w14:paraId="7ED85491">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0BE07B76">
      <w:pPr>
        <w:snapToGrid w:val="0"/>
        <w:spacing w:line="440" w:lineRule="exact"/>
        <w:ind w:left="420" w:lef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2.2.5评审标准相应的商务技术资料；</w:t>
      </w:r>
    </w:p>
    <w:p w14:paraId="2047A3D9">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2.2.6商务技术偏离表；</w:t>
      </w:r>
    </w:p>
    <w:p w14:paraId="6358C5B2">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w:t>
      </w:r>
      <w:r>
        <w:rPr>
          <w:rFonts w:hint="eastAsia" w:ascii="宋体" w:hAnsi="宋体" w:eastAsia="宋体" w:cs="宋体"/>
          <w:color w:val="000000" w:themeColor="text1"/>
          <w:sz w:val="24"/>
          <w:highlight w:val="none"/>
          <w:lang w:val="zh-CN"/>
          <w14:textFill>
            <w14:solidFill>
              <w14:schemeClr w14:val="tx1"/>
            </w14:solidFill>
          </w14:textFill>
        </w:rPr>
        <w:t>响应人廉洁自律承诺书。</w:t>
      </w:r>
    </w:p>
    <w:p w14:paraId="2813A743">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580EE654">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2.3.1交易一览表（报价表）。</w:t>
      </w:r>
    </w:p>
    <w:p w14:paraId="1750DD7B">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3、我方承诺除商务技术偏离表列出的偏离外，我方响应公开竞争文件的全部要求。</w:t>
      </w:r>
    </w:p>
    <w:p w14:paraId="60913E62">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4、如我方成交，我方承诺：</w:t>
      </w:r>
    </w:p>
    <w:p w14:paraId="123F4925">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4B62A01B">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47F5D79F">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4.3按照公开竞争文件要求提交履约保证金； </w:t>
      </w:r>
    </w:p>
    <w:p w14:paraId="6DDD1901">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0780AF86">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p>
    <w:p w14:paraId="6A6A37B0">
      <w:pPr>
        <w:spacing w:line="440" w:lineRule="exact"/>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响应人名称（电子签名）：                          </w:t>
      </w:r>
    </w:p>
    <w:p w14:paraId="5F568B43">
      <w:pPr>
        <w:spacing w:line="440" w:lineRule="exact"/>
        <w:jc w:val="center"/>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39A679A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A698EE1">
      <w:pPr>
        <w:pStyle w:val="24"/>
        <w:rPr>
          <w:rFonts w:hint="eastAsia" w:ascii="宋体" w:hAnsi="宋体" w:eastAsia="宋体" w:cs="宋体"/>
          <w:color w:val="000000" w:themeColor="text1"/>
          <w:highlight w:val="none"/>
          <w:lang w:val="en-US"/>
          <w14:textFill>
            <w14:solidFill>
              <w14:schemeClr w14:val="tx1"/>
            </w14:solidFill>
          </w14:textFill>
        </w:rPr>
      </w:pPr>
    </w:p>
    <w:p w14:paraId="7D3C61E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5C8E7DE">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72CA1F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7BCBC44">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p>
    <w:p w14:paraId="71E6EE0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2C86AD7">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（项目名称）【交易编号：】</w:t>
      </w:r>
      <w:r>
        <w:rPr>
          <w:rFonts w:hint="eastAsia" w:ascii="宋体" w:hAnsi="宋体" w:eastAsia="宋体" w:cs="宋体"/>
          <w:color w:val="000000" w:themeColor="text1"/>
          <w:kern w:val="0"/>
          <w:sz w:val="24"/>
          <w:highlight w:val="none"/>
          <w:lang w:val="zh-CN"/>
          <w14:textFill>
            <w14:solidFill>
              <w14:schemeClr w14:val="tx1"/>
            </w14:solidFill>
          </w14:textFill>
        </w:rPr>
        <w:t>交易项目的一切事项，其法律后果由我方承担。</w:t>
      </w:r>
    </w:p>
    <w:p w14:paraId="46A7B06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自年月日起至年月日止。</w:t>
      </w:r>
    </w:p>
    <w:p w14:paraId="3A2F6EF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0B0352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响应人名称(电子签名)：</w:t>
      </w:r>
    </w:p>
    <w:p w14:paraId="0E17FBF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6AF0068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A8A4D7B">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p>
    <w:p w14:paraId="15642006">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的身份证明（适用于法定代表人、单位负责人或者自然人本人代表响应人参加投标）</w:t>
      </w:r>
    </w:p>
    <w:p w14:paraId="206CED18">
      <w:pPr>
        <w:pStyle w:val="15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B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3596672">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414D8F63">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4DF3C967">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2119F6FD">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响应人名称(电子签名)：                              </w:t>
      </w:r>
    </w:p>
    <w:p w14:paraId="660E20CF">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6BDFA7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509874">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51805CB">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三、营业执照</w:t>
      </w:r>
    </w:p>
    <w:p w14:paraId="11F4EBA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BD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337F2AC">
            <w:pPr>
              <w:pStyle w:val="155"/>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0D0BC1AE">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71B6C56E">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31C50F74">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响应人名称(电子签名)：                              </w:t>
      </w:r>
    </w:p>
    <w:p w14:paraId="21103B7F">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3091756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90E6C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171B0E1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85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C3D17C">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976" w:type="dxa"/>
            <w:vAlign w:val="center"/>
          </w:tcPr>
          <w:p w14:paraId="7C425D5C">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566" w:type="dxa"/>
            <w:vAlign w:val="center"/>
          </w:tcPr>
          <w:p w14:paraId="19861AFB">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126795E">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响应文件中的</w:t>
            </w:r>
          </w:p>
          <w:p w14:paraId="0FE6116D">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4E62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FACD2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976" w:type="dxa"/>
            <w:vAlign w:val="center"/>
          </w:tcPr>
          <w:p w14:paraId="60D56B1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响应文件按照公开竞争文件要求签署、盖章。</w:t>
            </w:r>
          </w:p>
        </w:tc>
        <w:tc>
          <w:tcPr>
            <w:tcW w:w="3566" w:type="dxa"/>
            <w:vAlign w:val="center"/>
          </w:tcPr>
          <w:p w14:paraId="3A6EB9F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42EE6962">
            <w:pPr>
              <w:jc w:val="center"/>
              <w:rPr>
                <w:rFonts w:hint="eastAsia" w:ascii="宋体" w:hAnsi="宋体" w:eastAsia="宋体" w:cs="宋体"/>
                <w:color w:val="000000" w:themeColor="text1"/>
                <w:sz w:val="24"/>
                <w:highlight w:val="none"/>
                <w14:textFill>
                  <w14:solidFill>
                    <w14:schemeClr w14:val="tx1"/>
                  </w14:solidFill>
                </w14:textFill>
              </w:rPr>
            </w:pPr>
          </w:p>
          <w:p w14:paraId="4EC7A2D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见响应文件</w:t>
            </w:r>
          </w:p>
          <w:p w14:paraId="70D98AC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48D2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EE0B9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976" w:type="dxa"/>
            <w:vAlign w:val="center"/>
          </w:tcPr>
          <w:p w14:paraId="787ED2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响应文件中承诺的交易有效期不少于公开竞争文件中载明的交易有效期。</w:t>
            </w:r>
          </w:p>
        </w:tc>
        <w:tc>
          <w:tcPr>
            <w:tcW w:w="3566" w:type="dxa"/>
            <w:vAlign w:val="center"/>
          </w:tcPr>
          <w:p w14:paraId="28B5CA4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交易函</w:t>
            </w:r>
          </w:p>
        </w:tc>
        <w:tc>
          <w:tcPr>
            <w:tcW w:w="1418" w:type="dxa"/>
            <w:vAlign w:val="center"/>
          </w:tcPr>
          <w:p w14:paraId="46A5125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见响应文件第</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5FEA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85DB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976" w:type="dxa"/>
            <w:vAlign w:val="center"/>
          </w:tcPr>
          <w:p w14:paraId="7894CE3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响应文件满足公开竞争文件的其它实质性要求。</w:t>
            </w:r>
          </w:p>
        </w:tc>
        <w:tc>
          <w:tcPr>
            <w:tcW w:w="3566" w:type="dxa"/>
            <w:vAlign w:val="center"/>
          </w:tcPr>
          <w:p w14:paraId="5BA3061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公开竞争文件其它实质性要求相应的材料（“▲” 系指实质性要求条款，公开竞争文件无其它实质性要求的，无需提供）</w:t>
            </w:r>
          </w:p>
        </w:tc>
        <w:tc>
          <w:tcPr>
            <w:tcW w:w="1418" w:type="dxa"/>
            <w:vAlign w:val="center"/>
          </w:tcPr>
          <w:p w14:paraId="5BC2BCB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见响应文件第</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3A393C7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623E10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AD83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6B3A31">
      <w:pPr>
        <w:rPr>
          <w:rFonts w:hint="eastAsia" w:ascii="宋体" w:hAnsi="宋体" w:eastAsia="宋体" w:cs="宋体"/>
          <w:b/>
          <w:color w:val="000000" w:themeColor="text1"/>
          <w:kern w:val="0"/>
          <w:sz w:val="32"/>
          <w:szCs w:val="32"/>
          <w:highlight w:val="none"/>
          <w14:textFill>
            <w14:solidFill>
              <w14:schemeClr w14:val="tx1"/>
            </w14:solidFill>
          </w14:textFill>
        </w:rPr>
      </w:pPr>
    </w:p>
    <w:p w14:paraId="1A53D4A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E761A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五、评审标准相应的商务技术资料</w:t>
      </w:r>
    </w:p>
    <w:p w14:paraId="11A69A0B">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（按公开竞争文件第四部分交易办法前附表中“响应文件中评审标准相应的商务技术资料目录”提供资料。）</w:t>
      </w:r>
    </w:p>
    <w:p w14:paraId="6D1881D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D0C1E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9C4BE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300FFF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9CB35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C97D9C">
      <w:pPr>
        <w:pStyle w:val="25"/>
        <w:rPr>
          <w:rFonts w:hint="eastAsia" w:ascii="宋体" w:hAnsi="宋体" w:eastAsia="宋体" w:cs="宋体"/>
          <w:b/>
          <w:color w:val="000000" w:themeColor="text1"/>
          <w:kern w:val="0"/>
          <w:sz w:val="32"/>
          <w:szCs w:val="32"/>
          <w:highlight w:val="none"/>
          <w14:textFill>
            <w14:solidFill>
              <w14:schemeClr w14:val="tx1"/>
            </w14:solidFill>
          </w14:textFill>
        </w:rPr>
      </w:pPr>
    </w:p>
    <w:p w14:paraId="597B5135">
      <w:pPr>
        <w:pStyle w:val="53"/>
        <w:rPr>
          <w:rFonts w:hint="eastAsia" w:ascii="宋体" w:hAnsi="宋体" w:eastAsia="宋体" w:cs="宋体"/>
          <w:color w:val="000000" w:themeColor="text1"/>
          <w:highlight w:val="none"/>
          <w14:textFill>
            <w14:solidFill>
              <w14:schemeClr w14:val="tx1"/>
            </w14:solidFill>
          </w14:textFill>
        </w:rPr>
      </w:pPr>
    </w:p>
    <w:p w14:paraId="5C1850D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4FF4B7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176E84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DB1D7B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B41C2BD">
      <w:pPr>
        <w:spacing w:line="360" w:lineRule="auto"/>
        <w:ind w:right="42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39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A7568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4AB36342">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公开竞争文件章节及具体内容</w:t>
            </w:r>
          </w:p>
        </w:tc>
        <w:tc>
          <w:tcPr>
            <w:tcW w:w="3546" w:type="dxa"/>
          </w:tcPr>
          <w:p w14:paraId="0BDDBE3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响应文件章节及具体内容</w:t>
            </w:r>
          </w:p>
        </w:tc>
        <w:tc>
          <w:tcPr>
            <w:tcW w:w="1276" w:type="dxa"/>
          </w:tcPr>
          <w:p w14:paraId="58D3BCD4">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6390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F01C7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6F93940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4DE170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6FBB22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5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17E42A9">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4BF207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3C51376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63DE9F3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F90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90335">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129584A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122E60D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BC1331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4596BF24">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响应人保证：除商务技术偏离表列出的偏离外，响应人响应公开竞争文件的全部要求</w:t>
      </w:r>
    </w:p>
    <w:p w14:paraId="6C21820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05581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B6E285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6A27662">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3B66B94">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响应人廉洁自律承诺书</w:t>
      </w:r>
    </w:p>
    <w:p w14:paraId="0D95C15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4A0F43D">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6EF347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w:t>
      </w:r>
      <w:r>
        <w:rPr>
          <w:rFonts w:hint="eastAsia" w:ascii="宋体" w:hAnsi="宋体" w:eastAsia="宋体" w:cs="宋体"/>
          <w:color w:val="000000" w:themeColor="text1"/>
          <w:kern w:val="0"/>
          <w:sz w:val="24"/>
          <w:highlight w:val="none"/>
          <w14:textFill>
            <w14:solidFill>
              <w14:schemeClr w14:val="tx1"/>
            </w14:solidFill>
          </w14:textFill>
        </w:rPr>
        <w:t>成交</w:t>
      </w:r>
      <w:r>
        <w:rPr>
          <w:rFonts w:hint="eastAsia" w:ascii="宋体" w:hAnsi="宋体" w:eastAsia="宋体" w:cs="宋体"/>
          <w:color w:val="000000" w:themeColor="text1"/>
          <w:kern w:val="0"/>
          <w:sz w:val="24"/>
          <w:highlight w:val="none"/>
          <w:lang w:val="zh-CN"/>
          <w14:textFill>
            <w14:solidFill>
              <w14:schemeClr w14:val="tx1"/>
            </w14:solidFill>
          </w14:textFill>
        </w:rPr>
        <w:t>后，我们将严格遵守国家法律法规要求，并郑重承诺：</w:t>
      </w:r>
    </w:p>
    <w:p w14:paraId="4692D59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F5B84E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5B86246">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8251CB6">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8D89192">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DE396C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4C704595">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35C35E84">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w:t>
      </w:r>
      <w:r>
        <w:rPr>
          <w:rFonts w:hint="eastAsia" w:ascii="宋体" w:hAnsi="宋体" w:eastAsia="宋体" w:cs="宋体"/>
          <w:color w:val="000000" w:themeColor="text1"/>
          <w:kern w:val="0"/>
          <w:sz w:val="24"/>
          <w:highlight w:val="none"/>
          <w14:textFill>
            <w14:solidFill>
              <w14:schemeClr w14:val="tx1"/>
            </w14:solidFill>
          </w14:textFill>
        </w:rPr>
        <w:t>成交</w:t>
      </w:r>
      <w:r>
        <w:rPr>
          <w:rFonts w:hint="eastAsia" w:ascii="宋体" w:hAnsi="宋体" w:eastAsia="宋体" w:cs="宋体"/>
          <w:color w:val="000000" w:themeColor="text1"/>
          <w:kern w:val="0"/>
          <w:sz w:val="24"/>
          <w:highlight w:val="none"/>
          <w:lang w:val="zh-CN"/>
          <w14:textFill>
            <w14:solidFill>
              <w14:schemeClr w14:val="tx1"/>
            </w14:solidFill>
          </w14:textFill>
        </w:rPr>
        <w:t>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7E9E2DD">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4EA112B7">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5025DDE">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210DF1C3">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6754DF14">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0A82C8D9">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577A78BB">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AFF44FC">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footerReference r:id="rId5" w:type="first"/>
          <w:headerReference r:id="rId3" w:type="default"/>
          <w:footerReference r:id="rId4" w:type="default"/>
          <w:pgSz w:w="11906" w:h="16838"/>
          <w:pgMar w:top="1247" w:right="1417" w:bottom="1247" w:left="1417" w:header="851" w:footer="992" w:gutter="0"/>
          <w:pgNumType w:start="1"/>
          <w:cols w:space="0" w:num="1"/>
          <w:docGrid w:linePitch="312" w:charSpace="0"/>
        </w:sectPr>
      </w:pPr>
    </w:p>
    <w:p w14:paraId="142275F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6142A6C1">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6FDF19B1">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223DAE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sectPr>
          <w:headerReference r:id="rId7" w:type="first"/>
          <w:footerReference r:id="rId9" w:type="first"/>
          <w:headerReference r:id="rId6" w:type="default"/>
          <w:footerReference r:id="rId8" w:type="default"/>
          <w:pgSz w:w="11906" w:h="16838"/>
          <w:pgMar w:top="1247" w:right="1417" w:bottom="1247" w:left="1417" w:header="851" w:footer="992" w:gutter="0"/>
          <w:cols w:space="0" w:num="1"/>
          <w:titlePg/>
          <w:docGrid w:linePitch="312" w:charSpace="0"/>
        </w:sectPr>
      </w:pPr>
      <w:r>
        <w:rPr>
          <w:rFonts w:hint="eastAsia" w:ascii="宋体" w:hAnsi="宋体" w:eastAsia="宋体" w:cs="宋体"/>
          <w:color w:val="000000" w:themeColor="text1"/>
          <w:sz w:val="24"/>
          <w:highlight w:val="none"/>
          <w14:textFill>
            <w14:solidFill>
              <w14:schemeClr w14:val="tx1"/>
            </w14:solidFill>
          </w14:textFill>
        </w:rPr>
        <w:t>（1）交易一览表（报价表）………………………………………………………（页码）</w:t>
      </w:r>
    </w:p>
    <w:p w14:paraId="76DBE2E0">
      <w:pPr>
        <w:pStyle w:val="69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一、交易一览表（报价表）</w:t>
      </w:r>
    </w:p>
    <w:p w14:paraId="36F005D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73B256">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u w:val="single"/>
          <w:lang w:val="zh-CN"/>
          <w14:textFill>
            <w14:solidFill>
              <w14:schemeClr w14:val="tx1"/>
            </w14:solidFill>
          </w14:textFill>
        </w:rPr>
        <w:t>【交易编号：</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23D2232">
      <w:pPr>
        <w:snapToGrid w:val="0"/>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交易一览表（报价表）(单位均为人民币元)</w:t>
      </w:r>
    </w:p>
    <w:tbl>
      <w:tblPr>
        <w:tblStyle w:val="6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316"/>
        <w:gridCol w:w="1592"/>
        <w:gridCol w:w="6287"/>
        <w:gridCol w:w="1013"/>
        <w:gridCol w:w="1188"/>
        <w:gridCol w:w="1179"/>
        <w:gridCol w:w="1173"/>
      </w:tblGrid>
      <w:tr w14:paraId="3172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0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F8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65AA">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品牌（若有）</w:t>
            </w: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92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D8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4F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33A2">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响应单价</w:t>
            </w:r>
          </w:p>
          <w:p w14:paraId="51284E33">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（元）</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3143">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小计</w:t>
            </w:r>
          </w:p>
          <w:p w14:paraId="43DF6ED4">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（元）</w:t>
            </w:r>
          </w:p>
        </w:tc>
      </w:tr>
      <w:tr w14:paraId="0F13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7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8B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低压柜</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A5D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9C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800*1000*2200（内装1250A框架断路器1只、三相四线计量电表1只、多功能表1只、含现场拼柜铜排）</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99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4EC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8EF1">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4A1A">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7893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F1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B1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桥架</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066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607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400*200（支架配套）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3C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C5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E28C">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533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A33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A4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BB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47B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A3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电力电缆敷设，型号：YJV22-0.6/1-4*240mm2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A5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m</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F8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3EE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61E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1864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63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3A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低压电缆头</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2CE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2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69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低压电缆头制安，型号：4*240mm2，热缩</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97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6C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B43A">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B69C">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08EA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472C">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8239">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总价</w:t>
            </w:r>
          </w:p>
        </w:tc>
        <w:tc>
          <w:tcPr>
            <w:tcW w:w="42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EDC77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14CA9573">
      <w:pPr>
        <w:snapToGrid w:val="0"/>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p>
    <w:p w14:paraId="3E0EB4A6">
      <w:pPr>
        <w:snapToGrid w:val="0"/>
        <w:spacing w:line="360" w:lineRule="auto"/>
        <w:ind w:left="48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401E5101">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1、响应人需按本表格式填写，不得自行更改。</w:t>
      </w:r>
    </w:p>
    <w:p w14:paraId="77AAB96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交易发起人将以合同形式有偿取得货物或服务，不接受响应人给予的赠品、回扣或者与交易无关的其他商品、服务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响应文件含有交易发起人不能接受的附加条件的，交易无效</w:t>
      </w:r>
      <w:r>
        <w:rPr>
          <w:rFonts w:hint="eastAsia" w:ascii="宋体" w:hAnsi="宋体" w:eastAsia="宋体" w:cs="宋体"/>
          <w:b/>
          <w:color w:val="000000" w:themeColor="text1"/>
          <w:kern w:val="0"/>
          <w:sz w:val="24"/>
          <w:highlight w:val="none"/>
          <w:lang w:val="zh-CN"/>
          <w14:textFill>
            <w14:solidFill>
              <w14:schemeClr w14:val="tx1"/>
            </w14:solidFill>
          </w14:textFill>
        </w:rPr>
        <w:t>；交易内容未包含在《交易一览表（报价表）》名称栏中，响应人不能作出合理解释的，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响应文件含有交易发起人不能接受的附加条件的，交易无效。</w:t>
      </w:r>
    </w:p>
    <w:p w14:paraId="338A0900">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14:paraId="6DDFBBD3">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4、特别提示：代理机构将对项目名称和项目编号，成交响应人名称、地址和</w:t>
      </w:r>
      <w:r>
        <w:rPr>
          <w:rFonts w:hint="eastAsia" w:ascii="宋体" w:hAnsi="宋体" w:eastAsia="宋体" w:cs="宋体"/>
          <w:color w:val="000000" w:themeColor="text1"/>
          <w:kern w:val="0"/>
          <w:sz w:val="24"/>
          <w:highlight w:val="none"/>
          <w14:textFill>
            <w14:solidFill>
              <w14:schemeClr w14:val="tx1"/>
            </w14:solidFill>
          </w14:textFill>
        </w:rPr>
        <w:t>成交</w:t>
      </w:r>
      <w:r>
        <w:rPr>
          <w:rFonts w:hint="eastAsia" w:ascii="宋体" w:hAnsi="宋体" w:eastAsia="宋体" w:cs="宋体"/>
          <w:color w:val="000000" w:themeColor="text1"/>
          <w:kern w:val="0"/>
          <w:sz w:val="24"/>
          <w:highlight w:val="none"/>
          <w:lang w:val="zh-CN"/>
          <w14:textFill>
            <w14:solidFill>
              <w14:schemeClr w14:val="tx1"/>
            </w14:solidFill>
          </w14:textFill>
        </w:rPr>
        <w:t>金额等予以公示。</w:t>
      </w:r>
    </w:p>
    <w:p w14:paraId="656F0105">
      <w:pPr>
        <w:snapToGrid w:val="0"/>
        <w:spacing w:line="360" w:lineRule="auto"/>
        <w:ind w:firstLine="482" w:firstLineChars="200"/>
        <w:jc w:val="left"/>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▲5、特别说明：供应商报价低于项目预算50%的，应当在报价文件中详细阐述不影响产品质量或者诚信履约的具体原因</w:t>
      </w:r>
      <w:r>
        <w:rPr>
          <w:rFonts w:hint="eastAsia" w:ascii="宋体" w:hAnsi="宋体" w:eastAsia="宋体" w:cs="宋体"/>
          <w:b/>
          <w:bCs/>
          <w:color w:val="000000" w:themeColor="text1"/>
          <w:kern w:val="0"/>
          <w:sz w:val="24"/>
          <w:highlight w:val="none"/>
          <w:lang w:val="zh-CN" w:eastAsia="zh-CN"/>
          <w14:textFill>
            <w14:solidFill>
              <w14:schemeClr w14:val="tx1"/>
            </w14:solidFill>
          </w14:textFill>
        </w:rPr>
        <w:t>，未做阐述说明的，</w:t>
      </w:r>
      <w:r>
        <w:rPr>
          <w:rFonts w:hint="eastAsia" w:ascii="宋体" w:hAnsi="宋体" w:cs="宋体"/>
          <w:b/>
          <w:bCs/>
          <w:color w:val="000000" w:themeColor="text1"/>
          <w:kern w:val="0"/>
          <w:sz w:val="24"/>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4"/>
          <w:highlight w:val="none"/>
          <w:lang w:val="zh-CN" w:eastAsia="zh-CN"/>
          <w14:textFill>
            <w14:solidFill>
              <w14:schemeClr w14:val="tx1"/>
            </w14:solidFill>
          </w14:textFill>
        </w:rPr>
        <w:t>无效。</w:t>
      </w:r>
    </w:p>
    <w:p w14:paraId="5327286D">
      <w:pPr>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p>
    <w:p w14:paraId="55B1C81B">
      <w:pPr>
        <w:autoSpaceDE w:val="0"/>
        <w:autoSpaceDN w:val="0"/>
        <w:spacing w:line="360" w:lineRule="auto"/>
        <w:ind w:left="2" w:leftChars="1" w:right="1120" w:firstLine="7680" w:firstLineChars="3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响应人名称（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8786105">
      <w:pPr>
        <w:autoSpaceDE w:val="0"/>
        <w:autoSpaceDN w:val="0"/>
        <w:spacing w:line="360" w:lineRule="auto"/>
        <w:ind w:left="2" w:leftChars="1" w:right="1120" w:firstLine="7680" w:firstLineChars="3200"/>
        <w:jc w:val="left"/>
        <w:rPr>
          <w:rFonts w:hint="eastAsia" w:ascii="宋体" w:hAnsi="宋体" w:eastAsia="宋体" w:cs="宋体"/>
          <w:color w:val="000000" w:themeColor="text1"/>
          <w:kern w:val="0"/>
          <w:sz w:val="24"/>
          <w:highlight w:val="none"/>
          <w:lang w:val="zh-CN"/>
          <w14:textFill>
            <w14:solidFill>
              <w14:schemeClr w14:val="tx1"/>
            </w14:solidFill>
          </w14:textFill>
        </w:rPr>
        <w:sectPr>
          <w:pgSz w:w="16838" w:h="11906" w:orient="landscape"/>
          <w:pgMar w:top="1417" w:right="1247" w:bottom="1417" w:left="1247" w:header="851" w:footer="992" w:gutter="0"/>
          <w:cols w:space="0" w:num="1"/>
          <w:titlePg/>
          <w:docGrid w:linePitch="312" w:charSpace="0"/>
        </w:sect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235049CD">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r>
        <w:rPr>
          <w:rFonts w:hint="eastAsia" w:ascii="宋体" w:hAnsi="宋体" w:eastAsia="宋体" w:cs="宋体"/>
          <w:b/>
          <w:color w:val="000000" w:themeColor="text1"/>
          <w:spacing w:val="6"/>
          <w:sz w:val="32"/>
          <w:szCs w:val="32"/>
          <w:highlight w:val="none"/>
          <w:lang w:val="zh-CN"/>
          <w14:textFill>
            <w14:solidFill>
              <w14:schemeClr w14:val="tx1"/>
            </w14:solidFill>
          </w14:textFill>
        </w:rPr>
        <w:t>异议</w:t>
      </w:r>
      <w:r>
        <w:rPr>
          <w:rFonts w:hint="eastAsia" w:ascii="宋体" w:hAnsi="宋体" w:eastAsia="宋体" w:cs="宋体"/>
          <w:b/>
          <w:color w:val="000000" w:themeColor="text1"/>
          <w:spacing w:val="6"/>
          <w:sz w:val="32"/>
          <w:szCs w:val="32"/>
          <w:highlight w:val="none"/>
          <w14:textFill>
            <w14:solidFill>
              <w14:schemeClr w14:val="tx1"/>
            </w14:solidFill>
          </w14:textFill>
        </w:rPr>
        <w:t>函范本及制作说明</w:t>
      </w:r>
    </w:p>
    <w:p w14:paraId="764D35A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异议函范本</w:t>
      </w:r>
    </w:p>
    <w:p w14:paraId="0B7075B0">
      <w:pPr>
        <w:snapToGrid w:val="0"/>
        <w:spacing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一、异议响应人基本信息</w:t>
      </w:r>
    </w:p>
    <w:p w14:paraId="02CC254B">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异议响应人：</w:t>
      </w:r>
    </w:p>
    <w:p w14:paraId="1213BB9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地址：邮编：</w:t>
      </w:r>
    </w:p>
    <w:p w14:paraId="756705C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14:paraId="2C7B50E1">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p>
    <w:p w14:paraId="402B664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7270A75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 邮编：</w:t>
      </w:r>
    </w:p>
    <w:p w14:paraId="1ED1602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二、异议项目基本情况</w:t>
      </w:r>
    </w:p>
    <w:p w14:paraId="5714362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异议项目的名称：</w:t>
      </w:r>
    </w:p>
    <w:p w14:paraId="52B6A5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异议项目的编号：包号：</w:t>
      </w:r>
    </w:p>
    <w:p w14:paraId="025BBEE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交易发起人名称：</w:t>
      </w:r>
    </w:p>
    <w:p w14:paraId="308C04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公开竞争文件获取日期：</w:t>
      </w:r>
    </w:p>
    <w:p w14:paraId="5D57234D">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三、异议事项具体内容</w:t>
      </w:r>
    </w:p>
    <w:p w14:paraId="7C72A9C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异议事项1：</w:t>
      </w:r>
    </w:p>
    <w:p w14:paraId="044EB2A8">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p>
    <w:p w14:paraId="427C740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88619A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p>
    <w:p w14:paraId="3B3D3EA2">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33B0368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异议事项2</w:t>
      </w:r>
    </w:p>
    <w:p w14:paraId="25FCFD6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B409CCE">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四、与异议事项相关的异议请求</w:t>
      </w:r>
    </w:p>
    <w:p w14:paraId="5C7C424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p>
    <w:p w14:paraId="735A37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624D098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7B206F34">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470C3E8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8A14AA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154ABD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2A4E1A0">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异议函制作说明：</w:t>
      </w:r>
    </w:p>
    <w:p w14:paraId="3DE4163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1.响应人提出异议时，应提交异议函和必要的证明材料。</w:t>
      </w:r>
    </w:p>
    <w:p w14:paraId="6E9EDB1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2.异议响应人若委托代理人进行异议的，异议函应按要求列明“授权代表”的有关内容，并在附件中提交由异议</w:t>
      </w:r>
      <w:r>
        <w:rPr>
          <w:rFonts w:hint="eastAsia" w:ascii="宋体" w:hAnsi="宋体" w:eastAsia="宋体" w:cs="宋体"/>
          <w:color w:val="000000" w:themeColor="text1"/>
          <w:kern w:val="0"/>
          <w:sz w:val="24"/>
          <w:highlight w:val="none"/>
          <w14:textFill>
            <w14:solidFill>
              <w14:schemeClr w14:val="tx1"/>
            </w14:solidFill>
          </w14:textFill>
        </w:rPr>
        <w:t>响应人签署的授权委托书。授权委托书应载明代理人的姓名或者名称、代理事项、具体权限、期限和相关事项。</w:t>
      </w:r>
    </w:p>
    <w:p w14:paraId="59D5C7B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3.异议响应人若对项目的某一分包进行异议，异议函中应列明具体分包号。</w:t>
      </w:r>
    </w:p>
    <w:p w14:paraId="3CDDB1D3">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4.异议函的异议事项应具体、明确，并有必要的事实依据和法律依据。</w:t>
      </w:r>
    </w:p>
    <w:p w14:paraId="030AC80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5.异议函的异议请求应与异议事项相关。</w:t>
      </w:r>
    </w:p>
    <w:p w14:paraId="744B118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6.异议响应人为自然人的，异议函应由本人签字；异议响应人为法人或者其他组织的，异议函应由法定代表人、主要负责人，或者其授权代表签字或者盖章，并加盖公章。</w:t>
      </w:r>
    </w:p>
    <w:p w14:paraId="1B8AF19E">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1ED255C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D256CD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6617A5D">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F1FC2BC">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29CAA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B7415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DA171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37E34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1E4C57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60B2F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E166FE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C4B4D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0261A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637C99C2">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4D35C7E1">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附件2：投诉书范本及制作说明</w:t>
      </w:r>
    </w:p>
    <w:p w14:paraId="416B93D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5DCD7BC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25B8722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7BED56E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p>
    <w:p w14:paraId="23E9A99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4D0D56A7">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p>
    <w:p w14:paraId="32A1BBE8">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57D507C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6E1D00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1972966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p>
    <w:p w14:paraId="769A582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50FC8F4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14:paraId="5F0BA84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0C00678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902560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相关响应人：</w:t>
      </w:r>
    </w:p>
    <w:p w14:paraId="064CFCD9">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址：邮编：</w:t>
      </w:r>
    </w:p>
    <w:p w14:paraId="25DA25E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联系人：联系电话：</w:t>
      </w:r>
    </w:p>
    <w:p w14:paraId="36C479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28C91EF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交易名称：</w:t>
      </w:r>
    </w:p>
    <w:p w14:paraId="1AB368D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交易编号：包号：</w:t>
      </w:r>
    </w:p>
    <w:p w14:paraId="1CDABE9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交易发起人名称：</w:t>
      </w:r>
    </w:p>
    <w:p w14:paraId="67BC8DD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p>
    <w:p w14:paraId="561DDB8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公开竞争文件公告: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p>
    <w:p w14:paraId="68E7506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p>
    <w:p w14:paraId="3AB9FE7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三、异议基本情况</w:t>
      </w:r>
    </w:p>
    <w:p w14:paraId="083E51D3">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投诉人于年月日,向提出异议，异议事项为：</w:t>
      </w:r>
    </w:p>
    <w:p w14:paraId="4B4B2F2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71FFD317">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交易发起人/代理机构</w:t>
      </w:r>
      <w:r>
        <w:rPr>
          <w:rFonts w:hint="eastAsia" w:ascii="宋体" w:hAnsi="宋体" w:eastAsia="宋体" w:cs="宋体"/>
          <w:color w:val="000000" w:themeColor="text1"/>
          <w:sz w:val="24"/>
          <w:highlight w:val="none"/>
          <w14:textFill>
            <w14:solidFill>
              <w14:schemeClr w14:val="tx1"/>
            </w14:solidFill>
          </w14:textFill>
        </w:rPr>
        <w:t>于年月日,就异议事项作出了答复/没有在法定期限内作出答复。</w:t>
      </w:r>
    </w:p>
    <w:p w14:paraId="568BF94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0D95414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p>
    <w:p w14:paraId="420C4F2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p>
    <w:p w14:paraId="2B8FAE18">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7B67A3C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p>
    <w:p w14:paraId="0D8A50F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p>
    <w:p w14:paraId="4F764CD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66454ED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04BF1C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09F6D9F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p>
    <w:p w14:paraId="7B4AC7F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2A45233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5A86E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6549A3B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7AF5AD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6EC5EE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0653768E">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1.投诉人提起投诉时，应当提交投诉书和必要的证明材料，并按照被投诉人和与投诉事项有关的响应人数量提供投诉书副本。</w:t>
      </w:r>
    </w:p>
    <w:p w14:paraId="5399AAEC">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30A1720">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280C9B0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4.投诉书应简要列明异议事项，异议函、异议答复等作为附件材料提供。</w:t>
      </w:r>
    </w:p>
    <w:p w14:paraId="2923497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01256239">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5B5A42E5">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918B4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C881BA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81FCE4A">
      <w:pPr>
        <w:autoSpaceDE w:val="0"/>
        <w:autoSpaceDN w:val="0"/>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31A514CF">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CAFDD1B">
      <w:pPr>
        <w:autoSpaceDE w:val="0"/>
        <w:autoSpaceDN w:val="0"/>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w:t>
      </w:r>
    </w:p>
    <w:p w14:paraId="58FEC3C0">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81AC16A">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588470B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2F2240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p>
    <w:p w14:paraId="2809C74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sz w:val="24"/>
          <w:highlight w:val="none"/>
          <w14:textFill>
            <w14:solidFill>
              <w14:schemeClr w14:val="tx1"/>
            </w14:solidFill>
          </w14:textFill>
        </w:rPr>
        <w:t>(响应人全称)是中华人民共和国依法登记注册的合法企业，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eastAsia="宋体" w:cs="宋体"/>
          <w:color w:val="000000" w:themeColor="text1"/>
          <w:sz w:val="24"/>
          <w:highlight w:val="none"/>
          <w:u w:val="single"/>
          <w14:textFill>
            <w14:solidFill>
              <w14:schemeClr w14:val="tx1"/>
            </w14:solidFill>
          </w14:textFill>
        </w:rPr>
        <w:t>（项目名称）项目【交易编号：）】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851A8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1765EDB8">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5899D2E">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31E1884D">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029603F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340E00A8">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0146D6DD">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146241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772A6EBF">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F47959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3F479597">
                      <w:pPr>
                        <w:jc w:val="center"/>
                      </w:pPr>
                    </w:p>
                  </w:txbxContent>
                </v:textbox>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74D5D0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3087370</wp:posOffset>
                </wp:positionH>
                <wp:positionV relativeFrom="paragraph">
                  <wp:posOffset>86995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43.1pt;margin-top:6.85pt;height:177.45pt;width:212.95pt;z-index:-251657216;mso-width-relative:page;mso-height-relative:page;" fillcolor="#FFFFFF" filled="t" stroked="t" coordsize="21600,21600" o:gfxdata="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UWNI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2FA97A7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1324C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3BB1D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ACDCDB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7301E2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54D6F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AA7890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0402D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14944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53756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8158C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18254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2C1332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1D241A">
      <w:pPr>
        <w:autoSpaceDE w:val="0"/>
        <w:autoSpaceDN w:val="0"/>
        <w:jc w:val="both"/>
        <w:rPr>
          <w:rFonts w:hint="eastAsia" w:ascii="宋体" w:hAnsi="宋体" w:eastAsia="宋体" w:cs="宋体"/>
          <w:b/>
          <w:color w:val="000000" w:themeColor="text1"/>
          <w:spacing w:val="6"/>
          <w:sz w:val="32"/>
          <w:szCs w:val="32"/>
          <w:highlight w:val="none"/>
          <w14:textFill>
            <w14:solidFill>
              <w14:schemeClr w14:val="tx1"/>
            </w14:solidFill>
          </w14:textFill>
        </w:rPr>
      </w:pPr>
    </w:p>
    <w:sectPr>
      <w:headerReference r:id="rId11" w:type="first"/>
      <w:footerReference r:id="rId14" w:type="first"/>
      <w:headerReference r:id="rId10" w:type="default"/>
      <w:footerReference r:id="rId12" w:type="default"/>
      <w:footerReference r:id="rId13"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BCA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ED862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ED862A">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F9FE">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41AED4">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AFE1FA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0CFC">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740645F">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9F83B3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9DF9">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32A9B5C">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1ECC8A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0B2B">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00F75C1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1253">
    <w:pPr>
      <w:pStyle w:val="41"/>
      <w:framePr w:wrap="around" w:vAnchor="text" w:hAnchor="margin" w:xAlign="right" w:y="1"/>
      <w:rPr>
        <w:rStyle w:val="75"/>
      </w:rPr>
    </w:pPr>
    <w:r>
      <w:fldChar w:fldCharType="begin"/>
    </w:r>
    <w:r>
      <w:rPr>
        <w:rStyle w:val="75"/>
      </w:rPr>
      <w:instrText xml:space="preserve">PAGE  </w:instrText>
    </w:r>
    <w:r>
      <w:fldChar w:fldCharType="end"/>
    </w:r>
  </w:p>
  <w:p w14:paraId="133B7169">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912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C88ADE2">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044D">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28B3">
    <w:pPr>
      <w:pStyle w:val="43"/>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1545">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B2F8">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DD44">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0CB8"/>
    <w:multiLevelType w:val="singleLevel"/>
    <w:tmpl w:val="98D20CB8"/>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03FD3"/>
    <w:rsid w:val="0ADE3108"/>
    <w:rsid w:val="0ADF4EB4"/>
    <w:rsid w:val="0B0F74C5"/>
    <w:rsid w:val="0B1D0314"/>
    <w:rsid w:val="0B240D92"/>
    <w:rsid w:val="0B30404E"/>
    <w:rsid w:val="0B320A82"/>
    <w:rsid w:val="0B4C6C14"/>
    <w:rsid w:val="0B524759"/>
    <w:rsid w:val="0B631A88"/>
    <w:rsid w:val="0B683D45"/>
    <w:rsid w:val="0B76461B"/>
    <w:rsid w:val="0B7F3F11"/>
    <w:rsid w:val="0B884417"/>
    <w:rsid w:val="0B93709B"/>
    <w:rsid w:val="0BA16B7E"/>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34F8B"/>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CDE6F6E"/>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24314"/>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3E1174"/>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5F4867"/>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29068F"/>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31BF6"/>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327F38"/>
    <w:rsid w:val="38586797"/>
    <w:rsid w:val="386467F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68325A"/>
    <w:rsid w:val="3B894B0B"/>
    <w:rsid w:val="3B976654"/>
    <w:rsid w:val="3B9B68EE"/>
    <w:rsid w:val="3BB64A27"/>
    <w:rsid w:val="3BC01EFC"/>
    <w:rsid w:val="3BC52CC1"/>
    <w:rsid w:val="3BCA786A"/>
    <w:rsid w:val="3BD06659"/>
    <w:rsid w:val="3BD31E2F"/>
    <w:rsid w:val="3BDB276D"/>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5B2BDD"/>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6207E"/>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63970"/>
    <w:rsid w:val="43DE09EE"/>
    <w:rsid w:val="44002FAD"/>
    <w:rsid w:val="44024E3D"/>
    <w:rsid w:val="4430589B"/>
    <w:rsid w:val="44356927"/>
    <w:rsid w:val="449101DD"/>
    <w:rsid w:val="449D00C3"/>
    <w:rsid w:val="44DE1391"/>
    <w:rsid w:val="44E72961"/>
    <w:rsid w:val="451B225C"/>
    <w:rsid w:val="452410C9"/>
    <w:rsid w:val="452B71EC"/>
    <w:rsid w:val="452E1696"/>
    <w:rsid w:val="45317DFB"/>
    <w:rsid w:val="456C32DC"/>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69234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CFB76F9"/>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6D4CD7"/>
    <w:rsid w:val="518832C8"/>
    <w:rsid w:val="51A0432A"/>
    <w:rsid w:val="51A86090"/>
    <w:rsid w:val="51B7396D"/>
    <w:rsid w:val="51F4743E"/>
    <w:rsid w:val="522E4CC3"/>
    <w:rsid w:val="5244713B"/>
    <w:rsid w:val="526019E2"/>
    <w:rsid w:val="52615633"/>
    <w:rsid w:val="526A04DD"/>
    <w:rsid w:val="526A4B27"/>
    <w:rsid w:val="52977FD4"/>
    <w:rsid w:val="52A25790"/>
    <w:rsid w:val="52A96B6F"/>
    <w:rsid w:val="52B45975"/>
    <w:rsid w:val="52D94AA4"/>
    <w:rsid w:val="52EA3A62"/>
    <w:rsid w:val="52F50BB8"/>
    <w:rsid w:val="53097272"/>
    <w:rsid w:val="534E7041"/>
    <w:rsid w:val="53544462"/>
    <w:rsid w:val="53676980"/>
    <w:rsid w:val="53960CB2"/>
    <w:rsid w:val="5397158E"/>
    <w:rsid w:val="53D42C20"/>
    <w:rsid w:val="54013861"/>
    <w:rsid w:val="54487265"/>
    <w:rsid w:val="544D6070"/>
    <w:rsid w:val="545B4ECF"/>
    <w:rsid w:val="54605E1E"/>
    <w:rsid w:val="5479565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AF72A30"/>
    <w:rsid w:val="5B0468F9"/>
    <w:rsid w:val="5B0B0B6B"/>
    <w:rsid w:val="5B2E1A1D"/>
    <w:rsid w:val="5B540F34"/>
    <w:rsid w:val="5B843A1C"/>
    <w:rsid w:val="5B873E3F"/>
    <w:rsid w:val="5B98281E"/>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DBE0DC3"/>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0A7E3C"/>
    <w:rsid w:val="60172C7B"/>
    <w:rsid w:val="601873B1"/>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C7BE5"/>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BF10D93"/>
    <w:rsid w:val="6C196F71"/>
    <w:rsid w:val="6C226FCB"/>
    <w:rsid w:val="6C31226F"/>
    <w:rsid w:val="6C340BCC"/>
    <w:rsid w:val="6C390C24"/>
    <w:rsid w:val="6C550E51"/>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DD1340"/>
    <w:rsid w:val="70F5661B"/>
    <w:rsid w:val="70FF0D7D"/>
    <w:rsid w:val="7123737D"/>
    <w:rsid w:val="71360107"/>
    <w:rsid w:val="713B688E"/>
    <w:rsid w:val="716167CC"/>
    <w:rsid w:val="7183561A"/>
    <w:rsid w:val="71AC2C9D"/>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19798C"/>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qFormat/>
    <w:uiPriority w:val="0"/>
    <w:pPr>
      <w:ind w:firstLine="420"/>
    </w:pPr>
    <w:rPr>
      <w:rFonts w:hAnsi="Calibri" w:cs="Times New Roman"/>
      <w:snapToGrid/>
      <w:szCs w:val="20"/>
    </w:rPr>
  </w:style>
  <w:style w:type="paragraph" w:styleId="26">
    <w:name w:val="Body Text Indent"/>
    <w:basedOn w:val="1"/>
    <w:next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24"/>
    <w:link w:val="13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2"/>
    <w:basedOn w:val="26"/>
    <w:next w:val="64"/>
    <w:link w:val="127"/>
    <w:qFormat/>
    <w:uiPriority w:val="0"/>
    <w:pPr>
      <w:adjustRightInd/>
      <w:spacing w:after="120" w:line="240" w:lineRule="auto"/>
      <w:ind w:left="420" w:leftChars="200" w:firstLine="210"/>
    </w:pPr>
    <w:rPr>
      <w:sz w:val="21"/>
    </w:rPr>
  </w:style>
  <w:style w:type="paragraph" w:customStyle="1" w:styleId="6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3">
    <w:name w:val="Default"/>
    <w:next w:val="84"/>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2"/>
    <w:qFormat/>
    <w:uiPriority w:val="0"/>
    <w:rPr>
      <w:rFonts w:ascii="Arial" w:hAnsi="Arial" w:eastAsia="黑体" w:cs="Arial"/>
      <w:snapToGrid w:val="0"/>
      <w:kern w:val="0"/>
      <w:szCs w:val="21"/>
    </w:rPr>
  </w:style>
  <w:style w:type="character" w:customStyle="1" w:styleId="13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2"/>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3"/>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9"/>
    <w:qFormat/>
    <w:uiPriority w:val="0"/>
    <w:rPr>
      <w:rFonts w:ascii="黑体" w:hAnsi="Courier New" w:eastAsia="黑体"/>
    </w:rPr>
  </w:style>
  <w:style w:type="character" w:customStyle="1" w:styleId="307">
    <w:name w:val="正文文本 2 Char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2"/>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2"/>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2"/>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2"/>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2"/>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2"/>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kern w:val="0"/>
      <w:sz w:val="20"/>
      <w:szCs w:val="20"/>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13712</Words>
  <Characters>14668</Characters>
  <Lines>153</Lines>
  <Paragraphs>43</Paragraphs>
  <TotalTime>1116</TotalTime>
  <ScaleCrop>false</ScaleCrop>
  <LinksUpToDate>false</LinksUpToDate>
  <CharactersWithSpaces>14915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Mrs12</cp:lastModifiedBy>
  <cp:lastPrinted>2025-06-16T03:51:00Z</cp:lastPrinted>
  <dcterms:modified xsi:type="dcterms:W3CDTF">2025-06-25T02:32:11Z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y fmtid="{D5CDD505-2E9C-101B-9397-08002B2CF9AE}" pid="6" name="KSOTemplateDocerSaveRecord">
    <vt:lpwstr>eyJoZGlkIjoiOTYxMzU5ZTBhMGI3ZmVlNmFlYjllMzUzYjRhMjc2YTAiLCJ1c2VySWQiOiI0MDY1NDE2MzkifQ==</vt:lpwstr>
  </property>
</Properties>
</file>