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2FAA4">
      <w:pPr>
        <w:spacing w:line="360" w:lineRule="auto"/>
        <w:jc w:val="center"/>
        <w:rPr>
          <w:rFonts w:ascii="宋体" w:hAnsi="宋体" w:cs="宋体"/>
          <w:b/>
          <w:sz w:val="24"/>
        </w:rPr>
      </w:pPr>
    </w:p>
    <w:p w14:paraId="7946D3D9">
      <w:pPr>
        <w:pStyle w:val="969"/>
        <w:spacing w:line="760" w:lineRule="exact"/>
        <w:rPr>
          <w:rFonts w:ascii="宋体" w:eastAsia="宋体"/>
          <w:sz w:val="48"/>
          <w:szCs w:val="48"/>
        </w:rPr>
      </w:pPr>
    </w:p>
    <w:p w14:paraId="3EAE5351">
      <w:pPr>
        <w:pStyle w:val="969"/>
        <w:keepNext w:val="0"/>
        <w:keepLines w:val="0"/>
        <w:pageBreakBefore w:val="0"/>
        <w:widowControl w:val="0"/>
        <w:kinsoku/>
        <w:wordWrap/>
        <w:overflowPunct/>
        <w:topLinePunct w:val="0"/>
        <w:autoSpaceDE/>
        <w:autoSpaceDN/>
        <w:bidi w:val="0"/>
        <w:adjustRightInd w:val="0"/>
        <w:snapToGrid/>
        <w:spacing w:line="760" w:lineRule="exact"/>
        <w:ind w:right="0" w:rightChars="0"/>
        <w:textAlignment w:val="auto"/>
        <w:rPr>
          <w:rFonts w:hint="eastAsia" w:ascii="宋体" w:eastAsia="宋体"/>
          <w:b/>
          <w:bCs/>
          <w:spacing w:val="-6"/>
          <w:sz w:val="48"/>
          <w:szCs w:val="48"/>
          <w:highlight w:val="none"/>
          <w:lang w:eastAsia="zh-CN"/>
        </w:rPr>
      </w:pPr>
      <w:r>
        <w:rPr>
          <w:rFonts w:hint="eastAsia" w:ascii="宋体" w:eastAsia="宋体"/>
          <w:b/>
          <w:bCs/>
          <w:spacing w:val="-6"/>
          <w:sz w:val="36"/>
          <w:szCs w:val="36"/>
          <w:highlight w:val="none"/>
          <w:lang w:eastAsia="zh-CN"/>
        </w:rPr>
        <w:t xml:space="preserve">闻堰街道企业安全生产社会化服务采购项目（重新交易） </w:t>
      </w:r>
    </w:p>
    <w:p w14:paraId="560E1029">
      <w:pPr>
        <w:adjustRightInd/>
        <w:spacing w:line="360" w:lineRule="auto"/>
        <w:jc w:val="center"/>
        <w:rPr>
          <w:rFonts w:hint="eastAsia" w:ascii="宋体" w:hAnsi="宋体" w:eastAsia="宋体" w:cs="宋体"/>
          <w:b/>
          <w:spacing w:val="-23"/>
          <w:sz w:val="52"/>
          <w:szCs w:val="52"/>
          <w:lang w:val="en-US" w:eastAsia="zh-CN"/>
        </w:rPr>
      </w:pPr>
    </w:p>
    <w:p w14:paraId="6405193C">
      <w:pPr>
        <w:pStyle w:val="25"/>
        <w:rPr>
          <w:rFonts w:hAnsi="宋体" w:cs="宋体"/>
          <w:b/>
          <w:bCs/>
        </w:rPr>
      </w:pPr>
    </w:p>
    <w:p w14:paraId="56D65D2D">
      <w:pPr>
        <w:adjustRightInd/>
        <w:spacing w:line="360" w:lineRule="auto"/>
        <w:jc w:val="center"/>
        <w:rPr>
          <w:rFonts w:ascii="宋体" w:hAnsi="宋体" w:cs="宋体"/>
          <w:b/>
          <w:bCs/>
          <w:sz w:val="72"/>
          <w:szCs w:val="72"/>
        </w:rPr>
      </w:pPr>
      <w:r>
        <w:rPr>
          <w:rFonts w:hint="eastAsia" w:ascii="宋体" w:hAnsi="宋体" w:cs="宋体"/>
          <w:b/>
          <w:bCs/>
          <w:sz w:val="72"/>
          <w:szCs w:val="72"/>
        </w:rPr>
        <w:t>交易文件</w:t>
      </w:r>
    </w:p>
    <w:p w14:paraId="7E236B16">
      <w:pPr>
        <w:adjustRightInd/>
        <w:spacing w:line="360" w:lineRule="auto"/>
        <w:jc w:val="center"/>
        <w:rPr>
          <w:rFonts w:ascii="宋体" w:hAnsi="宋体" w:cs="宋体"/>
          <w:b/>
          <w:sz w:val="44"/>
          <w:szCs w:val="44"/>
          <w:highlight w:val="none"/>
        </w:rPr>
      </w:pPr>
    </w:p>
    <w:p w14:paraId="432623D8">
      <w:pPr>
        <w:snapToGrid w:val="0"/>
        <w:spacing w:line="360" w:lineRule="auto"/>
        <w:jc w:val="center"/>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交易编号：</w:t>
      </w:r>
      <w:r>
        <w:rPr>
          <w:rFonts w:hint="eastAsia" w:ascii="宋体" w:hAnsi="宋体" w:cs="宋体"/>
          <w:b/>
          <w:bCs/>
          <w:sz w:val="30"/>
          <w:szCs w:val="30"/>
          <w:highlight w:val="none"/>
          <w:lang w:eastAsia="zh-CN"/>
        </w:rPr>
        <w:t>ZJJS2025-HZ017-1</w:t>
      </w:r>
      <w:r>
        <w:rPr>
          <w:rFonts w:hint="eastAsia" w:ascii="宋体" w:hAnsi="宋体" w:cs="宋体"/>
          <w:b/>
          <w:bCs/>
          <w:sz w:val="30"/>
          <w:szCs w:val="30"/>
          <w:highlight w:val="none"/>
          <w:lang w:val="en-US" w:eastAsia="zh-CN"/>
        </w:rPr>
        <w:t xml:space="preserve"> </w:t>
      </w:r>
    </w:p>
    <w:p w14:paraId="25AE3FBC">
      <w:pPr>
        <w:adjustRightInd/>
        <w:spacing w:line="360" w:lineRule="auto"/>
        <w:rPr>
          <w:rFonts w:ascii="宋体" w:hAnsi="宋体" w:cs="宋体"/>
          <w:sz w:val="28"/>
          <w:szCs w:val="20"/>
        </w:rPr>
      </w:pPr>
    </w:p>
    <w:p w14:paraId="15A6125F">
      <w:pPr>
        <w:spacing w:line="360" w:lineRule="auto"/>
        <w:jc w:val="center"/>
        <w:rPr>
          <w:rFonts w:ascii="宋体" w:hAnsi="宋体" w:cs="宋体"/>
          <w:b/>
          <w:sz w:val="44"/>
          <w:szCs w:val="44"/>
        </w:rPr>
      </w:pPr>
      <w:r>
        <w:rPr>
          <w:rFonts w:hint="eastAsia" w:ascii="宋体" w:hAnsi="宋体" w:cs="宋体"/>
          <w:b/>
          <w:sz w:val="44"/>
          <w:szCs w:val="44"/>
        </w:rPr>
        <w:t xml:space="preserve"> </w:t>
      </w:r>
    </w:p>
    <w:p w14:paraId="1A023D8A">
      <w:pPr>
        <w:spacing w:line="360" w:lineRule="auto"/>
        <w:jc w:val="center"/>
        <w:rPr>
          <w:rFonts w:ascii="宋体" w:hAnsi="宋体" w:cs="宋体"/>
          <w:b/>
          <w:sz w:val="44"/>
          <w:szCs w:val="44"/>
        </w:rPr>
      </w:pPr>
    </w:p>
    <w:p w14:paraId="6CA0B2C1">
      <w:pPr>
        <w:spacing w:line="360" w:lineRule="auto"/>
        <w:rPr>
          <w:rFonts w:ascii="宋体" w:hAnsi="宋体" w:cs="宋体"/>
          <w:sz w:val="24"/>
        </w:rPr>
      </w:pPr>
    </w:p>
    <w:p w14:paraId="1DB9B35A">
      <w:pPr>
        <w:pStyle w:val="88"/>
        <w:rPr>
          <w:rFonts w:cs="宋体"/>
        </w:rPr>
      </w:pPr>
    </w:p>
    <w:p w14:paraId="7F9B25E0">
      <w:pPr>
        <w:pStyle w:val="88"/>
        <w:rPr>
          <w:rFonts w:cs="宋体"/>
        </w:rPr>
      </w:pPr>
    </w:p>
    <w:p w14:paraId="51A2FF38">
      <w:pPr>
        <w:pStyle w:val="88"/>
        <w:rPr>
          <w:rFonts w:cs="宋体"/>
        </w:rPr>
      </w:pPr>
    </w:p>
    <w:p w14:paraId="2BAC3C2C">
      <w:pPr>
        <w:pStyle w:val="88"/>
        <w:rPr>
          <w:rFonts w:cs="宋体"/>
        </w:rPr>
      </w:pPr>
    </w:p>
    <w:p w14:paraId="37EC8EEB">
      <w:pPr>
        <w:spacing w:line="360" w:lineRule="auto"/>
        <w:ind w:firstLine="964" w:firstLineChars="300"/>
        <w:rPr>
          <w:rFonts w:ascii="宋体" w:hAnsi="宋体" w:cs="宋体"/>
          <w:b/>
          <w:sz w:val="32"/>
          <w:szCs w:val="30"/>
        </w:rPr>
      </w:pPr>
    </w:p>
    <w:p w14:paraId="3A5FEA7A">
      <w:pPr>
        <w:spacing w:line="360" w:lineRule="auto"/>
        <w:ind w:firstLine="1606" w:firstLineChars="500"/>
        <w:rPr>
          <w:rFonts w:hint="eastAsia" w:ascii="宋体" w:hAnsi="宋体" w:eastAsia="宋体" w:cs="宋体"/>
          <w:b/>
          <w:sz w:val="32"/>
          <w:szCs w:val="30"/>
          <w:lang w:eastAsia="zh-CN"/>
        </w:rPr>
      </w:pPr>
      <w:r>
        <w:rPr>
          <w:rFonts w:hint="eastAsia" w:ascii="宋体" w:hAnsi="宋体" w:cs="宋体"/>
          <w:b/>
          <w:sz w:val="32"/>
          <w:szCs w:val="30"/>
        </w:rPr>
        <w:t>交 易 人：</w:t>
      </w:r>
      <w:r>
        <w:rPr>
          <w:rFonts w:hint="eastAsia" w:ascii="宋体" w:hAnsi="宋体" w:cs="宋体"/>
          <w:b/>
          <w:sz w:val="32"/>
          <w:szCs w:val="30"/>
          <w:lang w:eastAsia="zh-CN"/>
        </w:rPr>
        <w:t>杭州市萧山区人民政府闻堰街道办事处</w:t>
      </w:r>
    </w:p>
    <w:p w14:paraId="3583FCCA">
      <w:pPr>
        <w:spacing w:line="360" w:lineRule="auto"/>
        <w:ind w:firstLine="1606" w:firstLineChars="500"/>
        <w:rPr>
          <w:rFonts w:hint="eastAsia" w:ascii="宋体" w:hAnsi="宋体" w:eastAsia="宋体" w:cs="宋体"/>
          <w:b/>
          <w:sz w:val="32"/>
          <w:szCs w:val="32"/>
          <w:lang w:eastAsia="zh-CN"/>
        </w:rPr>
      </w:pPr>
      <w:r>
        <w:rPr>
          <w:rFonts w:hint="eastAsia" w:ascii="宋体" w:hAnsi="宋体" w:cs="宋体"/>
          <w:b/>
          <w:sz w:val="32"/>
          <w:szCs w:val="30"/>
        </w:rPr>
        <w:t>采购机构：</w:t>
      </w:r>
      <w:r>
        <w:rPr>
          <w:rFonts w:hint="eastAsia" w:ascii="宋体" w:hAnsi="宋体" w:cs="宋体"/>
          <w:b/>
          <w:sz w:val="32"/>
          <w:szCs w:val="30"/>
          <w:lang w:eastAsia="zh-CN"/>
        </w:rPr>
        <w:t>浙江金穗工程项目管理有限公司</w:t>
      </w:r>
    </w:p>
    <w:p w14:paraId="20A3A54C">
      <w:pPr>
        <w:snapToGrid w:val="0"/>
        <w:spacing w:line="360" w:lineRule="auto"/>
        <w:ind w:firstLine="2570" w:firstLineChars="800"/>
        <w:rPr>
          <w:rFonts w:ascii="宋体" w:hAnsi="宋体" w:cs="宋体"/>
          <w:b/>
          <w:sz w:val="32"/>
          <w:szCs w:val="32"/>
          <w:highlight w:val="none"/>
        </w:rPr>
      </w:pP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六</w:t>
      </w:r>
      <w:r>
        <w:rPr>
          <w:rFonts w:hint="eastAsia" w:ascii="宋体" w:hAnsi="宋体" w:cs="宋体"/>
          <w:b/>
          <w:sz w:val="32"/>
          <w:szCs w:val="32"/>
          <w:highlight w:val="none"/>
        </w:rPr>
        <w:t>月</w:t>
      </w:r>
      <w:r>
        <w:rPr>
          <w:rFonts w:hint="eastAsia" w:ascii="宋体" w:hAnsi="宋体" w:cs="宋体"/>
          <w:b/>
          <w:sz w:val="32"/>
          <w:szCs w:val="32"/>
          <w:highlight w:val="none"/>
          <w:lang w:val="en-US" w:eastAsia="zh-CN"/>
        </w:rPr>
        <w:t>十二</w:t>
      </w:r>
      <w:r>
        <w:rPr>
          <w:rFonts w:hint="eastAsia" w:ascii="宋体" w:hAnsi="宋体" w:cs="宋体"/>
          <w:b/>
          <w:sz w:val="32"/>
          <w:szCs w:val="32"/>
          <w:highlight w:val="none"/>
        </w:rPr>
        <w:t>日</w:t>
      </w:r>
    </w:p>
    <w:p w14:paraId="247D9505">
      <w:pPr>
        <w:pStyle w:val="25"/>
        <w:rPr>
          <w:rFonts w:hAnsi="宋体" w:cs="宋体"/>
        </w:rPr>
      </w:pPr>
    </w:p>
    <w:p w14:paraId="5673BEA3">
      <w:pPr>
        <w:pStyle w:val="62"/>
        <w:rPr>
          <w:rFonts w:hAnsi="宋体" w:cs="宋体"/>
        </w:rPr>
      </w:pPr>
    </w:p>
    <w:p w14:paraId="3648F66F">
      <w:pPr>
        <w:pStyle w:val="51"/>
        <w:rPr>
          <w:rFonts w:ascii="宋体" w:hAnsi="宋体" w:cs="宋体"/>
        </w:rPr>
      </w:pPr>
    </w:p>
    <w:p w14:paraId="4600264E">
      <w:pPr>
        <w:jc w:val="center"/>
        <w:rPr>
          <w:rFonts w:hint="eastAsia" w:ascii="宋体" w:hAnsi="宋体" w:cs="宋体"/>
          <w:b/>
          <w:sz w:val="48"/>
          <w:szCs w:val="48"/>
        </w:rPr>
        <w:sectPr>
          <w:footerReference r:id="rId3" w:type="default"/>
          <w:pgSz w:w="11907" w:h="16840"/>
          <w:pgMar w:top="822" w:right="992" w:bottom="993" w:left="1276" w:header="426" w:footer="390" w:gutter="0"/>
          <w:pgNumType w:fmt="decimal"/>
          <w:cols w:space="720" w:num="1"/>
        </w:sectPr>
      </w:pPr>
    </w:p>
    <w:p w14:paraId="3C8D38AB">
      <w:pPr>
        <w:jc w:val="center"/>
        <w:rPr>
          <w:rFonts w:ascii="宋体" w:hAnsi="宋体" w:cs="宋体"/>
          <w:b/>
          <w:sz w:val="48"/>
          <w:szCs w:val="48"/>
        </w:rPr>
      </w:pPr>
      <w:r>
        <w:rPr>
          <w:rFonts w:hint="eastAsia" w:ascii="宋体" w:hAnsi="宋体" w:cs="宋体"/>
          <w:b/>
          <w:sz w:val="48"/>
          <w:szCs w:val="48"/>
        </w:rPr>
        <w:t>目  录</w:t>
      </w:r>
    </w:p>
    <w:p w14:paraId="565BB0D5">
      <w:pPr>
        <w:spacing w:line="360" w:lineRule="auto"/>
        <w:rPr>
          <w:rFonts w:ascii="宋体" w:hAnsi="宋体" w:cs="宋体"/>
          <w:sz w:val="32"/>
          <w:szCs w:val="32"/>
        </w:rPr>
      </w:pPr>
    </w:p>
    <w:p w14:paraId="72C88B0B">
      <w:pPr>
        <w:spacing w:line="360" w:lineRule="auto"/>
        <w:rPr>
          <w:rFonts w:ascii="宋体" w:hAnsi="宋体" w:cs="宋体"/>
          <w:sz w:val="32"/>
          <w:szCs w:val="32"/>
        </w:rPr>
      </w:pPr>
    </w:p>
    <w:p w14:paraId="01C4394F">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14:paraId="52A8601E">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bookmarkStart w:id="383" w:name="_GoBack"/>
      <w:bookmarkEnd w:id="383"/>
    </w:p>
    <w:p w14:paraId="289EE52E">
      <w:pPr>
        <w:spacing w:line="360" w:lineRule="auto"/>
        <w:ind w:firstLine="1280" w:firstLineChars="400"/>
        <w:rPr>
          <w:rFonts w:ascii="宋体" w:hAnsi="宋体" w:cs="宋体"/>
          <w:sz w:val="32"/>
          <w:szCs w:val="32"/>
        </w:rPr>
      </w:pPr>
      <w:r>
        <w:rPr>
          <w:rFonts w:hint="eastAsia" w:ascii="宋体" w:hAnsi="宋体" w:cs="宋体"/>
          <w:sz w:val="32"/>
          <w:szCs w:val="32"/>
        </w:rPr>
        <w:t>第三部分      交易需求</w:t>
      </w:r>
    </w:p>
    <w:p w14:paraId="053C3110">
      <w:pPr>
        <w:spacing w:line="360" w:lineRule="auto"/>
        <w:ind w:firstLine="1280" w:firstLineChars="400"/>
        <w:rPr>
          <w:rFonts w:ascii="宋体" w:hAnsi="宋体" w:cs="宋体"/>
          <w:sz w:val="32"/>
          <w:szCs w:val="32"/>
        </w:rPr>
      </w:pPr>
      <w:r>
        <w:rPr>
          <w:rFonts w:hint="eastAsia" w:ascii="宋体" w:hAnsi="宋体" w:cs="宋体"/>
          <w:sz w:val="32"/>
          <w:szCs w:val="32"/>
        </w:rPr>
        <w:t>第四部分      交易办法</w:t>
      </w:r>
    </w:p>
    <w:p w14:paraId="145E3AE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5C7CCE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156A7BA">
      <w:pPr>
        <w:spacing w:line="360" w:lineRule="auto"/>
        <w:ind w:firstLine="549" w:firstLineChars="229"/>
        <w:rPr>
          <w:rFonts w:ascii="宋体" w:hAnsi="宋体" w:cs="宋体"/>
          <w:sz w:val="24"/>
        </w:rPr>
      </w:pPr>
      <w:bookmarkStart w:id="0" w:name="_Hlt91233176"/>
      <w:bookmarkEnd w:id="0"/>
      <w:bookmarkStart w:id="1" w:name="_Toc91899869"/>
    </w:p>
    <w:p w14:paraId="3D3A8208">
      <w:pPr>
        <w:spacing w:line="360" w:lineRule="auto"/>
        <w:ind w:firstLine="549" w:firstLineChars="229"/>
        <w:rPr>
          <w:rFonts w:ascii="宋体" w:hAnsi="宋体" w:cs="宋体"/>
          <w:sz w:val="24"/>
        </w:rPr>
      </w:pPr>
    </w:p>
    <w:p w14:paraId="3A926B4B">
      <w:pPr>
        <w:spacing w:line="360" w:lineRule="auto"/>
        <w:ind w:firstLine="549" w:firstLineChars="229"/>
        <w:rPr>
          <w:rFonts w:ascii="宋体" w:hAnsi="宋体" w:cs="宋体"/>
          <w:sz w:val="24"/>
        </w:rPr>
      </w:pPr>
    </w:p>
    <w:p w14:paraId="37909894">
      <w:pPr>
        <w:spacing w:line="360" w:lineRule="auto"/>
        <w:ind w:firstLine="549" w:firstLineChars="229"/>
        <w:rPr>
          <w:rFonts w:ascii="宋体" w:hAnsi="宋体" w:cs="宋体"/>
          <w:sz w:val="24"/>
        </w:rPr>
      </w:pPr>
    </w:p>
    <w:p w14:paraId="7535D1C3">
      <w:pPr>
        <w:spacing w:line="360" w:lineRule="auto"/>
        <w:ind w:firstLine="549" w:firstLineChars="229"/>
        <w:rPr>
          <w:rFonts w:ascii="宋体" w:hAnsi="宋体" w:cs="宋体"/>
          <w:sz w:val="24"/>
        </w:rPr>
      </w:pPr>
    </w:p>
    <w:p w14:paraId="4FB36146">
      <w:pPr>
        <w:spacing w:line="360" w:lineRule="auto"/>
        <w:ind w:firstLine="549" w:firstLineChars="229"/>
        <w:rPr>
          <w:rFonts w:ascii="宋体" w:hAnsi="宋体" w:cs="宋体"/>
          <w:sz w:val="24"/>
        </w:rPr>
      </w:pPr>
    </w:p>
    <w:p w14:paraId="02A2BCCA">
      <w:pPr>
        <w:spacing w:line="360" w:lineRule="auto"/>
        <w:ind w:firstLine="549" w:firstLineChars="229"/>
        <w:rPr>
          <w:rFonts w:ascii="宋体" w:hAnsi="宋体" w:cs="宋体"/>
          <w:sz w:val="24"/>
        </w:rPr>
      </w:pPr>
    </w:p>
    <w:p w14:paraId="6AC78F53">
      <w:pPr>
        <w:spacing w:line="360" w:lineRule="auto"/>
        <w:ind w:firstLine="549" w:firstLineChars="229"/>
        <w:rPr>
          <w:rFonts w:ascii="宋体" w:hAnsi="宋体" w:cs="宋体"/>
          <w:sz w:val="24"/>
        </w:rPr>
      </w:pPr>
    </w:p>
    <w:p w14:paraId="69E873E7">
      <w:pPr>
        <w:spacing w:line="360" w:lineRule="auto"/>
        <w:ind w:firstLine="549" w:firstLineChars="229"/>
        <w:rPr>
          <w:rFonts w:ascii="宋体" w:hAnsi="宋体" w:cs="宋体"/>
          <w:sz w:val="24"/>
        </w:rPr>
      </w:pPr>
    </w:p>
    <w:p w14:paraId="4EE83483">
      <w:pPr>
        <w:spacing w:line="360" w:lineRule="auto"/>
        <w:ind w:firstLine="549" w:firstLineChars="229"/>
        <w:rPr>
          <w:rFonts w:ascii="宋体" w:hAnsi="宋体" w:cs="宋体"/>
          <w:sz w:val="24"/>
        </w:rPr>
      </w:pPr>
    </w:p>
    <w:p w14:paraId="25DB45E0">
      <w:pPr>
        <w:spacing w:line="360" w:lineRule="auto"/>
        <w:ind w:firstLine="549" w:firstLineChars="229"/>
        <w:rPr>
          <w:rFonts w:ascii="宋体" w:hAnsi="宋体" w:cs="宋体"/>
          <w:sz w:val="24"/>
        </w:rPr>
      </w:pPr>
    </w:p>
    <w:p w14:paraId="1EBC8FC1">
      <w:pPr>
        <w:spacing w:line="360" w:lineRule="auto"/>
        <w:ind w:firstLine="549" w:firstLineChars="229"/>
        <w:rPr>
          <w:rFonts w:ascii="宋体" w:hAnsi="宋体" w:cs="宋体"/>
          <w:sz w:val="24"/>
        </w:rPr>
      </w:pPr>
    </w:p>
    <w:p w14:paraId="4B2BB7F5">
      <w:pPr>
        <w:spacing w:line="360" w:lineRule="auto"/>
        <w:ind w:firstLine="549" w:firstLineChars="229"/>
        <w:rPr>
          <w:rFonts w:ascii="宋体" w:hAnsi="宋体" w:cs="宋体"/>
          <w:sz w:val="24"/>
        </w:rPr>
      </w:pPr>
    </w:p>
    <w:p w14:paraId="2D2FE61F">
      <w:pPr>
        <w:spacing w:line="360" w:lineRule="auto"/>
        <w:rPr>
          <w:rFonts w:ascii="宋体" w:hAnsi="宋体" w:cs="宋体"/>
          <w:sz w:val="24"/>
        </w:rPr>
      </w:pPr>
    </w:p>
    <w:p w14:paraId="6D9D3F5B">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交易公告</w:t>
      </w:r>
    </w:p>
    <w:p w14:paraId="10F10AC2">
      <w:pPr>
        <w:spacing w:line="360" w:lineRule="auto"/>
        <w:rPr>
          <w:rFonts w:ascii="宋体" w:hAnsi="宋体" w:cs="宋体"/>
          <w:b/>
          <w:sz w:val="24"/>
        </w:rPr>
      </w:pPr>
      <w:r>
        <w:rPr>
          <w:rFonts w:hint="eastAsia" w:ascii="宋体" w:hAnsi="宋体" w:cs="宋体"/>
          <w:b/>
          <w:sz w:val="24"/>
        </w:rPr>
        <w:t>一、基本情况</w:t>
      </w:r>
    </w:p>
    <w:p w14:paraId="77F45531">
      <w:pPr>
        <w:spacing w:line="360" w:lineRule="auto"/>
        <w:ind w:firstLine="482" w:firstLineChars="200"/>
        <w:rPr>
          <w:rFonts w:hint="eastAsia" w:ascii="宋体" w:hAnsi="宋体" w:eastAsia="宋体" w:cs="宋体"/>
          <w:b/>
          <w:sz w:val="24"/>
          <w:highlight w:val="none"/>
          <w:lang w:eastAsia="zh-CN"/>
        </w:rPr>
      </w:pPr>
      <w:r>
        <w:rPr>
          <w:rFonts w:hint="eastAsia" w:ascii="宋体" w:hAnsi="宋体" w:cs="宋体"/>
          <w:b/>
          <w:sz w:val="24"/>
          <w:highlight w:val="none"/>
        </w:rPr>
        <w:t>交易编号：</w:t>
      </w:r>
      <w:r>
        <w:rPr>
          <w:rFonts w:hint="eastAsia" w:ascii="宋体" w:hAnsi="宋体" w:cs="宋体"/>
          <w:b/>
          <w:sz w:val="24"/>
          <w:highlight w:val="none"/>
          <w:lang w:eastAsia="zh-CN"/>
        </w:rPr>
        <w:t>ZJJS2025-HZ017-1</w:t>
      </w:r>
      <w:r>
        <w:rPr>
          <w:rFonts w:hint="eastAsia" w:ascii="宋体" w:hAnsi="宋体" w:cs="宋体"/>
          <w:bCs/>
          <w:sz w:val="24"/>
          <w:highlight w:val="none"/>
          <w:lang w:val="en-US" w:eastAsia="zh-CN"/>
        </w:rPr>
        <w:t xml:space="preserve"> </w:t>
      </w:r>
    </w:p>
    <w:p w14:paraId="26CF3DE2">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rPr>
        <w:t>交易名称：</w:t>
      </w:r>
      <w:r>
        <w:rPr>
          <w:rFonts w:hint="eastAsia" w:ascii="宋体" w:hAnsi="宋体" w:cs="宋体"/>
          <w:bCs/>
          <w:sz w:val="24"/>
          <w:highlight w:val="none"/>
          <w:lang w:eastAsia="zh-CN"/>
        </w:rPr>
        <w:t xml:space="preserve">闻堰街道企业安全生产社会化服务采购项目（重新交易） </w:t>
      </w:r>
    </w:p>
    <w:p w14:paraId="7D44B2D1">
      <w:pPr>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w:t>
      </w:r>
      <w:r>
        <w:rPr>
          <w:rFonts w:hint="eastAsia" w:ascii="宋体" w:hAnsi="宋体" w:cs="宋体"/>
          <w:sz w:val="24"/>
          <w:highlight w:val="none"/>
        </w:rPr>
        <w:t>标项1:</w:t>
      </w:r>
      <w:r>
        <w:rPr>
          <w:rFonts w:hint="eastAsia" w:ascii="宋体" w:hAnsi="宋体" w:cs="宋体"/>
          <w:sz w:val="24"/>
          <w:highlight w:val="none"/>
          <w:lang w:val="en-US" w:eastAsia="zh-CN"/>
        </w:rPr>
        <w:t>350000</w:t>
      </w:r>
      <w:r>
        <w:rPr>
          <w:rFonts w:hint="eastAsia" w:ascii="宋体" w:hAnsi="宋体" w:cs="宋体"/>
          <w:sz w:val="24"/>
          <w:highlight w:val="none"/>
        </w:rPr>
        <w:t>元</w:t>
      </w:r>
    </w:p>
    <w:p w14:paraId="5337043D">
      <w:pPr>
        <w:spacing w:line="360" w:lineRule="auto"/>
        <w:ind w:firstLine="482" w:firstLineChars="20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rPr>
        <w:t>标项1:</w:t>
      </w:r>
      <w:r>
        <w:rPr>
          <w:rFonts w:hint="eastAsia" w:ascii="宋体" w:hAnsi="宋体" w:cs="宋体"/>
          <w:sz w:val="24"/>
          <w:highlight w:val="none"/>
          <w:lang w:val="en-US" w:eastAsia="zh-CN"/>
        </w:rPr>
        <w:t>350000</w:t>
      </w:r>
      <w:r>
        <w:rPr>
          <w:rFonts w:hint="eastAsia" w:ascii="宋体" w:hAnsi="宋体" w:cs="宋体"/>
          <w:sz w:val="24"/>
          <w:highlight w:val="none"/>
        </w:rPr>
        <w:t>元</w:t>
      </w:r>
    </w:p>
    <w:p w14:paraId="532A805A">
      <w:pPr>
        <w:pStyle w:val="16"/>
        <w:spacing w:line="360" w:lineRule="auto"/>
        <w:ind w:firstLine="482" w:firstLineChars="200"/>
        <w:rPr>
          <w:rFonts w:hAnsi="宋体" w:cs="宋体"/>
          <w:b/>
          <w:color w:val="auto"/>
          <w:sz w:val="24"/>
        </w:rPr>
      </w:pPr>
      <w:r>
        <w:rPr>
          <w:rFonts w:hint="eastAsia" w:hAnsi="宋体" w:cs="宋体"/>
          <w:b/>
          <w:color w:val="auto"/>
          <w:sz w:val="24"/>
          <w:highlight w:val="none"/>
        </w:rPr>
        <w:t>交易需求：</w:t>
      </w:r>
      <w:r>
        <w:rPr>
          <w:rFonts w:hint="eastAsia" w:hAnsi="宋体" w:cs="宋体"/>
          <w:color w:val="auto"/>
          <w:sz w:val="24"/>
          <w:highlight w:val="none"/>
        </w:rPr>
        <w:t>标项1：</w:t>
      </w:r>
      <w:r>
        <w:rPr>
          <w:rFonts w:hint="eastAsia" w:hAnsi="宋体" w:cs="宋体"/>
          <w:color w:val="auto"/>
          <w:sz w:val="24"/>
          <w:highlight w:val="none"/>
          <w:lang w:eastAsia="zh-CN"/>
        </w:rPr>
        <w:t>闻堰街道企业安全生产社会化服务采购项目（重新交易）</w:t>
      </w:r>
      <w:r>
        <w:rPr>
          <w:rFonts w:hint="eastAsia" w:hAnsi="宋体" w:cs="宋体"/>
          <w:color w:val="auto"/>
          <w:sz w:val="24"/>
          <w:highlight w:val="none"/>
        </w:rPr>
        <w:t>，</w:t>
      </w:r>
      <w:r>
        <w:rPr>
          <w:rFonts w:hint="eastAsia" w:hAnsi="宋体" w:cs="宋体"/>
          <w:color w:val="auto"/>
          <w:sz w:val="24"/>
          <w:highlight w:val="none"/>
          <w:lang w:val="en-US" w:eastAsia="zh-CN"/>
        </w:rPr>
        <w:t>1项，</w:t>
      </w:r>
      <w:r>
        <w:rPr>
          <w:rFonts w:hint="eastAsia" w:hAnsi="宋体" w:cs="宋体"/>
          <w:color w:val="auto"/>
          <w:sz w:val="24"/>
        </w:rPr>
        <w:t>详见交易需求</w:t>
      </w:r>
    </w:p>
    <w:p w14:paraId="5E98FC23">
      <w:pPr>
        <w:pStyle w:val="16"/>
        <w:spacing w:line="360" w:lineRule="auto"/>
        <w:ind w:firstLine="482" w:firstLineChars="200"/>
        <w:rPr>
          <w:rFonts w:hAnsi="宋体" w:cs="宋体"/>
          <w:color w:val="auto"/>
        </w:rPr>
      </w:pPr>
      <w:r>
        <w:rPr>
          <w:rFonts w:hint="eastAsia" w:hAnsi="宋体" w:cs="宋体"/>
          <w:b/>
          <w:color w:val="auto"/>
          <w:sz w:val="24"/>
          <w:szCs w:val="18"/>
        </w:rPr>
        <w:t>合同履约期限：</w:t>
      </w:r>
      <w:r>
        <w:rPr>
          <w:rFonts w:hint="eastAsia" w:hAnsi="宋体" w:cs="宋体"/>
          <w:color w:val="auto"/>
          <w:sz w:val="24"/>
          <w:szCs w:val="28"/>
        </w:rPr>
        <w:t>详见交易文件</w:t>
      </w:r>
    </w:p>
    <w:p w14:paraId="1BBF1FCF">
      <w:pPr>
        <w:spacing w:line="360" w:lineRule="auto"/>
        <w:ind w:firstLine="482" w:firstLineChars="200"/>
        <w:rPr>
          <w:rFonts w:ascii="宋体" w:hAnsi="宋体" w:cs="宋体"/>
          <w:b/>
          <w:sz w:val="24"/>
        </w:rPr>
      </w:pPr>
      <w:r>
        <w:rPr>
          <w:rFonts w:hint="eastAsia" w:ascii="宋体" w:hAnsi="宋体" w:cs="宋体"/>
          <w:b/>
          <w:sz w:val="24"/>
        </w:rPr>
        <w:t>本项目接受联合体投标：</w:t>
      </w:r>
      <w:r>
        <w:rPr>
          <w:rFonts w:hint="eastAsia" w:ascii="宋体" w:hAnsi="宋体" w:cs="宋体"/>
          <w:bCs/>
          <w:sz w:val="24"/>
        </w:rPr>
        <w:t>（  ）是；（√）否。</w:t>
      </w:r>
    </w:p>
    <w:p w14:paraId="4B3C48FE">
      <w:pPr>
        <w:spacing w:line="360" w:lineRule="auto"/>
        <w:rPr>
          <w:rFonts w:ascii="宋体" w:hAnsi="宋体" w:cs="宋体"/>
          <w:b/>
          <w:sz w:val="24"/>
        </w:rPr>
      </w:pPr>
      <w:r>
        <w:rPr>
          <w:rFonts w:hint="eastAsia" w:ascii="宋体" w:hAnsi="宋体" w:cs="宋体"/>
          <w:b/>
          <w:sz w:val="24"/>
        </w:rPr>
        <w:t>二、申请人的资格要求：</w:t>
      </w:r>
    </w:p>
    <w:p w14:paraId="03C0C995">
      <w:pPr>
        <w:spacing w:line="360" w:lineRule="auto"/>
        <w:ind w:firstLine="480" w:firstLineChars="200"/>
        <w:rPr>
          <w:rFonts w:hint="eastAsia" w:ascii="宋体" w:hAnsi="宋体" w:cs="宋体"/>
          <w:sz w:val="24"/>
          <w:highlight w:val="none"/>
          <w:lang w:val="en-US"/>
        </w:rPr>
      </w:pPr>
      <w:r>
        <w:rPr>
          <w:rFonts w:hint="eastAsia" w:ascii="宋体" w:hAnsi="宋体" w:cs="宋体"/>
          <w:sz w:val="24"/>
          <w:highlight w:val="none"/>
          <w:lang w:val="en-US"/>
        </w:rPr>
        <w:t>1、具有独立承担民事责任的能力；</w:t>
      </w:r>
    </w:p>
    <w:p w14:paraId="11ACF360">
      <w:pPr>
        <w:spacing w:line="360" w:lineRule="auto"/>
        <w:ind w:firstLine="480" w:firstLineChars="200"/>
        <w:rPr>
          <w:rFonts w:hint="eastAsia" w:ascii="宋体" w:hAnsi="宋体" w:cs="宋体"/>
          <w:sz w:val="24"/>
          <w:highlight w:val="none"/>
          <w:lang w:val="en-US"/>
        </w:rPr>
      </w:pPr>
      <w:r>
        <w:rPr>
          <w:rFonts w:hint="eastAsia" w:ascii="宋体" w:hAnsi="宋体" w:cs="宋体"/>
          <w:sz w:val="24"/>
          <w:highlight w:val="none"/>
          <w:lang w:val="en-US"/>
        </w:rPr>
        <w:t xml:space="preserve">2、具有良好的商业信誉和健全的财务会计制度； </w:t>
      </w:r>
    </w:p>
    <w:p w14:paraId="241663A1">
      <w:pPr>
        <w:spacing w:line="360" w:lineRule="auto"/>
        <w:ind w:firstLine="480" w:firstLineChars="200"/>
        <w:rPr>
          <w:rFonts w:hint="eastAsia" w:ascii="宋体" w:hAnsi="宋体" w:cs="宋体"/>
          <w:sz w:val="24"/>
          <w:highlight w:val="none"/>
          <w:lang w:val="en-US"/>
        </w:rPr>
      </w:pPr>
      <w:r>
        <w:rPr>
          <w:rFonts w:hint="eastAsia" w:ascii="宋体" w:hAnsi="宋体" w:cs="宋体"/>
          <w:sz w:val="24"/>
          <w:highlight w:val="none"/>
          <w:lang w:val="en-US"/>
        </w:rPr>
        <w:t>3、具有履行合同所必需的设备和专业技术能力；</w:t>
      </w:r>
    </w:p>
    <w:p w14:paraId="78D33B3A">
      <w:pPr>
        <w:spacing w:line="360" w:lineRule="auto"/>
        <w:ind w:firstLine="480" w:firstLineChars="200"/>
        <w:rPr>
          <w:rFonts w:hint="eastAsia" w:ascii="宋体" w:hAnsi="宋体" w:cs="宋体"/>
          <w:sz w:val="24"/>
          <w:highlight w:val="none"/>
          <w:lang w:val="en-US"/>
        </w:rPr>
      </w:pPr>
      <w:r>
        <w:rPr>
          <w:rFonts w:hint="eastAsia" w:ascii="宋体" w:hAnsi="宋体" w:cs="宋体"/>
          <w:sz w:val="24"/>
          <w:highlight w:val="none"/>
          <w:lang w:val="en-US"/>
        </w:rPr>
        <w:t>4、有依法缴纳税收和社会保障资金的良好记录；</w:t>
      </w:r>
    </w:p>
    <w:p w14:paraId="74380BFF">
      <w:pPr>
        <w:spacing w:line="360" w:lineRule="auto"/>
        <w:ind w:firstLine="480" w:firstLineChars="200"/>
        <w:rPr>
          <w:rFonts w:hint="eastAsia" w:ascii="宋体" w:hAnsi="宋体" w:cs="宋体"/>
          <w:sz w:val="24"/>
          <w:highlight w:val="none"/>
          <w:lang w:val="en-US"/>
        </w:rPr>
      </w:pPr>
      <w:r>
        <w:rPr>
          <w:rFonts w:hint="eastAsia" w:ascii="宋体" w:hAnsi="宋体" w:cs="宋体"/>
          <w:sz w:val="24"/>
          <w:highlight w:val="none"/>
          <w:lang w:val="en-US"/>
        </w:rPr>
        <w:t>5、参加采购活动前三年内，在经营活动中没有重大违法记录；</w:t>
      </w:r>
    </w:p>
    <w:p w14:paraId="1C5EB01D">
      <w:pPr>
        <w:spacing w:line="360" w:lineRule="auto"/>
        <w:ind w:firstLine="480" w:firstLineChars="200"/>
        <w:rPr>
          <w:rFonts w:hint="eastAsia" w:ascii="宋体" w:hAnsi="宋体" w:cs="宋体"/>
          <w:sz w:val="24"/>
          <w:highlight w:val="none"/>
          <w:lang w:val="en-US"/>
        </w:rPr>
      </w:pPr>
      <w:r>
        <w:rPr>
          <w:rFonts w:hint="eastAsia" w:ascii="宋体" w:hAnsi="宋体" w:cs="宋体"/>
          <w:sz w:val="24"/>
          <w:highlight w:val="none"/>
          <w:lang w:val="en-US"/>
        </w:rPr>
        <w:t>6、具有法律、行政法规规定的其他条件。</w:t>
      </w:r>
    </w:p>
    <w:p w14:paraId="229E066D">
      <w:pPr>
        <w:spacing w:line="360" w:lineRule="auto"/>
        <w:ind w:firstLine="480" w:firstLineChars="200"/>
        <w:rPr>
          <w:rFonts w:hint="eastAsia" w:ascii="宋体" w:hAnsi="宋体" w:cs="宋体"/>
          <w:sz w:val="24"/>
          <w:highlight w:val="none"/>
          <w:lang w:val="en-US"/>
        </w:rPr>
      </w:pPr>
      <w:r>
        <w:rPr>
          <w:rFonts w:hint="eastAsia" w:ascii="宋体" w:hAnsi="宋体" w:cs="宋体"/>
          <w:sz w:val="24"/>
          <w:highlight w:val="none"/>
          <w:lang w:val="en-US" w:eastAsia="zh-CN"/>
        </w:rPr>
        <w:t>7、</w:t>
      </w:r>
      <w:r>
        <w:rPr>
          <w:rFonts w:hint="eastAsia" w:ascii="宋体" w:hAnsi="宋体" w:cs="宋体"/>
          <w:sz w:val="24"/>
          <w:highlight w:val="none"/>
          <w:lang w:val="en-US"/>
        </w:rPr>
        <w:t>落实采购政策需满足的资格要求：无</w:t>
      </w:r>
    </w:p>
    <w:p w14:paraId="2B9C38CE">
      <w:pPr>
        <w:spacing w:line="360" w:lineRule="auto"/>
        <w:ind w:firstLine="480" w:firstLineChars="200"/>
        <w:rPr>
          <w:rFonts w:hint="eastAsia" w:ascii="宋体" w:hAnsi="宋体" w:cs="宋体"/>
          <w:sz w:val="24"/>
          <w:highlight w:val="green"/>
          <w:lang w:val="en-US"/>
        </w:rPr>
      </w:pPr>
      <w:r>
        <w:rPr>
          <w:rFonts w:hint="eastAsia" w:ascii="宋体" w:hAnsi="宋体" w:cs="宋体"/>
          <w:sz w:val="24"/>
          <w:highlight w:val="none"/>
          <w:lang w:val="en-US" w:eastAsia="zh-CN"/>
        </w:rPr>
        <w:t>8、</w:t>
      </w:r>
      <w:r>
        <w:rPr>
          <w:rFonts w:hint="eastAsia" w:ascii="宋体" w:hAnsi="宋体" w:cs="宋体"/>
          <w:sz w:val="24"/>
          <w:highlight w:val="none"/>
          <w:lang w:val="en-US"/>
        </w:rPr>
        <w:t>本项目的特定资格要求：无</w:t>
      </w:r>
    </w:p>
    <w:p w14:paraId="7B1B7046">
      <w:pPr>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三、获取交易文件 </w:t>
      </w:r>
    </w:p>
    <w:p w14:paraId="03056707">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lang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1D146423">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乐采云（萧采云）平台（www.lecaiyun.com/）</w:t>
      </w:r>
    </w:p>
    <w:p w14:paraId="6D8B9DEE">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供应商登录乐采云（萧采云）平台（www.lecaiyun.com/）在线申请获取采购文件（进入“项目采购”应用，在获取采购文件菜单中选择项目，申请获取采购文件）。 </w:t>
      </w:r>
    </w:p>
    <w:p w14:paraId="0A1602C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4E27EE8">
      <w:pPr>
        <w:spacing w:line="360" w:lineRule="auto"/>
        <w:rPr>
          <w:rFonts w:ascii="宋体" w:hAnsi="宋体" w:cs="宋体"/>
          <w:b/>
          <w:sz w:val="24"/>
          <w:highlight w:val="none"/>
        </w:rPr>
      </w:pPr>
      <w:r>
        <w:rPr>
          <w:rFonts w:hint="eastAsia" w:ascii="宋体" w:hAnsi="宋体" w:cs="宋体"/>
          <w:b/>
          <w:sz w:val="24"/>
          <w:highlight w:val="none"/>
        </w:rPr>
        <w:t>四、提交响应文件截止时间、交易时间和地点</w:t>
      </w:r>
    </w:p>
    <w:p w14:paraId="6DB3A5AB">
      <w:pPr>
        <w:spacing w:line="360" w:lineRule="auto"/>
        <w:ind w:firstLine="482" w:firstLineChars="200"/>
        <w:rPr>
          <w:rFonts w:ascii="宋体" w:hAnsi="宋体" w:cs="宋体"/>
          <w:sz w:val="24"/>
          <w:highlight w:val="none"/>
        </w:rPr>
      </w:pPr>
      <w:r>
        <w:rPr>
          <w:rFonts w:hint="eastAsia" w:ascii="宋体" w:hAnsi="宋体" w:cs="宋体"/>
          <w:b/>
          <w:sz w:val="24"/>
          <w:highlight w:val="none"/>
        </w:rPr>
        <w:t>提交响应文件截止时间：</w:t>
      </w:r>
      <w:r>
        <w:rPr>
          <w:rFonts w:hint="eastAsia" w:ascii="宋体" w:hAnsi="宋体" w:cs="宋体"/>
          <w:sz w:val="24"/>
          <w:highlight w:val="none"/>
          <w:u w:val="single"/>
          <w:lang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sz w:val="24"/>
          <w:highlight w:val="none"/>
        </w:rPr>
        <w:t>（北京时间）</w:t>
      </w:r>
    </w:p>
    <w:p w14:paraId="2B21F7DB">
      <w:pPr>
        <w:spacing w:line="360" w:lineRule="auto"/>
        <w:ind w:firstLine="482" w:firstLineChars="200"/>
        <w:rPr>
          <w:rFonts w:ascii="宋体" w:hAnsi="宋体" w:cs="宋体"/>
          <w:sz w:val="24"/>
          <w:highlight w:val="none"/>
        </w:rPr>
      </w:pPr>
      <w:r>
        <w:rPr>
          <w:rFonts w:hint="eastAsia" w:ascii="宋体" w:hAnsi="宋体" w:cs="宋体"/>
          <w:b/>
          <w:sz w:val="24"/>
          <w:highlight w:val="none"/>
        </w:rPr>
        <w:t>投标地点（网址）：</w:t>
      </w:r>
      <w:r>
        <w:rPr>
          <w:rFonts w:hint="eastAsia" w:ascii="宋体" w:hAnsi="宋体" w:cs="宋体"/>
          <w:sz w:val="24"/>
          <w:highlight w:val="none"/>
        </w:rPr>
        <w:t>乐采云（萧采云）平台（www.lecaiyun.com/）</w:t>
      </w:r>
    </w:p>
    <w:p w14:paraId="5CBDA000">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交易时间：</w:t>
      </w:r>
      <w:r>
        <w:rPr>
          <w:rFonts w:hint="eastAsia" w:ascii="宋体" w:hAnsi="宋体" w:cs="宋体"/>
          <w:sz w:val="24"/>
          <w:highlight w:val="none"/>
          <w:u w:val="single"/>
          <w:lang w:eastAsia="zh-CN"/>
        </w:rPr>
        <w:t>2025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p>
    <w:p w14:paraId="6D0C9FBF">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乐采云（萧采云）平台（www.lecaiyun.com/）</w:t>
      </w:r>
    </w:p>
    <w:p w14:paraId="0EF1BDD0">
      <w:pPr>
        <w:spacing w:line="360" w:lineRule="auto"/>
        <w:rPr>
          <w:rFonts w:ascii="宋体" w:hAnsi="宋体" w:cs="宋体"/>
          <w:b/>
          <w:sz w:val="24"/>
          <w:highlight w:val="none"/>
        </w:rPr>
      </w:pPr>
      <w:r>
        <w:rPr>
          <w:rFonts w:hint="eastAsia" w:ascii="宋体" w:hAnsi="宋体" w:cs="宋体"/>
          <w:b/>
          <w:sz w:val="24"/>
          <w:highlight w:val="none"/>
        </w:rPr>
        <w:t>五、其他补充事宜</w:t>
      </w:r>
    </w:p>
    <w:p w14:paraId="763858E4">
      <w:pPr>
        <w:spacing w:line="360" w:lineRule="auto"/>
        <w:ind w:firstLine="480" w:firstLineChars="200"/>
        <w:rPr>
          <w:rFonts w:ascii="宋体" w:hAnsi="宋体" w:cs="宋体"/>
          <w:sz w:val="24"/>
        </w:rPr>
      </w:pPr>
      <w:r>
        <w:rPr>
          <w:rFonts w:hint="eastAsia" w:ascii="宋体" w:hAnsi="宋体" w:cs="宋体"/>
          <w:sz w:val="24"/>
          <w:highlight w:val="none"/>
        </w:rPr>
        <w:t>1.供应商认为交易文件使自己的权益受到损害的，可</w:t>
      </w:r>
      <w:r>
        <w:rPr>
          <w:rFonts w:hint="eastAsia" w:ascii="宋体" w:hAnsi="宋体" w:cs="宋体"/>
          <w:sz w:val="24"/>
        </w:rPr>
        <w:t>以自获取交易文件之日起3个工作日内，以书面形式向交易人和采购代理机构提出质疑</w:t>
      </w:r>
    </w:p>
    <w:p w14:paraId="56D318E6">
      <w:pPr>
        <w:spacing w:line="360" w:lineRule="auto"/>
        <w:ind w:firstLine="480" w:firstLineChars="200"/>
        <w:rPr>
          <w:rFonts w:ascii="宋体" w:hAnsi="宋体" w:cs="宋体"/>
          <w:sz w:val="24"/>
        </w:rPr>
      </w:pPr>
      <w:r>
        <w:rPr>
          <w:rFonts w:hint="eastAsia" w:ascii="宋体" w:hAnsi="宋体" w:cs="宋体"/>
          <w:sz w:val="24"/>
        </w:rPr>
        <w:t>2.其他事项：电子招投标的说明：①电子招投标：本项目以数据电文形式，依托“</w:t>
      </w:r>
      <w:r>
        <w:rPr>
          <w:rFonts w:hint="eastAsia" w:ascii="宋体" w:hAnsi="宋体" w:cs="宋体"/>
          <w:sz w:val="24"/>
          <w:highlight w:val="none"/>
        </w:rPr>
        <w:t>乐采云</w:t>
      </w:r>
      <w:r>
        <w:rPr>
          <w:rFonts w:hint="eastAsia" w:ascii="宋体" w:hAnsi="宋体" w:cs="宋体"/>
          <w:sz w:val="24"/>
        </w:rPr>
        <w:t>平台（</w:t>
      </w:r>
      <w:r>
        <w:rPr>
          <w:rFonts w:hint="eastAsia" w:ascii="宋体" w:hAnsi="宋体" w:cs="宋体"/>
          <w:sz w:val="24"/>
          <w:highlight w:val="none"/>
        </w:rPr>
        <w:t>www.lecaiyun.com/</w:t>
      </w:r>
      <w:r>
        <w:rPr>
          <w:rFonts w:hint="eastAsia" w:ascii="宋体" w:hAnsi="宋体" w:cs="宋体"/>
          <w:sz w:val="24"/>
        </w:rPr>
        <w:t>）”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sz w:val="24"/>
          <w:lang w:eastAsia="zh-CN"/>
        </w:rPr>
        <w:t>乐采云电子交易客户端</w:t>
      </w:r>
      <w:r>
        <w:rPr>
          <w:rFonts w:hint="eastAsia" w:ascii="宋体" w:hAnsi="宋体" w:cs="宋体"/>
          <w:sz w:val="24"/>
        </w:rPr>
        <w:t>”----前往“浙江政府采购网-下载专区-电子交易客户端”进行下载并安装；③交易文件的获取：使用账号登录或者使用CA登录政采云平台；进入“项目采购”应用，在获取采购文件菜单中选择项目，获取交易文件；④响应文件的制作：在“</w:t>
      </w:r>
      <w:r>
        <w:rPr>
          <w:rFonts w:hint="eastAsia" w:ascii="宋体" w:hAnsi="宋体" w:cs="宋体"/>
          <w:sz w:val="24"/>
          <w:lang w:eastAsia="zh-CN"/>
        </w:rPr>
        <w:t>乐采云电子交易客户端</w:t>
      </w:r>
      <w:r>
        <w:rPr>
          <w:rFonts w:hint="eastAsia" w:ascii="宋体" w:hAnsi="宋体" w:cs="宋体"/>
          <w:sz w:val="24"/>
        </w:rPr>
        <w:t>”中完成“填写基本信息”、“导入响应文件”、“</w:t>
      </w:r>
      <w:r>
        <w:rPr>
          <w:rFonts w:hint="eastAsia" w:ascii="宋体" w:hAnsi="宋体" w:cs="宋体"/>
          <w:sz w:val="24"/>
          <w:lang w:eastAsia="zh-CN"/>
        </w:rPr>
        <w:t>响应文件</w:t>
      </w:r>
      <w:r>
        <w:rPr>
          <w:rFonts w:hint="eastAsia" w:ascii="宋体" w:hAnsi="宋体" w:cs="宋体"/>
          <w:sz w:val="24"/>
        </w:rPr>
        <w:t>关联”、“</w:t>
      </w:r>
      <w:r>
        <w:rPr>
          <w:rFonts w:hint="eastAsia" w:ascii="宋体" w:hAnsi="宋体" w:cs="宋体"/>
          <w:sz w:val="24"/>
          <w:lang w:eastAsia="zh-CN"/>
        </w:rPr>
        <w:t>响应文件</w:t>
      </w:r>
      <w:r>
        <w:rPr>
          <w:rFonts w:hint="eastAsia" w:ascii="宋体" w:hAnsi="宋体" w:cs="宋体"/>
          <w:sz w:val="24"/>
        </w:rPr>
        <w:t>检查”、“电子签名”、“生成电子</w:t>
      </w:r>
      <w:r>
        <w:rPr>
          <w:rFonts w:hint="eastAsia" w:ascii="宋体" w:hAnsi="宋体" w:cs="宋体"/>
          <w:sz w:val="24"/>
          <w:lang w:eastAsia="zh-CN"/>
        </w:rPr>
        <w:t>响应文件</w:t>
      </w:r>
      <w:r>
        <w:rPr>
          <w:rFonts w:hint="eastAsia" w:ascii="宋体" w:hAnsi="宋体" w:cs="宋体"/>
          <w:sz w:val="24"/>
        </w:rPr>
        <w:t>”等操作；⑤交易人、采购机构将依托政采云平台完成本项目的电子交易活动，平台不接受未按上述方式获取交易文件的供应商进行投标活动； ⑥对未按上述方式获取交易文件的供应商对该文件提出的质疑，交易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4AF4503C">
      <w:pPr>
        <w:spacing w:line="360" w:lineRule="auto"/>
        <w:rPr>
          <w:rFonts w:ascii="宋体" w:hAnsi="宋体" w:cs="宋体"/>
          <w:b/>
          <w:sz w:val="24"/>
        </w:rPr>
      </w:pPr>
      <w:r>
        <w:rPr>
          <w:rFonts w:hint="eastAsia" w:ascii="宋体" w:hAnsi="宋体" w:cs="宋体"/>
          <w:b/>
          <w:sz w:val="24"/>
        </w:rPr>
        <w:t>六、联系方式</w:t>
      </w:r>
    </w:p>
    <w:p w14:paraId="12152250">
      <w:pPr>
        <w:widowControl/>
        <w:spacing w:line="360" w:lineRule="auto"/>
        <w:ind w:firstLine="480" w:firstLineChars="200"/>
        <w:jc w:val="left"/>
        <w:rPr>
          <w:rFonts w:ascii="宋体" w:hAnsi="宋体" w:cs="宋体"/>
          <w:sz w:val="24"/>
          <w:szCs w:val="28"/>
        </w:rPr>
      </w:pPr>
      <w:r>
        <w:rPr>
          <w:rFonts w:hint="eastAsia" w:ascii="宋体" w:hAnsi="宋体" w:cs="宋体"/>
          <w:sz w:val="24"/>
          <w:szCs w:val="28"/>
        </w:rPr>
        <w:t>1.交易人信息</w:t>
      </w:r>
    </w:p>
    <w:p w14:paraId="364DA051">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bCs/>
          <w:sz w:val="24"/>
          <w:highlight w:val="none"/>
          <w:lang w:eastAsia="zh-CN"/>
        </w:rPr>
        <w:t>杭州市萧山区人民政府闻堰街道办事处</w:t>
      </w:r>
      <w:r>
        <w:rPr>
          <w:rFonts w:hint="eastAsia" w:ascii="宋体" w:hAnsi="宋体" w:cs="宋体"/>
          <w:sz w:val="24"/>
          <w:lang w:val="en-US" w:eastAsia="zh-CN"/>
        </w:rPr>
        <w:t xml:space="preserve"> </w:t>
      </w:r>
    </w:p>
    <w:p w14:paraId="39DF1A6E">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val="en-US" w:eastAsia="zh-CN"/>
        </w:rPr>
        <w:t xml:space="preserve">杭州市萧山区湘湖路3368号 </w:t>
      </w:r>
    </w:p>
    <w:p w14:paraId="73A20FEF">
      <w:pPr>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 xml:space="preserve"> 来声</w:t>
      </w:r>
    </w:p>
    <w:p w14:paraId="01F7F054">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 xml:space="preserve">13967122686 </w:t>
      </w:r>
    </w:p>
    <w:p w14:paraId="7B143FE5">
      <w:pPr>
        <w:spacing w:line="360" w:lineRule="auto"/>
        <w:ind w:firstLine="480" w:firstLineChars="200"/>
        <w:jc w:val="left"/>
        <w:rPr>
          <w:rFonts w:ascii="宋体" w:hAnsi="宋体" w:cs="宋体"/>
          <w:sz w:val="24"/>
          <w:szCs w:val="28"/>
        </w:rPr>
      </w:pPr>
      <w:bookmarkStart w:id="10" w:name="_Toc28359086"/>
      <w:bookmarkStart w:id="11" w:name="_Toc28359009"/>
      <w:r>
        <w:rPr>
          <w:rFonts w:hint="eastAsia" w:ascii="宋体" w:hAnsi="宋体" w:cs="宋体"/>
          <w:sz w:val="24"/>
          <w:szCs w:val="28"/>
        </w:rPr>
        <w:t>2.</w:t>
      </w:r>
      <w:bookmarkEnd w:id="10"/>
      <w:bookmarkEnd w:id="11"/>
      <w:r>
        <w:rPr>
          <w:rFonts w:hint="eastAsia" w:ascii="宋体" w:hAnsi="宋体" w:cs="宋体"/>
          <w:sz w:val="24"/>
          <w:szCs w:val="28"/>
        </w:rPr>
        <w:t>采购机构信息</w:t>
      </w:r>
    </w:p>
    <w:p w14:paraId="74B92B7C">
      <w:pPr>
        <w:spacing w:line="360" w:lineRule="auto"/>
        <w:ind w:firstLine="480" w:firstLineChars="200"/>
        <w:jc w:val="left"/>
        <w:rPr>
          <w:rFonts w:hint="eastAsia" w:ascii="宋体" w:hAnsi="宋体" w:eastAsia="宋体" w:cs="宋体"/>
          <w:sz w:val="24"/>
          <w:szCs w:val="28"/>
          <w:lang w:eastAsia="zh-CN"/>
        </w:rPr>
      </w:pPr>
      <w:r>
        <w:rPr>
          <w:rFonts w:hint="eastAsia" w:ascii="宋体" w:hAnsi="宋体" w:cs="宋体"/>
          <w:sz w:val="24"/>
          <w:szCs w:val="28"/>
        </w:rPr>
        <w:t>名称：</w:t>
      </w:r>
      <w:r>
        <w:rPr>
          <w:rFonts w:hint="eastAsia" w:ascii="宋体" w:hAnsi="宋体" w:cs="宋体"/>
          <w:sz w:val="24"/>
          <w:szCs w:val="28"/>
          <w:lang w:eastAsia="zh-CN"/>
        </w:rPr>
        <w:t>浙江金穗工程项目管理有限公司</w:t>
      </w:r>
    </w:p>
    <w:p w14:paraId="7166B957">
      <w:pPr>
        <w:spacing w:line="360" w:lineRule="auto"/>
        <w:ind w:firstLine="480" w:firstLineChars="200"/>
        <w:jc w:val="left"/>
        <w:rPr>
          <w:rFonts w:hint="default" w:ascii="宋体" w:hAnsi="宋体" w:cs="宋体"/>
          <w:sz w:val="24"/>
          <w:szCs w:val="28"/>
          <w:lang w:val="en-US"/>
        </w:rPr>
      </w:pPr>
      <w:r>
        <w:rPr>
          <w:rFonts w:hint="eastAsia" w:ascii="宋体" w:hAnsi="宋体" w:cs="宋体"/>
          <w:sz w:val="24"/>
          <w:szCs w:val="28"/>
        </w:rPr>
        <w:t>地址：杭州市萧山区蜀山街道南和城4幢1单元</w:t>
      </w:r>
      <w:r>
        <w:rPr>
          <w:rFonts w:hint="eastAsia" w:ascii="宋体" w:hAnsi="宋体" w:cs="宋体"/>
          <w:sz w:val="24"/>
          <w:szCs w:val="28"/>
          <w:lang w:val="en-US" w:eastAsia="zh-CN"/>
        </w:rPr>
        <w:t>8楼</w:t>
      </w:r>
    </w:p>
    <w:p w14:paraId="74B8FCAF">
      <w:pPr>
        <w:spacing w:line="360" w:lineRule="auto"/>
        <w:ind w:firstLine="480" w:firstLineChars="200"/>
        <w:jc w:val="left"/>
        <w:rPr>
          <w:rFonts w:hint="eastAsia" w:ascii="宋体" w:hAnsi="宋体" w:eastAsia="宋体" w:cs="宋体"/>
          <w:sz w:val="24"/>
          <w:szCs w:val="28"/>
          <w:highlight w:val="none"/>
          <w:lang w:eastAsia="zh-CN"/>
        </w:rPr>
      </w:pPr>
      <w:r>
        <w:rPr>
          <w:rFonts w:hint="eastAsia" w:ascii="宋体" w:hAnsi="宋体" w:cs="宋体"/>
          <w:sz w:val="24"/>
          <w:szCs w:val="28"/>
          <w:highlight w:val="none"/>
        </w:rPr>
        <w:t>项目联系人（询问）：</w:t>
      </w:r>
      <w:r>
        <w:rPr>
          <w:rFonts w:hint="eastAsia" w:ascii="宋体" w:hAnsi="宋体" w:cs="宋体"/>
          <w:sz w:val="24"/>
          <w:szCs w:val="28"/>
          <w:highlight w:val="none"/>
          <w:lang w:val="en-US" w:eastAsia="zh-CN"/>
        </w:rPr>
        <w:t>董钰</w:t>
      </w:r>
    </w:p>
    <w:p w14:paraId="71FCE27E">
      <w:pPr>
        <w:spacing w:line="360" w:lineRule="auto"/>
        <w:ind w:firstLine="480" w:firstLineChars="200"/>
        <w:jc w:val="left"/>
        <w:rPr>
          <w:rFonts w:hint="eastAsia" w:ascii="宋体" w:hAnsi="宋体" w:eastAsia="宋体" w:cs="宋体"/>
          <w:sz w:val="24"/>
          <w:szCs w:val="28"/>
          <w:highlight w:val="none"/>
          <w:lang w:eastAsia="zh-CN"/>
        </w:rPr>
      </w:pPr>
      <w:r>
        <w:rPr>
          <w:rFonts w:hint="eastAsia" w:ascii="宋体" w:hAnsi="宋体" w:cs="宋体"/>
          <w:sz w:val="24"/>
          <w:szCs w:val="28"/>
          <w:highlight w:val="none"/>
        </w:rPr>
        <w:t>项目联系方式（询问）：</w:t>
      </w:r>
      <w:r>
        <w:rPr>
          <w:rFonts w:hint="eastAsia" w:ascii="宋体" w:hAnsi="宋体" w:cs="宋体"/>
          <w:sz w:val="24"/>
          <w:szCs w:val="28"/>
          <w:highlight w:val="none"/>
          <w:lang w:eastAsia="zh-CN"/>
        </w:rPr>
        <w:t>0571-82348653</w:t>
      </w:r>
    </w:p>
    <w:p w14:paraId="2AD231ED">
      <w:pPr>
        <w:spacing w:line="360" w:lineRule="auto"/>
        <w:ind w:firstLine="480" w:firstLineChars="200"/>
        <w:rPr>
          <w:rFonts w:ascii="宋体" w:hAnsi="宋体" w:cs="宋体"/>
          <w:sz w:val="24"/>
        </w:rPr>
      </w:pPr>
    </w:p>
    <w:p w14:paraId="6A7741F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w:t>
      </w:r>
      <w:r>
        <w:rPr>
          <w:rFonts w:hint="eastAsia" w:ascii="宋体" w:hAnsi="宋体" w:cs="宋体"/>
          <w:bCs/>
          <w:sz w:val="24"/>
        </w:rPr>
        <w:t>乐采云（萧采云）平台（https://xsnbsc.lecaiyun.com/）</w:t>
      </w:r>
      <w:r>
        <w:rPr>
          <w:rFonts w:hint="eastAsia" w:ascii="宋体" w:hAnsi="宋体" w:cs="宋体"/>
          <w:sz w:val="24"/>
        </w:rPr>
        <w:t>，点击右侧咨询小采，获取采小蜜智能服务管家帮助，或拨打政采云服务热线95763获取热线服务帮助。</w:t>
      </w:r>
    </w:p>
    <w:p w14:paraId="07BBEFF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23C2F4C">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供应商须知</w:t>
      </w:r>
      <w:bookmarkEnd w:id="8"/>
    </w:p>
    <w:p w14:paraId="54EC6C7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6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42"/>
        <w:gridCol w:w="6855"/>
      </w:tblGrid>
      <w:tr w14:paraId="60975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1B525C">
            <w:pPr>
              <w:snapToGrid w:val="0"/>
              <w:jc w:val="center"/>
              <w:rPr>
                <w:rFonts w:ascii="宋体" w:hAnsi="宋体" w:cs="宋体"/>
                <w:b/>
                <w:sz w:val="24"/>
              </w:rPr>
            </w:pPr>
            <w:r>
              <w:rPr>
                <w:rFonts w:hint="eastAsia" w:ascii="宋体" w:hAnsi="宋体" w:cs="宋体"/>
                <w:b/>
                <w:sz w:val="24"/>
              </w:rPr>
              <w:t>序号</w:t>
            </w:r>
          </w:p>
        </w:tc>
        <w:tc>
          <w:tcPr>
            <w:tcW w:w="2142" w:type="dxa"/>
            <w:tcBorders>
              <w:top w:val="single" w:color="000000" w:sz="8" w:space="0"/>
              <w:left w:val="single" w:color="auto" w:sz="4" w:space="0"/>
              <w:bottom w:val="single" w:color="000000" w:sz="8" w:space="0"/>
              <w:right w:val="single" w:color="000000" w:sz="8" w:space="0"/>
            </w:tcBorders>
            <w:vAlign w:val="center"/>
          </w:tcPr>
          <w:p w14:paraId="33E01304">
            <w:pPr>
              <w:snapToGrid w:val="0"/>
              <w:jc w:val="center"/>
              <w:rPr>
                <w:rFonts w:ascii="宋体" w:hAnsi="宋体" w:cs="宋体"/>
                <w:b/>
                <w:sz w:val="24"/>
              </w:rPr>
            </w:pPr>
            <w:r>
              <w:rPr>
                <w:rFonts w:hint="eastAsia" w:ascii="宋体" w:hAnsi="宋体" w:cs="宋体"/>
                <w:b/>
                <w:sz w:val="24"/>
              </w:rPr>
              <w:t>事项</w:t>
            </w:r>
          </w:p>
        </w:tc>
        <w:tc>
          <w:tcPr>
            <w:tcW w:w="6855" w:type="dxa"/>
            <w:tcBorders>
              <w:top w:val="single" w:color="000000" w:sz="8" w:space="0"/>
              <w:left w:val="single" w:color="000000" w:sz="2" w:space="0"/>
              <w:bottom w:val="single" w:color="000000" w:sz="8" w:space="0"/>
              <w:right w:val="single" w:color="000000" w:sz="8" w:space="0"/>
            </w:tcBorders>
            <w:vAlign w:val="center"/>
          </w:tcPr>
          <w:p w14:paraId="09284CD1">
            <w:pPr>
              <w:snapToGrid w:val="0"/>
              <w:jc w:val="center"/>
              <w:rPr>
                <w:rFonts w:ascii="宋体" w:hAnsi="宋体" w:cs="宋体"/>
                <w:b/>
                <w:sz w:val="24"/>
              </w:rPr>
            </w:pPr>
            <w:r>
              <w:rPr>
                <w:rFonts w:hint="eastAsia" w:ascii="宋体" w:hAnsi="宋体" w:cs="宋体"/>
                <w:b/>
                <w:sz w:val="24"/>
              </w:rPr>
              <w:t>本项目的特别规定</w:t>
            </w:r>
          </w:p>
        </w:tc>
      </w:tr>
      <w:tr w14:paraId="634D6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E4206">
            <w:pPr>
              <w:snapToGrid w:val="0"/>
              <w:jc w:val="center"/>
              <w:rPr>
                <w:rFonts w:ascii="宋体" w:hAnsi="宋体" w:cs="宋体"/>
                <w:sz w:val="24"/>
              </w:rPr>
            </w:pPr>
            <w:r>
              <w:rPr>
                <w:rFonts w:hint="eastAsia" w:ascii="宋体" w:hAnsi="宋体" w:cs="宋体"/>
                <w:sz w:val="24"/>
              </w:rPr>
              <w:t>1</w:t>
            </w:r>
          </w:p>
        </w:tc>
        <w:tc>
          <w:tcPr>
            <w:tcW w:w="2142" w:type="dxa"/>
            <w:tcBorders>
              <w:top w:val="single" w:color="000000" w:sz="8" w:space="0"/>
              <w:left w:val="single" w:color="auto" w:sz="4" w:space="0"/>
              <w:bottom w:val="single" w:color="000000" w:sz="8" w:space="0"/>
              <w:right w:val="single" w:color="000000" w:sz="8" w:space="0"/>
            </w:tcBorders>
            <w:vAlign w:val="center"/>
          </w:tcPr>
          <w:p w14:paraId="7294F54D">
            <w:pPr>
              <w:snapToGrid w:val="0"/>
              <w:jc w:val="center"/>
              <w:rPr>
                <w:rFonts w:ascii="宋体" w:hAnsi="宋体" w:cs="宋体"/>
                <w:b/>
                <w:sz w:val="24"/>
                <w:highlight w:val="none"/>
              </w:rPr>
            </w:pPr>
            <w:r>
              <w:rPr>
                <w:rFonts w:hint="eastAsia" w:ascii="宋体" w:hAnsi="宋体" w:cs="宋体"/>
                <w:b/>
                <w:sz w:val="24"/>
                <w:highlight w:val="none"/>
              </w:rPr>
              <w:t>项目属性</w:t>
            </w:r>
          </w:p>
        </w:tc>
        <w:tc>
          <w:tcPr>
            <w:tcW w:w="6855" w:type="dxa"/>
            <w:tcBorders>
              <w:top w:val="single" w:color="000000" w:sz="8" w:space="0"/>
              <w:left w:val="single" w:color="000000" w:sz="2" w:space="0"/>
              <w:bottom w:val="single" w:color="000000" w:sz="8" w:space="0"/>
              <w:right w:val="single" w:color="000000" w:sz="8" w:space="0"/>
            </w:tcBorders>
            <w:vAlign w:val="center"/>
          </w:tcPr>
          <w:p w14:paraId="5AC9F5E0">
            <w:pPr>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)A货物类</w:t>
            </w:r>
            <w:r>
              <w:rPr>
                <w:rFonts w:hint="eastAsia" w:ascii="宋体" w:hAnsi="宋体" w:cs="宋体"/>
                <w:sz w:val="24"/>
                <w:highlight w:val="none"/>
              </w:rPr>
              <w:t>。</w:t>
            </w:r>
          </w:p>
          <w:p w14:paraId="0DB9B29F">
            <w:pPr>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w:t>
            </w:r>
            <w:r>
              <w:rPr>
                <w:rFonts w:hint="eastAsia" w:ascii="宋体" w:hAnsi="宋体" w:cs="宋体"/>
                <w:kern w:val="0"/>
                <w:sz w:val="24"/>
                <w:highlight w:val="none"/>
              </w:rPr>
              <w:t>)B服务类</w:t>
            </w:r>
            <w:r>
              <w:rPr>
                <w:rFonts w:hint="eastAsia" w:ascii="宋体" w:hAnsi="宋体" w:cs="宋体"/>
                <w:sz w:val="24"/>
                <w:highlight w:val="none"/>
              </w:rPr>
              <w:t>。</w:t>
            </w:r>
          </w:p>
        </w:tc>
      </w:tr>
      <w:tr w14:paraId="21EF4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EFEED41">
            <w:pPr>
              <w:snapToGrid w:val="0"/>
              <w:jc w:val="center"/>
              <w:rPr>
                <w:rFonts w:ascii="宋体" w:hAnsi="宋体" w:cs="宋体"/>
                <w:sz w:val="24"/>
              </w:rPr>
            </w:pPr>
          </w:p>
          <w:p w14:paraId="2B409614">
            <w:pPr>
              <w:snapToGrid w:val="0"/>
              <w:jc w:val="center"/>
              <w:rPr>
                <w:rFonts w:ascii="宋体" w:hAnsi="宋体" w:cs="宋体"/>
                <w:sz w:val="24"/>
              </w:rPr>
            </w:pPr>
          </w:p>
          <w:p w14:paraId="702925EB">
            <w:pPr>
              <w:snapToGrid w:val="0"/>
              <w:jc w:val="center"/>
              <w:rPr>
                <w:rFonts w:ascii="宋体" w:hAnsi="宋体" w:cs="宋体"/>
                <w:sz w:val="24"/>
              </w:rPr>
            </w:pPr>
            <w:r>
              <w:rPr>
                <w:rFonts w:hint="eastAsia" w:ascii="宋体" w:hAnsi="宋体" w:cs="宋体"/>
                <w:sz w:val="24"/>
              </w:rPr>
              <w:t>2</w:t>
            </w:r>
          </w:p>
        </w:tc>
        <w:tc>
          <w:tcPr>
            <w:tcW w:w="2142" w:type="dxa"/>
            <w:tcBorders>
              <w:top w:val="single" w:color="000000" w:sz="8" w:space="0"/>
              <w:left w:val="single" w:color="auto" w:sz="4" w:space="0"/>
              <w:bottom w:val="single" w:color="000000" w:sz="8" w:space="0"/>
              <w:right w:val="single" w:color="000000" w:sz="8" w:space="0"/>
            </w:tcBorders>
            <w:vAlign w:val="center"/>
          </w:tcPr>
          <w:p w14:paraId="364D6BF4">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6855" w:type="dxa"/>
            <w:tcBorders>
              <w:top w:val="single" w:color="000000" w:sz="8" w:space="0"/>
              <w:left w:val="single" w:color="000000" w:sz="2" w:space="0"/>
              <w:bottom w:val="single" w:color="000000" w:sz="8" w:space="0"/>
              <w:right w:val="single" w:color="000000" w:sz="8" w:space="0"/>
            </w:tcBorders>
            <w:vAlign w:val="center"/>
          </w:tcPr>
          <w:p w14:paraId="4DA9EA58">
            <w:pPr>
              <w:rPr>
                <w:rFonts w:ascii="宋体" w:hAnsi="宋体" w:cs="宋体"/>
                <w:sz w:val="24"/>
              </w:rPr>
            </w:pPr>
            <w:r>
              <w:rPr>
                <w:rFonts w:hint="eastAsia" w:ascii="宋体" w:hAnsi="宋体" w:cs="宋体"/>
                <w:kern w:val="0"/>
                <w:sz w:val="24"/>
              </w:rPr>
              <w:t>(</w:t>
            </w:r>
            <w:r>
              <w:rPr>
                <w:rFonts w:hint="eastAsia" w:ascii="宋体" w:hAnsi="宋体" w:cs="宋体"/>
                <w:sz w:val="24"/>
              </w:rPr>
              <w:t>√</w:t>
            </w:r>
            <w:r>
              <w:rPr>
                <w:rFonts w:hint="eastAsia" w:ascii="宋体" w:hAnsi="宋体" w:cs="宋体"/>
                <w:kern w:val="0"/>
                <w:sz w:val="24"/>
              </w:rPr>
              <w:t>)A不适用</w:t>
            </w:r>
            <w:r>
              <w:rPr>
                <w:rFonts w:hint="eastAsia" w:ascii="宋体" w:hAnsi="宋体" w:cs="宋体"/>
                <w:sz w:val="24"/>
              </w:rPr>
              <w:t>。</w:t>
            </w:r>
          </w:p>
          <w:p w14:paraId="31447009">
            <w:pPr>
              <w:rPr>
                <w:rFonts w:ascii="宋体" w:hAnsi="宋体" w:cs="宋体"/>
                <w:kern w:val="0"/>
                <w:sz w:val="24"/>
              </w:rPr>
            </w:pPr>
            <w:r>
              <w:rPr>
                <w:rFonts w:hint="eastAsia" w:ascii="宋体" w:hAnsi="宋体" w:cs="宋体"/>
                <w:kern w:val="0"/>
                <w:sz w:val="24"/>
              </w:rPr>
              <w:t>(</w:t>
            </w:r>
            <w:r>
              <w:rPr>
                <w:rFonts w:hint="eastAsia" w:ascii="宋体" w:hAnsi="宋体" w:cs="宋体"/>
                <w:sz w:val="24"/>
              </w:rPr>
              <w:t xml:space="preserve">  </w:t>
            </w:r>
            <w:r>
              <w:rPr>
                <w:rFonts w:hint="eastAsia" w:ascii="宋体" w:hAnsi="宋体" w:cs="宋体"/>
                <w:kern w:val="0"/>
                <w:sz w:val="24"/>
              </w:rPr>
              <w:t>)B适用</w:t>
            </w:r>
            <w:r>
              <w:rPr>
                <w:rFonts w:hint="eastAsia" w:ascii="宋体" w:hAnsi="宋体" w:cs="宋体"/>
                <w:sz w:val="24"/>
              </w:rPr>
              <w:t>。</w:t>
            </w:r>
          </w:p>
        </w:tc>
      </w:tr>
      <w:tr w14:paraId="0D78D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7BC2AA">
            <w:pPr>
              <w:snapToGrid w:val="0"/>
              <w:jc w:val="center"/>
              <w:rPr>
                <w:rFonts w:ascii="宋体" w:hAnsi="宋体" w:cs="宋体"/>
                <w:sz w:val="24"/>
              </w:rPr>
            </w:pPr>
            <w:r>
              <w:rPr>
                <w:rFonts w:hint="eastAsia" w:ascii="宋体" w:hAnsi="宋体" w:cs="宋体"/>
                <w:sz w:val="24"/>
              </w:rPr>
              <w:t>3</w:t>
            </w:r>
          </w:p>
        </w:tc>
        <w:tc>
          <w:tcPr>
            <w:tcW w:w="2142" w:type="dxa"/>
            <w:tcBorders>
              <w:top w:val="single" w:color="000000" w:sz="8" w:space="0"/>
              <w:left w:val="single" w:color="auto" w:sz="4" w:space="0"/>
              <w:bottom w:val="single" w:color="000000" w:sz="8" w:space="0"/>
              <w:right w:val="single" w:color="000000" w:sz="8" w:space="0"/>
            </w:tcBorders>
            <w:vAlign w:val="center"/>
          </w:tcPr>
          <w:p w14:paraId="36B9AA95">
            <w:pPr>
              <w:snapToGrid w:val="0"/>
              <w:jc w:val="center"/>
              <w:rPr>
                <w:rFonts w:ascii="宋体" w:hAnsi="宋体" w:cs="宋体"/>
                <w:b/>
                <w:sz w:val="24"/>
              </w:rPr>
            </w:pPr>
            <w:r>
              <w:rPr>
                <w:rFonts w:hint="eastAsia" w:ascii="宋体" w:hAnsi="宋体" w:cs="宋体"/>
                <w:b/>
                <w:sz w:val="24"/>
              </w:rPr>
              <w:t>是否允许采购进口产品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29A07268">
            <w:pPr>
              <w:rPr>
                <w:rFonts w:ascii="宋体" w:hAnsi="宋体" w:cs="宋体"/>
              </w:rPr>
            </w:pPr>
            <w:r>
              <w:rPr>
                <w:rFonts w:hint="eastAsia" w:ascii="宋体" w:hAnsi="宋体" w:cs="宋体"/>
                <w:bCs/>
                <w:sz w:val="24"/>
              </w:rPr>
              <w:t>（√）</w:t>
            </w:r>
            <w:r>
              <w:rPr>
                <w:rFonts w:hint="eastAsia" w:ascii="宋体" w:hAnsi="宋体" w:cs="宋体"/>
                <w:sz w:val="24"/>
                <w:szCs w:val="32"/>
              </w:rPr>
              <w:t>本项目不允许采购进口产品。</w:t>
            </w:r>
          </w:p>
        </w:tc>
      </w:tr>
      <w:tr w14:paraId="56ED8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997BA1">
            <w:pPr>
              <w:snapToGrid w:val="0"/>
              <w:jc w:val="center"/>
              <w:rPr>
                <w:rFonts w:ascii="宋体" w:hAnsi="宋体" w:cs="宋体"/>
                <w:sz w:val="24"/>
              </w:rPr>
            </w:pPr>
            <w:r>
              <w:rPr>
                <w:rFonts w:hint="eastAsia" w:ascii="宋体" w:hAnsi="宋体" w:cs="宋体"/>
                <w:sz w:val="24"/>
              </w:rPr>
              <w:t>4</w:t>
            </w:r>
          </w:p>
        </w:tc>
        <w:tc>
          <w:tcPr>
            <w:tcW w:w="2142" w:type="dxa"/>
            <w:tcBorders>
              <w:top w:val="single" w:color="000000" w:sz="8" w:space="0"/>
              <w:left w:val="single" w:color="auto" w:sz="4" w:space="0"/>
              <w:bottom w:val="single" w:color="000000" w:sz="8" w:space="0"/>
              <w:right w:val="single" w:color="000000" w:sz="8" w:space="0"/>
            </w:tcBorders>
            <w:vAlign w:val="center"/>
          </w:tcPr>
          <w:p w14:paraId="0FF02AEC">
            <w:pPr>
              <w:snapToGrid w:val="0"/>
              <w:ind w:firstLine="482" w:firstLineChars="200"/>
              <w:rPr>
                <w:rFonts w:ascii="宋体" w:hAnsi="宋体" w:cs="宋体"/>
                <w:b/>
                <w:sz w:val="24"/>
              </w:rPr>
            </w:pPr>
            <w:r>
              <w:rPr>
                <w:rFonts w:hint="eastAsia" w:ascii="宋体" w:hAnsi="宋体" w:cs="宋体"/>
                <w:b/>
                <w:sz w:val="24"/>
              </w:rPr>
              <w:t>分包</w:t>
            </w:r>
          </w:p>
        </w:tc>
        <w:tc>
          <w:tcPr>
            <w:tcW w:w="6855" w:type="dxa"/>
            <w:tcBorders>
              <w:top w:val="single" w:color="000000" w:sz="8" w:space="0"/>
              <w:left w:val="single" w:color="000000" w:sz="2" w:space="0"/>
              <w:bottom w:val="single" w:color="000000" w:sz="8" w:space="0"/>
              <w:right w:val="single" w:color="000000" w:sz="8" w:space="0"/>
            </w:tcBorders>
            <w:vAlign w:val="center"/>
          </w:tcPr>
          <w:p w14:paraId="292BC33B">
            <w:pPr>
              <w:rPr>
                <w:rFonts w:ascii="宋体" w:hAnsi="宋体" w:cs="宋体"/>
                <w:bCs/>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不同意分包。</w:t>
            </w:r>
          </w:p>
        </w:tc>
      </w:tr>
      <w:tr w14:paraId="01F34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08E069">
            <w:pPr>
              <w:snapToGrid w:val="0"/>
              <w:jc w:val="center"/>
              <w:rPr>
                <w:rFonts w:ascii="宋体" w:hAnsi="宋体" w:cs="宋体"/>
                <w:sz w:val="24"/>
              </w:rPr>
            </w:pPr>
            <w:r>
              <w:rPr>
                <w:rFonts w:hint="eastAsia" w:ascii="宋体" w:hAnsi="宋体" w:cs="宋体"/>
                <w:sz w:val="24"/>
              </w:rPr>
              <w:t>5</w:t>
            </w:r>
          </w:p>
        </w:tc>
        <w:tc>
          <w:tcPr>
            <w:tcW w:w="2142" w:type="dxa"/>
            <w:tcBorders>
              <w:top w:val="single" w:color="000000" w:sz="8" w:space="0"/>
              <w:left w:val="single" w:color="auto" w:sz="4" w:space="0"/>
              <w:bottom w:val="single" w:color="000000" w:sz="8" w:space="0"/>
              <w:right w:val="single" w:color="000000" w:sz="8" w:space="0"/>
            </w:tcBorders>
            <w:vAlign w:val="center"/>
          </w:tcPr>
          <w:p w14:paraId="1C4BEDBA">
            <w:pPr>
              <w:snapToGrid w:val="0"/>
              <w:jc w:val="center"/>
              <w:rPr>
                <w:rFonts w:ascii="宋体" w:hAnsi="宋体" w:cs="宋体"/>
                <w:b/>
                <w:sz w:val="24"/>
              </w:rPr>
            </w:pPr>
            <w:r>
              <w:rPr>
                <w:rFonts w:hint="eastAsia" w:ascii="宋体" w:hAnsi="宋体" w:cs="宋体"/>
                <w:b/>
                <w:sz w:val="24"/>
              </w:rPr>
              <w:t>开标前答疑会或现场考察</w:t>
            </w:r>
          </w:p>
        </w:tc>
        <w:tc>
          <w:tcPr>
            <w:tcW w:w="6855" w:type="dxa"/>
            <w:tcBorders>
              <w:top w:val="single" w:color="000000" w:sz="8" w:space="0"/>
              <w:left w:val="single" w:color="000000" w:sz="2" w:space="0"/>
              <w:bottom w:val="single" w:color="000000" w:sz="8" w:space="0"/>
              <w:right w:val="single" w:color="000000" w:sz="8" w:space="0"/>
            </w:tcBorders>
            <w:vAlign w:val="center"/>
          </w:tcPr>
          <w:p w14:paraId="24367C43">
            <w:pPr>
              <w:rPr>
                <w:rFonts w:ascii="宋体" w:hAnsi="宋体" w:cs="宋体"/>
                <w:bCs/>
                <w:sz w:val="24"/>
                <w:szCs w:val="20"/>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不组织。</w:t>
            </w:r>
          </w:p>
        </w:tc>
      </w:tr>
      <w:tr w14:paraId="5CC87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4E5148">
            <w:pPr>
              <w:snapToGrid w:val="0"/>
              <w:jc w:val="center"/>
              <w:rPr>
                <w:rFonts w:ascii="宋体" w:hAnsi="宋体" w:cs="宋体"/>
                <w:sz w:val="24"/>
              </w:rPr>
            </w:pPr>
            <w:r>
              <w:rPr>
                <w:rFonts w:hint="eastAsia" w:ascii="宋体" w:hAnsi="宋体" w:cs="宋体"/>
                <w:sz w:val="24"/>
              </w:rPr>
              <w:t>6</w:t>
            </w:r>
          </w:p>
        </w:tc>
        <w:tc>
          <w:tcPr>
            <w:tcW w:w="2142" w:type="dxa"/>
            <w:tcBorders>
              <w:top w:val="single" w:color="000000" w:sz="8" w:space="0"/>
              <w:left w:val="single" w:color="auto" w:sz="4" w:space="0"/>
              <w:bottom w:val="single" w:color="000000" w:sz="8" w:space="0"/>
              <w:right w:val="single" w:color="000000" w:sz="8" w:space="0"/>
            </w:tcBorders>
            <w:vAlign w:val="center"/>
          </w:tcPr>
          <w:p w14:paraId="393F98E4">
            <w:pPr>
              <w:snapToGrid w:val="0"/>
              <w:jc w:val="center"/>
              <w:rPr>
                <w:rFonts w:ascii="宋体" w:hAnsi="宋体" w:cs="宋体"/>
                <w:b/>
                <w:sz w:val="24"/>
              </w:rPr>
            </w:pPr>
            <w:r>
              <w:rPr>
                <w:rFonts w:hint="eastAsia" w:ascii="宋体" w:hAnsi="宋体" w:cs="宋体"/>
                <w:b/>
                <w:sz w:val="24"/>
              </w:rPr>
              <w:t>样品提供</w:t>
            </w:r>
          </w:p>
        </w:tc>
        <w:tc>
          <w:tcPr>
            <w:tcW w:w="6855" w:type="dxa"/>
            <w:tcBorders>
              <w:top w:val="single" w:color="000000" w:sz="8" w:space="0"/>
              <w:left w:val="single" w:color="000000" w:sz="2" w:space="0"/>
              <w:bottom w:val="single" w:color="000000" w:sz="8" w:space="0"/>
              <w:right w:val="single" w:color="000000" w:sz="8" w:space="0"/>
            </w:tcBorders>
            <w:vAlign w:val="center"/>
          </w:tcPr>
          <w:p w14:paraId="0C73CDBC">
            <w:pPr>
              <w:rPr>
                <w:rFonts w:ascii="宋体" w:hAnsi="宋体" w:cs="宋体"/>
                <w:bCs/>
                <w:sz w:val="24"/>
              </w:rPr>
            </w:pPr>
            <w:r>
              <w:rPr>
                <w:rFonts w:hint="eastAsia" w:ascii="宋体" w:hAnsi="宋体" w:cs="宋体"/>
                <w:bCs/>
                <w:sz w:val="24"/>
              </w:rPr>
              <w:t>（√）A不要求提供。</w:t>
            </w:r>
          </w:p>
        </w:tc>
      </w:tr>
      <w:tr w14:paraId="0F7B0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C54CFA">
            <w:pPr>
              <w:snapToGrid w:val="0"/>
              <w:jc w:val="center"/>
              <w:rPr>
                <w:rFonts w:ascii="宋体" w:hAnsi="宋体" w:cs="宋体"/>
                <w:sz w:val="24"/>
              </w:rPr>
            </w:pPr>
            <w:r>
              <w:rPr>
                <w:rFonts w:hint="eastAsia" w:ascii="宋体" w:hAnsi="宋体" w:cs="宋体"/>
                <w:sz w:val="24"/>
              </w:rPr>
              <w:t>7</w:t>
            </w:r>
          </w:p>
        </w:tc>
        <w:tc>
          <w:tcPr>
            <w:tcW w:w="2142" w:type="dxa"/>
            <w:tcBorders>
              <w:top w:val="single" w:color="000000" w:sz="8" w:space="0"/>
              <w:left w:val="single" w:color="auto" w:sz="4" w:space="0"/>
              <w:bottom w:val="single" w:color="000000" w:sz="8" w:space="0"/>
              <w:right w:val="single" w:color="000000" w:sz="8" w:space="0"/>
            </w:tcBorders>
            <w:vAlign w:val="center"/>
          </w:tcPr>
          <w:p w14:paraId="594286F6">
            <w:pPr>
              <w:snapToGrid w:val="0"/>
              <w:jc w:val="center"/>
              <w:rPr>
                <w:rFonts w:ascii="宋体" w:hAnsi="宋体" w:cs="宋体"/>
                <w:bCs/>
                <w:sz w:val="24"/>
              </w:rPr>
            </w:pPr>
            <w:r>
              <w:rPr>
                <w:rFonts w:hint="eastAsia" w:ascii="宋体" w:hAnsi="宋体" w:cs="宋体"/>
                <w:b/>
                <w:sz w:val="24"/>
              </w:rPr>
              <w:t>方案讲解演示</w:t>
            </w:r>
          </w:p>
        </w:tc>
        <w:tc>
          <w:tcPr>
            <w:tcW w:w="6855" w:type="dxa"/>
            <w:tcBorders>
              <w:top w:val="single" w:color="000000" w:sz="8" w:space="0"/>
              <w:left w:val="single" w:color="000000" w:sz="2" w:space="0"/>
              <w:bottom w:val="single" w:color="000000" w:sz="8" w:space="0"/>
              <w:right w:val="single" w:color="000000" w:sz="8" w:space="0"/>
            </w:tcBorders>
            <w:vAlign w:val="center"/>
          </w:tcPr>
          <w:p w14:paraId="73F98AC3">
            <w:pPr>
              <w:snapToGrid w:val="0"/>
              <w:rPr>
                <w:rFonts w:ascii="宋体" w:hAnsi="宋体" w:cs="宋体"/>
                <w:b/>
                <w:kern w:val="0"/>
                <w:sz w:val="24"/>
                <w:lang w:val="zh-CN"/>
              </w:rPr>
            </w:pPr>
            <w:r>
              <w:rPr>
                <w:rFonts w:hint="eastAsia" w:ascii="宋体" w:hAnsi="宋体" w:cs="宋体"/>
                <w:sz w:val="24"/>
              </w:rPr>
              <w:t>（√）A不组织。</w:t>
            </w:r>
          </w:p>
        </w:tc>
      </w:tr>
      <w:tr w14:paraId="3A65B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1F7DE3EA">
            <w:pPr>
              <w:snapToGrid w:val="0"/>
              <w:jc w:val="center"/>
              <w:rPr>
                <w:rFonts w:ascii="宋体" w:hAnsi="宋体" w:cs="宋体"/>
                <w:sz w:val="24"/>
              </w:rPr>
            </w:pPr>
            <w:r>
              <w:rPr>
                <w:rFonts w:hint="eastAsia" w:ascii="宋体" w:hAnsi="宋体" w:cs="宋体"/>
                <w:sz w:val="24"/>
              </w:rPr>
              <w:t>8</w:t>
            </w:r>
          </w:p>
        </w:tc>
        <w:tc>
          <w:tcPr>
            <w:tcW w:w="2142" w:type="dxa"/>
            <w:tcBorders>
              <w:top w:val="single" w:color="000000" w:sz="8" w:space="0"/>
              <w:left w:val="single" w:color="auto" w:sz="4" w:space="0"/>
              <w:right w:val="single" w:color="000000" w:sz="8" w:space="0"/>
            </w:tcBorders>
            <w:vAlign w:val="center"/>
          </w:tcPr>
          <w:p w14:paraId="55505F32">
            <w:pPr>
              <w:snapToGrid w:val="0"/>
              <w:jc w:val="center"/>
              <w:rPr>
                <w:rFonts w:ascii="宋体" w:hAnsi="宋体" w:cs="宋体"/>
                <w:b/>
                <w:sz w:val="24"/>
              </w:rPr>
            </w:pPr>
            <w:r>
              <w:rPr>
                <w:rFonts w:hint="eastAsia" w:ascii="宋体" w:hAnsi="宋体" w:cs="宋体"/>
                <w:b/>
                <w:sz w:val="24"/>
              </w:rPr>
              <w:t>供应商应当提供的资格证明文件</w:t>
            </w:r>
          </w:p>
        </w:tc>
        <w:tc>
          <w:tcPr>
            <w:tcW w:w="6855" w:type="dxa"/>
            <w:tcBorders>
              <w:top w:val="single" w:color="000000" w:sz="8" w:space="0"/>
              <w:left w:val="single" w:color="000000" w:sz="2" w:space="0"/>
              <w:bottom w:val="single" w:color="000000" w:sz="8" w:space="0"/>
              <w:right w:val="single" w:color="000000" w:sz="8" w:space="0"/>
            </w:tcBorders>
            <w:vAlign w:val="center"/>
          </w:tcPr>
          <w:p w14:paraId="73579BD8">
            <w:pPr>
              <w:rPr>
                <w:rFonts w:ascii="宋体" w:hAnsi="宋体" w:cs="宋体"/>
                <w:sz w:val="24"/>
              </w:rPr>
            </w:pPr>
            <w:r>
              <w:rPr>
                <w:rFonts w:hint="eastAsia" w:ascii="宋体" w:hAnsi="宋体" w:cs="宋体"/>
                <w:sz w:val="24"/>
              </w:rPr>
              <w:t>（1）资格证明文件：见交易文件第二部分10.1。</w:t>
            </w:r>
          </w:p>
          <w:p w14:paraId="165D64B2">
            <w:pPr>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供应商未提供有效的资格证明文件的，视为供应商不具备交易文件中规定的资格要求，交易无效。</w:t>
            </w:r>
          </w:p>
        </w:tc>
      </w:tr>
      <w:tr w14:paraId="1F2FA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489F0EA0">
            <w:pPr>
              <w:snapToGrid w:val="0"/>
              <w:jc w:val="center"/>
              <w:rPr>
                <w:rFonts w:ascii="宋体" w:hAnsi="宋体" w:cs="宋体"/>
                <w:sz w:val="24"/>
              </w:rPr>
            </w:pPr>
            <w:r>
              <w:rPr>
                <w:rFonts w:hint="eastAsia" w:ascii="宋体" w:hAnsi="宋体" w:cs="宋体"/>
                <w:sz w:val="24"/>
              </w:rPr>
              <w:t>9</w:t>
            </w:r>
          </w:p>
        </w:tc>
        <w:tc>
          <w:tcPr>
            <w:tcW w:w="2142" w:type="dxa"/>
            <w:tcBorders>
              <w:top w:val="single" w:color="000000" w:sz="8" w:space="0"/>
              <w:left w:val="single" w:color="auto" w:sz="4" w:space="0"/>
              <w:right w:val="single" w:color="000000" w:sz="8" w:space="0"/>
            </w:tcBorders>
            <w:vAlign w:val="center"/>
          </w:tcPr>
          <w:p w14:paraId="357A2110">
            <w:pPr>
              <w:snapToGrid w:val="0"/>
              <w:jc w:val="center"/>
              <w:rPr>
                <w:rFonts w:ascii="宋体" w:hAnsi="宋体" w:cs="宋体"/>
                <w:bCs/>
                <w:sz w:val="24"/>
              </w:rPr>
            </w:pPr>
            <w:r>
              <w:rPr>
                <w:rFonts w:hint="eastAsia" w:ascii="宋体" w:hAnsi="宋体" w:cs="宋体"/>
                <w:b/>
                <w:sz w:val="24"/>
              </w:rPr>
              <w:t>报价要求</w:t>
            </w:r>
          </w:p>
        </w:tc>
        <w:tc>
          <w:tcPr>
            <w:tcW w:w="6855" w:type="dxa"/>
            <w:tcBorders>
              <w:top w:val="single" w:color="000000" w:sz="8" w:space="0"/>
              <w:left w:val="single" w:color="000000" w:sz="2" w:space="0"/>
              <w:bottom w:val="single" w:color="000000" w:sz="8" w:space="0"/>
              <w:right w:val="single" w:color="000000" w:sz="8" w:space="0"/>
            </w:tcBorders>
            <w:vAlign w:val="center"/>
          </w:tcPr>
          <w:p w14:paraId="5F141056">
            <w:pPr>
              <w:ind w:firstLine="480" w:firstLineChars="200"/>
              <w:rPr>
                <w:rFonts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w:t>
            </w:r>
          </w:p>
          <w:p w14:paraId="3DD4D56D">
            <w:pPr>
              <w:rPr>
                <w:rFonts w:ascii="宋体" w:hAnsi="宋体" w:cs="宋体"/>
                <w:bCs/>
                <w:kern w:val="0"/>
                <w:sz w:val="24"/>
                <w:lang w:val="zh-CN"/>
              </w:rPr>
            </w:pPr>
            <w:r>
              <w:rPr>
                <w:rFonts w:hint="eastAsia" w:ascii="宋体" w:hAnsi="宋体" w:cs="宋体"/>
                <w:bCs/>
                <w:kern w:val="0"/>
                <w:sz w:val="24"/>
                <w:lang w:val="zh-CN"/>
              </w:rPr>
              <w:t>交易报价出现下列情形的，交易无效：</w:t>
            </w:r>
          </w:p>
          <w:p w14:paraId="419C1993">
            <w:pPr>
              <w:ind w:firstLine="480" w:firstLineChars="200"/>
              <w:rPr>
                <w:rFonts w:ascii="宋体" w:hAnsi="宋体" w:cs="宋体"/>
                <w:bCs/>
                <w:kern w:val="0"/>
                <w:sz w:val="24"/>
                <w:lang w:val="zh-CN"/>
              </w:rPr>
            </w:pPr>
            <w:r>
              <w:rPr>
                <w:rFonts w:hint="eastAsia" w:ascii="宋体" w:hAnsi="宋体" w:cs="宋体"/>
                <w:bCs/>
                <w:kern w:val="0"/>
                <w:sz w:val="24"/>
                <w:lang w:val="zh-CN"/>
              </w:rPr>
              <w:t>响应文件出现不是唯一的、有选择性交易报价的；</w:t>
            </w:r>
          </w:p>
          <w:p w14:paraId="7145B906">
            <w:pPr>
              <w:ind w:firstLine="480" w:firstLineChars="200"/>
              <w:rPr>
                <w:rFonts w:ascii="宋体" w:hAnsi="宋体" w:cs="宋体"/>
                <w:bCs/>
                <w:kern w:val="0"/>
                <w:sz w:val="24"/>
                <w:lang w:val="zh-CN"/>
              </w:rPr>
            </w:pPr>
            <w:r>
              <w:rPr>
                <w:rFonts w:hint="eastAsia" w:ascii="宋体" w:hAnsi="宋体" w:cs="宋体"/>
                <w:bCs/>
                <w:kern w:val="0"/>
                <w:sz w:val="24"/>
                <w:lang w:val="zh-CN"/>
              </w:rPr>
              <w:t>交易报价超过交易文件中规定的预算金额或者最高限价的；</w:t>
            </w:r>
          </w:p>
          <w:p w14:paraId="37088389">
            <w:pPr>
              <w:ind w:firstLine="480" w:firstLineChars="200"/>
              <w:rPr>
                <w:rFonts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p>
          <w:p w14:paraId="035765A0">
            <w:pPr>
              <w:rPr>
                <w:rFonts w:ascii="宋体" w:hAnsi="宋体" w:cs="宋体"/>
                <w:kern w:val="0"/>
                <w:sz w:val="24"/>
                <w:lang w:val="zh-CN"/>
              </w:rPr>
            </w:pPr>
            <w:r>
              <w:rPr>
                <w:rFonts w:hint="eastAsia" w:ascii="宋体" w:hAnsi="宋体" w:cs="宋体"/>
                <w:bCs/>
                <w:kern w:val="0"/>
                <w:sz w:val="24"/>
              </w:rPr>
              <w:t>供应商对根据修正原则修正后的报价不确认的。</w:t>
            </w:r>
          </w:p>
        </w:tc>
      </w:tr>
      <w:tr w14:paraId="6A17C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40DC49">
            <w:pPr>
              <w:snapToGrid w:val="0"/>
              <w:jc w:val="center"/>
              <w:rPr>
                <w:rFonts w:ascii="宋体" w:hAnsi="宋体" w:cs="宋体"/>
                <w:sz w:val="24"/>
              </w:rPr>
            </w:pPr>
            <w:r>
              <w:rPr>
                <w:rFonts w:hint="eastAsia" w:ascii="宋体" w:hAnsi="宋体" w:cs="宋体"/>
                <w:sz w:val="24"/>
              </w:rPr>
              <w:t>10</w:t>
            </w:r>
          </w:p>
        </w:tc>
        <w:tc>
          <w:tcPr>
            <w:tcW w:w="2142" w:type="dxa"/>
            <w:tcBorders>
              <w:top w:val="single" w:color="000000" w:sz="8" w:space="0"/>
              <w:left w:val="single" w:color="000000" w:sz="2" w:space="0"/>
              <w:bottom w:val="single" w:color="000000" w:sz="8" w:space="0"/>
              <w:right w:val="single" w:color="000000" w:sz="8" w:space="0"/>
            </w:tcBorders>
            <w:vAlign w:val="center"/>
          </w:tcPr>
          <w:p w14:paraId="1C16D240">
            <w:pPr>
              <w:snapToGrid w:val="0"/>
              <w:jc w:val="center"/>
              <w:rPr>
                <w:rFonts w:ascii="宋体" w:hAnsi="宋体" w:cs="宋体"/>
                <w:b/>
                <w:sz w:val="24"/>
              </w:rPr>
            </w:pPr>
            <w:r>
              <w:rPr>
                <w:rFonts w:hint="eastAsia" w:ascii="宋体" w:hAnsi="宋体" w:cs="宋体"/>
                <w:b/>
                <w:sz w:val="24"/>
              </w:rPr>
              <w:t>备份响应文件</w:t>
            </w:r>
          </w:p>
        </w:tc>
        <w:tc>
          <w:tcPr>
            <w:tcW w:w="6855" w:type="dxa"/>
            <w:tcBorders>
              <w:top w:val="single" w:color="000000" w:sz="8" w:space="0"/>
              <w:left w:val="single" w:color="000000" w:sz="2" w:space="0"/>
              <w:bottom w:val="single" w:color="000000" w:sz="8" w:space="0"/>
              <w:right w:val="single" w:color="000000" w:sz="8" w:space="0"/>
            </w:tcBorders>
            <w:vAlign w:val="center"/>
          </w:tcPr>
          <w:p w14:paraId="30CEA9A2">
            <w:pPr>
              <w:pStyle w:val="2"/>
              <w:ind w:hanging="4"/>
              <w:rPr>
                <w:rFonts w:hAnsi="宋体" w:cs="宋体"/>
                <w:kern w:val="28"/>
                <w:sz w:val="24"/>
                <w:szCs w:val="24"/>
              </w:rPr>
            </w:pPr>
            <w:r>
              <w:rPr>
                <w:rFonts w:hint="eastAsia" w:hAnsi="宋体" w:cs="宋体"/>
                <w:kern w:val="28"/>
                <w:sz w:val="24"/>
                <w:szCs w:val="24"/>
              </w:rPr>
              <w:t>备份文件是否收取：不收取。</w:t>
            </w:r>
          </w:p>
        </w:tc>
      </w:tr>
      <w:tr w14:paraId="62907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7FF6DC">
            <w:pPr>
              <w:snapToGrid w:val="0"/>
              <w:jc w:val="center"/>
              <w:rPr>
                <w:rFonts w:ascii="宋体" w:hAnsi="宋体" w:cs="宋体"/>
                <w:sz w:val="24"/>
              </w:rPr>
            </w:pPr>
            <w:r>
              <w:rPr>
                <w:rFonts w:hint="eastAsia" w:ascii="宋体" w:hAnsi="宋体" w:cs="宋体"/>
                <w:sz w:val="24"/>
              </w:rPr>
              <w:t>11</w:t>
            </w:r>
          </w:p>
        </w:tc>
        <w:tc>
          <w:tcPr>
            <w:tcW w:w="2142" w:type="dxa"/>
            <w:tcBorders>
              <w:top w:val="single" w:color="000000" w:sz="8" w:space="0"/>
              <w:left w:val="single" w:color="000000" w:sz="2" w:space="0"/>
              <w:bottom w:val="single" w:color="000000" w:sz="8" w:space="0"/>
              <w:right w:val="single" w:color="000000" w:sz="8" w:space="0"/>
            </w:tcBorders>
            <w:vAlign w:val="center"/>
          </w:tcPr>
          <w:p w14:paraId="15AD868E">
            <w:pPr>
              <w:snapToGrid w:val="0"/>
              <w:jc w:val="center"/>
              <w:rPr>
                <w:rFonts w:ascii="宋体" w:hAnsi="宋体" w:cs="宋体"/>
                <w:b/>
                <w:sz w:val="24"/>
                <w:highlight w:val="none"/>
              </w:rPr>
            </w:pPr>
            <w:r>
              <w:rPr>
                <w:rFonts w:hint="eastAsia" w:ascii="宋体" w:hAnsi="宋体" w:cs="宋体"/>
                <w:b/>
                <w:sz w:val="24"/>
                <w:highlight w:val="none"/>
              </w:rPr>
              <w:t>采购机构代理</w:t>
            </w:r>
          </w:p>
          <w:p w14:paraId="2EB6ED97">
            <w:pPr>
              <w:snapToGrid w:val="0"/>
              <w:jc w:val="center"/>
              <w:rPr>
                <w:rFonts w:ascii="宋体" w:hAnsi="宋体" w:cs="宋体"/>
                <w:b/>
                <w:sz w:val="24"/>
                <w:highlight w:val="none"/>
              </w:rPr>
            </w:pPr>
            <w:r>
              <w:rPr>
                <w:rFonts w:hint="eastAsia" w:ascii="宋体" w:hAnsi="宋体" w:cs="宋体"/>
                <w:b/>
                <w:sz w:val="24"/>
                <w:highlight w:val="none"/>
              </w:rPr>
              <w:t>费用</w:t>
            </w:r>
          </w:p>
        </w:tc>
        <w:tc>
          <w:tcPr>
            <w:tcW w:w="6855" w:type="dxa"/>
            <w:tcBorders>
              <w:top w:val="single" w:color="000000" w:sz="8" w:space="0"/>
              <w:left w:val="single" w:color="000000" w:sz="2" w:space="0"/>
              <w:bottom w:val="single" w:color="000000" w:sz="8" w:space="0"/>
              <w:right w:val="single" w:color="000000" w:sz="8" w:space="0"/>
            </w:tcBorders>
            <w:vAlign w:val="center"/>
          </w:tcPr>
          <w:p w14:paraId="600D9611">
            <w:pPr>
              <w:snapToGrid w:val="0"/>
              <w:rPr>
                <w:rFonts w:hint="default" w:ascii="宋体" w:hAnsi="宋体" w:cs="宋体"/>
                <w:b w:val="0"/>
                <w:bCs/>
                <w:color w:val="auto"/>
                <w:kern w:val="0"/>
                <w:sz w:val="24"/>
                <w:highlight w:val="none"/>
                <w:lang w:val="en-US" w:eastAsia="zh-CN"/>
              </w:rPr>
            </w:pPr>
            <w:r>
              <w:rPr>
                <w:rFonts w:hint="eastAsia" w:ascii="宋体" w:hAnsi="宋体" w:cs="宋体"/>
                <w:bCs/>
                <w:kern w:val="0"/>
                <w:sz w:val="24"/>
                <w:highlight w:val="none"/>
                <w:lang w:val="en-US" w:eastAsia="zh-CN"/>
              </w:rPr>
              <w:t>由成交单位支付，在领取成交通知书时支付。代理费按计价格[2002]1980号文件规定标准计取。</w:t>
            </w:r>
          </w:p>
        </w:tc>
      </w:tr>
      <w:tr w14:paraId="1FBBD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9434FA">
            <w:pPr>
              <w:snapToGrid w:val="0"/>
              <w:jc w:val="center"/>
              <w:rPr>
                <w:rFonts w:ascii="宋体" w:hAnsi="宋体" w:cs="宋体"/>
                <w:b/>
                <w:sz w:val="24"/>
              </w:rPr>
            </w:pPr>
            <w:r>
              <w:rPr>
                <w:rFonts w:hint="eastAsia" w:ascii="宋体" w:hAnsi="宋体" w:cs="宋体"/>
                <w:bCs/>
                <w:sz w:val="24"/>
              </w:rPr>
              <w:t>12</w:t>
            </w:r>
          </w:p>
        </w:tc>
        <w:tc>
          <w:tcPr>
            <w:tcW w:w="2142" w:type="dxa"/>
            <w:tcBorders>
              <w:top w:val="single" w:color="000000" w:sz="8" w:space="0"/>
              <w:left w:val="single" w:color="000000" w:sz="2" w:space="0"/>
              <w:bottom w:val="single" w:color="000000" w:sz="8" w:space="0"/>
              <w:right w:val="single" w:color="000000" w:sz="8" w:space="0"/>
            </w:tcBorders>
            <w:vAlign w:val="center"/>
          </w:tcPr>
          <w:p w14:paraId="3CE2D5A9">
            <w:pPr>
              <w:snapToGrid w:val="0"/>
              <w:jc w:val="center"/>
              <w:rPr>
                <w:rFonts w:ascii="宋体" w:hAnsi="宋体" w:cs="宋体"/>
                <w:b/>
                <w:sz w:val="24"/>
              </w:rPr>
            </w:pPr>
            <w:r>
              <w:rPr>
                <w:rFonts w:hint="eastAsia" w:ascii="宋体" w:hAnsi="宋体" w:cs="宋体"/>
                <w:b/>
                <w:sz w:val="24"/>
              </w:rPr>
              <w:t>履约保证金</w:t>
            </w:r>
          </w:p>
        </w:tc>
        <w:tc>
          <w:tcPr>
            <w:tcW w:w="6855" w:type="dxa"/>
            <w:tcBorders>
              <w:top w:val="single" w:color="000000" w:sz="8" w:space="0"/>
              <w:left w:val="single" w:color="000000" w:sz="2" w:space="0"/>
              <w:bottom w:val="single" w:color="000000" w:sz="8" w:space="0"/>
              <w:right w:val="single" w:color="000000" w:sz="8" w:space="0"/>
            </w:tcBorders>
            <w:vAlign w:val="center"/>
          </w:tcPr>
          <w:p w14:paraId="0DB9A378">
            <w:pPr>
              <w:snapToGrid w:val="0"/>
              <w:rPr>
                <w:rFonts w:hint="eastAsia" w:ascii="宋体" w:hAnsi="宋体" w:cs="宋体"/>
                <w:bCs/>
                <w:kern w:val="0"/>
                <w:sz w:val="24"/>
                <w:highlight w:val="none"/>
              </w:rPr>
            </w:pPr>
            <w:r>
              <w:rPr>
                <w:rFonts w:hint="eastAsia" w:ascii="宋体" w:hAnsi="宋体" w:cs="宋体"/>
                <w:bCs/>
                <w:kern w:val="0"/>
                <w:sz w:val="24"/>
                <w:highlight w:val="none"/>
              </w:rPr>
              <w:t>履约保证金：本项目不收取。</w:t>
            </w:r>
          </w:p>
          <w:p w14:paraId="62BD40B4">
            <w:pPr>
              <w:snapToGrid w:val="0"/>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供应商应当以支票、汇票、本票或者金融机构、担保机构出具的保函等非现金形式提交。</w:t>
            </w:r>
          </w:p>
        </w:tc>
      </w:tr>
      <w:tr w14:paraId="2BFA8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D9FC1C">
            <w:pPr>
              <w:snapToGrid w:val="0"/>
              <w:jc w:val="center"/>
              <w:rPr>
                <w:rFonts w:ascii="宋体" w:hAnsi="宋体" w:cs="宋体"/>
                <w:bCs/>
                <w:sz w:val="24"/>
              </w:rPr>
            </w:pPr>
            <w:r>
              <w:rPr>
                <w:rFonts w:hint="eastAsia" w:ascii="宋体" w:hAnsi="宋体" w:cs="宋体"/>
                <w:bCs/>
                <w:sz w:val="24"/>
              </w:rPr>
              <w:t>13</w:t>
            </w:r>
          </w:p>
        </w:tc>
        <w:tc>
          <w:tcPr>
            <w:tcW w:w="2142" w:type="dxa"/>
            <w:tcBorders>
              <w:top w:val="single" w:color="000000" w:sz="8" w:space="0"/>
              <w:left w:val="single" w:color="000000" w:sz="2" w:space="0"/>
              <w:bottom w:val="single" w:color="000000" w:sz="8" w:space="0"/>
              <w:right w:val="single" w:color="000000" w:sz="8" w:space="0"/>
            </w:tcBorders>
            <w:vAlign w:val="center"/>
          </w:tcPr>
          <w:p w14:paraId="06F8427E">
            <w:pPr>
              <w:snapToGrid w:val="0"/>
              <w:jc w:val="center"/>
              <w:rPr>
                <w:rFonts w:ascii="宋体" w:hAnsi="宋体" w:cs="宋体"/>
                <w:b/>
                <w:sz w:val="24"/>
              </w:rPr>
            </w:pPr>
            <w:r>
              <w:rPr>
                <w:rFonts w:hint="eastAsia" w:ascii="宋体" w:hAnsi="宋体" w:cs="宋体"/>
                <w:b/>
                <w:sz w:val="24"/>
              </w:rPr>
              <w:t>资格审查和信用信息审查</w:t>
            </w:r>
          </w:p>
        </w:tc>
        <w:tc>
          <w:tcPr>
            <w:tcW w:w="6855" w:type="dxa"/>
            <w:tcBorders>
              <w:top w:val="single" w:color="000000" w:sz="8" w:space="0"/>
              <w:left w:val="single" w:color="000000" w:sz="2" w:space="0"/>
              <w:bottom w:val="single" w:color="000000" w:sz="8" w:space="0"/>
              <w:right w:val="single" w:color="000000" w:sz="8" w:space="0"/>
            </w:tcBorders>
            <w:vAlign w:val="center"/>
          </w:tcPr>
          <w:p w14:paraId="5B95BE39">
            <w:pPr>
              <w:snapToGrid w:val="0"/>
              <w:rPr>
                <w:rFonts w:ascii="宋体" w:hAnsi="宋体" w:cs="宋体"/>
                <w:bCs/>
                <w:kern w:val="0"/>
                <w:sz w:val="24"/>
              </w:rPr>
            </w:pPr>
            <w:r>
              <w:rPr>
                <w:rFonts w:hint="eastAsia" w:ascii="宋体" w:hAnsi="宋体" w:cs="宋体"/>
                <w:bCs/>
                <w:kern w:val="0"/>
                <w:sz w:val="24"/>
              </w:rPr>
              <w:t>本项目由交易人进行资格文件及信用信息查询。</w:t>
            </w:r>
          </w:p>
        </w:tc>
      </w:tr>
      <w:tr w14:paraId="3089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921D6E">
            <w:pPr>
              <w:snapToGrid w:val="0"/>
              <w:jc w:val="center"/>
              <w:rPr>
                <w:rFonts w:ascii="宋体" w:hAnsi="宋体" w:cs="宋体"/>
                <w:bCs/>
                <w:sz w:val="24"/>
              </w:rPr>
            </w:pPr>
            <w:r>
              <w:rPr>
                <w:rFonts w:hint="eastAsia" w:ascii="宋体" w:hAnsi="宋体" w:cs="宋体"/>
                <w:bCs/>
                <w:sz w:val="24"/>
              </w:rPr>
              <w:t>14</w:t>
            </w:r>
          </w:p>
        </w:tc>
        <w:tc>
          <w:tcPr>
            <w:tcW w:w="2142" w:type="dxa"/>
            <w:tcBorders>
              <w:top w:val="single" w:color="000000" w:sz="8" w:space="0"/>
              <w:left w:val="single" w:color="000000" w:sz="2" w:space="0"/>
              <w:bottom w:val="single" w:color="000000" w:sz="8" w:space="0"/>
              <w:right w:val="single" w:color="000000" w:sz="8" w:space="0"/>
            </w:tcBorders>
            <w:vAlign w:val="center"/>
          </w:tcPr>
          <w:p w14:paraId="41AFB635">
            <w:pPr>
              <w:snapToGrid w:val="0"/>
              <w:jc w:val="center"/>
              <w:rPr>
                <w:rFonts w:ascii="宋体" w:hAnsi="宋体" w:cs="宋体"/>
                <w:b/>
                <w:sz w:val="24"/>
              </w:rPr>
            </w:pPr>
            <w:r>
              <w:rPr>
                <w:rFonts w:hint="eastAsia" w:ascii="宋体" w:hAnsi="宋体" w:cs="宋体"/>
                <w:b/>
                <w:sz w:val="24"/>
              </w:rPr>
              <w:t>质疑接收人及答复</w:t>
            </w:r>
          </w:p>
        </w:tc>
        <w:tc>
          <w:tcPr>
            <w:tcW w:w="6855" w:type="dxa"/>
            <w:tcBorders>
              <w:top w:val="single" w:color="000000" w:sz="8" w:space="0"/>
              <w:left w:val="single" w:color="000000" w:sz="2" w:space="0"/>
              <w:bottom w:val="single" w:color="000000" w:sz="8" w:space="0"/>
              <w:right w:val="single" w:color="000000" w:sz="8" w:space="0"/>
            </w:tcBorders>
            <w:vAlign w:val="center"/>
          </w:tcPr>
          <w:p w14:paraId="2E329062">
            <w:pPr>
              <w:snapToGrid w:val="0"/>
              <w:rPr>
                <w:rFonts w:hint="eastAsia" w:ascii="宋体" w:hAnsi="宋体" w:eastAsia="宋体" w:cs="宋体"/>
                <w:sz w:val="24"/>
                <w:highlight w:val="none"/>
                <w:lang w:eastAsia="zh-CN"/>
              </w:rPr>
            </w:pPr>
          </w:p>
          <w:p w14:paraId="2629384F">
            <w:pPr>
              <w:snapToGrid w:val="0"/>
              <w:rPr>
                <w:rFonts w:ascii="宋体" w:hAnsi="宋体" w:cs="宋体"/>
                <w:sz w:val="24"/>
                <w:highlight w:val="none"/>
              </w:rPr>
            </w:pPr>
            <w:r>
              <w:rPr>
                <w:rFonts w:hint="eastAsia" w:ascii="宋体" w:hAnsi="宋体" w:cs="宋体"/>
                <w:sz w:val="24"/>
                <w:highlight w:val="none"/>
              </w:rPr>
              <w:t>质疑接收人：</w:t>
            </w:r>
            <w:r>
              <w:rPr>
                <w:rFonts w:hint="eastAsia" w:ascii="宋体" w:hAnsi="宋体" w:cs="宋体"/>
                <w:sz w:val="24"/>
                <w:highlight w:val="none"/>
                <w:lang w:eastAsia="zh-CN"/>
              </w:rPr>
              <w:t>董钰</w:t>
            </w:r>
            <w:r>
              <w:rPr>
                <w:rFonts w:hint="eastAsia" w:ascii="宋体" w:hAnsi="宋体" w:cs="宋体"/>
                <w:sz w:val="24"/>
                <w:highlight w:val="none"/>
              </w:rPr>
              <w:t xml:space="preserve">   联系方式：</w:t>
            </w:r>
            <w:r>
              <w:rPr>
                <w:rFonts w:hint="eastAsia" w:ascii="宋体" w:hAnsi="宋体" w:cs="宋体"/>
                <w:sz w:val="24"/>
                <w:highlight w:val="none"/>
                <w:lang w:eastAsia="zh-CN"/>
              </w:rPr>
              <w:t>0571-82348653</w:t>
            </w:r>
            <w:r>
              <w:rPr>
                <w:rFonts w:hint="eastAsia" w:ascii="宋体" w:hAnsi="宋体" w:cs="宋体"/>
                <w:sz w:val="24"/>
                <w:highlight w:val="none"/>
              </w:rPr>
              <w:t xml:space="preserve"> </w:t>
            </w:r>
          </w:p>
          <w:p w14:paraId="75BBEE60">
            <w:pPr>
              <w:snapToGrid w:val="0"/>
              <w:rPr>
                <w:rFonts w:ascii="宋体" w:hAnsi="宋体" w:cs="宋体"/>
                <w:sz w:val="24"/>
                <w:highlight w:val="none"/>
              </w:rPr>
            </w:pPr>
            <w:r>
              <w:rPr>
                <w:rFonts w:hint="eastAsia" w:ascii="宋体" w:hAnsi="宋体" w:cs="宋体"/>
                <w:sz w:val="24"/>
                <w:highlight w:val="none"/>
              </w:rPr>
              <w:t xml:space="preserve">地址：杭州市萧山区蜀山街道南和城4幢1单元8楼 </w:t>
            </w:r>
          </w:p>
          <w:p w14:paraId="6E395324">
            <w:pPr>
              <w:tabs>
                <w:tab w:val="center" w:pos="3019"/>
              </w:tabs>
              <w:snapToGrid w:val="0"/>
              <w:rPr>
                <w:rFonts w:ascii="宋体" w:hAnsi="宋体" w:cs="宋体"/>
                <w:sz w:val="24"/>
                <w:highlight w:val="none"/>
              </w:rPr>
            </w:pPr>
            <w:r>
              <w:rPr>
                <w:rFonts w:hint="eastAsia" w:ascii="宋体" w:hAnsi="宋体" w:cs="宋体"/>
                <w:sz w:val="24"/>
                <w:highlight w:val="none"/>
              </w:rPr>
              <w:t>邮箱：</w:t>
            </w:r>
            <w:r>
              <w:rPr>
                <w:rFonts w:hint="eastAsia" w:ascii="宋体" w:hAnsi="宋体" w:cs="宋体"/>
                <w:sz w:val="24"/>
                <w:highlight w:val="none"/>
                <w:lang w:eastAsia="zh-CN"/>
              </w:rPr>
              <w:t>1041532813</w:t>
            </w:r>
            <w:r>
              <w:rPr>
                <w:rFonts w:hint="eastAsia" w:ascii="宋体" w:hAnsi="宋体" w:cs="宋体"/>
                <w:sz w:val="24"/>
                <w:highlight w:val="none"/>
              </w:rPr>
              <w:t>@qq.com</w:t>
            </w:r>
          </w:p>
          <w:p w14:paraId="414156B1">
            <w:pPr>
              <w:snapToGrid w:val="0"/>
              <w:rPr>
                <w:rFonts w:ascii="宋体" w:hAnsi="宋体" w:cs="宋体"/>
                <w:b/>
                <w:sz w:val="24"/>
              </w:rPr>
            </w:pPr>
            <w:r>
              <w:rPr>
                <w:rFonts w:hint="eastAsia" w:ascii="宋体" w:hAnsi="宋体" w:cs="宋体"/>
                <w:b/>
                <w:sz w:val="24"/>
              </w:rPr>
              <w:t>如通过邮箱方式发送质疑，须提交符合法规及交易文件要求的质疑文件（参考附件</w:t>
            </w:r>
            <w:r>
              <w:rPr>
                <w:rFonts w:hint="eastAsia" w:ascii="宋体" w:hAnsi="宋体" w:cs="宋体"/>
                <w:b/>
                <w:sz w:val="24"/>
                <w:lang w:val="en-US" w:eastAsia="zh-CN"/>
              </w:rPr>
              <w:t>1</w:t>
            </w:r>
            <w:r>
              <w:rPr>
                <w:rFonts w:hint="eastAsia" w:ascii="宋体" w:hAnsi="宋体" w:cs="宋体"/>
                <w:b/>
                <w:sz w:val="24"/>
              </w:rPr>
              <w:t>），盖章扫描后发送，质疑的受理按答复主体划分以交易人或采购机构邮箱回复确认受理为准。</w:t>
            </w:r>
          </w:p>
          <w:p w14:paraId="119E3F97">
            <w:pPr>
              <w:snapToGrid w:val="0"/>
              <w:rPr>
                <w:rFonts w:ascii="宋体" w:hAnsi="宋体" w:cs="宋体"/>
                <w:sz w:val="24"/>
              </w:rPr>
            </w:pPr>
            <w:r>
              <w:rPr>
                <w:rFonts w:hint="eastAsia" w:ascii="宋体" w:hAnsi="宋体" w:cs="宋体"/>
                <w:sz w:val="24"/>
              </w:rPr>
              <w:t>本项目涉及资格条件、交易需求、评分办法及交易过程中有关现场考察或开标前答疑会事项由交易人进行答复。</w:t>
            </w:r>
          </w:p>
          <w:p w14:paraId="4D5E8003">
            <w:pPr>
              <w:pStyle w:val="2"/>
              <w:ind w:hanging="4"/>
              <w:rPr>
                <w:rFonts w:hAnsi="宋体" w:cs="宋体"/>
                <w:sz w:val="24"/>
              </w:rPr>
            </w:pPr>
            <w:r>
              <w:rPr>
                <w:rFonts w:hint="eastAsia" w:hAnsi="宋体" w:cs="宋体"/>
                <w:sz w:val="24"/>
              </w:rPr>
              <w:t>涉及流程组织等相关事项，由采购机构进行答复。</w:t>
            </w:r>
          </w:p>
        </w:tc>
      </w:tr>
      <w:tr w14:paraId="39637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98538D">
            <w:pPr>
              <w:snapToGrid w:val="0"/>
              <w:jc w:val="center"/>
              <w:rPr>
                <w:rFonts w:ascii="宋体" w:hAnsi="宋体" w:cs="宋体"/>
                <w:sz w:val="24"/>
              </w:rPr>
            </w:pPr>
            <w:r>
              <w:rPr>
                <w:rFonts w:hint="eastAsia" w:ascii="宋体" w:hAnsi="宋体" w:cs="宋体"/>
                <w:sz w:val="24"/>
              </w:rPr>
              <w:t>15</w:t>
            </w:r>
          </w:p>
        </w:tc>
        <w:tc>
          <w:tcPr>
            <w:tcW w:w="2142" w:type="dxa"/>
            <w:tcBorders>
              <w:top w:val="single" w:color="000000" w:sz="8" w:space="0"/>
              <w:left w:val="single" w:color="000000" w:sz="2" w:space="0"/>
              <w:bottom w:val="single" w:color="000000" w:sz="8" w:space="0"/>
              <w:right w:val="single" w:color="000000" w:sz="8" w:space="0"/>
            </w:tcBorders>
            <w:vAlign w:val="center"/>
          </w:tcPr>
          <w:p w14:paraId="4EA8C074">
            <w:pPr>
              <w:snapToGrid w:val="0"/>
              <w:jc w:val="center"/>
              <w:rPr>
                <w:rFonts w:ascii="宋体" w:hAnsi="宋体" w:cs="宋体"/>
                <w:b/>
                <w:sz w:val="24"/>
              </w:rPr>
            </w:pPr>
            <w:r>
              <w:rPr>
                <w:rFonts w:hint="eastAsia" w:ascii="宋体" w:hAnsi="宋体" w:cs="宋体"/>
                <w:b/>
                <w:sz w:val="24"/>
              </w:rPr>
              <w:t>特别说明</w:t>
            </w:r>
          </w:p>
        </w:tc>
        <w:tc>
          <w:tcPr>
            <w:tcW w:w="6855" w:type="dxa"/>
            <w:tcBorders>
              <w:top w:val="single" w:color="000000" w:sz="8" w:space="0"/>
              <w:left w:val="single" w:color="000000" w:sz="2" w:space="0"/>
              <w:bottom w:val="single" w:color="000000" w:sz="8" w:space="0"/>
              <w:right w:val="single" w:color="000000" w:sz="8" w:space="0"/>
            </w:tcBorders>
            <w:vAlign w:val="center"/>
          </w:tcPr>
          <w:p w14:paraId="79420C8F">
            <w:pPr>
              <w:rPr>
                <w:rFonts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bl>
    <w:p w14:paraId="0A0B3586">
      <w:pPr>
        <w:snapToGrid w:val="0"/>
        <w:spacing w:line="360" w:lineRule="auto"/>
        <w:jc w:val="center"/>
        <w:rPr>
          <w:rFonts w:ascii="宋体" w:hAnsi="宋体" w:cs="宋体"/>
          <w:b/>
          <w:sz w:val="32"/>
          <w:szCs w:val="20"/>
        </w:rPr>
      </w:pPr>
    </w:p>
    <w:bookmarkEnd w:id="9"/>
    <w:p w14:paraId="53389875">
      <w:pPr>
        <w:rPr>
          <w:rFonts w:ascii="宋体" w:hAnsi="宋体" w:cs="宋体"/>
          <w:b/>
          <w:sz w:val="32"/>
          <w:szCs w:val="20"/>
        </w:rPr>
      </w:pPr>
      <w:bookmarkStart w:id="12" w:name="_Toc164416483"/>
      <w:bookmarkStart w:id="13" w:name="第三部分"/>
      <w:r>
        <w:rPr>
          <w:rFonts w:hint="eastAsia" w:ascii="宋体" w:hAnsi="宋体" w:cs="宋体"/>
          <w:b/>
          <w:sz w:val="32"/>
          <w:szCs w:val="20"/>
        </w:rPr>
        <w:br w:type="page"/>
      </w:r>
    </w:p>
    <w:p w14:paraId="4FC56F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407F394">
      <w:pPr>
        <w:snapToGrid w:val="0"/>
        <w:spacing w:line="480" w:lineRule="exact"/>
        <w:jc w:val="left"/>
        <w:outlineLvl w:val="1"/>
        <w:rPr>
          <w:rFonts w:ascii="宋体" w:hAnsi="宋体" w:cs="宋体"/>
          <w:b/>
          <w:sz w:val="24"/>
        </w:rPr>
      </w:pPr>
      <w:r>
        <w:rPr>
          <w:rFonts w:hint="eastAsia" w:ascii="宋体" w:hAnsi="宋体" w:cs="宋体"/>
          <w:b/>
          <w:sz w:val="24"/>
        </w:rPr>
        <w:t>1.适用范围</w:t>
      </w:r>
    </w:p>
    <w:p w14:paraId="1758AB2B">
      <w:pPr>
        <w:snapToGrid w:val="0"/>
        <w:spacing w:line="480" w:lineRule="exact"/>
        <w:ind w:firstLine="420" w:firstLineChars="175"/>
        <w:jc w:val="left"/>
        <w:rPr>
          <w:rFonts w:ascii="宋体" w:hAnsi="宋体" w:cs="宋体"/>
          <w:sz w:val="24"/>
        </w:rPr>
      </w:pPr>
      <w:r>
        <w:rPr>
          <w:rFonts w:hint="eastAsia" w:ascii="宋体" w:hAnsi="宋体" w:cs="宋体"/>
          <w:sz w:val="24"/>
        </w:rPr>
        <w:t>本交易文件适用于该项目的交易、响应、评审、资格审查及信用信息查询、评审、定标、合同、验收等行为（法律、法规另有规定的，从其规定）。</w:t>
      </w:r>
    </w:p>
    <w:p w14:paraId="1E1FA540">
      <w:pPr>
        <w:adjustRightInd/>
        <w:spacing w:line="480" w:lineRule="exact"/>
        <w:outlineLvl w:val="0"/>
        <w:rPr>
          <w:rFonts w:ascii="宋体" w:hAnsi="宋体" w:cs="宋体"/>
          <w:b/>
          <w:sz w:val="24"/>
        </w:rPr>
      </w:pPr>
      <w:r>
        <w:rPr>
          <w:rFonts w:hint="eastAsia" w:ascii="宋体" w:hAnsi="宋体" w:cs="宋体"/>
          <w:b/>
          <w:sz w:val="24"/>
        </w:rPr>
        <w:t>2.定义</w:t>
      </w:r>
    </w:p>
    <w:p w14:paraId="09786907">
      <w:pPr>
        <w:spacing w:line="480" w:lineRule="exact"/>
        <w:ind w:firstLine="420" w:firstLineChars="175"/>
        <w:rPr>
          <w:rFonts w:ascii="宋体" w:hAnsi="宋体" w:cs="宋体"/>
          <w:sz w:val="24"/>
        </w:rPr>
      </w:pPr>
      <w:r>
        <w:rPr>
          <w:rFonts w:hint="eastAsia" w:ascii="宋体" w:hAnsi="宋体" w:cs="宋体"/>
          <w:sz w:val="24"/>
        </w:rPr>
        <w:t>2.1“交易人”系指交易公告中载明的本项目的交易人。</w:t>
      </w:r>
    </w:p>
    <w:p w14:paraId="4E37CF9A">
      <w:pPr>
        <w:spacing w:line="480" w:lineRule="exact"/>
        <w:ind w:firstLine="420" w:firstLineChars="175"/>
        <w:rPr>
          <w:rFonts w:ascii="宋体" w:hAnsi="宋体" w:cs="宋体"/>
          <w:sz w:val="24"/>
        </w:rPr>
      </w:pPr>
      <w:r>
        <w:rPr>
          <w:rFonts w:hint="eastAsia" w:ascii="宋体" w:hAnsi="宋体" w:cs="宋体"/>
          <w:sz w:val="24"/>
        </w:rPr>
        <w:t>2.2“采购机构”系指交易公告中载明的本项目的采购机构。</w:t>
      </w:r>
    </w:p>
    <w:p w14:paraId="6EAA438E">
      <w:pPr>
        <w:spacing w:line="480" w:lineRule="exact"/>
        <w:ind w:firstLine="420" w:firstLineChars="175"/>
        <w:rPr>
          <w:rFonts w:ascii="宋体" w:hAnsi="宋体" w:cs="宋体"/>
          <w:sz w:val="24"/>
        </w:rPr>
      </w:pPr>
      <w:r>
        <w:rPr>
          <w:rFonts w:hint="eastAsia" w:ascii="宋体" w:hAnsi="宋体" w:cs="宋体"/>
          <w:sz w:val="24"/>
        </w:rPr>
        <w:t>2.3“供应商</w:t>
      </w:r>
      <w:r>
        <w:rPr>
          <w:rFonts w:hint="eastAsia" w:ascii="宋体" w:hAnsi="宋体" w:cs="宋体"/>
          <w:sz w:val="24"/>
          <w:lang w:val="en-US" w:eastAsia="zh-CN"/>
        </w:rPr>
        <w:t>或投标人</w:t>
      </w:r>
      <w:r>
        <w:rPr>
          <w:rFonts w:hint="eastAsia" w:ascii="宋体" w:hAnsi="宋体" w:cs="宋体"/>
          <w:sz w:val="24"/>
        </w:rPr>
        <w:t>”系指是指响应招标、参加投标竞争的法人、其他组织或者自然人。</w:t>
      </w:r>
    </w:p>
    <w:p w14:paraId="4142E441">
      <w:pPr>
        <w:spacing w:line="480" w:lineRule="exact"/>
        <w:ind w:firstLine="420" w:firstLineChars="175"/>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00056271">
      <w:pPr>
        <w:spacing w:line="480" w:lineRule="exact"/>
        <w:ind w:firstLine="420" w:firstLineChars="175"/>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14:paraId="599A5D92">
      <w:pPr>
        <w:spacing w:line="480" w:lineRule="exact"/>
        <w:ind w:firstLine="420" w:firstLineChars="175"/>
        <w:jc w:val="left"/>
        <w:rPr>
          <w:rFonts w:ascii="宋体" w:hAnsi="宋体" w:cs="宋体"/>
          <w:sz w:val="24"/>
        </w:rPr>
      </w:pPr>
      <w:r>
        <w:rPr>
          <w:rFonts w:hint="eastAsia" w:ascii="宋体" w:hAnsi="宋体" w:cs="宋体"/>
          <w:sz w:val="24"/>
        </w:rPr>
        <w:t>2.6“电子交易平台”是指本项目采购活动所依托的政府采购云平台（https://www.zcygov.cn/）。</w:t>
      </w:r>
    </w:p>
    <w:p w14:paraId="268C4BDC">
      <w:pPr>
        <w:spacing w:line="480" w:lineRule="exact"/>
        <w:ind w:firstLine="420" w:firstLineChars="175"/>
        <w:rPr>
          <w:rFonts w:ascii="宋体" w:hAnsi="宋体" w:cs="宋体"/>
          <w:sz w:val="24"/>
        </w:rPr>
      </w:pPr>
      <w:r>
        <w:rPr>
          <w:rFonts w:hint="eastAsia" w:ascii="宋体" w:hAnsi="宋体" w:cs="宋体"/>
          <w:sz w:val="24"/>
        </w:rPr>
        <w:t>2.7“▲”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1867982E">
      <w:pPr>
        <w:spacing w:line="480" w:lineRule="exact"/>
        <w:rPr>
          <w:rFonts w:ascii="宋体" w:hAnsi="宋体" w:cs="宋体"/>
          <w:b/>
          <w:sz w:val="24"/>
        </w:rPr>
      </w:pPr>
      <w:r>
        <w:rPr>
          <w:rFonts w:hint="eastAsia" w:ascii="宋体" w:hAnsi="宋体" w:cs="宋体"/>
          <w:b/>
          <w:sz w:val="24"/>
        </w:rPr>
        <w:t>3.询问、质疑、投诉</w:t>
      </w:r>
    </w:p>
    <w:p w14:paraId="7446B4E0">
      <w:pPr>
        <w:autoSpaceDE w:val="0"/>
        <w:autoSpaceDN w:val="0"/>
        <w:spacing w:line="480" w:lineRule="exact"/>
        <w:ind w:firstLine="420" w:firstLineChars="175"/>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.1供应商询问</w:t>
      </w:r>
    </w:p>
    <w:p w14:paraId="4FCA6981">
      <w:pPr>
        <w:autoSpaceDE w:val="0"/>
        <w:autoSpaceDN w:val="0"/>
        <w:spacing w:line="480" w:lineRule="exact"/>
        <w:ind w:firstLine="420" w:firstLineChars="175"/>
        <w:jc w:val="left"/>
        <w:rPr>
          <w:rFonts w:ascii="宋体" w:hAnsi="宋体" w:cs="宋体"/>
          <w:kern w:val="0"/>
          <w:sz w:val="24"/>
          <w:lang w:val="zh-CN"/>
        </w:rPr>
      </w:pPr>
      <w:r>
        <w:rPr>
          <w:rFonts w:hint="eastAsia" w:ascii="宋体" w:hAnsi="宋体" w:cs="宋体"/>
          <w:kern w:val="0"/>
          <w:sz w:val="24"/>
          <w:lang w:val="zh-CN"/>
        </w:rPr>
        <w:t>供应商对</w:t>
      </w:r>
      <w:r>
        <w:rPr>
          <w:rFonts w:hint="eastAsia" w:ascii="宋体" w:hAnsi="宋体" w:cs="宋体"/>
          <w:kern w:val="0"/>
          <w:sz w:val="24"/>
        </w:rPr>
        <w:t>交易</w:t>
      </w:r>
      <w:r>
        <w:rPr>
          <w:rFonts w:hint="eastAsia" w:ascii="宋体" w:hAnsi="宋体" w:cs="宋体"/>
          <w:kern w:val="0"/>
          <w:sz w:val="24"/>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14:paraId="2CD1E9AF">
      <w:pPr>
        <w:autoSpaceDE w:val="0"/>
        <w:autoSpaceDN w:val="0"/>
        <w:spacing w:line="480" w:lineRule="exact"/>
        <w:ind w:firstLine="420" w:firstLineChars="175"/>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.2供应商质疑</w:t>
      </w:r>
    </w:p>
    <w:p w14:paraId="27256D19">
      <w:pPr>
        <w:pStyle w:val="2"/>
        <w:spacing w:line="480" w:lineRule="exact"/>
        <w:ind w:firstLine="420" w:firstLineChars="175"/>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.1提出质疑的供应商应当是参与所质疑项目交易活动的供应商。潜在供应商已依法获取其可质疑的交易文件的，可以对该文件提出质疑。</w:t>
      </w:r>
    </w:p>
    <w:p w14:paraId="657609EF">
      <w:pPr>
        <w:pStyle w:val="2"/>
        <w:spacing w:line="480" w:lineRule="exact"/>
        <w:ind w:firstLine="420" w:firstLineChars="175"/>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.2供应商认为交易文件、交易过程和成交结果使自己的权益受到损害的，可以在知道或者应知其权益受到损害之日起三</w:t>
      </w:r>
      <w:r>
        <w:rPr>
          <w:rFonts w:hint="eastAsia" w:hAnsi="宋体" w:cs="宋体"/>
          <w:sz w:val="24"/>
          <w:lang w:val="en-US" w:eastAsia="zh-CN"/>
        </w:rPr>
        <w:t>个工作日</w:t>
      </w:r>
      <w:r>
        <w:rPr>
          <w:rFonts w:hint="eastAsia" w:hAnsi="宋体" w:cs="宋体"/>
          <w:sz w:val="24"/>
        </w:rPr>
        <w:t>内，以书面形式向交易人或者采购机构提出质疑，否则，交易人或者采购机构不予受理：</w:t>
      </w:r>
    </w:p>
    <w:p w14:paraId="534F7E35">
      <w:pPr>
        <w:pStyle w:val="2"/>
        <w:spacing w:line="480" w:lineRule="exact"/>
        <w:ind w:firstLine="420" w:firstLineChars="175"/>
        <w:rPr>
          <w:rFonts w:hAnsi="宋体" w:cs="宋体"/>
          <w:sz w:val="24"/>
        </w:rPr>
      </w:pPr>
      <w:r>
        <w:rPr>
          <w:rFonts w:hint="eastAsia" w:hAnsi="宋体" w:cs="宋体"/>
          <w:sz w:val="24"/>
        </w:rPr>
        <w:t>3.2.2.1对采购过程提出质疑的，质疑期限为各采购程序环节结束之日起计算。对同一采购程序环节的质疑，供应商须一次性提出。</w:t>
      </w:r>
    </w:p>
    <w:p w14:paraId="1F333CF3">
      <w:pPr>
        <w:pStyle w:val="2"/>
        <w:spacing w:line="48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w:t>
      </w:r>
      <w:r>
        <w:rPr>
          <w:rFonts w:hint="eastAsia" w:hAnsi="宋体" w:cs="宋体"/>
          <w:sz w:val="24"/>
        </w:rPr>
        <w:t>供应商提出质疑应当提交质疑函和必要的证明材料。质疑函应当包括下列内容：</w:t>
      </w:r>
    </w:p>
    <w:p w14:paraId="12300D00">
      <w:pPr>
        <w:pStyle w:val="2"/>
        <w:spacing w:line="48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.2.3.1供应商的姓名或者名称、地址、邮编、联系人及联系电话；</w:t>
      </w:r>
    </w:p>
    <w:p w14:paraId="726AFBC7">
      <w:pPr>
        <w:pStyle w:val="2"/>
        <w:spacing w:line="48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.2.3.2质疑项目的名称、编号；</w:t>
      </w:r>
    </w:p>
    <w:p w14:paraId="1232C5D5">
      <w:pPr>
        <w:pStyle w:val="2"/>
        <w:spacing w:line="48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.2.3.3具体、明确的质疑事项和与质疑事项相关的请求；</w:t>
      </w:r>
    </w:p>
    <w:p w14:paraId="58DE822A">
      <w:pPr>
        <w:pStyle w:val="2"/>
        <w:spacing w:line="48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.2.3.4事实依据；</w:t>
      </w:r>
    </w:p>
    <w:p w14:paraId="34EB1F18">
      <w:pPr>
        <w:pStyle w:val="2"/>
        <w:spacing w:line="48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.2.3.5必要的法律依据；</w:t>
      </w:r>
    </w:p>
    <w:p w14:paraId="722CB73E">
      <w:pPr>
        <w:pStyle w:val="2"/>
        <w:spacing w:line="48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.2.3.6提出质疑的日期。</w:t>
      </w:r>
    </w:p>
    <w:p w14:paraId="0EAC228B">
      <w:pPr>
        <w:pStyle w:val="892"/>
        <w:shd w:val="clear" w:color="auto" w:fill="FFFFFF"/>
        <w:snapToGrid w:val="0"/>
        <w:spacing w:after="240" w:afterAutospacing="0" w:line="480" w:lineRule="exact"/>
        <w:ind w:firstLine="420" w:firstLineChars="175"/>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4ABEE48">
      <w:pPr>
        <w:pStyle w:val="892"/>
        <w:shd w:val="clear" w:color="auto" w:fill="FFFFFF"/>
        <w:snapToGrid w:val="0"/>
        <w:spacing w:after="240" w:afterAutospacing="0" w:line="480" w:lineRule="exact"/>
        <w:ind w:firstLine="420" w:firstLineChars="175"/>
        <w:contextualSpacing/>
      </w:pPr>
      <w:r>
        <w:rPr>
          <w:rFonts w:hint="eastAsia"/>
        </w:rPr>
        <w:t>质疑函范本及制作说明详见附件1。</w:t>
      </w:r>
    </w:p>
    <w:p w14:paraId="379EAD6F">
      <w:pPr>
        <w:pStyle w:val="892"/>
        <w:shd w:val="clear" w:color="auto" w:fill="FFFFFF"/>
        <w:snapToGrid w:val="0"/>
        <w:spacing w:after="240" w:afterAutospacing="0" w:line="480" w:lineRule="exact"/>
        <w:ind w:firstLine="420" w:firstLineChars="175"/>
        <w:contextualSpacing/>
      </w:pPr>
      <w:r>
        <w:rPr>
          <w:rFonts w:hint="eastAsia"/>
        </w:rPr>
        <w:t>3</w:t>
      </w:r>
      <w:r>
        <w:rPr>
          <w:rFonts w:hint="eastAsia"/>
          <w:lang w:val="zh-CN"/>
        </w:rPr>
        <w:t>.2</w:t>
      </w:r>
      <w:r>
        <w:rPr>
          <w:rFonts w:hint="eastAsia"/>
        </w:rPr>
        <w:t>.4交易人或者采购机构应当在收到供应商的书面质疑后七个工作日内作出答复，并以书面形式通知质疑供应商和其他与质疑处理结果有利害关系的采购当事人，但答复的内容不得涉及商业秘密。</w:t>
      </w:r>
    </w:p>
    <w:p w14:paraId="7652193C">
      <w:pPr>
        <w:pStyle w:val="892"/>
        <w:shd w:val="clear" w:color="auto" w:fill="FFFFFF"/>
        <w:snapToGrid w:val="0"/>
        <w:spacing w:after="240" w:afterAutospacing="0" w:line="480" w:lineRule="exact"/>
        <w:ind w:firstLine="420" w:firstLineChars="175"/>
        <w:contextualSpacing/>
      </w:pPr>
      <w:r>
        <w:rPr>
          <w:rFonts w:hint="eastAsia"/>
        </w:rPr>
        <w:t>3</w:t>
      </w:r>
      <w:r>
        <w:rPr>
          <w:rFonts w:hint="eastAsia"/>
          <w:lang w:val="zh-CN"/>
        </w:rPr>
        <w:t>.2</w:t>
      </w:r>
      <w:r>
        <w:rPr>
          <w:rFonts w:hint="eastAsia"/>
        </w:rPr>
        <w:t>.5询问或者质疑事项可能影响交易结果的，交易人应当暂停签订合同，已经签订合同的，应当中止履行合同。</w:t>
      </w:r>
    </w:p>
    <w:p w14:paraId="1045F99F">
      <w:pPr>
        <w:pStyle w:val="892"/>
        <w:shd w:val="clear" w:color="auto" w:fill="FFFFFF"/>
        <w:snapToGrid w:val="0"/>
        <w:spacing w:after="240" w:afterAutospacing="0" w:line="480" w:lineRule="exact"/>
        <w:ind w:firstLine="315" w:firstLineChars="175"/>
        <w:contextualSpacing/>
        <w:rPr>
          <w:sz w:val="18"/>
          <w:szCs w:val="18"/>
        </w:rPr>
      </w:pPr>
    </w:p>
    <w:p w14:paraId="1038E1AE">
      <w:pPr>
        <w:adjustRightInd/>
        <w:spacing w:line="360" w:lineRule="auto"/>
        <w:jc w:val="center"/>
        <w:outlineLvl w:val="0"/>
        <w:rPr>
          <w:rFonts w:ascii="宋体" w:hAnsi="宋体" w:cs="宋体"/>
          <w:b/>
          <w:sz w:val="32"/>
          <w:szCs w:val="20"/>
        </w:rPr>
      </w:pPr>
      <w:r>
        <w:rPr>
          <w:rFonts w:hint="eastAsia" w:ascii="宋体" w:hAnsi="宋体" w:cs="宋体"/>
          <w:b/>
          <w:sz w:val="32"/>
          <w:szCs w:val="20"/>
        </w:rPr>
        <w:t>二、交易文件的构成、澄清、修改</w:t>
      </w:r>
    </w:p>
    <w:p w14:paraId="0440CB22">
      <w:pPr>
        <w:pStyle w:val="2"/>
        <w:spacing w:line="360" w:lineRule="auto"/>
        <w:rPr>
          <w:rFonts w:hAnsi="宋体" w:cs="宋体"/>
          <w:b/>
          <w:sz w:val="24"/>
          <w:szCs w:val="24"/>
        </w:rPr>
      </w:pPr>
      <w:r>
        <w:rPr>
          <w:rFonts w:hint="eastAsia" w:hAnsi="宋体" w:cs="宋体"/>
          <w:b/>
          <w:sz w:val="24"/>
          <w:szCs w:val="24"/>
        </w:rPr>
        <w:t>4．交易文件的构成</w:t>
      </w:r>
    </w:p>
    <w:p w14:paraId="19A9D826">
      <w:pPr>
        <w:pStyle w:val="2"/>
        <w:spacing w:line="360" w:lineRule="auto"/>
        <w:ind w:firstLine="480" w:firstLineChars="200"/>
        <w:rPr>
          <w:rFonts w:hAnsi="宋体" w:cs="宋体"/>
          <w:sz w:val="24"/>
          <w:szCs w:val="24"/>
        </w:rPr>
      </w:pPr>
      <w:r>
        <w:rPr>
          <w:rFonts w:hint="eastAsia" w:hAnsi="宋体" w:cs="宋体"/>
          <w:sz w:val="24"/>
          <w:szCs w:val="24"/>
        </w:rPr>
        <w:t>4.1交易文件包括下列文件及附件：</w:t>
      </w:r>
    </w:p>
    <w:p w14:paraId="55956EA8">
      <w:pPr>
        <w:pStyle w:val="2"/>
        <w:tabs>
          <w:tab w:val="left" w:pos="840"/>
        </w:tabs>
        <w:spacing w:line="360" w:lineRule="auto"/>
        <w:ind w:firstLine="960" w:firstLineChars="400"/>
        <w:rPr>
          <w:rFonts w:hAnsi="宋体" w:cs="宋体"/>
          <w:sz w:val="24"/>
          <w:szCs w:val="24"/>
        </w:rPr>
      </w:pPr>
      <w:r>
        <w:rPr>
          <w:rFonts w:hint="eastAsia" w:hAnsi="宋体" w:cs="宋体"/>
          <w:sz w:val="24"/>
          <w:szCs w:val="24"/>
        </w:rPr>
        <w:t>4.1.1交易公告；</w:t>
      </w:r>
    </w:p>
    <w:p w14:paraId="108AE72D">
      <w:pPr>
        <w:pStyle w:val="2"/>
        <w:tabs>
          <w:tab w:val="left" w:pos="840"/>
        </w:tabs>
        <w:spacing w:line="360" w:lineRule="auto"/>
        <w:ind w:firstLine="960" w:firstLineChars="400"/>
        <w:rPr>
          <w:rFonts w:hAnsi="宋体" w:cs="宋体"/>
          <w:sz w:val="24"/>
          <w:szCs w:val="24"/>
        </w:rPr>
      </w:pPr>
      <w:r>
        <w:rPr>
          <w:rFonts w:hint="eastAsia" w:hAnsi="宋体" w:cs="宋体"/>
          <w:sz w:val="24"/>
          <w:szCs w:val="24"/>
        </w:rPr>
        <w:t>4.1.2供应商须知；</w:t>
      </w:r>
    </w:p>
    <w:p w14:paraId="2115733E">
      <w:pPr>
        <w:pStyle w:val="2"/>
        <w:tabs>
          <w:tab w:val="left" w:pos="840"/>
        </w:tabs>
        <w:spacing w:line="360" w:lineRule="auto"/>
        <w:ind w:firstLine="960" w:firstLineChars="400"/>
        <w:rPr>
          <w:rFonts w:hAnsi="宋体" w:cs="宋体"/>
          <w:sz w:val="24"/>
          <w:szCs w:val="24"/>
        </w:rPr>
      </w:pPr>
      <w:r>
        <w:rPr>
          <w:rFonts w:hint="eastAsia" w:hAnsi="宋体" w:cs="宋体"/>
          <w:sz w:val="24"/>
          <w:szCs w:val="24"/>
        </w:rPr>
        <w:t>4.1.3交易需求；</w:t>
      </w:r>
    </w:p>
    <w:p w14:paraId="522F5857">
      <w:pPr>
        <w:pStyle w:val="2"/>
        <w:tabs>
          <w:tab w:val="left" w:pos="840"/>
        </w:tabs>
        <w:spacing w:line="360" w:lineRule="auto"/>
        <w:ind w:firstLine="960" w:firstLineChars="400"/>
        <w:rPr>
          <w:rFonts w:hAnsi="宋体" w:cs="宋体"/>
          <w:sz w:val="24"/>
          <w:szCs w:val="24"/>
        </w:rPr>
      </w:pPr>
      <w:r>
        <w:rPr>
          <w:rFonts w:hint="eastAsia" w:hAnsi="宋体" w:cs="宋体"/>
          <w:sz w:val="24"/>
          <w:szCs w:val="24"/>
        </w:rPr>
        <w:t>4.1.4交易办法；</w:t>
      </w:r>
    </w:p>
    <w:p w14:paraId="654FD1F5">
      <w:pPr>
        <w:pStyle w:val="2"/>
        <w:tabs>
          <w:tab w:val="left" w:pos="840"/>
        </w:tabs>
        <w:spacing w:line="360" w:lineRule="auto"/>
        <w:ind w:firstLine="960" w:firstLineChars="400"/>
        <w:rPr>
          <w:rFonts w:hAnsi="宋体" w:cs="宋体"/>
          <w:sz w:val="24"/>
          <w:szCs w:val="24"/>
        </w:rPr>
      </w:pPr>
      <w:r>
        <w:rPr>
          <w:rFonts w:hint="eastAsia" w:hAnsi="宋体" w:cs="宋体"/>
          <w:sz w:val="24"/>
          <w:szCs w:val="24"/>
        </w:rPr>
        <w:t>4.1.5拟签订的合同文本；</w:t>
      </w:r>
    </w:p>
    <w:p w14:paraId="3D0BAB0E">
      <w:pPr>
        <w:pStyle w:val="2"/>
        <w:tabs>
          <w:tab w:val="left" w:pos="840"/>
        </w:tabs>
        <w:spacing w:line="360" w:lineRule="auto"/>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14:paraId="4AAAA628">
      <w:pPr>
        <w:spacing w:line="360" w:lineRule="auto"/>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4DA7CF40">
      <w:pPr>
        <w:pStyle w:val="2"/>
        <w:spacing w:line="360" w:lineRule="auto"/>
        <w:rPr>
          <w:rFonts w:hAnsi="宋体" w:cs="宋体"/>
          <w:b/>
          <w:sz w:val="24"/>
          <w:szCs w:val="24"/>
        </w:rPr>
      </w:pPr>
      <w:r>
        <w:rPr>
          <w:rFonts w:hint="eastAsia" w:hAnsi="宋体" w:cs="宋体"/>
          <w:b/>
          <w:sz w:val="24"/>
          <w:szCs w:val="24"/>
        </w:rPr>
        <w:t>5.交易文件的澄清、修改</w:t>
      </w:r>
    </w:p>
    <w:p w14:paraId="5D37E52F">
      <w:pPr>
        <w:pStyle w:val="138"/>
        <w:snapToGrid w:val="0"/>
        <w:spacing w:before="0"/>
        <w:ind w:firstLine="480"/>
        <w:rPr>
          <w:rFonts w:ascii="宋体" w:hAnsi="宋体" w:cs="宋体"/>
        </w:rPr>
      </w:pPr>
      <w:r>
        <w:rPr>
          <w:rFonts w:hint="eastAsia" w:ascii="宋体" w:hAnsi="宋体" w:cs="宋体"/>
        </w:rPr>
        <w:t>5.1已获取交易文件的潜在供应商，若有问题需要澄清，应于投标截止时间前，以书面形式向采购机构提出。</w:t>
      </w:r>
    </w:p>
    <w:p w14:paraId="0A2ACCF8">
      <w:pPr>
        <w:pStyle w:val="138"/>
        <w:snapToGrid w:val="0"/>
        <w:spacing w:before="0"/>
        <w:ind w:firstLine="480"/>
        <w:rPr>
          <w:rFonts w:ascii="宋体" w:hAnsi="宋体" w:cs="宋体"/>
        </w:rPr>
      </w:pPr>
      <w:r>
        <w:rPr>
          <w:rFonts w:hint="eastAsia" w:ascii="宋体" w:hAnsi="宋体" w:cs="宋体"/>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148A9AC7">
      <w:pPr>
        <w:adjustRightInd/>
        <w:spacing w:line="360" w:lineRule="auto"/>
        <w:jc w:val="center"/>
        <w:outlineLvl w:val="0"/>
        <w:rPr>
          <w:rFonts w:ascii="宋体" w:hAnsi="宋体" w:cs="宋体"/>
          <w:b/>
          <w:sz w:val="30"/>
          <w:szCs w:val="20"/>
        </w:rPr>
      </w:pPr>
    </w:p>
    <w:p w14:paraId="30CE572E">
      <w:pPr>
        <w:adjustRightInd/>
        <w:spacing w:line="360" w:lineRule="auto"/>
        <w:jc w:val="center"/>
        <w:outlineLvl w:val="0"/>
        <w:rPr>
          <w:rFonts w:ascii="宋体" w:hAnsi="宋体" w:cs="宋体"/>
          <w:b/>
          <w:sz w:val="30"/>
          <w:szCs w:val="20"/>
        </w:rPr>
      </w:pPr>
      <w:r>
        <w:rPr>
          <w:rFonts w:hint="eastAsia" w:ascii="宋体" w:hAnsi="宋体" w:cs="宋体"/>
          <w:b/>
          <w:sz w:val="30"/>
          <w:szCs w:val="20"/>
        </w:rPr>
        <w:t>三、响应</w:t>
      </w:r>
    </w:p>
    <w:p w14:paraId="2ED6EEDD">
      <w:pPr>
        <w:pStyle w:val="2"/>
        <w:spacing w:line="360" w:lineRule="auto"/>
        <w:rPr>
          <w:rFonts w:hAnsi="宋体" w:cs="宋体"/>
          <w:b/>
          <w:sz w:val="24"/>
          <w:szCs w:val="24"/>
        </w:rPr>
      </w:pPr>
      <w:r>
        <w:rPr>
          <w:rFonts w:hint="eastAsia" w:hAnsi="宋体" w:cs="宋体"/>
          <w:b/>
          <w:sz w:val="24"/>
          <w:szCs w:val="24"/>
        </w:rPr>
        <w:t>6.交易文件的获取</w:t>
      </w:r>
    </w:p>
    <w:p w14:paraId="6A4AE41D">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7114BF43">
      <w:pPr>
        <w:pStyle w:val="2"/>
        <w:spacing w:line="360" w:lineRule="auto"/>
        <w:rPr>
          <w:rFonts w:hAnsi="宋体" w:cs="宋体"/>
          <w:b/>
          <w:sz w:val="24"/>
          <w:szCs w:val="24"/>
        </w:rPr>
      </w:pPr>
      <w:r>
        <w:rPr>
          <w:rFonts w:hint="eastAsia" w:hAnsi="宋体" w:cs="宋体"/>
          <w:b/>
          <w:sz w:val="24"/>
          <w:szCs w:val="24"/>
        </w:rPr>
        <w:t>7.交易前答疑会或现场考察</w:t>
      </w:r>
    </w:p>
    <w:p w14:paraId="082F3DE2">
      <w:pPr>
        <w:pStyle w:val="2"/>
        <w:spacing w:line="360" w:lineRule="auto"/>
        <w:ind w:firstLine="480" w:firstLineChars="200"/>
        <w:rPr>
          <w:rFonts w:hAnsi="宋体" w:cs="宋体"/>
          <w:sz w:val="24"/>
          <w:szCs w:val="24"/>
        </w:rPr>
      </w:pPr>
      <w:r>
        <w:rPr>
          <w:rFonts w:hint="eastAsia" w:hAnsi="宋体" w:cs="宋体"/>
          <w:sz w:val="24"/>
          <w:szCs w:val="24"/>
        </w:rPr>
        <w:t>交易人组织潜在供应商现场考察或者召开交易前答疑会的，潜在供应商按第二部分供应商须知前附表的规定参加现场考察或者开标前答疑会。</w:t>
      </w:r>
    </w:p>
    <w:p w14:paraId="08EFB33A">
      <w:pPr>
        <w:pStyle w:val="2"/>
        <w:spacing w:line="360" w:lineRule="auto"/>
        <w:rPr>
          <w:rFonts w:hAnsi="宋体" w:cs="宋体"/>
          <w:b/>
          <w:szCs w:val="24"/>
        </w:rPr>
      </w:pPr>
      <w:r>
        <w:rPr>
          <w:rFonts w:hint="eastAsia" w:hAnsi="宋体" w:cs="宋体"/>
          <w:b/>
          <w:kern w:val="28"/>
          <w:sz w:val="24"/>
          <w:szCs w:val="24"/>
        </w:rPr>
        <w:t>8.交易保证金</w:t>
      </w:r>
    </w:p>
    <w:p w14:paraId="4DADF593">
      <w:pPr>
        <w:pStyle w:val="16"/>
        <w:spacing w:line="360" w:lineRule="auto"/>
        <w:ind w:firstLine="470" w:firstLineChars="196"/>
        <w:rPr>
          <w:rFonts w:hAnsi="宋体" w:cs="宋体"/>
          <w:color w:val="auto"/>
          <w:sz w:val="24"/>
        </w:rPr>
      </w:pPr>
      <w:r>
        <w:rPr>
          <w:rFonts w:hint="eastAsia" w:hAnsi="宋体" w:cs="宋体"/>
          <w:color w:val="auto"/>
          <w:sz w:val="24"/>
        </w:rPr>
        <w:t>本项目不需缴纳交易保证金。</w:t>
      </w:r>
    </w:p>
    <w:p w14:paraId="75A161D0">
      <w:pPr>
        <w:pStyle w:val="2"/>
        <w:spacing w:line="360" w:lineRule="auto"/>
        <w:rPr>
          <w:rFonts w:hAnsi="宋体" w:cs="宋体"/>
          <w:b/>
          <w:sz w:val="24"/>
          <w:szCs w:val="24"/>
        </w:rPr>
      </w:pPr>
      <w:r>
        <w:rPr>
          <w:rFonts w:hint="eastAsia" w:hAnsi="宋体" w:cs="宋体"/>
          <w:b/>
          <w:sz w:val="24"/>
          <w:szCs w:val="24"/>
        </w:rPr>
        <w:t>9.响应文件的语言</w:t>
      </w:r>
    </w:p>
    <w:p w14:paraId="0CDF5F9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响应文件及供应商与交易有关的来往通知、函件和文件均应使用中文。</w:t>
      </w:r>
    </w:p>
    <w:p w14:paraId="541D1524">
      <w:pPr>
        <w:pStyle w:val="2"/>
        <w:spacing w:line="360" w:lineRule="auto"/>
        <w:rPr>
          <w:rFonts w:hAnsi="宋体" w:cs="宋体"/>
          <w:b/>
          <w:sz w:val="24"/>
          <w:szCs w:val="24"/>
        </w:rPr>
      </w:pPr>
      <w:r>
        <w:rPr>
          <w:rFonts w:hint="eastAsia" w:hAnsi="宋体" w:cs="宋体"/>
          <w:b/>
          <w:sz w:val="24"/>
          <w:szCs w:val="24"/>
        </w:rPr>
        <w:t>10.响应文件的组成</w:t>
      </w:r>
    </w:p>
    <w:p w14:paraId="7DE8C541">
      <w:pPr>
        <w:snapToGrid w:val="0"/>
        <w:spacing w:line="360" w:lineRule="auto"/>
        <w:ind w:firstLine="482" w:firstLineChars="200"/>
        <w:rPr>
          <w:rFonts w:ascii="宋体" w:hAnsi="宋体" w:cs="宋体"/>
          <w:sz w:val="24"/>
        </w:rPr>
      </w:pPr>
      <w:r>
        <w:rPr>
          <w:rFonts w:hint="eastAsia" w:ascii="宋体" w:hAnsi="宋体" w:cs="宋体"/>
          <w:b/>
          <w:bCs/>
          <w:sz w:val="24"/>
        </w:rPr>
        <w:t>10.1</w:t>
      </w:r>
      <w:r>
        <w:rPr>
          <w:rFonts w:hint="eastAsia" w:ascii="宋体" w:hAnsi="宋体" w:cs="宋体"/>
          <w:b/>
          <w:sz w:val="24"/>
        </w:rPr>
        <w:t>资格文件</w:t>
      </w:r>
      <w:r>
        <w:rPr>
          <w:rFonts w:hint="eastAsia" w:ascii="宋体" w:hAnsi="宋体" w:cs="宋体"/>
          <w:sz w:val="24"/>
        </w:rPr>
        <w:t>：</w:t>
      </w:r>
    </w:p>
    <w:p w14:paraId="74069144">
      <w:pPr>
        <w:snapToGrid w:val="0"/>
        <w:spacing w:line="360" w:lineRule="auto"/>
        <w:ind w:firstLine="960" w:firstLineChars="400"/>
        <w:rPr>
          <w:rFonts w:ascii="宋体" w:hAnsi="宋体" w:cs="宋体"/>
          <w:sz w:val="24"/>
        </w:rPr>
      </w:pPr>
      <w:r>
        <w:rPr>
          <w:rFonts w:hint="eastAsia" w:ascii="宋体" w:hAnsi="宋体" w:cs="宋体"/>
          <w:sz w:val="24"/>
        </w:rPr>
        <w:t>10.1.1符合参加交易活动应当具备的一般条件的承诺函；</w:t>
      </w:r>
    </w:p>
    <w:p w14:paraId="6BDCC48B">
      <w:pPr>
        <w:snapToGrid w:val="0"/>
        <w:spacing w:line="360" w:lineRule="auto"/>
        <w:ind w:firstLine="960" w:firstLineChars="400"/>
        <w:rPr>
          <w:rFonts w:ascii="宋体" w:hAnsi="宋体" w:cs="宋体"/>
          <w:sz w:val="24"/>
        </w:rPr>
      </w:pPr>
      <w:r>
        <w:rPr>
          <w:rFonts w:hint="eastAsia" w:ascii="宋体" w:hAnsi="宋体" w:cs="宋体"/>
          <w:sz w:val="24"/>
        </w:rPr>
        <w:t>10.1.2本项目的特定资格要求</w:t>
      </w:r>
    </w:p>
    <w:p w14:paraId="45B15EFE">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0</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14:paraId="511C2C60">
      <w:pPr>
        <w:snapToGrid w:val="0"/>
        <w:spacing w:line="360" w:lineRule="auto"/>
        <w:ind w:firstLine="960" w:firstLineChars="400"/>
        <w:rPr>
          <w:rFonts w:ascii="宋体" w:hAnsi="宋体" w:cs="宋体"/>
          <w:sz w:val="24"/>
        </w:rPr>
      </w:pPr>
      <w:r>
        <w:rPr>
          <w:rFonts w:hint="eastAsia" w:ascii="宋体" w:hAnsi="宋体" w:cs="宋体"/>
          <w:sz w:val="24"/>
        </w:rPr>
        <w:t>10.2.1交易函；</w:t>
      </w:r>
    </w:p>
    <w:p w14:paraId="3B6C6037">
      <w:pPr>
        <w:snapToGrid w:val="0"/>
        <w:spacing w:line="360" w:lineRule="auto"/>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14:paraId="531268E2">
      <w:pPr>
        <w:snapToGrid w:val="0"/>
        <w:spacing w:line="360" w:lineRule="auto"/>
        <w:ind w:firstLine="960" w:firstLineChars="400"/>
        <w:rPr>
          <w:rFonts w:ascii="宋体" w:hAnsi="宋体" w:cs="宋体"/>
          <w:sz w:val="24"/>
        </w:rPr>
      </w:pPr>
      <w:r>
        <w:rPr>
          <w:rFonts w:hint="eastAsia" w:ascii="宋体" w:hAnsi="宋体" w:cs="宋体"/>
          <w:sz w:val="24"/>
        </w:rPr>
        <w:t>10.2.3营业执照；</w:t>
      </w:r>
    </w:p>
    <w:p w14:paraId="336DB630">
      <w:pPr>
        <w:snapToGrid w:val="0"/>
        <w:spacing w:line="360" w:lineRule="auto"/>
        <w:ind w:firstLine="960" w:firstLineChars="400"/>
        <w:rPr>
          <w:rFonts w:ascii="宋体" w:hAnsi="宋体" w:cs="宋体"/>
          <w:sz w:val="24"/>
        </w:rPr>
      </w:pPr>
      <w:r>
        <w:rPr>
          <w:rFonts w:hint="eastAsia" w:ascii="宋体" w:hAnsi="宋体" w:cs="宋体"/>
          <w:sz w:val="24"/>
        </w:rPr>
        <w:t>10.2.4符合性审查资料；</w:t>
      </w:r>
    </w:p>
    <w:p w14:paraId="4C86D0D0">
      <w:pPr>
        <w:snapToGrid w:val="0"/>
        <w:spacing w:line="360" w:lineRule="auto"/>
        <w:ind w:firstLine="960" w:firstLineChars="400"/>
        <w:rPr>
          <w:rFonts w:ascii="宋体" w:hAnsi="宋体" w:cs="宋体"/>
          <w:sz w:val="24"/>
        </w:rPr>
      </w:pPr>
      <w:r>
        <w:rPr>
          <w:rFonts w:hint="eastAsia" w:ascii="宋体" w:hAnsi="宋体" w:cs="宋体"/>
          <w:sz w:val="24"/>
        </w:rPr>
        <w:t>10.2.5评标标准相应的商务技术资料；</w:t>
      </w:r>
    </w:p>
    <w:p w14:paraId="2B642207">
      <w:pPr>
        <w:snapToGrid w:val="0"/>
        <w:spacing w:line="360" w:lineRule="auto"/>
        <w:ind w:firstLine="960" w:firstLineChars="400"/>
        <w:rPr>
          <w:rFonts w:ascii="宋体" w:hAnsi="宋体" w:cs="宋体"/>
          <w:sz w:val="24"/>
        </w:rPr>
      </w:pPr>
      <w:r>
        <w:rPr>
          <w:rFonts w:hint="eastAsia" w:ascii="宋体" w:hAnsi="宋体" w:cs="宋体"/>
          <w:sz w:val="24"/>
        </w:rPr>
        <w:t>10.2.6响应标的清单；</w:t>
      </w:r>
    </w:p>
    <w:p w14:paraId="6D67C01B">
      <w:pPr>
        <w:snapToGrid w:val="0"/>
        <w:spacing w:line="360" w:lineRule="auto"/>
        <w:ind w:firstLine="960" w:firstLineChars="400"/>
        <w:rPr>
          <w:rFonts w:ascii="宋体" w:hAnsi="宋体" w:cs="宋体"/>
          <w:sz w:val="24"/>
        </w:rPr>
      </w:pPr>
      <w:r>
        <w:rPr>
          <w:rFonts w:hint="eastAsia" w:ascii="宋体" w:hAnsi="宋体" w:cs="宋体"/>
          <w:sz w:val="24"/>
        </w:rPr>
        <w:t>10.2.7商务技术偏离表；</w:t>
      </w:r>
    </w:p>
    <w:p w14:paraId="3DE047F2">
      <w:pPr>
        <w:snapToGrid w:val="0"/>
        <w:spacing w:line="360" w:lineRule="auto"/>
        <w:ind w:firstLine="960" w:firstLineChars="400"/>
        <w:rPr>
          <w:rFonts w:ascii="宋体" w:hAnsi="宋体" w:cs="宋体"/>
          <w:sz w:val="24"/>
        </w:rPr>
      </w:pPr>
      <w:r>
        <w:rPr>
          <w:rFonts w:hint="eastAsia" w:ascii="宋体" w:hAnsi="宋体" w:cs="宋体"/>
          <w:sz w:val="24"/>
        </w:rPr>
        <w:t>10.2.8</w:t>
      </w:r>
      <w:r>
        <w:rPr>
          <w:rFonts w:hint="eastAsia" w:ascii="宋体" w:hAnsi="宋体" w:cs="宋体"/>
          <w:sz w:val="24"/>
          <w:lang w:val="zh-CN"/>
        </w:rPr>
        <w:t>供应商廉洁自律承诺书。</w:t>
      </w:r>
    </w:p>
    <w:p w14:paraId="1B6339DE">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w:t>
      </w:r>
      <w:r>
        <w:rPr>
          <w:rFonts w:hint="eastAsia" w:ascii="宋体" w:hAnsi="宋体" w:cs="宋体"/>
          <w:b/>
          <w:bCs/>
          <w:kern w:val="0"/>
          <w:sz w:val="24"/>
        </w:rPr>
        <w:t>0</w:t>
      </w:r>
      <w:r>
        <w:rPr>
          <w:rFonts w:hint="eastAsia" w:ascii="宋体" w:hAnsi="宋体" w:cs="宋体"/>
          <w:b/>
          <w:bCs/>
          <w:kern w:val="0"/>
          <w:sz w:val="24"/>
          <w:lang w:val="zh-CN"/>
        </w:rPr>
        <w:t>.</w:t>
      </w:r>
      <w:r>
        <w:rPr>
          <w:rFonts w:hint="eastAsia" w:ascii="宋体" w:hAnsi="宋体" w:cs="宋体"/>
          <w:b/>
          <w:bCs/>
          <w:kern w:val="0"/>
          <w:sz w:val="24"/>
        </w:rPr>
        <w:t>3</w:t>
      </w:r>
      <w:r>
        <w:rPr>
          <w:rFonts w:hint="eastAsia" w:ascii="宋体" w:hAnsi="宋体" w:cs="宋体"/>
          <w:b/>
          <w:bCs/>
          <w:sz w:val="24"/>
        </w:rPr>
        <w:t>报价文件：</w:t>
      </w:r>
    </w:p>
    <w:p w14:paraId="763B8B1E">
      <w:pPr>
        <w:snapToGrid w:val="0"/>
        <w:spacing w:line="360" w:lineRule="auto"/>
        <w:ind w:firstLine="960" w:firstLineChars="400"/>
        <w:rPr>
          <w:rFonts w:ascii="宋体" w:hAnsi="宋体" w:cs="宋体"/>
          <w:sz w:val="24"/>
        </w:rPr>
      </w:pPr>
      <w:r>
        <w:rPr>
          <w:rFonts w:hint="eastAsia" w:ascii="宋体" w:hAnsi="宋体" w:cs="宋体"/>
          <w:sz w:val="24"/>
        </w:rPr>
        <w:t>10.3.1交易一览表（报价表）。</w:t>
      </w:r>
    </w:p>
    <w:p w14:paraId="655972E9">
      <w:pPr>
        <w:spacing w:line="360" w:lineRule="auto"/>
        <w:ind w:firstLine="723" w:firstLineChars="300"/>
        <w:rPr>
          <w:rFonts w:ascii="宋体" w:hAnsi="宋体" w:cs="宋体"/>
          <w:b/>
          <w:sz w:val="24"/>
        </w:rPr>
      </w:pPr>
      <w:r>
        <w:rPr>
          <w:rFonts w:hint="eastAsia" w:ascii="宋体" w:hAnsi="宋体" w:cs="宋体"/>
          <w:b/>
          <w:sz w:val="24"/>
        </w:rPr>
        <w:t>响应文件含有交易人不能接受的附加条件的，交易无效；</w:t>
      </w:r>
    </w:p>
    <w:p w14:paraId="51B11F81">
      <w:pPr>
        <w:spacing w:line="360" w:lineRule="auto"/>
        <w:ind w:firstLine="723" w:firstLineChars="300"/>
        <w:rPr>
          <w:rFonts w:ascii="宋体" w:hAnsi="宋体" w:cs="宋体"/>
          <w:b/>
          <w:sz w:val="24"/>
          <w:szCs w:val="21"/>
        </w:rPr>
      </w:pPr>
      <w:r>
        <w:rPr>
          <w:rFonts w:hint="eastAsia" w:ascii="宋体" w:hAnsi="宋体" w:cs="宋体"/>
          <w:b/>
          <w:sz w:val="24"/>
        </w:rPr>
        <w:t>供应商提供虚假材料投标的，交易无效。</w:t>
      </w:r>
    </w:p>
    <w:p w14:paraId="1E0A5B0D">
      <w:pPr>
        <w:pStyle w:val="138"/>
        <w:snapToGrid w:val="0"/>
        <w:spacing w:before="0"/>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w:t>
      </w:r>
      <w:r>
        <w:rPr>
          <w:rFonts w:hint="eastAsia" w:ascii="宋体" w:hAnsi="宋体" w:cs="宋体"/>
          <w:b/>
          <w:szCs w:val="24"/>
        </w:rPr>
        <w:t>响应文件的编制</w:t>
      </w:r>
    </w:p>
    <w:p w14:paraId="43BAFA6F">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227FAD8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.2供应商进行电子投标应安装客户端软件—“乐采云电子交易客户端”，并按照交易文件和电子交易平台的要求编制并加密响应文件。供应商未按规定加密的响应文件，电子交易平台将拒收并提示。</w:t>
      </w:r>
    </w:p>
    <w:p w14:paraId="2C4F00B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114EA6B0">
      <w:pPr>
        <w:snapToGrid w:val="0"/>
        <w:spacing w:line="360" w:lineRule="auto"/>
        <w:rPr>
          <w:rFonts w:ascii="宋体" w:hAnsi="宋体" w:cs="宋体"/>
          <w:b/>
          <w:sz w:val="24"/>
        </w:rPr>
      </w:pPr>
      <w:r>
        <w:rPr>
          <w:rFonts w:hint="eastAsia" w:ascii="宋体" w:hAnsi="宋体" w:cs="宋体"/>
          <w:b/>
          <w:sz w:val="24"/>
        </w:rPr>
        <w:t>12.响应文件的签署、盖章</w:t>
      </w:r>
    </w:p>
    <w:p w14:paraId="5EFE67BF">
      <w:pPr>
        <w:pStyle w:val="138"/>
        <w:snapToGrid w:val="0"/>
        <w:spacing w:before="0"/>
        <w:ind w:firstLine="480"/>
        <w:rPr>
          <w:rFonts w:ascii="宋体" w:hAnsi="宋体" w:cs="宋体"/>
          <w:b/>
        </w:rPr>
      </w:pPr>
      <w:r>
        <w:rPr>
          <w:rFonts w:hint="eastAsia" w:ascii="宋体" w:hAnsi="宋体" w:cs="宋体"/>
          <w:szCs w:val="24"/>
        </w:rPr>
        <w:t>12.1响应文件按照交易文件第六部分格式要</w:t>
      </w:r>
      <w:r>
        <w:rPr>
          <w:rFonts w:hint="eastAsia" w:ascii="宋体" w:hAnsi="宋体" w:cs="宋体"/>
        </w:rPr>
        <w:t>求进行签署、盖章。</w:t>
      </w:r>
      <w:r>
        <w:rPr>
          <w:rFonts w:hint="eastAsia" w:ascii="宋体" w:hAnsi="宋体" w:cs="宋体"/>
          <w:b/>
        </w:rPr>
        <w:t>▲供应商的响应文件未按照交易文件要求签署、盖章的，其交易无效</w:t>
      </w:r>
      <w:r>
        <w:rPr>
          <w:rFonts w:hint="eastAsia" w:ascii="宋体" w:hAnsi="宋体" w:cs="宋体"/>
          <w:szCs w:val="24"/>
        </w:rPr>
        <w:t>。</w:t>
      </w:r>
    </w:p>
    <w:p w14:paraId="16CE1F87">
      <w:pPr>
        <w:pStyle w:val="138"/>
        <w:snapToGrid w:val="0"/>
        <w:spacing w:before="0"/>
        <w:ind w:firstLine="480"/>
        <w:rPr>
          <w:rFonts w:ascii="宋体" w:hAnsi="宋体" w:cs="宋体"/>
        </w:rPr>
      </w:pPr>
      <w:r>
        <w:rPr>
          <w:rFonts w:hint="eastAsia" w:ascii="宋体" w:hAnsi="宋体" w:cs="宋体"/>
        </w:rPr>
        <w:t>12.2为确保网上操作合法、有效和安全，供应商应当在投标截止时间前完成在“政府采购云平台”的身份认证，确保在电子投标过程中能够对相关数据电文进行加密和使用电子签名。</w:t>
      </w:r>
    </w:p>
    <w:p w14:paraId="1EF14198">
      <w:pPr>
        <w:pStyle w:val="138"/>
        <w:snapToGrid w:val="0"/>
        <w:spacing w:before="0"/>
        <w:ind w:firstLine="480"/>
        <w:rPr>
          <w:rFonts w:ascii="宋体" w:hAnsi="宋体" w:cs="宋体"/>
          <w:szCs w:val="24"/>
        </w:rPr>
      </w:pPr>
      <w:r>
        <w:rPr>
          <w:rFonts w:hint="eastAsia" w:ascii="宋体" w:hAnsi="宋体" w:cs="宋体"/>
        </w:rPr>
        <w:t>12.3交易文件对响应文件签署、盖章的要求适用于电子签名。</w:t>
      </w:r>
    </w:p>
    <w:p w14:paraId="3C425A13">
      <w:pPr>
        <w:pStyle w:val="138"/>
        <w:spacing w:before="0"/>
        <w:ind w:firstLine="0" w:firstLineChars="0"/>
        <w:rPr>
          <w:rFonts w:ascii="宋体" w:hAnsi="宋体" w:cs="宋体"/>
          <w:b/>
          <w:szCs w:val="24"/>
        </w:rPr>
      </w:pPr>
      <w:r>
        <w:rPr>
          <w:rFonts w:hint="eastAsia" w:ascii="宋体" w:hAnsi="宋体" w:cs="宋体"/>
          <w:b/>
          <w:szCs w:val="24"/>
        </w:rPr>
        <w:t>13.响应文件的提交、补充、修改、撤回</w:t>
      </w:r>
    </w:p>
    <w:p w14:paraId="79353CB5">
      <w:pPr>
        <w:pStyle w:val="138"/>
        <w:ind w:firstLine="480"/>
        <w:rPr>
          <w:rFonts w:ascii="宋体" w:hAnsi="宋体" w:cs="宋体"/>
          <w:szCs w:val="24"/>
        </w:rPr>
      </w:pPr>
      <w:r>
        <w:rPr>
          <w:rFonts w:hint="eastAsia" w:ascii="宋体" w:hAnsi="宋体" w:cs="宋体"/>
          <w:szCs w:val="24"/>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38B573AF">
      <w:pPr>
        <w:pStyle w:val="138"/>
        <w:spacing w:before="0"/>
        <w:ind w:firstLine="480"/>
        <w:rPr>
          <w:rFonts w:ascii="宋体" w:hAnsi="宋体" w:cs="宋体"/>
          <w:szCs w:val="24"/>
        </w:rPr>
      </w:pPr>
      <w:r>
        <w:rPr>
          <w:rFonts w:hint="eastAsia" w:ascii="宋体" w:hAnsi="宋体" w:cs="宋体"/>
          <w:szCs w:val="24"/>
        </w:rPr>
        <w:t>13.2电子交易平台收到响应文件，将妥善保存并即时向供应商发出确认回执通知。在投标截止时间前，除供应商补充、修改或者撤回响应文件外，任何单位和个人不得解密或提取响应文件。</w:t>
      </w:r>
    </w:p>
    <w:p w14:paraId="55508FD5">
      <w:pPr>
        <w:pStyle w:val="138"/>
        <w:spacing w:before="0"/>
        <w:ind w:firstLine="480"/>
        <w:rPr>
          <w:rFonts w:ascii="宋体" w:hAnsi="宋体" w:cs="宋体"/>
          <w:szCs w:val="24"/>
        </w:rPr>
      </w:pPr>
      <w:r>
        <w:rPr>
          <w:rFonts w:hint="eastAsia" w:ascii="宋体" w:hAnsi="宋体" w:cs="宋体"/>
          <w:szCs w:val="24"/>
        </w:rPr>
        <w:t>13.3交易人、采购机构可以视情况延长响应文件提交的截止时间。在上述情况下，采购机构与供应商以前在投标截止期方面的全部权利、责任和义务，将适用于延长至新的投标截止期。</w:t>
      </w:r>
    </w:p>
    <w:p w14:paraId="72259238">
      <w:pPr>
        <w:pStyle w:val="2"/>
        <w:numPr>
          <w:ilvl w:val="0"/>
          <w:numId w:val="1"/>
        </w:numPr>
        <w:spacing w:line="360" w:lineRule="auto"/>
        <w:rPr>
          <w:rFonts w:hAnsi="宋体" w:cs="宋体"/>
          <w:b/>
          <w:sz w:val="24"/>
          <w:szCs w:val="24"/>
        </w:rPr>
      </w:pPr>
      <w:r>
        <w:rPr>
          <w:rFonts w:hint="eastAsia" w:hAnsi="宋体" w:cs="宋体"/>
          <w:b/>
          <w:sz w:val="24"/>
          <w:szCs w:val="24"/>
        </w:rPr>
        <w:t>备份响应文件</w:t>
      </w:r>
    </w:p>
    <w:p w14:paraId="32F94B82">
      <w:pPr>
        <w:pStyle w:val="2"/>
        <w:spacing w:line="360" w:lineRule="auto"/>
        <w:ind w:firstLine="480" w:firstLineChars="200"/>
        <w:rPr>
          <w:rFonts w:hAnsi="宋体" w:cs="宋体"/>
          <w:b/>
          <w:sz w:val="24"/>
          <w:szCs w:val="24"/>
        </w:rPr>
      </w:pPr>
      <w:r>
        <w:rPr>
          <w:rFonts w:hint="eastAsia" w:hAnsi="宋体" w:cs="宋体"/>
          <w:kern w:val="28"/>
          <w:sz w:val="24"/>
          <w:szCs w:val="24"/>
        </w:rPr>
        <w:t>不收取备份响应文件</w:t>
      </w:r>
    </w:p>
    <w:p w14:paraId="36812F31">
      <w:pPr>
        <w:pStyle w:val="138"/>
        <w:spacing w:before="0"/>
        <w:ind w:firstLine="0" w:firstLineChars="0"/>
        <w:rPr>
          <w:rFonts w:ascii="宋体" w:hAnsi="宋体" w:cs="宋体"/>
          <w:b/>
          <w:szCs w:val="24"/>
        </w:rPr>
      </w:pPr>
      <w:r>
        <w:rPr>
          <w:rFonts w:hint="eastAsia" w:ascii="宋体" w:hAnsi="宋体" w:cs="宋体"/>
          <w:b/>
          <w:szCs w:val="24"/>
        </w:rPr>
        <w:t>15.响应文件的无效处理</w:t>
      </w:r>
    </w:p>
    <w:p w14:paraId="63F9D40B">
      <w:pPr>
        <w:pStyle w:val="17"/>
        <w:spacing w:line="360" w:lineRule="auto"/>
        <w:ind w:firstLine="360" w:firstLineChars="150"/>
        <w:rPr>
          <w:rFonts w:cs="宋体"/>
          <w:szCs w:val="21"/>
        </w:rPr>
      </w:pPr>
      <w:r>
        <w:rPr>
          <w:rFonts w:hint="eastAsia" w:cs="宋体"/>
          <w:szCs w:val="21"/>
        </w:rPr>
        <w:t>有交易文件第四部分</w:t>
      </w:r>
      <w:r>
        <w:rPr>
          <w:rFonts w:hint="eastAsia" w:cs="宋体"/>
        </w:rPr>
        <w:t>4.2规定</w:t>
      </w:r>
      <w:r>
        <w:rPr>
          <w:rFonts w:hint="eastAsia" w:cs="宋体"/>
          <w:szCs w:val="21"/>
        </w:rPr>
        <w:t>的情形之一的，交易无效：</w:t>
      </w:r>
    </w:p>
    <w:p w14:paraId="21E44B1F">
      <w:pPr>
        <w:pStyle w:val="138"/>
        <w:spacing w:before="0"/>
        <w:ind w:firstLine="0" w:firstLineChars="0"/>
        <w:rPr>
          <w:rFonts w:ascii="宋体" w:hAnsi="宋体" w:cs="宋体"/>
          <w:b/>
          <w:szCs w:val="24"/>
        </w:rPr>
      </w:pPr>
      <w:r>
        <w:rPr>
          <w:rFonts w:hint="eastAsia" w:ascii="宋体" w:hAnsi="宋体" w:cs="宋体"/>
          <w:b/>
          <w:szCs w:val="24"/>
        </w:rPr>
        <w:t>16.交易有效期</w:t>
      </w:r>
    </w:p>
    <w:p w14:paraId="02DF7218">
      <w:pPr>
        <w:spacing w:line="360" w:lineRule="auto"/>
        <w:ind w:firstLine="480" w:firstLineChars="200"/>
        <w:rPr>
          <w:rFonts w:ascii="宋体" w:hAnsi="宋体" w:cs="宋体"/>
          <w:b/>
          <w:sz w:val="24"/>
          <w:szCs w:val="21"/>
        </w:rPr>
      </w:pPr>
      <w:r>
        <w:rPr>
          <w:rFonts w:hint="eastAsia" w:ascii="宋体" w:hAnsi="宋体" w:cs="宋体"/>
          <w:sz w:val="24"/>
          <w:szCs w:val="20"/>
        </w:rPr>
        <w:t>16.1交易有效期为从提交响应文件的截止之日起90天。▲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诺的交易有效期少于交易文件中载明的交易有效期的，交易无效。</w:t>
      </w:r>
    </w:p>
    <w:p w14:paraId="7EC432F3">
      <w:pPr>
        <w:pStyle w:val="138"/>
        <w:spacing w:before="0"/>
        <w:ind w:firstLine="480"/>
        <w:rPr>
          <w:rFonts w:ascii="宋体" w:hAnsi="宋体" w:cs="宋体"/>
        </w:rPr>
      </w:pPr>
      <w:r>
        <w:rPr>
          <w:rFonts w:hint="eastAsia" w:ascii="宋体" w:hAnsi="宋体" w:cs="宋体"/>
        </w:rPr>
        <w:t>16.2响应文件合格投递后，自投标截止日期起，在交易有效期内有效。</w:t>
      </w:r>
    </w:p>
    <w:p w14:paraId="792FACCE">
      <w:pPr>
        <w:pStyle w:val="138"/>
        <w:spacing w:before="0"/>
        <w:ind w:firstLine="480"/>
        <w:rPr>
          <w:rFonts w:ascii="宋体" w:hAnsi="宋体" w:cs="宋体"/>
        </w:rPr>
      </w:pPr>
      <w:r>
        <w:rPr>
          <w:rFonts w:hint="eastAsia" w:ascii="宋体" w:hAnsi="宋体" w:cs="宋体"/>
        </w:rPr>
        <w:t>16.3在原定交易有效期满之前，如果出现特殊情况，采购机构可以以书面形式通知供应商延长交易有效期。供应商同意延长的，不得要求或被允许修改其响应文件，供应商拒绝延长的，其交易无效。</w:t>
      </w:r>
    </w:p>
    <w:p w14:paraId="5444EA44">
      <w:pPr>
        <w:pStyle w:val="138"/>
        <w:spacing w:before="0"/>
        <w:ind w:firstLine="643"/>
        <w:rPr>
          <w:rFonts w:ascii="宋体" w:hAnsi="宋体" w:cs="宋体"/>
          <w:b/>
          <w:sz w:val="32"/>
        </w:rPr>
      </w:pPr>
    </w:p>
    <w:p w14:paraId="6AB0F7A6">
      <w:pPr>
        <w:pStyle w:val="138"/>
        <w:spacing w:before="0"/>
        <w:ind w:firstLine="0" w:firstLineChars="0"/>
        <w:jc w:val="center"/>
        <w:rPr>
          <w:rFonts w:ascii="宋体" w:hAnsi="宋体" w:cs="宋体"/>
          <w:b/>
          <w:sz w:val="32"/>
        </w:rPr>
      </w:pPr>
      <w:r>
        <w:rPr>
          <w:rFonts w:hint="eastAsia" w:ascii="宋体" w:hAnsi="宋体" w:cs="宋体"/>
          <w:b/>
          <w:sz w:val="32"/>
        </w:rPr>
        <w:t>四、交易、资格审查</w:t>
      </w:r>
    </w:p>
    <w:p w14:paraId="35C7973B">
      <w:pPr>
        <w:pStyle w:val="560"/>
        <w:spacing w:before="0" w:line="360" w:lineRule="auto"/>
        <w:ind w:left="0" w:firstLine="0"/>
        <w:contextualSpacing/>
        <w:rPr>
          <w:rFonts w:ascii="宋体" w:hAnsi="宋体" w:cs="宋体"/>
          <w:b/>
          <w:kern w:val="2"/>
          <w:sz w:val="24"/>
          <w:szCs w:val="24"/>
        </w:rPr>
      </w:pPr>
      <w:r>
        <w:rPr>
          <w:rFonts w:hint="eastAsia" w:ascii="宋体" w:hAnsi="宋体" w:cs="宋体"/>
          <w:b/>
          <w:kern w:val="2"/>
          <w:sz w:val="24"/>
          <w:szCs w:val="24"/>
        </w:rPr>
        <w:t xml:space="preserve">17.交易 </w:t>
      </w:r>
    </w:p>
    <w:p w14:paraId="117B3F92">
      <w:pPr>
        <w:pStyle w:val="560"/>
        <w:spacing w:before="0" w:line="360" w:lineRule="auto"/>
        <w:ind w:left="0" w:firstLine="420" w:firstLineChars="175"/>
        <w:contextualSpacing/>
        <w:rPr>
          <w:rFonts w:ascii="宋体" w:hAnsi="宋体" w:cs="宋体"/>
          <w:sz w:val="24"/>
        </w:rPr>
      </w:pPr>
      <w:r>
        <w:rPr>
          <w:rFonts w:hint="eastAsia" w:ascii="宋体" w:hAnsi="宋体" w:cs="宋体"/>
          <w:sz w:val="24"/>
        </w:rPr>
        <w:t>17.1采购机构按照交易文件规定的时间通过电子交易平台组织开标，所有供应商均应当准时在线参加。</w:t>
      </w:r>
      <w:r>
        <w:rPr>
          <w:rFonts w:hint="eastAsia" w:ascii="宋体" w:hAnsi="宋体" w:cs="宋体"/>
          <w:sz w:val="24"/>
          <w:highlight w:val="none"/>
        </w:rPr>
        <w:t>供应商不足</w:t>
      </w:r>
      <w:r>
        <w:rPr>
          <w:rFonts w:hint="eastAsia" w:ascii="宋体" w:hAnsi="宋体" w:cs="宋体"/>
          <w:sz w:val="24"/>
          <w:highlight w:val="none"/>
          <w:lang w:val="en-US" w:eastAsia="zh-CN"/>
        </w:rPr>
        <w:t>3</w:t>
      </w:r>
      <w:r>
        <w:rPr>
          <w:rFonts w:hint="eastAsia" w:ascii="宋体" w:hAnsi="宋体" w:cs="宋体"/>
          <w:sz w:val="24"/>
          <w:highlight w:val="none"/>
        </w:rPr>
        <w:t>家的</w:t>
      </w:r>
      <w:r>
        <w:rPr>
          <w:rFonts w:hint="eastAsia" w:ascii="宋体" w:hAnsi="宋体" w:cs="宋体"/>
          <w:sz w:val="24"/>
        </w:rPr>
        <w:t>，不得开标。</w:t>
      </w:r>
    </w:p>
    <w:p w14:paraId="02D92979">
      <w:pPr>
        <w:pStyle w:val="560"/>
        <w:spacing w:before="0" w:line="360" w:lineRule="auto"/>
        <w:ind w:left="0" w:firstLine="420" w:firstLineChars="175"/>
        <w:contextualSpacing/>
        <w:rPr>
          <w:rFonts w:ascii="宋体" w:hAnsi="宋体" w:cs="宋体"/>
          <w:sz w:val="24"/>
        </w:rPr>
      </w:pPr>
      <w:r>
        <w:rPr>
          <w:rFonts w:hint="eastAsia" w:ascii="宋体" w:hAnsi="宋体" w:cs="宋体"/>
          <w:sz w:val="24"/>
        </w:rPr>
        <w:t>17.2交易时，电子交易平台按交易时间自动提取所有响应文件。采购机构依托电子交易平台发起开始解密指令，供应商按照平台提示和交易文件的规定在半小时内完成在线解密。</w:t>
      </w:r>
    </w:p>
    <w:p w14:paraId="7BB258A2">
      <w:pPr>
        <w:pStyle w:val="560"/>
        <w:spacing w:before="0" w:line="360" w:lineRule="auto"/>
        <w:ind w:left="0" w:firstLine="420" w:firstLineChars="175"/>
        <w:contextualSpacing/>
        <w:rPr>
          <w:rFonts w:ascii="宋体" w:hAnsi="宋体" w:cs="宋体"/>
          <w:b/>
          <w:sz w:val="24"/>
        </w:rPr>
      </w:pPr>
      <w:r>
        <w:rPr>
          <w:rFonts w:hint="eastAsia" w:ascii="宋体" w:hAnsi="宋体" w:cs="宋体"/>
          <w:sz w:val="24"/>
        </w:rPr>
        <w:t>17.3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61943B7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18、资格审查</w:t>
      </w:r>
    </w:p>
    <w:p w14:paraId="3101019F">
      <w:pPr>
        <w:pStyle w:val="138"/>
        <w:spacing w:before="0"/>
        <w:ind w:firstLine="480"/>
        <w:rPr>
          <w:rFonts w:ascii="宋体" w:hAnsi="宋体" w:cs="宋体"/>
          <w:kern w:val="0"/>
          <w:szCs w:val="24"/>
        </w:rPr>
      </w:pPr>
      <w:r>
        <w:rPr>
          <w:rFonts w:hint="eastAsia" w:ascii="宋体" w:hAnsi="宋体" w:cs="宋体"/>
          <w:kern w:val="0"/>
          <w:szCs w:val="24"/>
        </w:rPr>
        <w:t>18.1交易后，交易人或采购机构将依法对供应商的资格进行审查。</w:t>
      </w:r>
    </w:p>
    <w:p w14:paraId="67489868">
      <w:pPr>
        <w:snapToGrid w:val="0"/>
        <w:spacing w:line="360" w:lineRule="auto"/>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交易人或采购机构依据法律法规和交易文件的规定，对供应商的基本资格条件、特定资格条件进行审查。</w:t>
      </w:r>
    </w:p>
    <w:p w14:paraId="44B3CF09">
      <w:pPr>
        <w:pStyle w:val="138"/>
        <w:spacing w:before="0"/>
        <w:ind w:firstLine="480"/>
        <w:rPr>
          <w:rFonts w:ascii="宋体" w:hAnsi="宋体" w:cs="宋体"/>
        </w:rPr>
      </w:pPr>
      <w:r>
        <w:rPr>
          <w:rFonts w:hint="eastAsia" w:ascii="宋体" w:hAnsi="宋体" w:cs="宋体"/>
          <w:kern w:val="0"/>
          <w:szCs w:val="24"/>
        </w:rPr>
        <w:t>18.3供应商未按照交易文件要求提供与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供应商不具备交易文件中规定的资格要求，其交易无效。</w:t>
      </w:r>
    </w:p>
    <w:p w14:paraId="2D019A08">
      <w:pPr>
        <w:pStyle w:val="138"/>
        <w:spacing w:before="0"/>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4对未通过资格审查的供应商，交易人或采购机构告知其未通过的原因。</w:t>
      </w:r>
    </w:p>
    <w:p w14:paraId="0FFE2AE0">
      <w:pPr>
        <w:pStyle w:val="138"/>
        <w:spacing w:before="0"/>
        <w:ind w:firstLine="480"/>
        <w:rPr>
          <w:rFonts w:ascii="宋体" w:hAnsi="宋体" w:cs="宋体"/>
        </w:rPr>
      </w:pPr>
      <w:r>
        <w:rPr>
          <w:rFonts w:hint="eastAsia" w:ascii="宋体" w:hAnsi="宋体" w:cs="宋体"/>
          <w:kern w:val="0"/>
          <w:szCs w:val="24"/>
        </w:rPr>
        <w:t>18.</w:t>
      </w:r>
      <w:r>
        <w:rPr>
          <w:rFonts w:hint="eastAsia" w:ascii="宋体" w:hAnsi="宋体" w:cs="宋体"/>
        </w:rPr>
        <w:t>5</w:t>
      </w:r>
      <w:r>
        <w:rPr>
          <w:rFonts w:hint="eastAsia" w:ascii="宋体" w:hAnsi="宋体" w:cs="宋体"/>
          <w:highlight w:val="none"/>
        </w:rPr>
        <w:t>合格供应商不足</w:t>
      </w:r>
      <w:r>
        <w:rPr>
          <w:rFonts w:hint="eastAsia" w:ascii="宋体" w:hAnsi="宋体" w:cs="宋体"/>
          <w:highlight w:val="none"/>
          <w:lang w:val="en-US" w:eastAsia="zh-CN"/>
        </w:rPr>
        <w:t>3</w:t>
      </w:r>
      <w:r>
        <w:rPr>
          <w:rFonts w:hint="eastAsia" w:ascii="宋体" w:hAnsi="宋体" w:cs="宋体"/>
          <w:highlight w:val="none"/>
        </w:rPr>
        <w:t>家的</w:t>
      </w:r>
      <w:r>
        <w:rPr>
          <w:rFonts w:hint="eastAsia" w:ascii="宋体" w:hAnsi="宋体" w:cs="宋体"/>
        </w:rPr>
        <w:t>，不再评标。</w:t>
      </w:r>
    </w:p>
    <w:p w14:paraId="5CF39AA4">
      <w:pPr>
        <w:pStyle w:val="138"/>
        <w:spacing w:before="0"/>
        <w:ind w:firstLine="0" w:firstLineChars="0"/>
        <w:rPr>
          <w:rFonts w:ascii="宋体" w:hAnsi="宋体" w:cs="宋体"/>
          <w:kern w:val="0"/>
          <w:szCs w:val="24"/>
        </w:rPr>
      </w:pPr>
    </w:p>
    <w:p w14:paraId="343FE1E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五、评审</w:t>
      </w:r>
    </w:p>
    <w:p w14:paraId="0EBD8D14">
      <w:pPr>
        <w:spacing w:line="360" w:lineRule="auto"/>
        <w:rPr>
          <w:rFonts w:ascii="宋体" w:hAnsi="宋体" w:cs="宋体"/>
          <w:sz w:val="24"/>
        </w:rPr>
      </w:pPr>
      <w:bookmarkStart w:id="14" w:name="_Toc91899903"/>
      <w:r>
        <w:rPr>
          <w:rFonts w:hint="eastAsia" w:ascii="宋体" w:hAnsi="宋体" w:cs="宋体"/>
          <w:b/>
          <w:sz w:val="24"/>
        </w:rPr>
        <w:t>19.</w:t>
      </w:r>
      <w:r>
        <w:rPr>
          <w:rFonts w:hint="eastAsia" w:ascii="宋体" w:hAnsi="宋体" w:cs="宋体"/>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p>
    <w:p w14:paraId="4F9BC46D">
      <w:pPr>
        <w:spacing w:line="360" w:lineRule="auto"/>
        <w:rPr>
          <w:rFonts w:ascii="宋体" w:hAnsi="宋体" w:cs="宋体"/>
          <w:b/>
          <w:sz w:val="24"/>
        </w:rPr>
      </w:pPr>
      <w:r>
        <w:rPr>
          <w:rFonts w:hint="eastAsia" w:ascii="宋体" w:hAnsi="宋体" w:cs="宋体"/>
          <w:b/>
          <w:sz w:val="24"/>
        </w:rPr>
        <w:t>详见交易文件第四部分交易办法。</w:t>
      </w:r>
    </w:p>
    <w:p w14:paraId="3B8A3C67">
      <w:pPr>
        <w:spacing w:line="360" w:lineRule="auto"/>
        <w:rPr>
          <w:rFonts w:ascii="宋体" w:hAnsi="宋体" w:cs="宋体"/>
          <w:b/>
          <w:sz w:val="24"/>
        </w:rPr>
      </w:pPr>
    </w:p>
    <w:p w14:paraId="2705307C">
      <w:pPr>
        <w:snapToGrid w:val="0"/>
        <w:spacing w:line="360" w:lineRule="auto"/>
        <w:jc w:val="center"/>
        <w:outlineLvl w:val="0"/>
        <w:rPr>
          <w:rFonts w:hint="eastAsia" w:ascii="宋体" w:hAnsi="宋体" w:cs="宋体"/>
          <w:b/>
          <w:sz w:val="36"/>
          <w:szCs w:val="36"/>
        </w:rPr>
      </w:pPr>
    </w:p>
    <w:p w14:paraId="00849A5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14:paraId="65376BCC">
      <w:pPr>
        <w:pStyle w:val="17"/>
        <w:spacing w:line="360" w:lineRule="auto"/>
        <w:ind w:left="479" w:hanging="479" w:hangingChars="199"/>
        <w:rPr>
          <w:rFonts w:cs="宋体"/>
          <w:b/>
        </w:rPr>
      </w:pPr>
      <w:r>
        <w:rPr>
          <w:rFonts w:hint="eastAsia" w:cs="宋体"/>
          <w:b/>
        </w:rPr>
        <w:t>20.确定成交供应商</w:t>
      </w:r>
    </w:p>
    <w:p w14:paraId="0C5E2704">
      <w:pPr>
        <w:pStyle w:val="138"/>
        <w:snapToGrid w:val="0"/>
        <w:spacing w:before="0"/>
        <w:ind w:firstLine="480"/>
        <w:rPr>
          <w:rFonts w:ascii="宋体" w:hAnsi="宋体" w:cs="宋体"/>
          <w:b/>
          <w:szCs w:val="24"/>
        </w:rPr>
      </w:pPr>
      <w:r>
        <w:rPr>
          <w:rFonts w:hint="eastAsia" w:ascii="宋体" w:hAnsi="宋体" w:cs="宋体"/>
          <w:szCs w:val="24"/>
        </w:rPr>
        <w:t>交易人将自收到评审报告之日起5个工作日内通过电子交易平台在评审报告推荐的成交候选人中按顺序确定成交供应商。</w:t>
      </w:r>
    </w:p>
    <w:p w14:paraId="38FB4CC1">
      <w:pPr>
        <w:pStyle w:val="138"/>
        <w:snapToGrid w:val="0"/>
        <w:spacing w:before="0"/>
        <w:ind w:firstLine="0" w:firstLineChars="0"/>
        <w:rPr>
          <w:rFonts w:ascii="宋体" w:hAnsi="宋体" w:cs="宋体"/>
          <w:b/>
          <w:szCs w:val="24"/>
        </w:rPr>
      </w:pPr>
      <w:r>
        <w:rPr>
          <w:rFonts w:hint="eastAsia" w:ascii="宋体" w:hAnsi="宋体" w:cs="宋体"/>
          <w:b/>
          <w:szCs w:val="24"/>
        </w:rPr>
        <w:t>21.成交通知与成交结果公告</w:t>
      </w:r>
    </w:p>
    <w:p w14:paraId="31BB15DD">
      <w:pPr>
        <w:widowControl/>
        <w:shd w:val="clear" w:color="auto" w:fill="FFFFFF"/>
        <w:spacing w:line="360" w:lineRule="auto"/>
        <w:ind w:firstLine="480"/>
        <w:jc w:val="left"/>
        <w:rPr>
          <w:rFonts w:ascii="宋体" w:hAnsi="宋体" w:cs="宋体"/>
          <w:sz w:val="24"/>
        </w:rPr>
      </w:pPr>
      <w:r>
        <w:rPr>
          <w:rFonts w:hint="eastAsia" w:ascii="宋体" w:hAnsi="宋体" w:cs="宋体"/>
          <w:sz w:val="24"/>
        </w:rPr>
        <w:t>21.1自成交人确定之日起3天内，采购机构通过电子交易平台向成交人发出成交通知书，同时编制发布采购结果公告。采购机构也可以以纸质形式进行成交通知。</w:t>
      </w:r>
    </w:p>
    <w:p w14:paraId="1AC7F61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21.2成交结果公告内容包括交易人及其委托的采购机构的名称、地址、联系方式，项目名称和交易编号，成交人名称、地址和成交金额。</w:t>
      </w:r>
    </w:p>
    <w:p w14:paraId="1D880DA1">
      <w:pPr>
        <w:widowControl/>
        <w:shd w:val="clear" w:color="auto" w:fill="FFFFFF"/>
        <w:snapToGrid/>
        <w:spacing w:line="360" w:lineRule="auto"/>
        <w:ind w:left="0" w:leftChars="0" w:firstLine="480" w:firstLineChars="0"/>
        <w:jc w:val="left"/>
        <w:rPr>
          <w:rFonts w:hint="eastAsia" w:ascii="宋体" w:hAnsi="宋体" w:cs="宋体"/>
          <w:b w:val="0"/>
          <w:color w:val="auto"/>
          <w:sz w:val="24"/>
        </w:rPr>
      </w:pPr>
      <w:r>
        <w:rPr>
          <w:rFonts w:hint="eastAsia" w:ascii="宋体" w:hAnsi="宋体" w:cs="宋体"/>
          <w:color w:val="auto"/>
          <w:sz w:val="24"/>
          <w:lang w:val="en-US"/>
        </w:rPr>
        <w:t>21.3由于成交供应商原因导致重新采购的，应当承担支付代理费等费用在内的赔偿责任。</w:t>
      </w:r>
    </w:p>
    <w:p w14:paraId="5752889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A74AD4C">
      <w:pPr>
        <w:pStyle w:val="17"/>
        <w:spacing w:line="360" w:lineRule="auto"/>
        <w:ind w:left="479" w:hanging="479" w:hangingChars="199"/>
        <w:rPr>
          <w:rFonts w:cs="宋体"/>
          <w:b/>
        </w:rPr>
      </w:pPr>
      <w:r>
        <w:rPr>
          <w:rFonts w:hint="eastAsia" w:cs="宋体"/>
          <w:b/>
        </w:rPr>
        <w:t>22.</w:t>
      </w:r>
      <w:r>
        <w:rPr>
          <w:rFonts w:hint="eastAsia" w:cs="宋体"/>
        </w:rPr>
        <w:t>合同主要条款详见第五部分拟签订的合同文本。</w:t>
      </w:r>
    </w:p>
    <w:p w14:paraId="6401168A">
      <w:pPr>
        <w:pStyle w:val="17"/>
        <w:spacing w:line="360" w:lineRule="auto"/>
        <w:ind w:left="479" w:hanging="479" w:hangingChars="199"/>
        <w:rPr>
          <w:rFonts w:cs="宋体"/>
          <w:b/>
        </w:rPr>
      </w:pPr>
      <w:r>
        <w:rPr>
          <w:rFonts w:hint="eastAsia" w:cs="宋体"/>
          <w:b/>
        </w:rPr>
        <w:t>23.合同的签订</w:t>
      </w:r>
    </w:p>
    <w:p w14:paraId="14DBBB8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23.1</w:t>
      </w:r>
      <w:r>
        <w:rPr>
          <w:rFonts w:hint="eastAsia" w:ascii="宋体" w:hAnsi="宋体" w:cs="宋体"/>
          <w:kern w:val="0"/>
          <w:sz w:val="24"/>
        </w:rPr>
        <w:t xml:space="preserve"> 交易人与成交人应当通过电子交易平台在成交通知书发出之日起三十日内，按照交易文件确定的事项签订采购合同。</w:t>
      </w:r>
    </w:p>
    <w:p w14:paraId="30970411">
      <w:pPr>
        <w:pStyle w:val="138"/>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.2成交人按规定的日期、时间、地点，由法定代表人或其授权代表与交易人代表签订合同。如成交人为联合体的，由联合体成员各方法定代表人或其授权代表与交易人代表签订合同。</w:t>
      </w:r>
    </w:p>
    <w:p w14:paraId="3A4C6E40">
      <w:pPr>
        <w:pStyle w:val="138"/>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488A0160">
      <w:pPr>
        <w:pStyle w:val="138"/>
        <w:snapToGrid w:val="0"/>
        <w:spacing w:before="0"/>
        <w:ind w:firstLine="480"/>
        <w:rPr>
          <w:rFonts w:ascii="宋体" w:hAnsi="宋体" w:cs="宋体"/>
        </w:rPr>
      </w:pPr>
      <w:r>
        <w:rPr>
          <w:rFonts w:hint="eastAsia" w:ascii="宋体" w:hAnsi="宋体" w:cs="宋体"/>
        </w:rPr>
        <w:t>23.4成交供应商拒绝与交易人签订合同的，交易人可以按照评审报告推荐的</w:t>
      </w:r>
      <w:r>
        <w:rPr>
          <w:rFonts w:hint="eastAsia" w:ascii="宋体" w:hAnsi="宋体" w:cs="宋体"/>
          <w:kern w:val="0"/>
        </w:rPr>
        <w:t>成交</w:t>
      </w:r>
      <w:r>
        <w:rPr>
          <w:rFonts w:hint="eastAsia" w:ascii="宋体" w:hAnsi="宋体" w:cs="宋体"/>
        </w:rPr>
        <w:t>或者成交候选人名单排序，确定下一候选人为成交供应商，也可以重新开展采购活动。</w:t>
      </w:r>
    </w:p>
    <w:p w14:paraId="40DE78AE">
      <w:pPr>
        <w:pStyle w:val="138"/>
        <w:snapToGrid w:val="0"/>
        <w:spacing w:before="0" w:after="120"/>
        <w:ind w:firstLine="480"/>
        <w:rPr>
          <w:rFonts w:ascii="宋体" w:hAnsi="宋体" w:cs="宋体"/>
        </w:rPr>
      </w:pPr>
      <w:r>
        <w:rPr>
          <w:rFonts w:hint="eastAsia" w:ascii="宋体" w:hAnsi="宋体" w:cs="宋体"/>
        </w:rPr>
        <w:t>23.5采购合同由交易人与成交供应商根据交易文件、响应文件等内容通过政府采购电子交易平台在线签订，自动备案。</w:t>
      </w:r>
    </w:p>
    <w:p w14:paraId="22FEC1C6">
      <w:pPr>
        <w:pStyle w:val="17"/>
        <w:spacing w:line="360" w:lineRule="auto"/>
        <w:ind w:left="479" w:hanging="479" w:hangingChars="199"/>
        <w:rPr>
          <w:rFonts w:cs="宋体"/>
          <w:b/>
        </w:rPr>
      </w:pPr>
      <w:r>
        <w:rPr>
          <w:rFonts w:hint="eastAsia" w:cs="宋体"/>
          <w:b/>
        </w:rPr>
        <w:t>24.履约保证金</w:t>
      </w:r>
    </w:p>
    <w:p w14:paraId="6266B6B8">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。履约保证金的数额不得超过采购合同金额的1%。鼓励和支持供应商以银行、保险公司出具的保函形式提供履约保证金。</w:t>
      </w:r>
    </w:p>
    <w:p w14:paraId="4F3E0489">
      <w:pPr>
        <w:snapToGrid w:val="0"/>
        <w:spacing w:line="360" w:lineRule="auto"/>
        <w:ind w:firstLine="3357" w:firstLineChars="1045"/>
        <w:rPr>
          <w:rFonts w:ascii="宋体" w:hAnsi="宋体" w:cs="宋体"/>
          <w:b/>
          <w:sz w:val="32"/>
        </w:rPr>
      </w:pPr>
    </w:p>
    <w:p w14:paraId="73476661">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6B875870">
      <w:pPr>
        <w:pStyle w:val="13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5.电子交易活动的中止。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76F42ED1">
      <w:pPr>
        <w:pStyle w:val="138"/>
        <w:snapToGrid w:val="0"/>
        <w:spacing w:before="0"/>
        <w:ind w:firstLine="480"/>
        <w:rPr>
          <w:rFonts w:ascii="宋体" w:hAnsi="宋体" w:cs="宋体"/>
        </w:rPr>
      </w:pPr>
      <w:r>
        <w:rPr>
          <w:rFonts w:hint="eastAsia" w:ascii="宋体" w:hAnsi="宋体" w:cs="宋体"/>
        </w:rPr>
        <w:t xml:space="preserve">25.1电子交易平台发生故障而无法登录访问的； </w:t>
      </w:r>
    </w:p>
    <w:p w14:paraId="39118EB8">
      <w:pPr>
        <w:pStyle w:val="138"/>
        <w:snapToGrid w:val="0"/>
        <w:spacing w:before="0"/>
        <w:ind w:firstLine="480"/>
        <w:rPr>
          <w:rFonts w:ascii="宋体" w:hAnsi="宋体" w:cs="宋体"/>
        </w:rPr>
      </w:pPr>
      <w:r>
        <w:rPr>
          <w:rFonts w:hint="eastAsia" w:ascii="宋体" w:hAnsi="宋体" w:cs="宋体"/>
        </w:rPr>
        <w:t>25.2电子交易平台应用或数据库出现错误，不能进行正常操作的；</w:t>
      </w:r>
    </w:p>
    <w:p w14:paraId="52607EBC">
      <w:pPr>
        <w:pStyle w:val="138"/>
        <w:snapToGrid w:val="0"/>
        <w:spacing w:before="0"/>
        <w:ind w:firstLine="480"/>
        <w:rPr>
          <w:rFonts w:ascii="宋体" w:hAnsi="宋体" w:cs="宋体"/>
        </w:rPr>
      </w:pPr>
      <w:r>
        <w:rPr>
          <w:rFonts w:hint="eastAsia" w:ascii="宋体" w:hAnsi="宋体" w:cs="宋体"/>
        </w:rPr>
        <w:t>25.3电子交易平台发现严重安全漏洞，有潜在泄密危险的；</w:t>
      </w:r>
    </w:p>
    <w:p w14:paraId="4B932D25">
      <w:pPr>
        <w:pStyle w:val="138"/>
        <w:snapToGrid w:val="0"/>
        <w:spacing w:before="0"/>
        <w:ind w:firstLine="480"/>
        <w:rPr>
          <w:rFonts w:ascii="宋体" w:hAnsi="宋体" w:cs="宋体"/>
        </w:rPr>
      </w:pPr>
      <w:r>
        <w:rPr>
          <w:rFonts w:hint="eastAsia" w:ascii="宋体" w:hAnsi="宋体" w:cs="宋体"/>
        </w:rPr>
        <w:t xml:space="preserve">25.4病毒发作导致不能进行正常操作的； </w:t>
      </w:r>
    </w:p>
    <w:p w14:paraId="499D26A1">
      <w:pPr>
        <w:pStyle w:val="138"/>
        <w:snapToGrid w:val="0"/>
        <w:spacing w:before="0"/>
        <w:ind w:firstLine="480"/>
        <w:rPr>
          <w:rFonts w:ascii="宋体" w:hAnsi="宋体" w:cs="宋体"/>
        </w:rPr>
      </w:pPr>
      <w:r>
        <w:rPr>
          <w:rFonts w:hint="eastAsia" w:ascii="宋体" w:hAnsi="宋体" w:cs="宋体"/>
        </w:rPr>
        <w:t>25.5其他无法保证电子交易的公平、公正和安全的情况。</w:t>
      </w:r>
    </w:p>
    <w:p w14:paraId="2BFCE787">
      <w:pPr>
        <w:pStyle w:val="138"/>
        <w:snapToGrid w:val="0"/>
        <w:spacing w:before="0"/>
        <w:ind w:firstLine="0" w:firstLineChars="0"/>
        <w:rPr>
          <w:rFonts w:ascii="宋体" w:hAnsi="宋体" w:cs="宋体"/>
        </w:rPr>
      </w:pPr>
      <w:r>
        <w:rPr>
          <w:rFonts w:hint="eastAsia" w:ascii="宋体" w:hAnsi="宋体" w:cs="宋体"/>
          <w:b/>
          <w:bCs/>
        </w:rPr>
        <w:t>26.</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25EA5ABD">
      <w:pPr>
        <w:jc w:val="center"/>
        <w:rPr>
          <w:rFonts w:ascii="宋体" w:hAnsi="宋体" w:cs="宋体"/>
          <w:b/>
          <w:sz w:val="32"/>
        </w:rPr>
      </w:pPr>
      <w:r>
        <w:rPr>
          <w:rFonts w:hint="eastAsia" w:ascii="宋体" w:hAnsi="宋体" w:cs="宋体"/>
          <w:b/>
          <w:sz w:val="32"/>
          <w:lang w:val="en-US" w:eastAsia="zh-CN"/>
        </w:rPr>
        <w:t>九</w:t>
      </w:r>
      <w:r>
        <w:rPr>
          <w:rFonts w:hint="eastAsia" w:ascii="宋体" w:hAnsi="宋体" w:cs="宋体"/>
          <w:b/>
          <w:sz w:val="32"/>
        </w:rPr>
        <w:t>、验收</w:t>
      </w:r>
    </w:p>
    <w:p w14:paraId="559D013E">
      <w:pPr>
        <w:pStyle w:val="17"/>
        <w:spacing w:line="360" w:lineRule="auto"/>
        <w:ind w:firstLine="0" w:firstLineChars="0"/>
        <w:rPr>
          <w:rFonts w:cs="宋体"/>
          <w:b/>
        </w:rPr>
      </w:pPr>
      <w:r>
        <w:rPr>
          <w:rFonts w:hint="eastAsia" w:cs="宋体"/>
          <w:b/>
        </w:rPr>
        <w:t>27.验收</w:t>
      </w:r>
    </w:p>
    <w:p w14:paraId="519ACB78">
      <w:pPr>
        <w:tabs>
          <w:tab w:val="left" w:pos="0"/>
        </w:tabs>
        <w:spacing w:line="360" w:lineRule="auto"/>
        <w:ind w:firstLine="480"/>
        <w:jc w:val="left"/>
        <w:rPr>
          <w:rFonts w:ascii="宋体" w:hAnsi="宋体" w:cs="宋体"/>
          <w:kern w:val="0"/>
          <w:sz w:val="24"/>
        </w:rPr>
      </w:pPr>
      <w:r>
        <w:rPr>
          <w:rFonts w:hint="eastAsia" w:ascii="宋体" w:hAnsi="宋体" w:cs="宋体"/>
          <w:kern w:val="0"/>
          <w:sz w:val="24"/>
        </w:rPr>
        <w:t>27.1交易人应当组织对供应商履约的验收。</w:t>
      </w:r>
    </w:p>
    <w:p w14:paraId="4D990A5C">
      <w:pPr>
        <w:spacing w:line="360" w:lineRule="auto"/>
        <w:ind w:firstLine="480" w:firstLineChars="200"/>
        <w:rPr>
          <w:rFonts w:ascii="宋体" w:hAnsi="宋体" w:cs="宋体"/>
          <w:sz w:val="24"/>
        </w:rPr>
      </w:pPr>
      <w:r>
        <w:rPr>
          <w:rFonts w:hint="eastAsia" w:ascii="宋体" w:hAnsi="宋体" w:cs="宋体"/>
          <w:sz w:val="24"/>
        </w:rPr>
        <w:t>27.2、供货方交货前，应按照交易文件规定的标准对货物进行检验，整理检验文件并列出清单，该文件和清单应随货交付交易人，作为交易人验收和使用的技术依据。供货方向采购方交付货物设备后，应当负责对该设备进行安装和调试，直至达到约定的质量技术标准和使用性能。非经交易人同意，供货方擅自转托他人交货的，交易人有权拒收。因此构成供货方迟延交货的，供货方应承担违约责任。</w:t>
      </w:r>
    </w:p>
    <w:p w14:paraId="58210B9F">
      <w:pPr>
        <w:spacing w:line="360" w:lineRule="auto"/>
        <w:ind w:firstLine="480" w:firstLineChars="200"/>
        <w:rPr>
          <w:rFonts w:ascii="宋体" w:hAnsi="宋体" w:cs="宋体"/>
          <w:sz w:val="24"/>
        </w:rPr>
      </w:pPr>
      <w:r>
        <w:rPr>
          <w:rFonts w:hint="eastAsia" w:ascii="宋体" w:hAnsi="宋体" w:cs="宋体"/>
          <w:sz w:val="24"/>
        </w:rPr>
        <w:t xml:space="preserve">27.3、交易人按照《杭州市政府采购履约验收暂行办法》要求以及杭州市政府采购监管平台流程设置，对启动验收、制定验收方案、成立验收小组、出具验收报告、形成验收意见、作出验收评价的全过程验收情况进行记录。验收合格后，按合同要求交付并由交易人支付相应的采购资金。 </w:t>
      </w:r>
    </w:p>
    <w:p w14:paraId="5433819C">
      <w:pPr>
        <w:pStyle w:val="51"/>
        <w:spacing w:line="360" w:lineRule="auto"/>
        <w:ind w:left="0" w:leftChars="0" w:firstLine="480" w:firstLineChars="200"/>
      </w:pPr>
      <w:r>
        <w:rPr>
          <w:rFonts w:hint="eastAsia" w:ascii="宋体" w:hAnsi="宋体" w:cs="宋体"/>
          <w:sz w:val="24"/>
        </w:rPr>
        <w:t>27.4、交易对供货方提供的货物的验收，并不能排除供货方应当对货物瑕疵承担的担保责任。</w:t>
      </w:r>
    </w:p>
    <w:bookmarkEnd w:id="12"/>
    <w:bookmarkEnd w:id="13"/>
    <w:bookmarkEnd w:id="14"/>
    <w:p w14:paraId="7D28B8C6">
      <w:pPr>
        <w:rPr>
          <w:rFonts w:ascii="宋体" w:hAnsi="宋体" w:cs="宋体"/>
          <w:b/>
          <w:sz w:val="36"/>
          <w:szCs w:val="36"/>
        </w:rPr>
      </w:pPr>
      <w:bookmarkStart w:id="15" w:name="第四部分"/>
      <w:r>
        <w:rPr>
          <w:rFonts w:hint="eastAsia" w:ascii="宋体" w:hAnsi="宋体" w:cs="宋体"/>
          <w:b/>
          <w:sz w:val="36"/>
          <w:szCs w:val="36"/>
        </w:rPr>
        <w:br w:type="page"/>
      </w:r>
    </w:p>
    <w:p w14:paraId="6CA6C5C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14:paraId="2C3BF0B1">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971"/>
          <w:rFonts w:hint="eastAsia" w:ascii="宋体" w:hAnsi="宋体" w:eastAsia="宋体" w:cs="宋体"/>
          <w:i w:val="0"/>
          <w:iCs w:val="0"/>
          <w:color w:val="auto"/>
          <w:sz w:val="24"/>
          <w:szCs w:val="24"/>
          <w:highlight w:val="none"/>
          <w:shd w:val="clear" w:color="auto" w:fill="auto"/>
        </w:rPr>
      </w:pPr>
      <w:r>
        <w:rPr>
          <w:rStyle w:val="971"/>
          <w:rFonts w:hint="eastAsia" w:ascii="宋体" w:hAnsi="宋体" w:eastAsia="宋体" w:cs="宋体"/>
          <w:i w:val="0"/>
          <w:iCs w:val="0"/>
          <w:color w:val="auto"/>
          <w:sz w:val="24"/>
          <w:szCs w:val="24"/>
          <w:highlight w:val="none"/>
          <w:shd w:val="clear" w:color="auto" w:fill="auto"/>
        </w:rPr>
        <w:t>属于实质性要求条款的，请用符号“▲”标明，否则属于非实质性要求。</w:t>
      </w:r>
    </w:p>
    <w:p w14:paraId="79BF2130">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971"/>
          <w:rFonts w:hint="eastAsia" w:ascii="宋体" w:hAnsi="宋体" w:eastAsia="宋体" w:cs="宋体"/>
          <w:i w:val="0"/>
          <w:iCs w:val="0"/>
          <w:color w:val="auto"/>
          <w:sz w:val="24"/>
          <w:szCs w:val="24"/>
          <w:highlight w:val="none"/>
          <w:shd w:val="clear" w:color="auto" w:fill="auto"/>
        </w:rPr>
      </w:pPr>
      <w:r>
        <w:rPr>
          <w:rStyle w:val="971"/>
          <w:rFonts w:hint="eastAsia" w:ascii="宋体" w:hAnsi="宋体" w:eastAsia="宋体" w:cs="宋体"/>
          <w:i w:val="0"/>
          <w:iCs w:val="0"/>
          <w:color w:val="auto"/>
          <w:sz w:val="24"/>
          <w:szCs w:val="24"/>
          <w:highlight w:val="none"/>
          <w:shd w:val="clear" w:color="auto" w:fill="auto"/>
        </w:rPr>
        <w:t>“★”系产品采购项目中单一产品或核心产品。</w:t>
      </w:r>
    </w:p>
    <w:p w14:paraId="24232DCD">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14:paraId="0E9837E8">
      <w:pPr>
        <w:spacing w:after="12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lang w:val="en-US" w:eastAsia="zh-CN"/>
        </w:rPr>
        <w:t>1</w:t>
      </w:r>
    </w:p>
    <w:tbl>
      <w:tblPr>
        <w:tblStyle w:val="64"/>
        <w:tblW w:w="9765" w:type="dxa"/>
        <w:jc w:val="center"/>
        <w:tblLayout w:type="fixed"/>
        <w:tblCellMar>
          <w:top w:w="0" w:type="dxa"/>
          <w:left w:w="0" w:type="dxa"/>
          <w:bottom w:w="0" w:type="dxa"/>
          <w:right w:w="0" w:type="dxa"/>
        </w:tblCellMar>
      </w:tblPr>
      <w:tblGrid>
        <w:gridCol w:w="647"/>
        <w:gridCol w:w="4467"/>
        <w:gridCol w:w="1973"/>
        <w:gridCol w:w="756"/>
        <w:gridCol w:w="756"/>
        <w:gridCol w:w="1166"/>
      </w:tblGrid>
      <w:tr w14:paraId="1396B607">
        <w:tblPrEx>
          <w:tblCellMar>
            <w:top w:w="0" w:type="dxa"/>
            <w:left w:w="0" w:type="dxa"/>
            <w:bottom w:w="0" w:type="dxa"/>
            <w:right w:w="0" w:type="dxa"/>
          </w:tblCellMar>
        </w:tblPrEx>
        <w:trPr>
          <w:cantSplit/>
          <w:trHeight w:val="833" w:hRule="atLeast"/>
          <w:jc w:val="center"/>
        </w:trPr>
        <w:tc>
          <w:tcPr>
            <w:tcW w:w="6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21C5B1">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44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20332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5C63B1E">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5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FB6AA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ADF7A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66" w:type="dxa"/>
            <w:tcBorders>
              <w:top w:val="single" w:color="auto" w:sz="4" w:space="0"/>
              <w:left w:val="nil"/>
              <w:bottom w:val="single" w:color="auto" w:sz="4" w:space="0"/>
              <w:right w:val="single" w:color="auto" w:sz="4" w:space="0"/>
            </w:tcBorders>
            <w:noWrap w:val="0"/>
            <w:vAlign w:val="center"/>
          </w:tcPr>
          <w:p w14:paraId="6843BD4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3AB6CE7">
        <w:tblPrEx>
          <w:tblCellMar>
            <w:top w:w="0" w:type="dxa"/>
            <w:left w:w="0" w:type="dxa"/>
            <w:bottom w:w="0" w:type="dxa"/>
            <w:right w:w="0" w:type="dxa"/>
          </w:tblCellMar>
        </w:tblPrEx>
        <w:trPr>
          <w:cantSplit/>
          <w:trHeight w:val="1436" w:hRule="atLeast"/>
          <w:jc w:val="center"/>
        </w:trPr>
        <w:tc>
          <w:tcPr>
            <w:tcW w:w="6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560C5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4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AF3E37D">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闻堰街道企业安全生产社会化服务采购项目（重新交易） </w:t>
            </w:r>
          </w:p>
        </w:tc>
        <w:tc>
          <w:tcPr>
            <w:tcW w:w="19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D46A7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5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E2714D">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7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DE54F3">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66" w:type="dxa"/>
            <w:tcBorders>
              <w:top w:val="single" w:color="auto" w:sz="4" w:space="0"/>
              <w:left w:val="nil"/>
              <w:bottom w:val="single" w:color="auto" w:sz="4" w:space="0"/>
              <w:right w:val="single" w:color="auto" w:sz="4" w:space="0"/>
            </w:tcBorders>
            <w:noWrap w:val="0"/>
            <w:vAlign w:val="center"/>
          </w:tcPr>
          <w:p w14:paraId="4D0D903C">
            <w:pPr>
              <w:spacing w:line="240" w:lineRule="auto"/>
              <w:jc w:val="center"/>
              <w:rPr>
                <w:rFonts w:hint="default" w:ascii="宋体" w:hAnsi="宋体" w:eastAsia="宋体" w:cs="宋体"/>
                <w:color w:val="auto"/>
                <w:sz w:val="24"/>
                <w:highlight w:val="none"/>
                <w:lang w:val="en-US" w:eastAsia="zh-CN"/>
              </w:rPr>
            </w:pPr>
          </w:p>
        </w:tc>
      </w:tr>
    </w:tbl>
    <w:p w14:paraId="5E943B5B">
      <w:pPr>
        <w:rPr>
          <w:rFonts w:hint="eastAsia" w:ascii="宋体" w:hAnsi="宋体"/>
          <w:sz w:val="36"/>
          <w:szCs w:val="36"/>
        </w:rPr>
      </w:pPr>
    </w:p>
    <w:p w14:paraId="342A2684">
      <w:pPr>
        <w:numPr>
          <w:ilvl w:val="0"/>
          <w:numId w:val="0"/>
        </w:numPr>
        <w:spacing w:line="360" w:lineRule="auto"/>
        <w:ind w:left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交易需求</w:t>
      </w:r>
    </w:p>
    <w:p w14:paraId="28B846B9">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一、技术需求</w:t>
      </w:r>
    </w:p>
    <w:p w14:paraId="72E8637B">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为加强安全生产监管水平，充分利用第三方服务机构在安全生产技术、人才和服务等方面的资源优势，为企业实现本质化安全提供有力的技术支撑，督促和引导企业真正落实主体责任，经研究决定，采用公开招标方式开展</w:t>
      </w:r>
      <w:r>
        <w:rPr>
          <w:rFonts w:hint="eastAsia"/>
          <w:lang w:val="en-US" w:eastAsia="zh-CN"/>
        </w:rPr>
        <w:t>闻堰街道企业安全生产社会化服务采购项目（重新交易）</w:t>
      </w:r>
      <w:r>
        <w:rPr>
          <w:rFonts w:hint="default"/>
          <w:lang w:val="en-US" w:eastAsia="zh-CN"/>
        </w:rPr>
        <w:t>工作，具体要求如下：</w:t>
      </w:r>
    </w:p>
    <w:p w14:paraId="0FE0CCA0">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（一）项目名称：</w:t>
      </w:r>
      <w:r>
        <w:rPr>
          <w:rFonts w:hint="eastAsia"/>
          <w:lang w:val="en-US" w:eastAsia="zh-CN"/>
        </w:rPr>
        <w:t>闻堰街道企业安全生产社会化服务采购项目（重新交易）</w:t>
      </w:r>
      <w:r>
        <w:rPr>
          <w:rFonts w:hint="default"/>
          <w:lang w:val="en-US" w:eastAsia="zh-CN"/>
        </w:rPr>
        <w:t>。</w:t>
      </w:r>
    </w:p>
    <w:p w14:paraId="03F29E48">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（二）人员配置要求</w:t>
      </w:r>
    </w:p>
    <w:p w14:paraId="057852F7">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eastAsia"/>
          <w:lang w:val="en-US" w:eastAsia="zh-CN"/>
        </w:rPr>
        <w:t>1、</w:t>
      </w:r>
      <w:r>
        <w:rPr>
          <w:rFonts w:hint="default"/>
          <w:lang w:val="en-US" w:eastAsia="zh-CN"/>
        </w:rPr>
        <w:t>符合《萧山区应急管理局关于发布萧山区安全生产社会化服务指南（试行）的通知》要求。</w:t>
      </w:r>
    </w:p>
    <w:p w14:paraId="01EFDEEB">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highlight w:val="none"/>
          <w:lang w:val="en-US" w:eastAsia="zh-CN"/>
        </w:rPr>
      </w:pPr>
      <w:r>
        <w:rPr>
          <w:rStyle w:val="971"/>
          <w:rFonts w:hint="eastAsia" w:ascii="宋体" w:hAnsi="宋体" w:eastAsia="宋体" w:cs="宋体"/>
          <w:i w:val="0"/>
          <w:iCs w:val="0"/>
          <w:color w:val="auto"/>
          <w:sz w:val="24"/>
          <w:szCs w:val="24"/>
          <w:highlight w:val="none"/>
          <w:shd w:val="clear" w:color="auto" w:fill="auto"/>
        </w:rPr>
        <w:t>▲</w:t>
      </w:r>
      <w:r>
        <w:rPr>
          <w:rStyle w:val="971"/>
          <w:rFonts w:hint="eastAsia" w:hAnsi="宋体" w:cs="宋体"/>
          <w:i w:val="0"/>
          <w:iCs w:val="0"/>
          <w:color w:val="auto"/>
          <w:sz w:val="24"/>
          <w:szCs w:val="24"/>
          <w:highlight w:val="none"/>
          <w:shd w:val="clear" w:color="auto" w:fill="auto"/>
          <w:lang w:val="en-US" w:eastAsia="zh-CN"/>
        </w:rPr>
        <w:t>2、</w:t>
      </w:r>
      <w:r>
        <w:rPr>
          <w:rFonts w:hint="default"/>
          <w:b/>
          <w:bCs/>
          <w:highlight w:val="none"/>
          <w:lang w:val="en-US" w:eastAsia="zh-CN"/>
        </w:rPr>
        <w:t>每次服务专业技术人员不得少于2人，在服务周期内要根据企业生产实际确保各专业全覆盖。拟派项目负责人必须具备注册安全工程师资质</w:t>
      </w:r>
      <w:r>
        <w:rPr>
          <w:rFonts w:hint="default"/>
          <w:highlight w:val="none"/>
          <w:lang w:val="en-US" w:eastAsia="zh-CN"/>
        </w:rPr>
        <w:t>。</w:t>
      </w:r>
    </w:p>
    <w:p w14:paraId="3424D2BB">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（三）服务对象</w:t>
      </w:r>
    </w:p>
    <w:p w14:paraId="45DB7E5A">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闻堰街道2025年社会化服务企业：约110家。其中规模以上及部分重点监管企业40家；规模以下企业约70家。(以实际服务数量为准)。</w:t>
      </w:r>
    </w:p>
    <w:p w14:paraId="6F88926E">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（四）服务内容和要求</w:t>
      </w:r>
    </w:p>
    <w:p w14:paraId="45E78255">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服务内容：</w:t>
      </w:r>
    </w:p>
    <w:p w14:paraId="3D7BAD95">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1.每四个月对辖区内约110家企业进行一次闭环式的安全生产隐患诊断，并为企业整改提供技术服务指导；2.每年组织企业员工开展一次安全教育培训；3.每年指导企业开展一次安全生产应急演练；4.配合街道开展节点性安全生产专项检查6次；5.指导企业建立健全安全生产管理台账；6.协助企业完成工业在线每季度风险普查、常普常新以及每月一次的隐患自查工作，同时对新增企业做好线上填报指导和线下核验工作。</w:t>
      </w:r>
    </w:p>
    <w:p w14:paraId="00BC9A6C">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作为采购人聘请的专业化安全生产服务机构，应协助采购人做好全域性的安全生产指导监督检查工作，安全生产服务范围、内容不仅限于计价范围内企业和内容，应服从采购人在安全生产领域内其他任务需要。</w:t>
      </w:r>
    </w:p>
    <w:p w14:paraId="4A4E005B">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服务要求：</w:t>
      </w:r>
    </w:p>
    <w:p w14:paraId="26147C5A">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1.中标签订服务合同后，要制订详细服务计划，包括检查组别、人员、时间、频次、内容和标准，制定详细服务流程、检查表、服务结果反馈表等。</w:t>
      </w:r>
    </w:p>
    <w:p w14:paraId="77044FAA">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2.服务机构要以科学严谨的工作态度，文明、优质，高效的工作作风，认真履行服务程序，如实反映被服务企业安全生产中存在的问题和隐患，提出合理并切实可行的整改意见或建议，帮助被服务企业解决安全生产中存在的问题，检查不得走过场，不得弄虚作假，不得隐瞒真实情况，对服务报告的真实性负法律责任。</w:t>
      </w:r>
    </w:p>
    <w:p w14:paraId="6643019E">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3.服务过程中要详细了解企业情况，建立企业“一企一档”资料，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及时填写隐患报告表报所在街道安监部门。</w:t>
      </w:r>
    </w:p>
    <w:p w14:paraId="5E8EAC4F">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4.服务机构应每四个月向街道安监部门报送服务信息，服务信息应包括工作开展情况、存在的问题和取得的效果。服务期最后一月应向街道安监部门报送总结报告。服务机构应对其报送的信息的真实性负责。</w:t>
      </w:r>
    </w:p>
    <w:p w14:paraId="3495C5AF">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5.服务机构对各企业排查出的事故隐患和闭环整改情况，应及时线上申报登记（工业在线）。</w:t>
      </w:r>
    </w:p>
    <w:p w14:paraId="35F207EF">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6.每一轮隐患排查服务分为四个阶段：</w:t>
      </w:r>
    </w:p>
    <w:p w14:paraId="4E12AFCB">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6.1.安全隐患排查阶段。服务机构组织好相关专家，到甲方指定企业（场所），对照安全生产有关法律法规和标准，重点对企业消防安全、危化品的存储和使用、特种设备和机械设备安全、电气安全、作业安全、风险识别告知、安全警示标志、职业病防护、应急救援、安全教育培训等内容开展全面彻底排查。</w:t>
      </w:r>
    </w:p>
    <w:p w14:paraId="74AB4352">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6.2.出具报告阶段。服务机构根据现场排摸情况，对照国家安全技术规范，列出安全隐患清单，由企业签字确认后立即在现场交给企业要求予以整改。三个工作日内出具详细安全隐患排查诊断报告[规上一式二份（街道安监部门、企业各一份），规下一式三份（街道安监部门、行政村、企业各一份）]，报告内容包括存在问题图片和文字说明、整改意见和整改依据。</w:t>
      </w:r>
    </w:p>
    <w:p w14:paraId="130253DA">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6.3.整改提升阶段。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并及时填写隐患报告表报所在地街道安监部门。</w:t>
      </w:r>
    </w:p>
    <w:p w14:paraId="64DDCACF">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6.4.执法处置阶段。对企业整改不及时或者消极对待的，由街道安监办上报相关执法部门，依法进行处理，确保安全隐患彻底消除。</w:t>
      </w:r>
    </w:p>
    <w:p w14:paraId="7DB6F67C">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7.服务工时要求：</w:t>
      </w:r>
    </w:p>
    <w:p w14:paraId="68C8E401">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7.1.企业隐患排查服务：规上及重点监管企业每一轮服务时间不少于4个工时/次;规模以下企业每一轮服务时间不少于2工时/次。</w:t>
      </w:r>
    </w:p>
    <w:p w14:paraId="240A1F69">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7.2.企业员工安全生产教育培训：每年组织企业开展员工安全教育培训一次，培训时间不少于2个工时。</w:t>
      </w:r>
    </w:p>
    <w:p w14:paraId="595EEEC4">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规上企业需单独组织培训，规下企业可采取分片分类集中演练。</w:t>
      </w:r>
    </w:p>
    <w:p w14:paraId="64058E3E">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7.3.企业安全生产应急演练：每年组织企业开展应急演练一次，服务时间不少于2个工时。</w:t>
      </w:r>
    </w:p>
    <w:p w14:paraId="27286E82">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规上企业需单独组织演练，规下企业可采取分片分类集中演练。</w:t>
      </w:r>
    </w:p>
    <w:p w14:paraId="4269341F">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7.4.安全生产节点性专项检查，需根据采购人安排的时间、节点、人员要求，配合和指导采购人开展安全生产领域内的大检查，按每次专项检查专业技术人员不少于</w:t>
      </w:r>
      <w:r>
        <w:rPr>
          <w:rFonts w:hint="eastAsia"/>
          <w:lang w:val="en-US" w:eastAsia="zh-CN"/>
        </w:rPr>
        <w:t>2</w:t>
      </w:r>
      <w:r>
        <w:rPr>
          <w:rFonts w:hint="default"/>
          <w:lang w:val="en-US" w:eastAsia="zh-CN"/>
        </w:rPr>
        <w:t>人（32工时）。</w:t>
      </w:r>
    </w:p>
    <w:p w14:paraId="0D36FD56">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lang w:val="en-US" w:eastAsia="zh-CN"/>
        </w:rPr>
      </w:pPr>
      <w:r>
        <w:rPr>
          <w:rFonts w:hint="default"/>
          <w:lang w:val="en-US" w:eastAsia="zh-CN"/>
        </w:rPr>
        <w:t>8、服务机构需提供新能源汽车一辆供服务人员使用（车辆要求：里程数在5000公里之内，并办理保险等相关上路手续）。</w:t>
      </w:r>
    </w:p>
    <w:p w14:paraId="41BB9302">
      <w:pPr>
        <w:pStyle w:val="25"/>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hint="eastAsia"/>
          <w:lang w:val="en-US" w:eastAsia="zh-CN"/>
        </w:rPr>
      </w:pPr>
      <w:r>
        <w:rPr>
          <w:rFonts w:hint="eastAsia"/>
          <w:b/>
          <w:bCs/>
          <w:lang w:val="en-US" w:eastAsia="zh-CN"/>
        </w:rPr>
        <w:t>二、商务要求</w:t>
      </w:r>
    </w:p>
    <w:p w14:paraId="5794D5BF">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lang w:val="en-US" w:eastAsia="zh-CN"/>
        </w:rPr>
      </w:pPr>
      <w:r>
        <w:rPr>
          <w:rFonts w:hint="eastAsia"/>
          <w:lang w:val="en-US" w:eastAsia="zh-CN"/>
        </w:rPr>
        <w:t>1、服务时间及地点</w:t>
      </w:r>
    </w:p>
    <w:p w14:paraId="0413FE5C">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lang w:val="en-US" w:eastAsia="zh-CN"/>
        </w:rPr>
      </w:pPr>
      <w:r>
        <w:rPr>
          <w:rFonts w:hint="eastAsia"/>
          <w:lang w:val="en-US" w:eastAsia="zh-CN"/>
        </w:rPr>
        <w:t>(1)服务时间：一年（具体时间以合同签订为准）。</w:t>
      </w:r>
    </w:p>
    <w:p w14:paraId="1861250E">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lang w:val="en-US" w:eastAsia="zh-CN"/>
        </w:rPr>
      </w:pPr>
      <w:r>
        <w:rPr>
          <w:rFonts w:hint="eastAsia"/>
          <w:lang w:val="en-US" w:eastAsia="zh-CN"/>
        </w:rPr>
        <w:t>(2)服务地点：采购人指定地点。</w:t>
      </w:r>
    </w:p>
    <w:p w14:paraId="6CA28BEE">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宋体" w:hAnsi="宋体" w:eastAsia="宋体" w:cs="宋体"/>
          <w:color w:val="auto"/>
          <w:sz w:val="24"/>
        </w:rPr>
      </w:pPr>
      <w:r>
        <w:rPr>
          <w:rFonts w:hint="eastAsia"/>
          <w:lang w:val="en-US" w:eastAsia="zh-CN"/>
        </w:rPr>
        <w:t>(3)在服务期内中标人严格履行合同，如中标人在服务期内违反合同约定，招标人有权提前终止合同，并下年度不得参与交易。合同期满后，中标人需妥善处理退场移交、人员安置，如果出现劳资纠纷，责任在中标单位。</w:t>
      </w:r>
    </w:p>
    <w:p w14:paraId="6DB980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2.付款方式：</w:t>
      </w:r>
    </w:p>
    <w:p w14:paraId="5B2907D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服务半年后支付合同价的50%，服务期结束按照考核结果支付剩余款项（最终按实际服务数量和考核进行结算）</w:t>
      </w:r>
    </w:p>
    <w:p w14:paraId="334A93B1">
      <w:pPr>
        <w:pStyle w:val="25"/>
        <w:keepNext w:val="0"/>
        <w:keepLines w:val="0"/>
        <w:pageBreakBefore w:val="0"/>
        <w:widowControl w:val="0"/>
        <w:kinsoku/>
        <w:wordWrap/>
        <w:overflowPunct/>
        <w:topLinePunct w:val="0"/>
        <w:autoSpaceDE w:val="0"/>
        <w:autoSpaceDN w:val="0"/>
        <w:bidi w:val="0"/>
        <w:adjustRightInd/>
        <w:snapToGrid/>
        <w:ind w:firstLine="482" w:firstLineChars="200"/>
        <w:jc w:val="left"/>
        <w:textAlignment w:val="auto"/>
        <w:rPr>
          <w:rFonts w:hint="eastAsia"/>
        </w:rPr>
      </w:pPr>
      <w:r>
        <w:rPr>
          <w:rFonts w:hint="eastAsia"/>
          <w:b/>
          <w:bCs/>
          <w:lang w:val="en-US" w:eastAsia="zh-CN"/>
        </w:rPr>
        <w:t>三、</w:t>
      </w:r>
      <w:r>
        <w:rPr>
          <w:rFonts w:hint="eastAsia"/>
          <w:b/>
          <w:bCs/>
        </w:rPr>
        <w:t>考核办法</w:t>
      </w:r>
    </w:p>
    <w:p w14:paraId="333088AF">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街道安监办在服务期满后，根据安全生产社会化服务项目完成情况对服务机构服务质量进行考核。</w:t>
      </w:r>
    </w:p>
    <w:p w14:paraId="1955F16B">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（一）考核方式</w:t>
      </w:r>
    </w:p>
    <w:p w14:paraId="6AF53CA8">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采用工作考核（权重40%）、绩效考核（权重30%）、满意度考核（权重30%）的方式，具体考核细则如下：</w:t>
      </w:r>
    </w:p>
    <w:p w14:paraId="4000B1C5">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1.工作考核内容（40分）</w:t>
      </w:r>
    </w:p>
    <w:p w14:paraId="33793385">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（1）按要求提交服务方案和计划(6分)。服务机构未按时按要求提交服务方案和计划，开展技术服务工作的每次扣6分。</w:t>
      </w:r>
    </w:p>
    <w:p w14:paraId="4DF1256C">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 xml:space="preserve">（2）按招标文件要求落实服务人数，服务人员资质和服务时间（6分）。服务人数不足的、服务时间未达到规定时间的、擅自变更项目负责人或擅自调整其他人员的，每发现1次扣2分； </w:t>
      </w:r>
    </w:p>
    <w:p w14:paraId="78C79195">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（3）对被服务企业安全生产状况进行全面排查，出具书面整改报告(8分)。未对被服务企业安全生产状况进行全面排查的、未提拱具体整改措施的、整改建议缺乏针对性的，每发现1次扣2分。</w:t>
      </w:r>
    </w:p>
    <w:p w14:paraId="24D78155">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（4）每轮服务结束按时提交《 技术服务报告》（8分）。未按时间要求下发《技术服务报告》的、《技术服务报告》不完善的、企业相关负责人未签名确认的、未及时线上申报登记（工业在线）的，每发现一起扣2分。</w:t>
      </w:r>
    </w:p>
    <w:p w14:paraId="22D7D19B">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（5）对被服务企业进行整改闭环，对未整改闭环的需书面告知(6分)。未按规定时限完成闭环复查的、未向街道安监办出具书面告知的、未及时线上上报登记（工业在线）隐患闭环整改情况的，每发现1次扣2分。</w:t>
      </w:r>
    </w:p>
    <w:p w14:paraId="692082C8">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（6）按规定开展企业员工培训、应急演练及节点性专项检查（6分）。未按规定要求完成员工培训、应急演练及节点性专项检查的，每发现一次扣2分。</w:t>
      </w:r>
    </w:p>
    <w:p w14:paraId="3F308A33">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2.绩效考核内容（30分）</w:t>
      </w:r>
    </w:p>
    <w:p w14:paraId="1DBCB8A2">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（1）发生安全生产一般事故（8分）。企业发生因服务机构未按要求履行工作职责而造成的生产安全死亡事故或造成较大社会影响的其他事故的，扣除该被服务企业的服务费用，并扣8分。</w:t>
      </w:r>
    </w:p>
    <w:p w14:paraId="0E54FFA8">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（2）服务机构履责情况（8分）。企业发生因服务机构未按要求履行工作职责而造成被服务企业被安全生产监管部门行政处罚的，每次扣2分。</w:t>
      </w:r>
    </w:p>
    <w:p w14:paraId="325C77BD">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（3）服务合同履行完毕后，对被服务企业的安全状况做书面整体评价（6分）。无书面报告的、书面报告不完善的，每发现1家扣2分。</w:t>
      </w:r>
    </w:p>
    <w:p w14:paraId="18DC275E">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（4）服务合同履行完毕后，及时向街道安监办报送服务总结报告（8分）。无书面报告的、书面报告不完善的，扣8分。</w:t>
      </w:r>
    </w:p>
    <w:p w14:paraId="2AA45E98">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3.满意度考核（30分）</w:t>
      </w:r>
    </w:p>
    <w:p w14:paraId="79E43158">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（1）采购方对服务机构的服务效果进行满意评分(10分)。满意度评分在90分以上的不扣分，80-89分的扣2分，70-79分的扣4分，69分以下的扣10分。</w:t>
      </w:r>
    </w:p>
    <w:p w14:paraId="568846DF">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（2）企业对服务机构的服务效果进行满意评分(14分)。街道安监办抽取20家企业对服务机构的服务效果进行评分，每1家不满意的企业扣2分。</w:t>
      </w:r>
    </w:p>
    <w:p w14:paraId="01C8CC93">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（3）服务机构因服务质量、态度和纪律等被服务对象投诉的（6分），经查证属实的每起扣2分。</w:t>
      </w:r>
    </w:p>
    <w:p w14:paraId="2B661C78">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（二）考核结果</w:t>
      </w:r>
    </w:p>
    <w:p w14:paraId="7E1CE7F4">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服务期满后，结合服务机构服务企业实际数量，按照考核得分比例进行付款兑现。</w:t>
      </w:r>
    </w:p>
    <w:p w14:paraId="77522883">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考核总分100分，考核得分90分以上的，服务费根据合同价按照实际服务数量结算；得分90分以下的根据考核得分按比例扣减服务费。[扣减比例公式【（90-考评所得分）%】</w:t>
      </w:r>
    </w:p>
    <w:p w14:paraId="67820D51">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（三）一票否决情况</w:t>
      </w:r>
    </w:p>
    <w:p w14:paraId="5DC42EFA">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r>
        <w:rPr>
          <w:rFonts w:hint="eastAsia"/>
        </w:rPr>
        <w:t>发现服务机构存在：重大事故隐患应发现而未发现的、出具虚假报告、证明等材料的、强行或者变相强行推销商品和服务的、泄漏企业商业秘密或个人隐私等行为，一经查实确认，全额扣除被服务企业当年服务费用，并报有关部门进行处理。</w:t>
      </w:r>
    </w:p>
    <w:p w14:paraId="3DAD1F67">
      <w:pPr>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14:paraId="563C83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1、除标注的参考品牌外，欢迎其它能满足本项目技术需求且性能与所注品牌相当的产品参与。</w:t>
      </w:r>
    </w:p>
    <w:p w14:paraId="3968CD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2、如有附图，仅作参考。</w:t>
      </w:r>
    </w:p>
    <w:p w14:paraId="56886C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3、打▲内容为实质性要求，不允许有负偏离，否则将以涉及无效投标条款作无效投标。</w:t>
      </w:r>
    </w:p>
    <w:p w14:paraId="1C8DF42C">
      <w:pPr>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4、中标人所提供的货物、服务须与投标承诺一致，不得以次充好、偷工减料，若在项目验收中发现有上述情况，将向有关部门举报，根据相关规定进行处理。</w:t>
      </w:r>
    </w:p>
    <w:p w14:paraId="78D2B836">
      <w:pPr>
        <w:pStyle w:val="25"/>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rPr>
      </w:pPr>
    </w:p>
    <w:p w14:paraId="7E102858">
      <w:pPr>
        <w:pStyle w:val="25"/>
        <w:rPr>
          <w:rFonts w:hint="eastAsia" w:ascii="宋体" w:hAnsi="宋体" w:eastAsia="宋体" w:cs="宋体"/>
          <w:color w:val="auto"/>
          <w:sz w:val="24"/>
        </w:rPr>
      </w:pPr>
    </w:p>
    <w:p w14:paraId="2F164339">
      <w:pPr>
        <w:pStyle w:val="62"/>
        <w:jc w:val="center"/>
        <w:rPr>
          <w:rFonts w:hint="eastAsia"/>
        </w:rPr>
        <w:sectPr>
          <w:footerReference r:id="rId4" w:type="default"/>
          <w:pgSz w:w="11907" w:h="16840"/>
          <w:pgMar w:top="822" w:right="992" w:bottom="993" w:left="1276" w:header="426" w:footer="390" w:gutter="0"/>
          <w:pgNumType w:fmt="decimal" w:start="2"/>
          <w:cols w:space="720" w:num="1"/>
        </w:sectPr>
      </w:pPr>
    </w:p>
    <w:p w14:paraId="0B17E58E"/>
    <w:p w14:paraId="6A659A36">
      <w:pPr>
        <w:jc w:val="center"/>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16" w:name="_Toc184314417"/>
      <w:bookmarkEnd w:id="16"/>
      <w:bookmarkStart w:id="17" w:name="_Toc184312106"/>
      <w:bookmarkEnd w:id="17"/>
      <w:bookmarkStart w:id="18" w:name="_Toc184310300"/>
      <w:bookmarkEnd w:id="18"/>
      <w:bookmarkStart w:id="19" w:name="_Toc184308106"/>
      <w:bookmarkEnd w:id="19"/>
      <w:bookmarkStart w:id="20" w:name="_Toc184308100"/>
      <w:bookmarkEnd w:id="20"/>
      <w:bookmarkStart w:id="21" w:name="_Toc184313278"/>
      <w:bookmarkEnd w:id="21"/>
      <w:bookmarkStart w:id="22" w:name="_Toc184310276"/>
      <w:bookmarkEnd w:id="22"/>
      <w:bookmarkStart w:id="23" w:name="_Toc184314431"/>
      <w:bookmarkEnd w:id="23"/>
      <w:bookmarkStart w:id="24" w:name="_Toc184312075"/>
      <w:bookmarkEnd w:id="24"/>
      <w:bookmarkStart w:id="25" w:name="_Toc184308036"/>
      <w:bookmarkEnd w:id="25"/>
      <w:bookmarkStart w:id="26" w:name="_Toc184314428"/>
      <w:bookmarkEnd w:id="26"/>
      <w:bookmarkStart w:id="27" w:name="_Toc184314461"/>
      <w:bookmarkEnd w:id="27"/>
      <w:bookmarkStart w:id="28" w:name="_Toc184308060"/>
      <w:bookmarkEnd w:id="28"/>
      <w:bookmarkStart w:id="29" w:name="_Toc184308047"/>
      <w:bookmarkEnd w:id="29"/>
      <w:bookmarkStart w:id="30" w:name="_Toc184308057"/>
      <w:bookmarkEnd w:id="30"/>
      <w:bookmarkStart w:id="31" w:name="_Toc184308089"/>
      <w:bookmarkEnd w:id="31"/>
      <w:bookmarkStart w:id="32" w:name="_Toc184308067"/>
      <w:bookmarkEnd w:id="32"/>
      <w:bookmarkStart w:id="33" w:name="_Toc184308102"/>
      <w:bookmarkEnd w:id="33"/>
      <w:bookmarkStart w:id="34" w:name="_Toc184308072"/>
      <w:bookmarkEnd w:id="34"/>
      <w:bookmarkStart w:id="35" w:name="_Toc184308096"/>
      <w:bookmarkEnd w:id="35"/>
      <w:bookmarkStart w:id="36" w:name="_Toc184314424"/>
      <w:bookmarkEnd w:id="36"/>
      <w:bookmarkStart w:id="37" w:name="_Toc184310319"/>
      <w:bookmarkEnd w:id="37"/>
      <w:bookmarkStart w:id="38" w:name="_Toc184310313"/>
      <w:bookmarkEnd w:id="38"/>
      <w:bookmarkStart w:id="39" w:name="_Toc184313266"/>
      <w:bookmarkEnd w:id="39"/>
      <w:bookmarkStart w:id="40" w:name="_Toc184308101"/>
      <w:bookmarkEnd w:id="40"/>
      <w:bookmarkStart w:id="41" w:name="_Toc184308076"/>
      <w:bookmarkEnd w:id="41"/>
      <w:bookmarkStart w:id="42" w:name="_Toc184312086"/>
      <w:bookmarkEnd w:id="42"/>
      <w:bookmarkStart w:id="43" w:name="_Toc184313246"/>
      <w:bookmarkEnd w:id="43"/>
      <w:bookmarkStart w:id="44" w:name="_Toc184314449"/>
      <w:bookmarkEnd w:id="44"/>
      <w:bookmarkStart w:id="45" w:name="_Toc184310284"/>
      <w:bookmarkEnd w:id="45"/>
      <w:bookmarkStart w:id="46" w:name="_Toc184312111"/>
      <w:bookmarkEnd w:id="46"/>
      <w:bookmarkStart w:id="47" w:name="_Toc184310332"/>
      <w:bookmarkEnd w:id="47"/>
      <w:bookmarkStart w:id="48" w:name="_Toc184312130"/>
      <w:bookmarkEnd w:id="48"/>
      <w:bookmarkStart w:id="49" w:name="_Toc184310321"/>
      <w:bookmarkEnd w:id="49"/>
      <w:bookmarkStart w:id="50" w:name="_Toc184314482"/>
      <w:bookmarkEnd w:id="50"/>
      <w:bookmarkStart w:id="51" w:name="_Toc184313283"/>
      <w:bookmarkEnd w:id="51"/>
      <w:bookmarkStart w:id="52" w:name="_Toc184312068"/>
      <w:bookmarkEnd w:id="52"/>
      <w:bookmarkStart w:id="53" w:name="_Toc184308099"/>
      <w:bookmarkEnd w:id="53"/>
      <w:bookmarkStart w:id="54" w:name="_Toc184314430"/>
      <w:bookmarkEnd w:id="54"/>
      <w:bookmarkStart w:id="55" w:name="_Toc184312127"/>
      <w:bookmarkEnd w:id="55"/>
      <w:bookmarkStart w:id="56" w:name="_Toc184308043"/>
      <w:bookmarkEnd w:id="56"/>
      <w:bookmarkStart w:id="57" w:name="_Toc184308056"/>
      <w:bookmarkEnd w:id="57"/>
      <w:bookmarkStart w:id="58" w:name="_Toc184308105"/>
      <w:bookmarkEnd w:id="58"/>
      <w:bookmarkStart w:id="59" w:name="_Toc184314429"/>
      <w:bookmarkEnd w:id="59"/>
      <w:bookmarkStart w:id="60" w:name="_Toc184312102"/>
      <w:bookmarkEnd w:id="60"/>
      <w:bookmarkStart w:id="61" w:name="_Toc184310292"/>
      <w:bookmarkEnd w:id="61"/>
      <w:bookmarkStart w:id="62" w:name="_Toc184313253"/>
      <w:bookmarkEnd w:id="62"/>
      <w:bookmarkStart w:id="63" w:name="_Toc184313257"/>
      <w:bookmarkEnd w:id="63"/>
      <w:bookmarkStart w:id="64" w:name="_Toc184313243"/>
      <w:bookmarkEnd w:id="64"/>
      <w:bookmarkStart w:id="65" w:name="_Toc184308077"/>
      <w:bookmarkEnd w:id="65"/>
      <w:bookmarkStart w:id="66" w:name="_Toc184312098"/>
      <w:bookmarkEnd w:id="66"/>
      <w:bookmarkStart w:id="67" w:name="_Toc184313242"/>
      <w:bookmarkEnd w:id="67"/>
      <w:bookmarkStart w:id="68" w:name="_Toc184308064"/>
      <w:bookmarkEnd w:id="68"/>
      <w:bookmarkStart w:id="69" w:name="_Toc184312125"/>
      <w:bookmarkEnd w:id="69"/>
      <w:bookmarkStart w:id="70" w:name="_Toc184310335"/>
      <w:bookmarkEnd w:id="70"/>
      <w:bookmarkStart w:id="71" w:name="_Toc184312074"/>
      <w:bookmarkEnd w:id="71"/>
      <w:bookmarkStart w:id="72" w:name="_Toc184310305"/>
      <w:bookmarkEnd w:id="72"/>
      <w:bookmarkStart w:id="73" w:name="_Toc184314462"/>
      <w:bookmarkEnd w:id="73"/>
      <w:bookmarkStart w:id="74" w:name="_Toc184312115"/>
      <w:bookmarkEnd w:id="74"/>
      <w:bookmarkStart w:id="75" w:name="_Toc184308108"/>
      <w:bookmarkEnd w:id="75"/>
      <w:bookmarkStart w:id="76" w:name="_Toc184312120"/>
      <w:bookmarkEnd w:id="76"/>
      <w:bookmarkStart w:id="77" w:name="_Toc184313290"/>
      <w:bookmarkEnd w:id="77"/>
      <w:bookmarkStart w:id="78" w:name="_Toc184308037"/>
      <w:bookmarkEnd w:id="78"/>
      <w:bookmarkStart w:id="79" w:name="_Toc184308097"/>
      <w:bookmarkEnd w:id="79"/>
      <w:bookmarkStart w:id="80" w:name="_Toc184312069"/>
      <w:bookmarkEnd w:id="80"/>
      <w:bookmarkStart w:id="81" w:name="_Toc184314440"/>
      <w:bookmarkEnd w:id="81"/>
      <w:bookmarkStart w:id="82" w:name="_Toc184310289"/>
      <w:bookmarkEnd w:id="82"/>
      <w:bookmarkStart w:id="83" w:name="_Toc184313245"/>
      <w:bookmarkEnd w:id="83"/>
      <w:bookmarkStart w:id="84" w:name="_Toc184310285"/>
      <w:bookmarkEnd w:id="84"/>
      <w:bookmarkStart w:id="85" w:name="_Toc184312109"/>
      <w:bookmarkEnd w:id="85"/>
      <w:bookmarkStart w:id="86" w:name="_Toc184308058"/>
      <w:bookmarkEnd w:id="86"/>
      <w:bookmarkStart w:id="87" w:name="_Toc184308083"/>
      <w:bookmarkEnd w:id="87"/>
      <w:bookmarkStart w:id="88" w:name="_Toc184314459"/>
      <w:bookmarkEnd w:id="88"/>
      <w:bookmarkStart w:id="89" w:name="_Toc184310334"/>
      <w:bookmarkEnd w:id="89"/>
      <w:bookmarkStart w:id="90" w:name="_Toc184310317"/>
      <w:bookmarkEnd w:id="90"/>
      <w:bookmarkStart w:id="91" w:name="_Toc184313260"/>
      <w:bookmarkEnd w:id="91"/>
      <w:bookmarkStart w:id="92" w:name="_Toc184308091"/>
      <w:bookmarkEnd w:id="92"/>
      <w:bookmarkStart w:id="93" w:name="_Toc184313248"/>
      <w:bookmarkEnd w:id="93"/>
      <w:bookmarkStart w:id="94" w:name="_Toc184308073"/>
      <w:bookmarkEnd w:id="94"/>
      <w:bookmarkStart w:id="95" w:name="_Toc184312107"/>
      <w:bookmarkEnd w:id="95"/>
      <w:bookmarkStart w:id="96" w:name="_Toc184312092"/>
      <w:bookmarkEnd w:id="96"/>
      <w:bookmarkStart w:id="97" w:name="_Toc184314439"/>
      <w:bookmarkEnd w:id="97"/>
      <w:bookmarkStart w:id="98" w:name="_Toc184310297"/>
      <w:bookmarkEnd w:id="98"/>
      <w:bookmarkStart w:id="99" w:name="_Toc184314448"/>
      <w:bookmarkEnd w:id="99"/>
      <w:bookmarkStart w:id="100" w:name="_Toc184310339"/>
      <w:bookmarkEnd w:id="100"/>
      <w:bookmarkStart w:id="101" w:name="_Toc184310275"/>
      <w:bookmarkEnd w:id="101"/>
      <w:bookmarkStart w:id="102" w:name="_Toc184312124"/>
      <w:bookmarkEnd w:id="102"/>
      <w:bookmarkStart w:id="103" w:name="_Toc184310280"/>
      <w:bookmarkEnd w:id="103"/>
      <w:bookmarkStart w:id="104" w:name="_Toc184308107"/>
      <w:bookmarkEnd w:id="104"/>
      <w:bookmarkStart w:id="105" w:name="_Toc184308046"/>
      <w:bookmarkEnd w:id="105"/>
      <w:bookmarkStart w:id="106" w:name="_Toc184310308"/>
      <w:bookmarkEnd w:id="106"/>
      <w:bookmarkStart w:id="107" w:name="_Toc184308062"/>
      <w:bookmarkEnd w:id="107"/>
      <w:bookmarkStart w:id="108" w:name="_Toc184308050"/>
      <w:bookmarkEnd w:id="108"/>
      <w:bookmarkStart w:id="109" w:name="_Toc184313255"/>
      <w:bookmarkEnd w:id="109"/>
      <w:bookmarkStart w:id="110" w:name="_Toc184313280"/>
      <w:bookmarkEnd w:id="110"/>
      <w:bookmarkStart w:id="111" w:name="_Toc184313267"/>
      <w:bookmarkEnd w:id="111"/>
      <w:bookmarkStart w:id="112" w:name="_Toc184313300"/>
      <w:bookmarkEnd w:id="112"/>
      <w:bookmarkStart w:id="113" w:name="_Toc184308051"/>
      <w:bookmarkEnd w:id="113"/>
      <w:bookmarkStart w:id="114" w:name="_Toc184314418"/>
      <w:bookmarkEnd w:id="114"/>
      <w:bookmarkStart w:id="115" w:name="_Toc184312116"/>
      <w:bookmarkEnd w:id="115"/>
      <w:bookmarkStart w:id="116" w:name="_Toc184312067"/>
      <w:bookmarkEnd w:id="116"/>
      <w:bookmarkStart w:id="117" w:name="_Toc184312104"/>
      <w:bookmarkEnd w:id="117"/>
      <w:bookmarkStart w:id="118" w:name="_Toc184310343"/>
      <w:bookmarkEnd w:id="118"/>
      <w:bookmarkStart w:id="119" w:name="_Toc184308103"/>
      <w:bookmarkEnd w:id="119"/>
      <w:bookmarkStart w:id="120" w:name="_Toc184310286"/>
      <w:bookmarkEnd w:id="120"/>
      <w:bookmarkStart w:id="121" w:name="_Toc184313269"/>
      <w:bookmarkEnd w:id="121"/>
      <w:bookmarkStart w:id="122" w:name="_Toc184313281"/>
      <w:bookmarkEnd w:id="122"/>
      <w:bookmarkStart w:id="123" w:name="_Toc184314435"/>
      <w:bookmarkEnd w:id="123"/>
      <w:bookmarkStart w:id="124" w:name="_Toc184314433"/>
      <w:bookmarkEnd w:id="124"/>
      <w:bookmarkStart w:id="125" w:name="_Toc184314466"/>
      <w:bookmarkEnd w:id="125"/>
      <w:bookmarkStart w:id="126" w:name="_Toc184314446"/>
      <w:bookmarkEnd w:id="126"/>
      <w:bookmarkStart w:id="127" w:name="_Toc184313304"/>
      <w:bookmarkEnd w:id="127"/>
      <w:bookmarkStart w:id="128" w:name="_Toc184313249"/>
      <w:bookmarkEnd w:id="128"/>
      <w:bookmarkStart w:id="129" w:name="_Toc184312090"/>
      <w:bookmarkEnd w:id="129"/>
      <w:bookmarkStart w:id="130" w:name="_Toc184308104"/>
      <w:bookmarkEnd w:id="130"/>
      <w:bookmarkStart w:id="131" w:name="_Toc184312094"/>
      <w:bookmarkEnd w:id="131"/>
      <w:bookmarkStart w:id="132" w:name="_Toc184313289"/>
      <w:bookmarkEnd w:id="132"/>
      <w:bookmarkStart w:id="133" w:name="_Toc184310316"/>
      <w:bookmarkEnd w:id="133"/>
      <w:bookmarkStart w:id="134" w:name="_Toc184308090"/>
      <w:bookmarkEnd w:id="134"/>
      <w:bookmarkStart w:id="135" w:name="_Toc184312078"/>
      <w:bookmarkEnd w:id="135"/>
      <w:bookmarkStart w:id="136" w:name="_Toc184310344"/>
      <w:bookmarkEnd w:id="136"/>
      <w:bookmarkStart w:id="137" w:name="_Toc184314457"/>
      <w:bookmarkEnd w:id="137"/>
      <w:bookmarkStart w:id="138" w:name="_Toc184314419"/>
      <w:bookmarkEnd w:id="138"/>
      <w:bookmarkStart w:id="139" w:name="_Toc184314413"/>
      <w:bookmarkEnd w:id="139"/>
      <w:bookmarkStart w:id="140" w:name="_Toc184308081"/>
      <w:bookmarkEnd w:id="140"/>
      <w:bookmarkStart w:id="141" w:name="_Toc184313275"/>
      <w:bookmarkEnd w:id="141"/>
      <w:bookmarkStart w:id="142" w:name="_Toc184310281"/>
      <w:bookmarkEnd w:id="142"/>
      <w:bookmarkStart w:id="143" w:name="_Toc184314463"/>
      <w:bookmarkEnd w:id="143"/>
      <w:bookmarkStart w:id="144" w:name="_Toc184308088"/>
      <w:bookmarkEnd w:id="144"/>
      <w:bookmarkStart w:id="145" w:name="_Toc184308068"/>
      <w:bookmarkEnd w:id="145"/>
      <w:bookmarkStart w:id="146" w:name="_Toc184312121"/>
      <w:bookmarkEnd w:id="146"/>
      <w:bookmarkStart w:id="147" w:name="_Toc184313250"/>
      <w:bookmarkEnd w:id="147"/>
      <w:bookmarkStart w:id="148" w:name="_Toc184314414"/>
      <w:bookmarkEnd w:id="148"/>
      <w:bookmarkStart w:id="149" w:name="_Toc184310295"/>
      <w:bookmarkEnd w:id="149"/>
      <w:bookmarkStart w:id="150" w:name="_Toc184312103"/>
      <w:bookmarkEnd w:id="150"/>
      <w:bookmarkStart w:id="151" w:name="_Toc184314437"/>
      <w:bookmarkEnd w:id="151"/>
      <w:bookmarkStart w:id="152" w:name="_Toc184308086"/>
      <w:bookmarkEnd w:id="152"/>
      <w:bookmarkStart w:id="153" w:name="_Toc184308063"/>
      <w:bookmarkEnd w:id="153"/>
      <w:bookmarkStart w:id="154" w:name="_Toc184310301"/>
      <w:bookmarkEnd w:id="154"/>
      <w:bookmarkStart w:id="155" w:name="_Toc184310333"/>
      <w:bookmarkEnd w:id="155"/>
      <w:bookmarkStart w:id="156" w:name="_Toc184314453"/>
      <w:bookmarkEnd w:id="156"/>
      <w:bookmarkStart w:id="157" w:name="_Toc184314474"/>
      <w:bookmarkEnd w:id="157"/>
      <w:bookmarkStart w:id="158" w:name="_Toc184310278"/>
      <w:bookmarkEnd w:id="158"/>
      <w:bookmarkStart w:id="159" w:name="_Toc184310298"/>
      <w:bookmarkEnd w:id="159"/>
      <w:bookmarkStart w:id="160" w:name="_Toc184314468"/>
      <w:bookmarkEnd w:id="160"/>
      <w:bookmarkStart w:id="161" w:name="_Toc184313251"/>
      <w:bookmarkEnd w:id="161"/>
      <w:bookmarkStart w:id="162" w:name="_Toc184313244"/>
      <w:bookmarkEnd w:id="162"/>
      <w:bookmarkStart w:id="163" w:name="_Toc184310326"/>
      <w:bookmarkEnd w:id="163"/>
      <w:bookmarkStart w:id="164" w:name="_Toc184312137"/>
      <w:bookmarkEnd w:id="164"/>
      <w:bookmarkStart w:id="165" w:name="_Toc184313306"/>
      <w:bookmarkEnd w:id="165"/>
      <w:bookmarkStart w:id="166" w:name="_Toc184312096"/>
      <w:bookmarkEnd w:id="166"/>
      <w:bookmarkStart w:id="167" w:name="_Toc184312123"/>
      <w:bookmarkEnd w:id="167"/>
      <w:bookmarkStart w:id="168" w:name="_Toc184308075"/>
      <w:bookmarkEnd w:id="168"/>
      <w:bookmarkStart w:id="169" w:name="_Toc184310282"/>
      <w:bookmarkEnd w:id="169"/>
      <w:bookmarkStart w:id="170" w:name="_Toc184314426"/>
      <w:bookmarkEnd w:id="170"/>
      <w:bookmarkStart w:id="171" w:name="_Toc184313294"/>
      <w:bookmarkEnd w:id="171"/>
      <w:bookmarkStart w:id="172" w:name="_Toc184308053"/>
      <w:bookmarkEnd w:id="172"/>
      <w:bookmarkStart w:id="173" w:name="_Toc184310293"/>
      <w:bookmarkEnd w:id="173"/>
      <w:bookmarkStart w:id="174" w:name="_Toc184312070"/>
      <w:bookmarkEnd w:id="174"/>
      <w:bookmarkStart w:id="175" w:name="_Toc184313261"/>
      <w:bookmarkEnd w:id="175"/>
      <w:bookmarkStart w:id="176" w:name="_Toc184312114"/>
      <w:bookmarkEnd w:id="176"/>
      <w:bookmarkStart w:id="177" w:name="_Toc184314454"/>
      <w:bookmarkEnd w:id="177"/>
      <w:bookmarkStart w:id="178" w:name="_Toc184314423"/>
      <w:bookmarkEnd w:id="178"/>
      <w:bookmarkStart w:id="179" w:name="_Toc184308069"/>
      <w:bookmarkEnd w:id="179"/>
      <w:bookmarkStart w:id="180" w:name="_Toc184313299"/>
      <w:bookmarkEnd w:id="180"/>
      <w:bookmarkStart w:id="181" w:name="_Toc184313291"/>
      <w:bookmarkEnd w:id="181"/>
      <w:bookmarkStart w:id="182" w:name="_Toc184313241"/>
      <w:bookmarkEnd w:id="182"/>
      <w:bookmarkStart w:id="183" w:name="_Toc184310322"/>
      <w:bookmarkEnd w:id="183"/>
      <w:bookmarkStart w:id="184" w:name="_Toc184314477"/>
      <w:bookmarkEnd w:id="184"/>
      <w:bookmarkStart w:id="185" w:name="_Toc184308049"/>
      <w:bookmarkEnd w:id="185"/>
      <w:bookmarkStart w:id="186" w:name="_Toc184310277"/>
      <w:bookmarkEnd w:id="186"/>
      <w:bookmarkStart w:id="187" w:name="_Toc184308042"/>
      <w:bookmarkEnd w:id="187"/>
      <w:bookmarkStart w:id="188" w:name="_Toc184308061"/>
      <w:bookmarkEnd w:id="188"/>
      <w:bookmarkStart w:id="189" w:name="_Toc184310311"/>
      <w:bookmarkEnd w:id="189"/>
      <w:bookmarkStart w:id="190" w:name="_Toc184310274"/>
      <w:bookmarkEnd w:id="190"/>
      <w:bookmarkStart w:id="191" w:name="_Toc184312079"/>
      <w:bookmarkEnd w:id="191"/>
      <w:bookmarkStart w:id="192" w:name="_Toc184313293"/>
      <w:bookmarkEnd w:id="192"/>
      <w:bookmarkStart w:id="193" w:name="_Toc184308048"/>
      <w:bookmarkEnd w:id="193"/>
      <w:bookmarkStart w:id="194" w:name="_Toc184312071"/>
      <w:bookmarkEnd w:id="194"/>
      <w:bookmarkStart w:id="195" w:name="_Toc184312099"/>
      <w:bookmarkEnd w:id="195"/>
      <w:bookmarkStart w:id="196" w:name="_Toc184313302"/>
      <w:bookmarkEnd w:id="196"/>
      <w:bookmarkStart w:id="197" w:name="_Toc184314465"/>
      <w:bookmarkEnd w:id="197"/>
      <w:bookmarkStart w:id="198" w:name="_Toc184312119"/>
      <w:bookmarkEnd w:id="198"/>
      <w:bookmarkStart w:id="199" w:name="_Toc184312139"/>
      <w:bookmarkEnd w:id="199"/>
      <w:bookmarkStart w:id="200" w:name="_Toc184313276"/>
      <w:bookmarkEnd w:id="200"/>
      <w:bookmarkStart w:id="201" w:name="_Toc184312073"/>
      <w:bookmarkEnd w:id="201"/>
      <w:bookmarkStart w:id="202" w:name="_Toc184313305"/>
      <w:bookmarkEnd w:id="202"/>
      <w:bookmarkStart w:id="203" w:name="_Toc184314420"/>
      <w:bookmarkEnd w:id="203"/>
      <w:bookmarkStart w:id="204" w:name="_Toc184310331"/>
      <w:bookmarkEnd w:id="204"/>
      <w:bookmarkStart w:id="205" w:name="_Toc184314410"/>
      <w:bookmarkEnd w:id="205"/>
      <w:bookmarkStart w:id="206" w:name="_Toc184308095"/>
      <w:bookmarkEnd w:id="206"/>
      <w:bookmarkStart w:id="207" w:name="_Toc184314447"/>
      <w:bookmarkEnd w:id="207"/>
      <w:bookmarkStart w:id="208" w:name="_Toc184308092"/>
      <w:bookmarkEnd w:id="208"/>
      <w:bookmarkStart w:id="209" w:name="_Toc184310314"/>
      <w:bookmarkEnd w:id="209"/>
      <w:bookmarkStart w:id="210" w:name="_Toc184310279"/>
      <w:bookmarkEnd w:id="210"/>
      <w:bookmarkStart w:id="211" w:name="_Toc184308085"/>
      <w:bookmarkEnd w:id="211"/>
      <w:bookmarkStart w:id="212" w:name="_Toc184310327"/>
      <w:bookmarkEnd w:id="212"/>
      <w:bookmarkStart w:id="213" w:name="_Toc184308082"/>
      <w:bookmarkEnd w:id="213"/>
      <w:bookmarkStart w:id="214" w:name="_Toc184313309"/>
      <w:bookmarkEnd w:id="214"/>
      <w:bookmarkStart w:id="215" w:name="_Toc184310310"/>
      <w:bookmarkEnd w:id="215"/>
      <w:bookmarkStart w:id="216" w:name="_Toc184310307"/>
      <w:bookmarkEnd w:id="216"/>
      <w:bookmarkStart w:id="217" w:name="_Toc184312138"/>
      <w:bookmarkEnd w:id="217"/>
      <w:bookmarkStart w:id="218" w:name="_Toc184313252"/>
      <w:bookmarkEnd w:id="218"/>
      <w:bookmarkStart w:id="219" w:name="_Toc184314432"/>
      <w:bookmarkEnd w:id="219"/>
      <w:bookmarkStart w:id="220" w:name="_Toc184310306"/>
      <w:bookmarkEnd w:id="220"/>
      <w:bookmarkStart w:id="221" w:name="_Toc184313262"/>
      <w:bookmarkEnd w:id="221"/>
      <w:bookmarkStart w:id="222" w:name="_Toc184314451"/>
      <w:bookmarkEnd w:id="222"/>
      <w:bookmarkStart w:id="223" w:name="_Toc184310294"/>
      <w:bookmarkEnd w:id="223"/>
      <w:bookmarkStart w:id="224" w:name="_Toc184312132"/>
      <w:bookmarkEnd w:id="224"/>
      <w:bookmarkStart w:id="225" w:name="_Toc184313238"/>
      <w:bookmarkEnd w:id="225"/>
      <w:bookmarkStart w:id="226" w:name="_Toc184310290"/>
      <w:bookmarkEnd w:id="226"/>
      <w:bookmarkStart w:id="227" w:name="_Toc184314479"/>
      <w:bookmarkEnd w:id="227"/>
      <w:bookmarkStart w:id="228" w:name="_Toc184313282"/>
      <w:bookmarkEnd w:id="228"/>
      <w:bookmarkStart w:id="229" w:name="_Toc184313307"/>
      <w:bookmarkEnd w:id="229"/>
      <w:bookmarkStart w:id="230" w:name="_Toc184312133"/>
      <w:bookmarkEnd w:id="230"/>
      <w:bookmarkStart w:id="231" w:name="_Toc184312097"/>
      <w:bookmarkEnd w:id="231"/>
      <w:bookmarkStart w:id="232" w:name="_Toc184312072"/>
      <w:bookmarkEnd w:id="232"/>
      <w:bookmarkStart w:id="233" w:name="_Toc184308094"/>
      <w:bookmarkEnd w:id="233"/>
      <w:bookmarkStart w:id="234" w:name="_Toc184313297"/>
      <w:bookmarkEnd w:id="234"/>
      <w:bookmarkStart w:id="235" w:name="_Toc184310320"/>
      <w:bookmarkEnd w:id="235"/>
      <w:bookmarkStart w:id="236" w:name="_Toc184314416"/>
      <w:bookmarkEnd w:id="236"/>
      <w:bookmarkStart w:id="237" w:name="_Toc184310315"/>
      <w:bookmarkEnd w:id="237"/>
      <w:bookmarkStart w:id="238" w:name="_Toc184312093"/>
      <w:bookmarkEnd w:id="238"/>
      <w:bookmarkStart w:id="239" w:name="_Toc184313270"/>
      <w:bookmarkEnd w:id="239"/>
      <w:bookmarkStart w:id="240" w:name="_Toc184308093"/>
      <w:bookmarkEnd w:id="240"/>
      <w:bookmarkStart w:id="241" w:name="_Toc184312080"/>
      <w:bookmarkEnd w:id="241"/>
      <w:bookmarkStart w:id="242" w:name="_Toc184312088"/>
      <w:bookmarkEnd w:id="242"/>
      <w:bookmarkStart w:id="243" w:name="_Toc184310340"/>
      <w:bookmarkEnd w:id="243"/>
      <w:bookmarkStart w:id="244" w:name="_Toc184308078"/>
      <w:bookmarkEnd w:id="244"/>
      <w:bookmarkStart w:id="245" w:name="_Toc184313240"/>
      <w:bookmarkEnd w:id="245"/>
      <w:bookmarkStart w:id="246" w:name="_Toc184313279"/>
      <w:bookmarkEnd w:id="246"/>
      <w:bookmarkStart w:id="247" w:name="_Toc184308041"/>
      <w:bookmarkEnd w:id="247"/>
      <w:bookmarkStart w:id="248" w:name="_Toc184308052"/>
      <w:bookmarkEnd w:id="248"/>
      <w:bookmarkStart w:id="249" w:name="_Toc184310325"/>
      <w:bookmarkEnd w:id="249"/>
      <w:bookmarkStart w:id="250" w:name="_Toc184314469"/>
      <w:bookmarkEnd w:id="250"/>
      <w:bookmarkStart w:id="251" w:name="_Toc184312095"/>
      <w:bookmarkEnd w:id="251"/>
      <w:bookmarkStart w:id="252" w:name="_Toc184312134"/>
      <w:bookmarkEnd w:id="252"/>
      <w:bookmarkStart w:id="253" w:name="_Toc184313292"/>
      <w:bookmarkEnd w:id="253"/>
      <w:bookmarkStart w:id="254" w:name="_Toc184312105"/>
      <w:bookmarkEnd w:id="254"/>
      <w:bookmarkStart w:id="255" w:name="_Toc184313284"/>
      <w:bookmarkEnd w:id="255"/>
      <w:bookmarkStart w:id="256" w:name="_Toc184308080"/>
      <w:bookmarkEnd w:id="256"/>
      <w:bookmarkStart w:id="257" w:name="_Toc184310324"/>
      <w:bookmarkEnd w:id="257"/>
      <w:bookmarkStart w:id="258" w:name="_Toc184314460"/>
      <w:bookmarkEnd w:id="258"/>
      <w:bookmarkStart w:id="259" w:name="_Toc184312089"/>
      <w:bookmarkEnd w:id="259"/>
      <w:bookmarkStart w:id="260" w:name="_Toc184314422"/>
      <w:bookmarkEnd w:id="260"/>
      <w:bookmarkStart w:id="261" w:name="_Toc184314478"/>
      <w:bookmarkEnd w:id="261"/>
      <w:bookmarkStart w:id="262" w:name="_Toc184314442"/>
      <w:bookmarkEnd w:id="262"/>
      <w:bookmarkStart w:id="263" w:name="_Toc184312135"/>
      <w:bookmarkEnd w:id="263"/>
      <w:bookmarkStart w:id="264" w:name="_Toc184310287"/>
      <w:bookmarkEnd w:id="264"/>
      <w:bookmarkStart w:id="265" w:name="_Toc184310342"/>
      <w:bookmarkEnd w:id="265"/>
      <w:bookmarkStart w:id="266" w:name="_Toc184313272"/>
      <w:bookmarkEnd w:id="266"/>
      <w:bookmarkStart w:id="267" w:name="_Toc184314411"/>
      <w:bookmarkEnd w:id="267"/>
      <w:bookmarkStart w:id="268" w:name="_Toc184314471"/>
      <w:bookmarkEnd w:id="268"/>
      <w:bookmarkStart w:id="269" w:name="_Toc184310323"/>
      <w:bookmarkEnd w:id="269"/>
      <w:bookmarkStart w:id="270" w:name="_Toc184314434"/>
      <w:bookmarkEnd w:id="270"/>
      <w:bookmarkStart w:id="271" w:name="_Toc184310336"/>
      <w:bookmarkEnd w:id="271"/>
      <w:bookmarkStart w:id="272" w:name="_Toc184313298"/>
      <w:bookmarkEnd w:id="272"/>
      <w:bookmarkStart w:id="273" w:name="_Toc184313301"/>
      <w:bookmarkEnd w:id="273"/>
      <w:bookmarkStart w:id="274" w:name="_Toc184308098"/>
      <w:bookmarkEnd w:id="274"/>
      <w:bookmarkStart w:id="275" w:name="_Toc184308044"/>
      <w:bookmarkEnd w:id="275"/>
      <w:bookmarkStart w:id="276" w:name="_Toc184313288"/>
      <w:bookmarkEnd w:id="276"/>
      <w:bookmarkStart w:id="277" w:name="_Toc184314472"/>
      <w:bookmarkEnd w:id="277"/>
      <w:bookmarkStart w:id="278" w:name="_Toc184313296"/>
      <w:bookmarkEnd w:id="278"/>
      <w:bookmarkStart w:id="279" w:name="_Toc184313256"/>
      <w:bookmarkEnd w:id="279"/>
      <w:bookmarkStart w:id="280" w:name="_Toc184308087"/>
      <w:bookmarkEnd w:id="280"/>
      <w:bookmarkStart w:id="281" w:name="_Toc184312108"/>
      <w:bookmarkEnd w:id="281"/>
      <w:bookmarkStart w:id="282" w:name="_Toc184312084"/>
      <w:bookmarkEnd w:id="282"/>
      <w:bookmarkStart w:id="283" w:name="_Toc184310341"/>
      <w:bookmarkEnd w:id="283"/>
      <w:bookmarkStart w:id="284" w:name="_Toc184312112"/>
      <w:bookmarkEnd w:id="284"/>
      <w:bookmarkStart w:id="285" w:name="_Toc184312131"/>
      <w:bookmarkEnd w:id="285"/>
      <w:bookmarkStart w:id="286" w:name="_Toc184308059"/>
      <w:bookmarkEnd w:id="286"/>
      <w:bookmarkStart w:id="287" w:name="_Toc184314438"/>
      <w:bookmarkEnd w:id="287"/>
      <w:bookmarkStart w:id="288" w:name="_Toc184314412"/>
      <w:bookmarkEnd w:id="288"/>
      <w:bookmarkStart w:id="289" w:name="_Toc184313239"/>
      <w:bookmarkEnd w:id="289"/>
      <w:bookmarkStart w:id="290" w:name="_Toc184308066"/>
      <w:bookmarkEnd w:id="290"/>
      <w:bookmarkStart w:id="291" w:name="_Toc184312129"/>
      <w:bookmarkEnd w:id="291"/>
      <w:bookmarkStart w:id="292" w:name="_Toc184310273"/>
      <w:bookmarkEnd w:id="292"/>
      <w:bookmarkStart w:id="293" w:name="_Toc184310283"/>
      <w:bookmarkEnd w:id="293"/>
      <w:bookmarkStart w:id="294" w:name="_Toc184310299"/>
      <w:bookmarkEnd w:id="294"/>
      <w:bookmarkStart w:id="295" w:name="_Toc184314456"/>
      <w:bookmarkEnd w:id="295"/>
      <w:bookmarkStart w:id="296" w:name="_Toc184312085"/>
      <w:bookmarkEnd w:id="296"/>
      <w:bookmarkStart w:id="297" w:name="_Toc184312081"/>
      <w:bookmarkEnd w:id="297"/>
      <w:bookmarkStart w:id="298" w:name="_Toc184313254"/>
      <w:bookmarkEnd w:id="298"/>
      <w:bookmarkStart w:id="299" w:name="_Toc184308079"/>
      <w:bookmarkEnd w:id="299"/>
      <w:bookmarkStart w:id="300" w:name="_Toc184313308"/>
      <w:bookmarkEnd w:id="300"/>
      <w:bookmarkStart w:id="301" w:name="_Toc184310337"/>
      <w:bookmarkEnd w:id="301"/>
      <w:bookmarkStart w:id="302" w:name="_Toc184314473"/>
      <w:bookmarkEnd w:id="302"/>
      <w:bookmarkStart w:id="303" w:name="_Toc184313264"/>
      <w:bookmarkEnd w:id="303"/>
      <w:bookmarkStart w:id="304" w:name="_Toc184310303"/>
      <w:bookmarkEnd w:id="304"/>
      <w:bookmarkStart w:id="305" w:name="_Toc184314455"/>
      <w:bookmarkEnd w:id="305"/>
      <w:bookmarkStart w:id="306" w:name="_Toc184310328"/>
      <w:bookmarkEnd w:id="306"/>
      <w:bookmarkStart w:id="307" w:name="_Toc184313273"/>
      <w:bookmarkEnd w:id="307"/>
      <w:bookmarkStart w:id="308" w:name="_Toc184314427"/>
      <w:bookmarkEnd w:id="308"/>
      <w:bookmarkStart w:id="309" w:name="_Toc184312126"/>
      <w:bookmarkEnd w:id="309"/>
      <w:bookmarkStart w:id="310" w:name="_Toc184313263"/>
      <w:bookmarkEnd w:id="310"/>
      <w:bookmarkStart w:id="311" w:name="_Toc184312077"/>
      <w:bookmarkEnd w:id="311"/>
      <w:bookmarkStart w:id="312" w:name="_Toc184308071"/>
      <w:bookmarkEnd w:id="312"/>
      <w:bookmarkStart w:id="313" w:name="_Toc184310288"/>
      <w:bookmarkEnd w:id="313"/>
      <w:bookmarkStart w:id="314" w:name="_Toc184310272"/>
      <w:bookmarkEnd w:id="314"/>
      <w:bookmarkStart w:id="315" w:name="_Toc184312076"/>
      <w:bookmarkEnd w:id="315"/>
      <w:bookmarkStart w:id="316" w:name="_Toc184310302"/>
      <w:bookmarkEnd w:id="316"/>
      <w:bookmarkStart w:id="317" w:name="_Toc184313277"/>
      <w:bookmarkEnd w:id="317"/>
      <w:bookmarkStart w:id="318" w:name="_Toc184313285"/>
      <w:bookmarkEnd w:id="318"/>
      <w:bookmarkStart w:id="319" w:name="_Toc184310296"/>
      <w:bookmarkEnd w:id="319"/>
      <w:bookmarkStart w:id="320" w:name="_Toc184312122"/>
      <w:bookmarkEnd w:id="320"/>
      <w:bookmarkStart w:id="321" w:name="_Toc184314444"/>
      <w:bookmarkEnd w:id="321"/>
      <w:bookmarkStart w:id="322" w:name="_Toc184310304"/>
      <w:bookmarkEnd w:id="322"/>
      <w:bookmarkStart w:id="323" w:name="_Toc184312118"/>
      <w:bookmarkEnd w:id="323"/>
      <w:bookmarkStart w:id="324" w:name="_Toc184312091"/>
      <w:bookmarkEnd w:id="324"/>
      <w:bookmarkStart w:id="325" w:name="_Toc184310338"/>
      <w:bookmarkEnd w:id="325"/>
      <w:bookmarkStart w:id="326" w:name="_Toc184308038"/>
      <w:bookmarkEnd w:id="326"/>
      <w:bookmarkStart w:id="327" w:name="_Toc184314441"/>
      <w:bookmarkEnd w:id="327"/>
      <w:bookmarkStart w:id="328" w:name="_Toc184313258"/>
      <w:bookmarkEnd w:id="328"/>
      <w:bookmarkStart w:id="329" w:name="_Toc184312101"/>
      <w:bookmarkEnd w:id="329"/>
      <w:bookmarkStart w:id="330" w:name="_Toc184312136"/>
      <w:bookmarkEnd w:id="330"/>
      <w:bookmarkStart w:id="331" w:name="_Toc184310312"/>
      <w:bookmarkEnd w:id="331"/>
      <w:bookmarkStart w:id="332" w:name="_Toc184314480"/>
      <w:bookmarkEnd w:id="332"/>
      <w:bookmarkStart w:id="333" w:name="_Toc184308065"/>
      <w:bookmarkEnd w:id="333"/>
      <w:bookmarkStart w:id="334" w:name="_Toc184314467"/>
      <w:bookmarkEnd w:id="334"/>
      <w:bookmarkStart w:id="335" w:name="_Toc184314415"/>
      <w:bookmarkEnd w:id="335"/>
      <w:bookmarkStart w:id="336" w:name="_Toc184314476"/>
      <w:bookmarkEnd w:id="336"/>
      <w:bookmarkStart w:id="337" w:name="_Toc184310318"/>
      <w:bookmarkEnd w:id="337"/>
      <w:bookmarkStart w:id="338" w:name="_Toc184312113"/>
      <w:bookmarkEnd w:id="338"/>
      <w:bookmarkStart w:id="339" w:name="_Toc184308039"/>
      <w:bookmarkEnd w:id="339"/>
      <w:bookmarkStart w:id="340" w:name="_Toc184313265"/>
      <w:bookmarkEnd w:id="340"/>
      <w:bookmarkStart w:id="341" w:name="_Toc184312110"/>
      <w:bookmarkEnd w:id="341"/>
      <w:bookmarkStart w:id="342" w:name="_Toc184310291"/>
      <w:bookmarkEnd w:id="342"/>
      <w:bookmarkStart w:id="343" w:name="_Toc184313271"/>
      <w:bookmarkEnd w:id="343"/>
      <w:bookmarkStart w:id="344" w:name="_Toc184308074"/>
      <w:bookmarkEnd w:id="344"/>
      <w:bookmarkStart w:id="345" w:name="_Toc184312117"/>
      <w:bookmarkEnd w:id="345"/>
      <w:bookmarkStart w:id="346" w:name="_Toc184312100"/>
      <w:bookmarkEnd w:id="346"/>
      <w:bookmarkStart w:id="347" w:name="_Toc184313274"/>
      <w:bookmarkEnd w:id="347"/>
      <w:bookmarkStart w:id="348" w:name="_Toc184313259"/>
      <w:bookmarkEnd w:id="348"/>
      <w:bookmarkStart w:id="349" w:name="_Toc184312128"/>
      <w:bookmarkEnd w:id="349"/>
      <w:bookmarkStart w:id="350" w:name="_Toc184314443"/>
      <w:bookmarkEnd w:id="350"/>
      <w:bookmarkStart w:id="351" w:name="_Toc184310329"/>
      <w:bookmarkEnd w:id="351"/>
      <w:bookmarkStart w:id="352" w:name="_Toc184312082"/>
      <w:bookmarkEnd w:id="352"/>
      <w:bookmarkStart w:id="353" w:name="_Toc184314452"/>
      <w:bookmarkEnd w:id="353"/>
      <w:bookmarkStart w:id="354" w:name="_Toc184313295"/>
      <w:bookmarkEnd w:id="354"/>
      <w:bookmarkStart w:id="355" w:name="_Toc184314475"/>
      <w:bookmarkEnd w:id="355"/>
      <w:bookmarkStart w:id="356" w:name="_Toc184314445"/>
      <w:bookmarkEnd w:id="356"/>
      <w:bookmarkStart w:id="357" w:name="_Toc184314425"/>
      <w:bookmarkEnd w:id="357"/>
      <w:bookmarkStart w:id="358" w:name="_Toc184314436"/>
      <w:bookmarkEnd w:id="358"/>
      <w:bookmarkStart w:id="359" w:name="_Toc184310330"/>
      <w:bookmarkEnd w:id="359"/>
      <w:bookmarkStart w:id="360" w:name="_Toc184312083"/>
      <w:bookmarkEnd w:id="360"/>
      <w:bookmarkStart w:id="361" w:name="_Toc184313287"/>
      <w:bookmarkEnd w:id="361"/>
      <w:bookmarkStart w:id="362" w:name="_Toc184313247"/>
      <w:bookmarkEnd w:id="362"/>
      <w:bookmarkStart w:id="363" w:name="_Toc184310309"/>
      <w:bookmarkEnd w:id="363"/>
      <w:bookmarkStart w:id="364" w:name="_Toc184314421"/>
      <w:bookmarkEnd w:id="364"/>
      <w:bookmarkStart w:id="365" w:name="_Toc184313286"/>
      <w:bookmarkEnd w:id="365"/>
      <w:bookmarkStart w:id="366" w:name="_Toc184308040"/>
      <w:bookmarkEnd w:id="366"/>
      <w:bookmarkStart w:id="367" w:name="_Toc184308055"/>
      <w:bookmarkEnd w:id="367"/>
      <w:bookmarkStart w:id="368" w:name="_Toc184313268"/>
      <w:bookmarkEnd w:id="368"/>
      <w:bookmarkStart w:id="369" w:name="_Toc184314450"/>
      <w:bookmarkEnd w:id="369"/>
      <w:bookmarkStart w:id="370" w:name="_Toc184308045"/>
      <w:bookmarkEnd w:id="370"/>
      <w:bookmarkStart w:id="371" w:name="_Toc184312087"/>
      <w:bookmarkEnd w:id="371"/>
      <w:bookmarkStart w:id="372" w:name="_Toc184314481"/>
      <w:bookmarkEnd w:id="372"/>
      <w:bookmarkStart w:id="373" w:name="_Toc184314464"/>
      <w:bookmarkEnd w:id="373"/>
      <w:bookmarkStart w:id="374" w:name="_Toc184308084"/>
      <w:bookmarkEnd w:id="374"/>
      <w:bookmarkStart w:id="375" w:name="_Toc184313310"/>
      <w:bookmarkEnd w:id="375"/>
      <w:bookmarkStart w:id="376" w:name="_Toc184314470"/>
      <w:bookmarkEnd w:id="376"/>
      <w:bookmarkStart w:id="377" w:name="_Toc184314458"/>
      <w:bookmarkEnd w:id="377"/>
      <w:bookmarkStart w:id="378" w:name="_Toc184308070"/>
      <w:bookmarkEnd w:id="378"/>
      <w:bookmarkStart w:id="379" w:name="_Toc184308054"/>
      <w:bookmarkEnd w:id="379"/>
      <w:bookmarkStart w:id="380" w:name="_Toc184313303"/>
      <w:bookmarkEnd w:id="380"/>
      <w:r>
        <w:rPr>
          <w:rFonts w:hint="eastAsia" w:ascii="宋体" w:hAnsi="宋体" w:eastAsia="宋体" w:cs="宋体"/>
          <w:b/>
          <w:sz w:val="36"/>
          <w:szCs w:val="36"/>
        </w:rPr>
        <w:t>评标办法</w:t>
      </w:r>
    </w:p>
    <w:p w14:paraId="3B77A488">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14:paraId="7C4AEBA6">
      <w:pPr>
        <w:spacing w:after="0"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rPr>
        <w:t>商务资信</w:t>
      </w:r>
      <w:r>
        <w:rPr>
          <w:rFonts w:hint="eastAsia" w:ascii="宋体" w:hAnsi="宋体" w:cs="宋体"/>
          <w:sz w:val="24"/>
          <w:szCs w:val="24"/>
          <w:lang w:val="en-US" w:eastAsia="zh-CN"/>
        </w:rPr>
        <w:t>部分（10分）</w:t>
      </w:r>
    </w:p>
    <w:tbl>
      <w:tblPr>
        <w:tblStyle w:val="64"/>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50"/>
        <w:gridCol w:w="6714"/>
        <w:gridCol w:w="739"/>
        <w:gridCol w:w="1121"/>
      </w:tblGrid>
      <w:tr w14:paraId="26EE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1" w:type="dxa"/>
            <w:vAlign w:val="center"/>
          </w:tcPr>
          <w:p w14:paraId="7BA6890C">
            <w:pPr>
              <w:spacing w:after="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164" w:type="dxa"/>
            <w:gridSpan w:val="2"/>
            <w:vAlign w:val="center"/>
          </w:tcPr>
          <w:p w14:paraId="4E3CC709">
            <w:pPr>
              <w:spacing w:after="0"/>
              <w:jc w:val="center"/>
              <w:rPr>
                <w:rFonts w:hint="eastAsia" w:ascii="宋体" w:hAnsi="宋体" w:eastAsia="宋体" w:cs="宋体"/>
                <w:sz w:val="24"/>
                <w:szCs w:val="24"/>
              </w:rPr>
            </w:pPr>
            <w:r>
              <w:rPr>
                <w:rFonts w:hint="eastAsia" w:ascii="宋体" w:hAnsi="宋体" w:eastAsia="宋体" w:cs="宋体"/>
                <w:sz w:val="24"/>
                <w:szCs w:val="24"/>
              </w:rPr>
              <w:t>评分内容和标准</w:t>
            </w:r>
          </w:p>
        </w:tc>
        <w:tc>
          <w:tcPr>
            <w:tcW w:w="739" w:type="dxa"/>
            <w:vAlign w:val="center"/>
          </w:tcPr>
          <w:p w14:paraId="33DD1329">
            <w:pPr>
              <w:spacing w:after="0"/>
              <w:jc w:val="center"/>
              <w:rPr>
                <w:rFonts w:hint="eastAsia" w:ascii="宋体" w:hAnsi="宋体" w:eastAsia="宋体" w:cs="宋体"/>
                <w:sz w:val="24"/>
                <w:szCs w:val="24"/>
              </w:rPr>
            </w:pPr>
            <w:r>
              <w:rPr>
                <w:rFonts w:hint="eastAsia" w:ascii="宋体" w:hAnsi="宋体" w:eastAsia="宋体" w:cs="宋体"/>
                <w:sz w:val="24"/>
                <w:szCs w:val="24"/>
              </w:rPr>
              <w:t>权重</w:t>
            </w:r>
          </w:p>
        </w:tc>
        <w:tc>
          <w:tcPr>
            <w:tcW w:w="1121" w:type="dxa"/>
            <w:vAlign w:val="center"/>
          </w:tcPr>
          <w:p w14:paraId="371D8C05">
            <w:pPr>
              <w:spacing w:after="0"/>
              <w:jc w:val="center"/>
              <w:rPr>
                <w:rFonts w:hint="eastAsia" w:ascii="宋体" w:hAnsi="宋体" w:eastAsia="宋体" w:cs="宋体"/>
                <w:sz w:val="24"/>
                <w:szCs w:val="24"/>
              </w:rPr>
            </w:pPr>
            <w:r>
              <w:rPr>
                <w:rFonts w:hint="eastAsia" w:ascii="宋体" w:hAnsi="宋体" w:eastAsia="宋体" w:cs="宋体"/>
                <w:sz w:val="24"/>
                <w:szCs w:val="24"/>
              </w:rPr>
              <w:t>主客</w:t>
            </w:r>
          </w:p>
          <w:p w14:paraId="441E489C">
            <w:pPr>
              <w:spacing w:after="0"/>
              <w:jc w:val="center"/>
              <w:rPr>
                <w:rFonts w:hint="eastAsia" w:ascii="宋体" w:hAnsi="宋体" w:eastAsia="宋体" w:cs="宋体"/>
                <w:sz w:val="24"/>
                <w:szCs w:val="24"/>
              </w:rPr>
            </w:pPr>
            <w:r>
              <w:rPr>
                <w:rFonts w:hint="eastAsia" w:ascii="宋体" w:hAnsi="宋体" w:eastAsia="宋体" w:cs="宋体"/>
                <w:sz w:val="24"/>
                <w:szCs w:val="24"/>
              </w:rPr>
              <w:t>观分</w:t>
            </w:r>
          </w:p>
        </w:tc>
      </w:tr>
      <w:tr w14:paraId="2CA2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31" w:type="dxa"/>
            <w:vMerge w:val="restart"/>
            <w:vAlign w:val="center"/>
          </w:tcPr>
          <w:p w14:paraId="2E5A7CE1">
            <w:pPr>
              <w:spacing w:after="0"/>
              <w:jc w:val="center"/>
              <w:rPr>
                <w:rFonts w:hint="eastAsia" w:ascii="宋体" w:hAnsi="宋体" w:eastAsia="宋体" w:cs="宋体"/>
                <w:sz w:val="24"/>
                <w:szCs w:val="24"/>
              </w:rPr>
            </w:pPr>
            <w:r>
              <w:rPr>
                <w:rFonts w:hint="eastAsia" w:ascii="宋体" w:hAnsi="宋体" w:eastAsia="宋体" w:cs="宋体"/>
                <w:sz w:val="24"/>
                <w:szCs w:val="24"/>
              </w:rPr>
              <w:t>商务资信</w:t>
            </w:r>
            <w:r>
              <w:rPr>
                <w:rFonts w:hint="eastAsia" w:ascii="宋体" w:hAnsi="宋体" w:cs="宋体"/>
                <w:sz w:val="24"/>
                <w:szCs w:val="24"/>
                <w:lang w:val="en-US" w:eastAsia="zh-CN"/>
              </w:rPr>
              <w:t>分</w:t>
            </w:r>
          </w:p>
        </w:tc>
        <w:tc>
          <w:tcPr>
            <w:tcW w:w="450" w:type="dxa"/>
            <w:vAlign w:val="center"/>
          </w:tcPr>
          <w:p w14:paraId="06CC506B">
            <w:pPr>
              <w:spacing w:after="0"/>
              <w:jc w:val="center"/>
              <w:rPr>
                <w:rFonts w:hint="eastAsia" w:ascii="宋体" w:hAnsi="宋体" w:eastAsia="宋体" w:cs="宋体"/>
                <w:sz w:val="24"/>
                <w:szCs w:val="24"/>
              </w:rPr>
            </w:pPr>
            <w:r>
              <w:rPr>
                <w:rFonts w:hint="eastAsia" w:ascii="宋体" w:hAnsi="宋体" w:eastAsia="宋体" w:cs="宋体"/>
                <w:sz w:val="24"/>
                <w:szCs w:val="24"/>
              </w:rPr>
              <w:t>1</w:t>
            </w:r>
          </w:p>
        </w:tc>
        <w:tc>
          <w:tcPr>
            <w:tcW w:w="6714" w:type="dxa"/>
            <w:vAlign w:val="center"/>
          </w:tcPr>
          <w:p w14:paraId="753F0729">
            <w:pPr>
              <w:spacing w:after="0"/>
              <w:jc w:val="both"/>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自20</w:t>
            </w:r>
            <w:r>
              <w:rPr>
                <w:rFonts w:hint="eastAsia" w:ascii="宋体" w:hAnsi="宋体" w:eastAsia="宋体" w:cs="宋体"/>
                <w:sz w:val="24"/>
                <w:szCs w:val="24"/>
                <w:lang w:val="en-US" w:eastAsia="zh-CN"/>
              </w:rPr>
              <w:t>22</w:t>
            </w:r>
            <w:r>
              <w:rPr>
                <w:rFonts w:hint="eastAsia" w:ascii="宋体" w:hAnsi="宋体" w:eastAsia="宋体" w:cs="宋体"/>
                <w:sz w:val="24"/>
                <w:szCs w:val="24"/>
              </w:rPr>
              <w:t>年1月1日起具有类似项目</w:t>
            </w:r>
            <w:r>
              <w:rPr>
                <w:rFonts w:hint="eastAsia" w:ascii="宋体" w:hAnsi="宋体" w:cs="宋体"/>
                <w:sz w:val="24"/>
                <w:szCs w:val="24"/>
                <w:lang w:eastAsia="zh-CN"/>
              </w:rPr>
              <w:t>（安全生产社会化服务）</w:t>
            </w:r>
            <w:r>
              <w:rPr>
                <w:rFonts w:hint="eastAsia" w:ascii="宋体" w:hAnsi="宋体" w:eastAsia="宋体" w:cs="宋体"/>
                <w:sz w:val="24"/>
                <w:szCs w:val="24"/>
              </w:rPr>
              <w:t>合同业绩的每个得0.</w:t>
            </w:r>
            <w:r>
              <w:rPr>
                <w:rFonts w:hint="eastAsia" w:ascii="宋体" w:hAnsi="宋体" w:cs="宋体"/>
                <w:sz w:val="24"/>
                <w:szCs w:val="24"/>
                <w:lang w:val="en-US" w:eastAsia="zh-CN"/>
              </w:rPr>
              <w:t>5</w:t>
            </w:r>
            <w:r>
              <w:rPr>
                <w:rFonts w:hint="eastAsia" w:ascii="宋体" w:hAnsi="宋体" w:eastAsia="宋体" w:cs="宋体"/>
                <w:sz w:val="24"/>
                <w:szCs w:val="24"/>
              </w:rPr>
              <w:t>分，最高得1分。（</w:t>
            </w:r>
            <w:r>
              <w:rPr>
                <w:rFonts w:hint="eastAsia" w:ascii="宋体" w:hAnsi="宋体" w:eastAsia="宋体" w:cs="宋体"/>
                <w:sz w:val="24"/>
                <w:szCs w:val="24"/>
                <w:lang w:val="en-US" w:eastAsia="zh-CN"/>
              </w:rPr>
              <w:t>须</w:t>
            </w:r>
            <w:r>
              <w:rPr>
                <w:rFonts w:hint="eastAsia" w:ascii="宋体" w:hAnsi="宋体" w:eastAsia="宋体" w:cs="宋体"/>
                <w:sz w:val="24"/>
                <w:szCs w:val="24"/>
              </w:rPr>
              <w:t>提供合同复印件加盖公章。）</w:t>
            </w:r>
          </w:p>
        </w:tc>
        <w:tc>
          <w:tcPr>
            <w:tcW w:w="739" w:type="dxa"/>
            <w:vAlign w:val="center"/>
          </w:tcPr>
          <w:p w14:paraId="5234CD1D">
            <w:pPr>
              <w:spacing w:after="0"/>
              <w:jc w:val="center"/>
              <w:rPr>
                <w:rFonts w:hint="eastAsia" w:ascii="宋体" w:hAnsi="宋体" w:eastAsia="宋体" w:cs="宋体"/>
                <w:sz w:val="24"/>
                <w:szCs w:val="24"/>
              </w:rPr>
            </w:pPr>
            <w:r>
              <w:rPr>
                <w:rFonts w:hint="eastAsia" w:ascii="宋体" w:hAnsi="宋体" w:eastAsia="宋体" w:cs="宋体"/>
                <w:sz w:val="24"/>
                <w:szCs w:val="24"/>
              </w:rPr>
              <w:t>1</w:t>
            </w:r>
          </w:p>
        </w:tc>
        <w:tc>
          <w:tcPr>
            <w:tcW w:w="1121" w:type="dxa"/>
            <w:vAlign w:val="center"/>
          </w:tcPr>
          <w:p w14:paraId="029E2B5D">
            <w:pPr>
              <w:spacing w:after="0"/>
              <w:jc w:val="center"/>
              <w:rPr>
                <w:rFonts w:hint="eastAsia" w:ascii="宋体" w:hAnsi="宋体" w:eastAsia="宋体" w:cs="宋体"/>
                <w:sz w:val="24"/>
                <w:szCs w:val="24"/>
              </w:rPr>
            </w:pPr>
            <w:r>
              <w:rPr>
                <w:rFonts w:hint="eastAsia" w:ascii="宋体" w:hAnsi="宋体" w:eastAsia="宋体" w:cs="宋体"/>
                <w:sz w:val="24"/>
                <w:szCs w:val="24"/>
              </w:rPr>
              <w:t>客观分</w:t>
            </w:r>
          </w:p>
        </w:tc>
      </w:tr>
      <w:tr w14:paraId="36D6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31" w:type="dxa"/>
            <w:vMerge w:val="continue"/>
            <w:vAlign w:val="center"/>
          </w:tcPr>
          <w:p w14:paraId="6C503CA7">
            <w:pPr>
              <w:spacing w:after="0"/>
              <w:rPr>
                <w:rFonts w:hint="eastAsia" w:ascii="宋体" w:hAnsi="宋体" w:eastAsia="宋体" w:cs="宋体"/>
                <w:sz w:val="24"/>
                <w:szCs w:val="24"/>
              </w:rPr>
            </w:pPr>
          </w:p>
        </w:tc>
        <w:tc>
          <w:tcPr>
            <w:tcW w:w="450" w:type="dxa"/>
            <w:vAlign w:val="center"/>
          </w:tcPr>
          <w:p w14:paraId="1FACA04A">
            <w:pPr>
              <w:spacing w:after="0"/>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6714" w:type="dxa"/>
            <w:vAlign w:val="center"/>
          </w:tcPr>
          <w:p w14:paraId="4E1D802F">
            <w:pPr>
              <w:spacing w:after="0"/>
              <w:jc w:val="both"/>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在浙江省应急管理厅社会化服务机构管理系统上登记备案，符合省厅关于安全第三方机构开展安全社会化服务的资格要求，浙江省应急厅评定的安全生产社会化服务机构C级得2分，B级及以上的得3分。(</w:t>
            </w:r>
            <w:r>
              <w:rPr>
                <w:rFonts w:hint="eastAsia" w:ascii="宋体" w:hAnsi="宋体" w:cs="宋体"/>
                <w:sz w:val="24"/>
                <w:szCs w:val="24"/>
                <w:lang w:val="en-US" w:eastAsia="zh-CN"/>
              </w:rPr>
              <w:t>须</w:t>
            </w:r>
            <w:r>
              <w:rPr>
                <w:rFonts w:hint="eastAsia" w:ascii="宋体" w:hAnsi="宋体" w:eastAsia="宋体" w:cs="宋体"/>
                <w:sz w:val="24"/>
                <w:szCs w:val="24"/>
              </w:rPr>
              <w:t>提供工业企业安全在线系统显示结果截图复印件加盖公章，不提供不得分。)</w:t>
            </w:r>
          </w:p>
        </w:tc>
        <w:tc>
          <w:tcPr>
            <w:tcW w:w="739" w:type="dxa"/>
            <w:vAlign w:val="center"/>
          </w:tcPr>
          <w:p w14:paraId="7D58E41D">
            <w:pPr>
              <w:spacing w:after="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121" w:type="dxa"/>
            <w:vAlign w:val="center"/>
          </w:tcPr>
          <w:p w14:paraId="1FDD8A19">
            <w:pPr>
              <w:spacing w:after="0"/>
              <w:jc w:val="center"/>
              <w:rPr>
                <w:rFonts w:hint="eastAsia" w:ascii="宋体" w:hAnsi="宋体" w:eastAsia="宋体" w:cs="宋体"/>
                <w:sz w:val="24"/>
                <w:szCs w:val="24"/>
              </w:rPr>
            </w:pPr>
            <w:r>
              <w:rPr>
                <w:rFonts w:hint="eastAsia" w:ascii="宋体" w:hAnsi="宋体" w:eastAsia="宋体" w:cs="宋体"/>
                <w:sz w:val="24"/>
                <w:szCs w:val="24"/>
              </w:rPr>
              <w:t>客观分</w:t>
            </w:r>
          </w:p>
        </w:tc>
      </w:tr>
      <w:tr w14:paraId="4613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31" w:type="dxa"/>
            <w:vMerge w:val="continue"/>
            <w:vAlign w:val="center"/>
          </w:tcPr>
          <w:p w14:paraId="53DA0F02">
            <w:pPr>
              <w:spacing w:after="0"/>
              <w:rPr>
                <w:rFonts w:hint="eastAsia" w:ascii="宋体" w:hAnsi="宋体" w:eastAsia="宋体" w:cs="宋体"/>
                <w:sz w:val="24"/>
                <w:szCs w:val="24"/>
              </w:rPr>
            </w:pPr>
          </w:p>
        </w:tc>
        <w:tc>
          <w:tcPr>
            <w:tcW w:w="450" w:type="dxa"/>
            <w:vAlign w:val="center"/>
          </w:tcPr>
          <w:p w14:paraId="6EB7DB0D">
            <w:pPr>
              <w:spacing w:after="0"/>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6714" w:type="dxa"/>
            <w:vAlign w:val="center"/>
          </w:tcPr>
          <w:p w14:paraId="3C2A86A0">
            <w:pPr>
              <w:pStyle w:val="401"/>
              <w:spacing w:after="0" w:afterLines="0" w:line="240" w:lineRule="auto"/>
              <w:ind w:firstLine="0" w:firstLineChars="0"/>
              <w:jc w:val="both"/>
              <w:rPr>
                <w:rFonts w:hint="eastAsia" w:ascii="宋体" w:hAnsi="宋体" w:eastAsia="宋体" w:cs="宋体"/>
                <w:sz w:val="24"/>
                <w:szCs w:val="24"/>
              </w:rPr>
            </w:pPr>
            <w:r>
              <w:rPr>
                <w:rFonts w:hint="eastAsia" w:ascii="宋体" w:hAnsi="宋体" w:eastAsia="宋体" w:cs="宋体"/>
                <w:bCs/>
                <w:sz w:val="24"/>
                <w:szCs w:val="24"/>
                <w:lang w:val="en-US" w:bidi="zh-CN"/>
              </w:rPr>
              <w:t>供应商具有质量</w:t>
            </w:r>
            <w:r>
              <w:rPr>
                <w:rFonts w:hint="eastAsia" w:ascii="宋体" w:hAnsi="宋体" w:cs="宋体"/>
                <w:bCs/>
                <w:sz w:val="24"/>
                <w:szCs w:val="24"/>
                <w:lang w:val="en-US" w:bidi="zh-CN"/>
              </w:rPr>
              <w:t>管理</w:t>
            </w:r>
            <w:r>
              <w:rPr>
                <w:rFonts w:hint="eastAsia" w:ascii="宋体" w:hAnsi="宋体" w:eastAsia="宋体" w:cs="宋体"/>
                <w:bCs/>
                <w:sz w:val="24"/>
                <w:szCs w:val="24"/>
                <w:lang w:val="en-US" w:bidi="zh-CN"/>
              </w:rPr>
              <w:t>体系认证、环境管理体系认证、职业健康安全管理体系认证（证书须在有效期内）：每个得2分，最高得6分。（认证证书复印件及在全国认证认可信息公共服务平台（http://cx.cnca.cn/）查询的截图，两者缺一不可，否则不得分，复印件加盖公章）</w:t>
            </w:r>
          </w:p>
        </w:tc>
        <w:tc>
          <w:tcPr>
            <w:tcW w:w="739" w:type="dxa"/>
            <w:vAlign w:val="center"/>
          </w:tcPr>
          <w:p w14:paraId="6B18BB7D">
            <w:pPr>
              <w:spacing w:after="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121" w:type="dxa"/>
            <w:vAlign w:val="center"/>
          </w:tcPr>
          <w:p w14:paraId="1FF0BE55">
            <w:pPr>
              <w:spacing w:after="0"/>
              <w:jc w:val="center"/>
              <w:rPr>
                <w:rFonts w:hint="eastAsia" w:ascii="宋体" w:hAnsi="宋体" w:eastAsia="宋体" w:cs="宋体"/>
                <w:sz w:val="24"/>
                <w:szCs w:val="24"/>
              </w:rPr>
            </w:pPr>
            <w:r>
              <w:rPr>
                <w:rFonts w:hint="eastAsia" w:ascii="宋体" w:hAnsi="宋体" w:eastAsia="宋体" w:cs="宋体"/>
                <w:sz w:val="24"/>
                <w:szCs w:val="24"/>
              </w:rPr>
              <w:t>客观分</w:t>
            </w:r>
          </w:p>
        </w:tc>
      </w:tr>
    </w:tbl>
    <w:p w14:paraId="1BA8F548">
      <w:pPr>
        <w:spacing w:after="0"/>
        <w:rPr>
          <w:rFonts w:hint="eastAsia" w:ascii="宋体" w:hAnsi="宋体" w:eastAsia="宋体" w:cs="宋体"/>
          <w:sz w:val="24"/>
          <w:szCs w:val="24"/>
        </w:rPr>
      </w:pPr>
    </w:p>
    <w:p w14:paraId="3813F937">
      <w:pPr>
        <w:spacing w:after="0"/>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技术</w:t>
      </w:r>
      <w:r>
        <w:rPr>
          <w:rFonts w:hint="eastAsia" w:ascii="宋体" w:hAnsi="宋体" w:cs="宋体"/>
          <w:sz w:val="24"/>
          <w:szCs w:val="24"/>
          <w:lang w:val="en-US" w:eastAsia="zh-CN"/>
        </w:rPr>
        <w:t>部分（80分）</w:t>
      </w:r>
    </w:p>
    <w:tbl>
      <w:tblPr>
        <w:tblStyle w:val="64"/>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96"/>
        <w:gridCol w:w="6689"/>
        <w:gridCol w:w="780"/>
        <w:gridCol w:w="1115"/>
      </w:tblGrid>
      <w:tr w14:paraId="7DF9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44DC5DE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14:paraId="73A90C79">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评分内容和标准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87631CC">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权重</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481F46E">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主客</w:t>
            </w:r>
          </w:p>
          <w:p w14:paraId="10140A18">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观分</w:t>
            </w:r>
          </w:p>
        </w:tc>
      </w:tr>
      <w:tr w14:paraId="76A1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7" w:type="dxa"/>
            <w:vMerge w:val="restart"/>
            <w:tcBorders>
              <w:top w:val="single" w:color="auto" w:sz="4" w:space="0"/>
              <w:left w:val="single" w:color="auto" w:sz="4" w:space="0"/>
              <w:right w:val="single" w:color="auto" w:sz="4" w:space="0"/>
            </w:tcBorders>
            <w:noWrap w:val="0"/>
            <w:vAlign w:val="center"/>
          </w:tcPr>
          <w:p w14:paraId="08E9ACE8">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技术分</w:t>
            </w:r>
          </w:p>
        </w:tc>
        <w:tc>
          <w:tcPr>
            <w:tcW w:w="496" w:type="dxa"/>
            <w:tcBorders>
              <w:top w:val="single" w:color="auto" w:sz="4" w:space="0"/>
              <w:left w:val="single" w:color="auto" w:sz="4" w:space="0"/>
              <w:right w:val="single" w:color="auto" w:sz="4" w:space="0"/>
            </w:tcBorders>
            <w:noWrap w:val="0"/>
            <w:vAlign w:val="center"/>
          </w:tcPr>
          <w:p w14:paraId="1258CC8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689" w:type="dxa"/>
            <w:tcBorders>
              <w:top w:val="single" w:color="auto" w:sz="4" w:space="0"/>
              <w:left w:val="single" w:color="auto" w:sz="4" w:space="0"/>
              <w:right w:val="single" w:color="auto" w:sz="4" w:space="0"/>
            </w:tcBorders>
            <w:shd w:val="clear" w:color="auto" w:fill="auto"/>
            <w:noWrap w:val="0"/>
            <w:vAlign w:val="center"/>
          </w:tcPr>
          <w:p w14:paraId="7F8B9BA9">
            <w:pPr>
              <w:pStyle w:val="486"/>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总体方案的合理性、科学性、全面性（根据对本项目的理解程度、总体设计、组织实施、独到优势等情况综合评定）</w:t>
            </w:r>
            <w:r>
              <w:rPr>
                <w:rFonts w:hint="eastAsia" w:ascii="宋体" w:hAnsi="宋体" w:eastAsia="宋体" w:cs="宋体"/>
                <w:color w:val="auto"/>
                <w:sz w:val="24"/>
                <w:szCs w:val="24"/>
                <w:lang w:eastAsia="zh-CN"/>
              </w:rPr>
              <w:t>。</w:t>
            </w:r>
          </w:p>
          <w:p w14:paraId="000D86A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right w:val="single" w:color="auto" w:sz="4" w:space="0"/>
            </w:tcBorders>
            <w:noWrap w:val="0"/>
            <w:vAlign w:val="center"/>
          </w:tcPr>
          <w:p w14:paraId="69BFC85D">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5</w:t>
            </w:r>
          </w:p>
        </w:tc>
        <w:tc>
          <w:tcPr>
            <w:tcW w:w="1115" w:type="dxa"/>
            <w:tcBorders>
              <w:top w:val="single" w:color="auto" w:sz="4" w:space="0"/>
              <w:left w:val="single" w:color="auto" w:sz="4" w:space="0"/>
              <w:right w:val="single" w:color="auto" w:sz="4" w:space="0"/>
            </w:tcBorders>
            <w:noWrap w:val="0"/>
            <w:vAlign w:val="center"/>
          </w:tcPr>
          <w:p w14:paraId="6E5A0B7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3614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7" w:type="dxa"/>
            <w:vMerge w:val="continue"/>
            <w:tcBorders>
              <w:left w:val="single" w:color="auto" w:sz="4" w:space="0"/>
              <w:right w:val="single" w:color="auto" w:sz="4" w:space="0"/>
            </w:tcBorders>
            <w:noWrap w:val="0"/>
            <w:vAlign w:val="center"/>
          </w:tcPr>
          <w:p w14:paraId="5C18DF3E">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right w:val="single" w:color="auto" w:sz="4" w:space="0"/>
            </w:tcBorders>
            <w:noWrap w:val="0"/>
            <w:vAlign w:val="center"/>
          </w:tcPr>
          <w:p w14:paraId="0B0C05C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6689" w:type="dxa"/>
            <w:tcBorders>
              <w:top w:val="single" w:color="auto" w:sz="4" w:space="0"/>
              <w:left w:val="single" w:color="auto" w:sz="4" w:space="0"/>
              <w:right w:val="single" w:color="auto" w:sz="4" w:space="0"/>
            </w:tcBorders>
            <w:shd w:val="clear" w:color="auto" w:fill="auto"/>
            <w:noWrap w:val="0"/>
            <w:vAlign w:val="center"/>
          </w:tcPr>
          <w:p w14:paraId="592DCE43">
            <w:pPr>
              <w:pStyle w:val="486"/>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项目管理分工明确，项目人员组织结构科学合理，有详细的</w:t>
            </w:r>
            <w:r>
              <w:rPr>
                <w:rFonts w:hint="eastAsia" w:ascii="宋体" w:hAnsi="宋体" w:cs="宋体"/>
                <w:color w:val="auto"/>
                <w:sz w:val="24"/>
                <w:szCs w:val="24"/>
                <w:highlight w:val="none"/>
                <w:lang w:eastAsia="zh-CN"/>
              </w:rPr>
              <w:t>实施</w:t>
            </w:r>
            <w:r>
              <w:rPr>
                <w:rFonts w:hint="eastAsia" w:ascii="宋体" w:hAnsi="宋体" w:eastAsia="宋体" w:cs="宋体"/>
                <w:color w:val="auto"/>
                <w:sz w:val="24"/>
                <w:szCs w:val="24"/>
                <w:highlight w:val="none"/>
              </w:rPr>
              <w:t>计划安排、根据项目进度实施计划的科学性与合理性给分</w:t>
            </w:r>
            <w:r>
              <w:rPr>
                <w:rFonts w:hint="eastAsia" w:ascii="宋体" w:hAnsi="宋体" w:eastAsia="宋体" w:cs="宋体"/>
                <w:color w:val="auto"/>
                <w:sz w:val="24"/>
                <w:szCs w:val="24"/>
                <w:highlight w:val="none"/>
                <w:lang w:eastAsia="zh-CN"/>
              </w:rPr>
              <w:t>。</w:t>
            </w:r>
          </w:p>
          <w:p w14:paraId="14065CAF">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right w:val="single" w:color="auto" w:sz="4" w:space="0"/>
            </w:tcBorders>
            <w:noWrap w:val="0"/>
            <w:vAlign w:val="center"/>
          </w:tcPr>
          <w:p w14:paraId="74EC889C">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5</w:t>
            </w:r>
          </w:p>
        </w:tc>
        <w:tc>
          <w:tcPr>
            <w:tcW w:w="1115" w:type="dxa"/>
            <w:tcBorders>
              <w:top w:val="single" w:color="auto" w:sz="4" w:space="0"/>
              <w:left w:val="single" w:color="auto" w:sz="4" w:space="0"/>
              <w:right w:val="single" w:color="auto" w:sz="4" w:space="0"/>
            </w:tcBorders>
            <w:noWrap w:val="0"/>
            <w:vAlign w:val="center"/>
          </w:tcPr>
          <w:p w14:paraId="069C89E1">
            <w:pPr>
              <w:spacing w:after="0"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1175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7" w:type="dxa"/>
            <w:vMerge w:val="continue"/>
            <w:tcBorders>
              <w:left w:val="single" w:color="auto" w:sz="4" w:space="0"/>
              <w:right w:val="single" w:color="auto" w:sz="4" w:space="0"/>
            </w:tcBorders>
            <w:noWrap w:val="0"/>
            <w:vAlign w:val="center"/>
          </w:tcPr>
          <w:p w14:paraId="5E06CB34">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right w:val="single" w:color="auto" w:sz="4" w:space="0"/>
            </w:tcBorders>
            <w:noWrap w:val="0"/>
            <w:vAlign w:val="center"/>
          </w:tcPr>
          <w:p w14:paraId="06F0D06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6689" w:type="dxa"/>
            <w:tcBorders>
              <w:top w:val="single" w:color="auto" w:sz="4" w:space="0"/>
              <w:left w:val="single" w:color="auto" w:sz="4" w:space="0"/>
              <w:right w:val="single" w:color="auto" w:sz="4" w:space="0"/>
            </w:tcBorders>
            <w:shd w:val="clear" w:color="auto" w:fill="auto"/>
            <w:noWrap w:val="0"/>
            <w:vAlign w:val="center"/>
          </w:tcPr>
          <w:p w14:paraId="62D0F468">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组织架构（</w:t>
            </w:r>
            <w:r>
              <w:rPr>
                <w:rFonts w:hint="eastAsia" w:ascii="宋体" w:hAnsi="宋体" w:eastAsia="宋体" w:cs="宋体"/>
                <w:color w:val="auto"/>
                <w:sz w:val="24"/>
                <w:szCs w:val="24"/>
                <w:lang w:val="zh-CN"/>
              </w:rPr>
              <w:t>管理流程、权责分配、运作流程图、监督机制、自我约束机制、信息反馈渠道及处理机制</w:t>
            </w:r>
            <w:r>
              <w:rPr>
                <w:rFonts w:hint="eastAsia" w:ascii="宋体" w:hAnsi="宋体" w:eastAsia="宋体" w:cs="宋体"/>
                <w:color w:val="auto"/>
                <w:sz w:val="24"/>
                <w:szCs w:val="24"/>
                <w:highlight w:val="none"/>
                <w:shd w:val="clear" w:color="auto" w:fill="FFFFFF"/>
              </w:rPr>
              <w:t>）。</w:t>
            </w:r>
          </w:p>
          <w:p w14:paraId="6F436A08">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right w:val="single" w:color="auto" w:sz="4" w:space="0"/>
            </w:tcBorders>
            <w:noWrap w:val="0"/>
            <w:vAlign w:val="center"/>
          </w:tcPr>
          <w:p w14:paraId="0F7DFD64">
            <w:pPr>
              <w:keepNext w:val="0"/>
              <w:keepLines w:val="0"/>
              <w:pageBreakBefore w:val="0"/>
              <w:kinsoku/>
              <w:wordWrap/>
              <w:overflowPunct/>
              <w:topLinePunct w:val="0"/>
              <w:autoSpaceDE/>
              <w:autoSpaceDN/>
              <w:bidi w:val="0"/>
              <w:snapToGrid/>
              <w:spacing w:line="312"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5</w:t>
            </w:r>
          </w:p>
        </w:tc>
        <w:tc>
          <w:tcPr>
            <w:tcW w:w="1115" w:type="dxa"/>
            <w:tcBorders>
              <w:top w:val="single" w:color="auto" w:sz="4" w:space="0"/>
              <w:left w:val="single" w:color="auto" w:sz="4" w:space="0"/>
              <w:right w:val="single" w:color="auto" w:sz="4" w:space="0"/>
            </w:tcBorders>
            <w:noWrap w:val="0"/>
            <w:vAlign w:val="center"/>
          </w:tcPr>
          <w:p w14:paraId="2BA6964F">
            <w:pPr>
              <w:spacing w:after="0"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7F29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7" w:type="dxa"/>
            <w:vMerge w:val="continue"/>
            <w:tcBorders>
              <w:left w:val="single" w:color="auto" w:sz="4" w:space="0"/>
              <w:right w:val="single" w:color="auto" w:sz="4" w:space="0"/>
            </w:tcBorders>
            <w:noWrap w:val="0"/>
            <w:vAlign w:val="center"/>
          </w:tcPr>
          <w:p w14:paraId="78D8AB75">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right w:val="single" w:color="auto" w:sz="4" w:space="0"/>
            </w:tcBorders>
            <w:noWrap w:val="0"/>
            <w:vAlign w:val="center"/>
          </w:tcPr>
          <w:p w14:paraId="7DD6615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6689" w:type="dxa"/>
            <w:tcBorders>
              <w:top w:val="single" w:color="auto" w:sz="4" w:space="0"/>
              <w:left w:val="single" w:color="auto" w:sz="4" w:space="0"/>
              <w:right w:val="single" w:color="auto" w:sz="4" w:space="0"/>
            </w:tcBorders>
            <w:shd w:val="clear" w:color="auto" w:fill="auto"/>
            <w:noWrap w:val="0"/>
            <w:vAlign w:val="center"/>
          </w:tcPr>
          <w:p w14:paraId="32C076BA">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管理制度（绩效管理制度、</w:t>
            </w:r>
            <w:r>
              <w:rPr>
                <w:rFonts w:hint="eastAsia" w:ascii="宋体" w:hAnsi="宋体" w:cs="宋体"/>
                <w:color w:val="auto"/>
                <w:sz w:val="24"/>
                <w:szCs w:val="24"/>
                <w:highlight w:val="none"/>
                <w:shd w:val="clear" w:color="auto" w:fill="FFFFFF"/>
                <w:lang w:eastAsia="zh-CN"/>
              </w:rPr>
              <w:t>车辆管理</w:t>
            </w:r>
            <w:r>
              <w:rPr>
                <w:rFonts w:hint="eastAsia" w:ascii="宋体" w:hAnsi="宋体" w:eastAsia="宋体" w:cs="宋体"/>
                <w:color w:val="auto"/>
                <w:sz w:val="24"/>
                <w:szCs w:val="24"/>
                <w:highlight w:val="none"/>
                <w:shd w:val="clear" w:color="auto" w:fill="FFFFFF"/>
              </w:rPr>
              <w:t>制度、员工考勤制度、员工</w:t>
            </w:r>
            <w:r>
              <w:rPr>
                <w:rFonts w:hint="eastAsia" w:ascii="宋体" w:hAnsi="宋体" w:cs="宋体"/>
                <w:color w:val="auto"/>
                <w:sz w:val="24"/>
                <w:szCs w:val="24"/>
                <w:highlight w:val="none"/>
                <w:shd w:val="clear" w:color="auto" w:fill="FFFFFF"/>
                <w:lang w:eastAsia="zh-CN"/>
              </w:rPr>
              <w:t>管理</w:t>
            </w:r>
            <w:r>
              <w:rPr>
                <w:rFonts w:hint="eastAsia" w:ascii="宋体" w:hAnsi="宋体" w:eastAsia="宋体" w:cs="宋体"/>
                <w:color w:val="auto"/>
                <w:sz w:val="24"/>
                <w:szCs w:val="24"/>
                <w:highlight w:val="none"/>
                <w:shd w:val="clear" w:color="auto" w:fill="FFFFFF"/>
              </w:rPr>
              <w:t>制度、</w:t>
            </w:r>
            <w:r>
              <w:rPr>
                <w:rFonts w:hint="eastAsia" w:ascii="宋体" w:hAnsi="宋体" w:cs="宋体"/>
                <w:color w:val="auto"/>
                <w:sz w:val="24"/>
                <w:szCs w:val="24"/>
                <w:highlight w:val="none"/>
                <w:shd w:val="clear" w:color="auto" w:fill="FFFFFF"/>
                <w:lang w:eastAsia="zh-CN"/>
              </w:rPr>
              <w:t>奖惩</w:t>
            </w:r>
            <w:r>
              <w:rPr>
                <w:rFonts w:hint="eastAsia" w:ascii="宋体" w:hAnsi="宋体" w:eastAsia="宋体" w:cs="宋体"/>
                <w:color w:val="auto"/>
                <w:sz w:val="24"/>
                <w:szCs w:val="24"/>
                <w:highlight w:val="none"/>
                <w:shd w:val="clear" w:color="auto" w:fill="FFFFFF"/>
              </w:rPr>
              <w:t>管理制度、</w:t>
            </w:r>
            <w:r>
              <w:rPr>
                <w:rFonts w:hint="eastAsia" w:ascii="宋体" w:hAnsi="宋体" w:cs="宋体"/>
                <w:color w:val="auto"/>
                <w:sz w:val="24"/>
                <w:szCs w:val="24"/>
                <w:highlight w:val="none"/>
                <w:shd w:val="clear" w:color="auto" w:fill="FFFFFF"/>
                <w:lang w:eastAsia="zh-CN"/>
              </w:rPr>
              <w:t>合同</w:t>
            </w:r>
            <w:r>
              <w:rPr>
                <w:rFonts w:hint="eastAsia" w:ascii="宋体" w:hAnsi="宋体" w:eastAsia="宋体" w:cs="宋体"/>
                <w:color w:val="auto"/>
                <w:sz w:val="24"/>
                <w:szCs w:val="24"/>
                <w:highlight w:val="none"/>
                <w:shd w:val="clear" w:color="auto" w:fill="FFFFFF"/>
              </w:rPr>
              <w:t>管理制度、档案管理制度等相关规章制度）</w:t>
            </w:r>
            <w:r>
              <w:rPr>
                <w:rFonts w:hint="eastAsia" w:ascii="宋体" w:hAnsi="宋体" w:eastAsia="宋体" w:cs="宋体"/>
                <w:color w:val="auto"/>
                <w:sz w:val="24"/>
                <w:szCs w:val="24"/>
                <w:highlight w:val="none"/>
                <w:shd w:val="clear" w:color="auto" w:fill="FFFFFF"/>
                <w:lang w:eastAsia="zh-CN"/>
              </w:rPr>
              <w:t>。</w:t>
            </w:r>
          </w:p>
          <w:p w14:paraId="654FD30D">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right w:val="single" w:color="auto" w:sz="4" w:space="0"/>
            </w:tcBorders>
            <w:noWrap w:val="0"/>
            <w:vAlign w:val="center"/>
          </w:tcPr>
          <w:p w14:paraId="1BCAF7EF">
            <w:pPr>
              <w:keepNext w:val="0"/>
              <w:keepLines w:val="0"/>
              <w:pageBreakBefore w:val="0"/>
              <w:kinsoku/>
              <w:wordWrap/>
              <w:overflowPunct/>
              <w:topLinePunct w:val="0"/>
              <w:autoSpaceDE/>
              <w:autoSpaceDN/>
              <w:bidi w:val="0"/>
              <w:snapToGrid/>
              <w:spacing w:line="312"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5</w:t>
            </w:r>
          </w:p>
        </w:tc>
        <w:tc>
          <w:tcPr>
            <w:tcW w:w="1115" w:type="dxa"/>
            <w:tcBorders>
              <w:top w:val="single" w:color="auto" w:sz="4" w:space="0"/>
              <w:left w:val="single" w:color="auto" w:sz="4" w:space="0"/>
              <w:right w:val="single" w:color="auto" w:sz="4" w:space="0"/>
            </w:tcBorders>
            <w:noWrap w:val="0"/>
            <w:vAlign w:val="center"/>
          </w:tcPr>
          <w:p w14:paraId="4239B7B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494B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7" w:type="dxa"/>
            <w:vMerge w:val="continue"/>
            <w:tcBorders>
              <w:left w:val="single" w:color="auto" w:sz="4" w:space="0"/>
              <w:right w:val="single" w:color="auto" w:sz="4" w:space="0"/>
            </w:tcBorders>
            <w:noWrap w:val="0"/>
            <w:vAlign w:val="center"/>
          </w:tcPr>
          <w:p w14:paraId="3B818199">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right w:val="single" w:color="auto" w:sz="4" w:space="0"/>
            </w:tcBorders>
            <w:noWrap w:val="0"/>
            <w:vAlign w:val="center"/>
          </w:tcPr>
          <w:p w14:paraId="68754BEB">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6689" w:type="dxa"/>
            <w:tcBorders>
              <w:top w:val="single" w:color="auto" w:sz="4" w:space="0"/>
              <w:left w:val="single" w:color="auto" w:sz="4" w:space="0"/>
              <w:right w:val="single" w:color="auto" w:sz="4" w:space="0"/>
            </w:tcBorders>
            <w:shd w:val="clear" w:color="auto" w:fill="auto"/>
            <w:noWrap w:val="0"/>
            <w:vAlign w:val="center"/>
          </w:tcPr>
          <w:p w14:paraId="35728EC7">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kern w:val="0"/>
                <w:sz w:val="24"/>
                <w:szCs w:val="24"/>
                <w:lang w:val="en-US" w:eastAsia="zh-CN"/>
              </w:rPr>
              <w:t>拟派团队人员，综合素质、专业力量等。</w:t>
            </w:r>
            <w:r>
              <w:rPr>
                <w:rFonts w:hint="eastAsia" w:ascii="宋体" w:hAnsi="宋体" w:eastAsia="宋体" w:cs="宋体"/>
                <w:b/>
                <w:bCs/>
                <w:color w:val="auto"/>
                <w:kern w:val="0"/>
                <w:sz w:val="24"/>
                <w:szCs w:val="24"/>
                <w:highlight w:val="none"/>
                <w:lang w:val="en-US" w:eastAsia="zh-CN"/>
              </w:rPr>
              <w:t>（拟派人员人数不少于2人，项目负责人必须具备注册安全工程师资质，若不满足上述要求则投标无效）</w:t>
            </w:r>
          </w:p>
          <w:p w14:paraId="52A51EDF">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方案描述中拟投入团队优于服务需求的，得5分；</w:t>
            </w:r>
          </w:p>
          <w:p w14:paraId="4BB6E8A0">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方案描述中拟投入团队较优于服务需求的，得3分；</w:t>
            </w:r>
          </w:p>
          <w:p w14:paraId="443BC101">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方案描述中拟投入团队满足服务需求的，得1分；</w:t>
            </w:r>
          </w:p>
          <w:p w14:paraId="4851B799">
            <w:pPr>
              <w:pStyle w:val="2"/>
              <w:rPr>
                <w:rFonts w:hint="eastAsia"/>
                <w:lang w:val="en-US" w:eastAsia="zh-CN"/>
              </w:rPr>
            </w:pPr>
            <w:r>
              <w:rPr>
                <w:rFonts w:hint="eastAsia" w:ascii="宋体" w:hAnsi="宋体" w:eastAsia="宋体" w:cs="宋体"/>
                <w:snapToGrid/>
                <w:color w:val="auto"/>
                <w:kern w:val="0"/>
                <w:sz w:val="24"/>
                <w:szCs w:val="24"/>
                <w:lang w:val="en-US" w:eastAsia="zh-CN" w:bidi="ar-SA"/>
              </w:rPr>
              <w:t>【证明材料：项目负责人证书复印件加盖供应商公章和拟派人员本单位开标前三个月内任意一个月的社保缴纳证明并加盖供应商公章，不提供不得分。】</w:t>
            </w:r>
          </w:p>
        </w:tc>
        <w:tc>
          <w:tcPr>
            <w:tcW w:w="780" w:type="dxa"/>
            <w:tcBorders>
              <w:top w:val="single" w:color="auto" w:sz="4" w:space="0"/>
              <w:left w:val="single" w:color="auto" w:sz="4" w:space="0"/>
              <w:right w:val="single" w:color="auto" w:sz="4" w:space="0"/>
            </w:tcBorders>
            <w:noWrap w:val="0"/>
            <w:vAlign w:val="center"/>
          </w:tcPr>
          <w:p w14:paraId="70176B64">
            <w:pPr>
              <w:keepNext w:val="0"/>
              <w:keepLines w:val="0"/>
              <w:pageBreakBefore w:val="0"/>
              <w:kinsoku/>
              <w:wordWrap/>
              <w:overflowPunct/>
              <w:topLinePunct w:val="0"/>
              <w:autoSpaceDE/>
              <w:autoSpaceDN/>
              <w:bidi w:val="0"/>
              <w:snapToGrid/>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5" w:type="dxa"/>
            <w:tcBorders>
              <w:top w:val="single" w:color="auto" w:sz="4" w:space="0"/>
              <w:left w:val="single" w:color="auto" w:sz="4" w:space="0"/>
              <w:right w:val="single" w:color="auto" w:sz="4" w:space="0"/>
            </w:tcBorders>
            <w:noWrap w:val="0"/>
            <w:vAlign w:val="center"/>
          </w:tcPr>
          <w:p w14:paraId="5FB0FDA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6951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7" w:type="dxa"/>
            <w:vMerge w:val="continue"/>
            <w:tcBorders>
              <w:left w:val="single" w:color="auto" w:sz="4" w:space="0"/>
              <w:right w:val="single" w:color="auto" w:sz="4" w:space="0"/>
            </w:tcBorders>
            <w:noWrap w:val="0"/>
            <w:vAlign w:val="center"/>
          </w:tcPr>
          <w:p w14:paraId="74D08CF3">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right w:val="single" w:color="auto" w:sz="4" w:space="0"/>
            </w:tcBorders>
            <w:noWrap w:val="0"/>
            <w:vAlign w:val="center"/>
          </w:tcPr>
          <w:p w14:paraId="03971CD4">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9</w:t>
            </w:r>
          </w:p>
        </w:tc>
        <w:tc>
          <w:tcPr>
            <w:tcW w:w="6689" w:type="dxa"/>
            <w:tcBorders>
              <w:top w:val="single" w:color="auto" w:sz="4" w:space="0"/>
              <w:left w:val="single" w:color="auto" w:sz="4" w:space="0"/>
              <w:right w:val="single" w:color="auto" w:sz="4" w:space="0"/>
            </w:tcBorders>
            <w:shd w:val="clear" w:color="auto" w:fill="auto"/>
            <w:noWrap w:val="0"/>
            <w:vAlign w:val="center"/>
          </w:tcPr>
          <w:p w14:paraId="265FD4C5">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lang w:val="zh-CN"/>
              </w:rPr>
              <w:t>拟投入本项目设备等情况：</w:t>
            </w:r>
          </w:p>
          <w:p w14:paraId="6F53BE04">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方案中拟投入设备多且完善的得5分；</w:t>
            </w:r>
          </w:p>
          <w:p w14:paraId="5E8278E7">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方案中拟投入设备较多的，得3分；</w:t>
            </w:r>
          </w:p>
          <w:p w14:paraId="668F7E86">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方案中拟投入设备少的，得1分；</w:t>
            </w:r>
          </w:p>
          <w:p w14:paraId="03F44315">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无该项内容的不得分；</w:t>
            </w:r>
          </w:p>
        </w:tc>
        <w:tc>
          <w:tcPr>
            <w:tcW w:w="780" w:type="dxa"/>
            <w:tcBorders>
              <w:top w:val="single" w:color="auto" w:sz="4" w:space="0"/>
              <w:left w:val="single" w:color="auto" w:sz="4" w:space="0"/>
              <w:right w:val="single" w:color="auto" w:sz="4" w:space="0"/>
            </w:tcBorders>
            <w:noWrap w:val="0"/>
            <w:vAlign w:val="center"/>
          </w:tcPr>
          <w:p w14:paraId="1FEE8CE2">
            <w:pPr>
              <w:keepNext w:val="0"/>
              <w:keepLines w:val="0"/>
              <w:pageBreakBefore w:val="0"/>
              <w:kinsoku/>
              <w:wordWrap/>
              <w:overflowPunct/>
              <w:topLinePunct w:val="0"/>
              <w:autoSpaceDE/>
              <w:autoSpaceDN/>
              <w:bidi w:val="0"/>
              <w:snapToGrid/>
              <w:spacing w:line="312"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5</w:t>
            </w:r>
          </w:p>
        </w:tc>
        <w:tc>
          <w:tcPr>
            <w:tcW w:w="1115" w:type="dxa"/>
            <w:tcBorders>
              <w:top w:val="single" w:color="auto" w:sz="4" w:space="0"/>
              <w:left w:val="single" w:color="auto" w:sz="4" w:space="0"/>
              <w:right w:val="single" w:color="auto" w:sz="4" w:space="0"/>
            </w:tcBorders>
            <w:noWrap w:val="0"/>
            <w:vAlign w:val="center"/>
          </w:tcPr>
          <w:p w14:paraId="7F52801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6C26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7" w:type="dxa"/>
            <w:vMerge w:val="continue"/>
            <w:tcBorders>
              <w:left w:val="single" w:color="auto" w:sz="4" w:space="0"/>
              <w:right w:val="single" w:color="auto" w:sz="4" w:space="0"/>
            </w:tcBorders>
            <w:noWrap w:val="0"/>
            <w:vAlign w:val="center"/>
          </w:tcPr>
          <w:p w14:paraId="21A24E04">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right w:val="single" w:color="auto" w:sz="4" w:space="0"/>
            </w:tcBorders>
            <w:noWrap w:val="0"/>
            <w:vAlign w:val="center"/>
          </w:tcPr>
          <w:p w14:paraId="771DD80D">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p>
        </w:tc>
        <w:tc>
          <w:tcPr>
            <w:tcW w:w="6689" w:type="dxa"/>
            <w:tcBorders>
              <w:top w:val="single" w:color="auto" w:sz="4" w:space="0"/>
              <w:left w:val="single" w:color="auto" w:sz="4" w:space="0"/>
              <w:right w:val="single" w:color="auto" w:sz="4" w:space="0"/>
            </w:tcBorders>
            <w:shd w:val="clear" w:color="auto" w:fill="auto"/>
            <w:noWrap w:val="0"/>
            <w:vAlign w:val="center"/>
          </w:tcPr>
          <w:p w14:paraId="6C782CD4">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lang w:val="en-US" w:eastAsia="zh-CN"/>
              </w:rPr>
              <w:t>保证进度和项目完成的方案和措施等综合评定打分。</w:t>
            </w:r>
          </w:p>
          <w:p w14:paraId="0756CB0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right w:val="single" w:color="auto" w:sz="4" w:space="0"/>
            </w:tcBorders>
            <w:noWrap w:val="0"/>
            <w:vAlign w:val="center"/>
          </w:tcPr>
          <w:p w14:paraId="680C0261">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bCs/>
                <w:color w:val="auto"/>
                <w:kern w:val="0"/>
                <w:sz w:val="24"/>
                <w:szCs w:val="24"/>
                <w:lang w:val="en-US" w:eastAsia="zh-CN"/>
              </w:rPr>
              <w:t>5</w:t>
            </w:r>
          </w:p>
        </w:tc>
        <w:tc>
          <w:tcPr>
            <w:tcW w:w="1115" w:type="dxa"/>
            <w:tcBorders>
              <w:top w:val="single" w:color="auto" w:sz="4" w:space="0"/>
              <w:left w:val="single" w:color="auto" w:sz="4" w:space="0"/>
              <w:right w:val="single" w:color="auto" w:sz="4" w:space="0"/>
            </w:tcBorders>
            <w:noWrap w:val="0"/>
            <w:vAlign w:val="center"/>
          </w:tcPr>
          <w:p w14:paraId="37A766A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35B6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7" w:type="dxa"/>
            <w:vMerge w:val="continue"/>
            <w:tcBorders>
              <w:left w:val="single" w:color="auto" w:sz="4" w:space="0"/>
              <w:right w:val="single" w:color="auto" w:sz="4" w:space="0"/>
            </w:tcBorders>
            <w:noWrap w:val="0"/>
            <w:vAlign w:val="center"/>
          </w:tcPr>
          <w:p w14:paraId="18B7C21E">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right w:val="single" w:color="auto" w:sz="4" w:space="0"/>
            </w:tcBorders>
            <w:noWrap w:val="0"/>
            <w:vAlign w:val="center"/>
          </w:tcPr>
          <w:p w14:paraId="68F47D41">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6689" w:type="dxa"/>
            <w:tcBorders>
              <w:top w:val="single" w:color="auto" w:sz="4" w:space="0"/>
              <w:left w:val="single" w:color="auto" w:sz="4" w:space="0"/>
              <w:right w:val="single" w:color="auto" w:sz="4" w:space="0"/>
            </w:tcBorders>
            <w:shd w:val="clear" w:color="auto" w:fill="auto"/>
            <w:noWrap w:val="0"/>
            <w:vAlign w:val="center"/>
          </w:tcPr>
          <w:p w14:paraId="4F534E0D">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rPr>
              <w:t>服务工作遵循相关法律法规、技术规范和标准、企业内部管理制度等以及执行方案</w:t>
            </w:r>
            <w:r>
              <w:rPr>
                <w:rFonts w:hint="eastAsia" w:ascii="宋体" w:hAnsi="宋体" w:eastAsia="宋体" w:cs="宋体"/>
                <w:color w:val="auto"/>
                <w:sz w:val="24"/>
                <w:szCs w:val="24"/>
                <w:lang w:val="en-US" w:eastAsia="zh-CN"/>
              </w:rPr>
              <w:t>的匹配性。</w:t>
            </w:r>
          </w:p>
          <w:p w14:paraId="31842C41">
            <w:pPr>
              <w:pStyle w:val="25"/>
              <w:rPr>
                <w:rFonts w:hint="eastAsia" w:ascii="宋体" w:hAnsi="Arial" w:eastAsia="宋体" w:cs="Arial"/>
                <w:snapToGrid w:val="0"/>
                <w:kern w:val="2"/>
                <w:sz w:val="24"/>
                <w:szCs w:val="21"/>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right w:val="single" w:color="auto" w:sz="4" w:space="0"/>
            </w:tcBorders>
            <w:noWrap w:val="0"/>
            <w:vAlign w:val="center"/>
          </w:tcPr>
          <w:p w14:paraId="2603150C">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bCs/>
                <w:color w:val="auto"/>
                <w:kern w:val="0"/>
                <w:sz w:val="24"/>
                <w:szCs w:val="24"/>
                <w:lang w:val="en-US" w:eastAsia="zh-CN"/>
              </w:rPr>
              <w:t>5</w:t>
            </w:r>
          </w:p>
        </w:tc>
        <w:tc>
          <w:tcPr>
            <w:tcW w:w="1115" w:type="dxa"/>
            <w:tcBorders>
              <w:top w:val="single" w:color="auto" w:sz="4" w:space="0"/>
              <w:left w:val="single" w:color="auto" w:sz="4" w:space="0"/>
              <w:right w:val="single" w:color="auto" w:sz="4" w:space="0"/>
            </w:tcBorders>
            <w:noWrap w:val="0"/>
            <w:vAlign w:val="center"/>
          </w:tcPr>
          <w:p w14:paraId="05EBB9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410A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27" w:type="dxa"/>
            <w:vMerge w:val="continue"/>
            <w:tcBorders>
              <w:left w:val="single" w:color="auto" w:sz="4" w:space="0"/>
              <w:right w:val="single" w:color="auto" w:sz="4" w:space="0"/>
            </w:tcBorders>
            <w:noWrap w:val="0"/>
            <w:vAlign w:val="center"/>
          </w:tcPr>
          <w:p w14:paraId="07B70FB0">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right w:val="single" w:color="auto" w:sz="4" w:space="0"/>
            </w:tcBorders>
            <w:noWrap w:val="0"/>
            <w:vAlign w:val="center"/>
          </w:tcPr>
          <w:p w14:paraId="7A700A4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6689" w:type="dxa"/>
            <w:tcBorders>
              <w:top w:val="single" w:color="auto" w:sz="4" w:space="0"/>
              <w:left w:val="single" w:color="auto" w:sz="4" w:space="0"/>
              <w:right w:val="single" w:color="auto" w:sz="4" w:space="0"/>
            </w:tcBorders>
            <w:shd w:val="clear" w:color="auto" w:fill="auto"/>
            <w:noWrap w:val="0"/>
            <w:vAlign w:val="center"/>
          </w:tcPr>
          <w:p w14:paraId="7992D713">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bCs/>
                <w:color w:val="auto"/>
                <w:kern w:val="0"/>
                <w:sz w:val="24"/>
                <w:szCs w:val="24"/>
                <w:lang w:val="en-US" w:eastAsia="zh-CN"/>
              </w:rPr>
              <w:t>服务质量保证情况（根据方案可实现程度、提供措施等情况综合评定打分）。</w:t>
            </w:r>
          </w:p>
          <w:p w14:paraId="1C799C3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right w:val="single" w:color="auto" w:sz="4" w:space="0"/>
            </w:tcBorders>
            <w:noWrap w:val="0"/>
            <w:vAlign w:val="center"/>
          </w:tcPr>
          <w:p w14:paraId="63A1E80F">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bCs/>
                <w:color w:val="auto"/>
                <w:kern w:val="0"/>
                <w:sz w:val="24"/>
                <w:szCs w:val="24"/>
                <w:lang w:val="en-US" w:eastAsia="zh-CN"/>
              </w:rPr>
              <w:t>5</w:t>
            </w:r>
          </w:p>
        </w:tc>
        <w:tc>
          <w:tcPr>
            <w:tcW w:w="1115" w:type="dxa"/>
            <w:tcBorders>
              <w:top w:val="single" w:color="auto" w:sz="4" w:space="0"/>
              <w:left w:val="single" w:color="auto" w:sz="4" w:space="0"/>
              <w:right w:val="single" w:color="auto" w:sz="4" w:space="0"/>
            </w:tcBorders>
            <w:noWrap w:val="0"/>
            <w:vAlign w:val="center"/>
          </w:tcPr>
          <w:p w14:paraId="6593C89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7289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noWrap w:val="0"/>
            <w:vAlign w:val="center"/>
          </w:tcPr>
          <w:p w14:paraId="36597ADC">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bottom w:val="single" w:color="auto" w:sz="4" w:space="0"/>
              <w:right w:val="single" w:color="auto" w:sz="4" w:space="0"/>
            </w:tcBorders>
            <w:noWrap w:val="0"/>
            <w:vAlign w:val="center"/>
          </w:tcPr>
          <w:p w14:paraId="212EE6C1">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66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190F9">
            <w:pPr>
              <w:pStyle w:val="486"/>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rPr>
              <w:t>的应对方法的及时性、有效性</w:t>
            </w:r>
            <w:r>
              <w:rPr>
                <w:rFonts w:hint="eastAsia" w:ascii="宋体" w:hAnsi="宋体" w:eastAsia="宋体" w:cs="宋体"/>
                <w:color w:val="auto"/>
                <w:sz w:val="24"/>
                <w:szCs w:val="24"/>
                <w:lang w:eastAsia="zh-CN"/>
              </w:rPr>
              <w:t>。</w:t>
            </w:r>
          </w:p>
          <w:p w14:paraId="3DADB4F6">
            <w:pPr>
              <w:pStyle w:val="486"/>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06596BE">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bCs/>
                <w:color w:val="auto"/>
                <w:kern w:val="0"/>
                <w:sz w:val="24"/>
                <w:szCs w:val="24"/>
                <w:lang w:val="en-US" w:eastAsia="zh-CN"/>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B8ADA0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4519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727" w:type="dxa"/>
            <w:vMerge w:val="continue"/>
            <w:tcBorders>
              <w:left w:val="single" w:color="auto" w:sz="4" w:space="0"/>
              <w:right w:val="single" w:color="auto" w:sz="4" w:space="0"/>
            </w:tcBorders>
            <w:noWrap w:val="0"/>
            <w:vAlign w:val="center"/>
          </w:tcPr>
          <w:p w14:paraId="1A21C435">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bottom w:val="single" w:color="auto" w:sz="4" w:space="0"/>
              <w:right w:val="single" w:color="auto" w:sz="4" w:space="0"/>
            </w:tcBorders>
            <w:noWrap w:val="0"/>
            <w:vAlign w:val="center"/>
          </w:tcPr>
          <w:p w14:paraId="3FE96F3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66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1D0F86">
            <w:pPr>
              <w:pStyle w:val="486"/>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lang w:val="en-US" w:eastAsia="zh-CN"/>
              </w:rPr>
              <w:t>媒体宣教能力，能够根据地区安全生产状况，以及服务进展情况，通过属地媒体、微信群、微信公众号为服务单位提供最新法律法规、制度、安全知识及事故案例等信息服务。</w:t>
            </w:r>
          </w:p>
          <w:p w14:paraId="5F56C55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92C89FE">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cs="宋体"/>
                <w:color w:val="auto"/>
                <w:kern w:val="0"/>
                <w:sz w:val="24"/>
                <w:szCs w:val="24"/>
                <w:lang w:val="en-US" w:eastAsia="zh-CN" w:bidi="ar-SA"/>
              </w:rPr>
            </w:pPr>
            <w:r>
              <w:rPr>
                <w:rFonts w:hint="eastAsia" w:ascii="宋体" w:hAnsi="宋体" w:eastAsia="宋体" w:cs="宋体"/>
                <w:bCs/>
                <w:color w:val="auto"/>
                <w:kern w:val="0"/>
                <w:sz w:val="24"/>
                <w:szCs w:val="24"/>
                <w:lang w:val="en-US" w:eastAsia="zh-CN"/>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9C7A01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2689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noWrap w:val="0"/>
            <w:vAlign w:val="center"/>
          </w:tcPr>
          <w:p w14:paraId="093CA975">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bottom w:val="single" w:color="auto" w:sz="4" w:space="0"/>
              <w:right w:val="single" w:color="auto" w:sz="4" w:space="0"/>
            </w:tcBorders>
            <w:noWrap w:val="0"/>
            <w:vAlign w:val="center"/>
          </w:tcPr>
          <w:p w14:paraId="5E93A77B">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66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42631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snapToGrid w:val="0"/>
                <w:kern w:val="2"/>
                <w:sz w:val="24"/>
                <w:szCs w:val="24"/>
                <w:lang w:val="en-US" w:eastAsia="zh-CN" w:bidi="ar-SA"/>
              </w:rPr>
              <w:t>针对本项目特点和难点进行分析并提出解决措施（要求做出详细说明），主要根据重点、难点分析和相应解决方案。</w:t>
            </w:r>
          </w:p>
          <w:p w14:paraId="73495156">
            <w:pPr>
              <w:pStyle w:val="2"/>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1ABF172">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6D9B65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主观分</w:t>
            </w:r>
          </w:p>
        </w:tc>
      </w:tr>
      <w:tr w14:paraId="0E32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noWrap w:val="0"/>
            <w:vAlign w:val="center"/>
          </w:tcPr>
          <w:p w14:paraId="3221F1BC">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bottom w:val="single" w:color="auto" w:sz="4" w:space="0"/>
              <w:right w:val="single" w:color="auto" w:sz="4" w:space="0"/>
            </w:tcBorders>
            <w:noWrap w:val="0"/>
            <w:vAlign w:val="center"/>
          </w:tcPr>
          <w:p w14:paraId="5C1F0C07">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66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22A0E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snapToGrid w:val="0"/>
                <w:color w:val="auto"/>
                <w:kern w:val="2"/>
                <w:sz w:val="24"/>
                <w:szCs w:val="24"/>
                <w:highlight w:val="none"/>
                <w:lang w:val="en-US" w:eastAsia="zh-CN" w:bidi="ar-SA"/>
              </w:rPr>
              <w:t>针对企业、人员等相关培训方案。</w:t>
            </w:r>
          </w:p>
          <w:p w14:paraId="6888615D">
            <w:pPr>
              <w:pStyle w:val="2"/>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5884851">
            <w:pPr>
              <w:keepNext w:val="0"/>
              <w:keepLines w:val="0"/>
              <w:pageBreakBefore w:val="0"/>
              <w:widowControl/>
              <w:kinsoku/>
              <w:wordWrap/>
              <w:overflowPunct/>
              <w:topLinePunct w:val="0"/>
              <w:autoSpaceDE/>
              <w:autoSpaceDN/>
              <w:bidi w:val="0"/>
              <w:snapToGrid/>
              <w:spacing w:line="312" w:lineRule="auto"/>
              <w:jc w:val="center"/>
              <w:textAlignment w:val="auto"/>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AA0AFA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主观分</w:t>
            </w:r>
          </w:p>
        </w:tc>
      </w:tr>
      <w:tr w14:paraId="0EC0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noWrap w:val="0"/>
            <w:vAlign w:val="center"/>
          </w:tcPr>
          <w:p w14:paraId="6BF16E6E">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bottom w:val="single" w:color="auto" w:sz="4" w:space="0"/>
              <w:right w:val="single" w:color="auto" w:sz="4" w:space="0"/>
            </w:tcBorders>
            <w:noWrap w:val="0"/>
            <w:vAlign w:val="center"/>
          </w:tcPr>
          <w:p w14:paraId="0E44D0F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66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0B5274">
            <w:pPr>
              <w:pStyle w:val="84"/>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bCs/>
                <w:color w:val="auto"/>
                <w:kern w:val="0"/>
                <w:sz w:val="24"/>
                <w:szCs w:val="24"/>
                <w:lang w:val="en-US" w:eastAsia="zh-CN" w:bidi="ar-SA"/>
              </w:rPr>
              <w:t>服务方案：供应商日常服务方案和措施，能够提供完善、快速、优质的便捷服务，满足采购单位相关要求。</w:t>
            </w:r>
          </w:p>
          <w:p w14:paraId="3887DC02">
            <w:pPr>
              <w:pStyle w:val="84"/>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9700D16">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cs="宋体"/>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471F9E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14:paraId="7A29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noWrap w:val="0"/>
            <w:vAlign w:val="center"/>
          </w:tcPr>
          <w:p w14:paraId="250113D8">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bottom w:val="single" w:color="auto" w:sz="4" w:space="0"/>
              <w:right w:val="single" w:color="auto" w:sz="4" w:space="0"/>
            </w:tcBorders>
            <w:noWrap w:val="0"/>
            <w:vAlign w:val="center"/>
          </w:tcPr>
          <w:p w14:paraId="2ACAE55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66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326503">
            <w:pPr>
              <w:pStyle w:val="84"/>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bCs/>
                <w:color w:val="auto"/>
                <w:kern w:val="0"/>
                <w:sz w:val="24"/>
                <w:szCs w:val="24"/>
                <w:lang w:val="en-US" w:eastAsia="zh-CN" w:bidi="ar-SA"/>
              </w:rPr>
              <w:t>承诺向社会及街道及企业公开承诺信守国家安全生产法律法规,遵守职业道德,不擅自对外提供相关资料。</w:t>
            </w:r>
          </w:p>
          <w:p w14:paraId="10454D5B">
            <w:pPr>
              <w:pStyle w:val="84"/>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[提供承诺函（格式自拟）加盖公章，不提供不得分]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1DF36CC">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B759A6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客</w:t>
            </w:r>
            <w:r>
              <w:rPr>
                <w:rFonts w:hint="eastAsia" w:ascii="宋体" w:hAnsi="宋体" w:eastAsia="宋体" w:cs="宋体"/>
                <w:color w:val="auto"/>
                <w:kern w:val="0"/>
                <w:sz w:val="24"/>
                <w:szCs w:val="24"/>
                <w:lang w:val="en-US" w:eastAsia="zh-CN" w:bidi="ar-SA"/>
              </w:rPr>
              <w:t>观分</w:t>
            </w:r>
          </w:p>
        </w:tc>
      </w:tr>
      <w:tr w14:paraId="4FF4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7" w:type="dxa"/>
            <w:vMerge w:val="continue"/>
            <w:tcBorders>
              <w:left w:val="single" w:color="auto" w:sz="4" w:space="0"/>
              <w:right w:val="single" w:color="auto" w:sz="4" w:space="0"/>
            </w:tcBorders>
            <w:noWrap w:val="0"/>
            <w:vAlign w:val="center"/>
          </w:tcPr>
          <w:p w14:paraId="6C6ADEF4">
            <w:pPr>
              <w:widowControl/>
              <w:jc w:val="center"/>
              <w:rPr>
                <w:rFonts w:hint="eastAsia" w:ascii="宋体" w:hAnsi="宋体" w:eastAsia="宋体" w:cs="宋体"/>
                <w:color w:val="auto"/>
                <w:kern w:val="0"/>
                <w:sz w:val="24"/>
                <w:szCs w:val="24"/>
              </w:rPr>
            </w:pPr>
          </w:p>
        </w:tc>
        <w:tc>
          <w:tcPr>
            <w:tcW w:w="496" w:type="dxa"/>
            <w:tcBorders>
              <w:top w:val="single" w:color="auto" w:sz="4" w:space="0"/>
              <w:left w:val="single" w:color="auto" w:sz="4" w:space="0"/>
              <w:bottom w:val="single" w:color="auto" w:sz="4" w:space="0"/>
              <w:right w:val="single" w:color="auto" w:sz="4" w:space="0"/>
            </w:tcBorders>
            <w:noWrap w:val="0"/>
            <w:vAlign w:val="center"/>
          </w:tcPr>
          <w:p w14:paraId="3F8DF68B">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66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24F0C9">
            <w:pPr>
              <w:pStyle w:val="84"/>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合理化建议</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bCs/>
                <w:color w:val="auto"/>
                <w:sz w:val="24"/>
                <w:szCs w:val="24"/>
                <w:highlight w:val="none"/>
              </w:rPr>
              <w:t>根据本项目情况提出合理化、优化的建议。</w:t>
            </w:r>
          </w:p>
          <w:p w14:paraId="7F8D4C47">
            <w:pPr>
              <w:pStyle w:val="84"/>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color w:val="auto"/>
                <w:kern w:val="0"/>
                <w:sz w:val="24"/>
                <w:szCs w:val="24"/>
                <w:lang w:val="en-US" w:eastAsia="zh-CN"/>
              </w:rPr>
              <w:t>方案内容全面、合理的得5分；方案内容较全面、合理的得4分；方案内容基本全面、合理的得3分；方案内容与项目匹配度一般的得2分；方案内容存在欠缺、瑕疵严重的得1分；未提供方案不得分。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EE0DEE9">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color w:val="auto"/>
                <w:kern w:val="0"/>
                <w:sz w:val="24"/>
                <w:szCs w:val="24"/>
                <w:lang w:val="en-US" w:eastAsia="zh-CN"/>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57E1EC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bl>
    <w:p w14:paraId="15F2DC15">
      <w:pPr>
        <w:pStyle w:val="25"/>
        <w:rPr>
          <w:rFonts w:hint="eastAsia"/>
          <w:lang w:eastAsia="zh-CN"/>
        </w:rPr>
      </w:pPr>
    </w:p>
    <w:p w14:paraId="2E40C3B9">
      <w:pPr>
        <w:rPr>
          <w:rFonts w:hint="eastAsia" w:ascii="宋体" w:hAnsi="宋体" w:eastAsia="宋体" w:cs="宋体"/>
          <w:color w:val="auto"/>
          <w:sz w:val="24"/>
          <w:highlight w:val="none"/>
        </w:rPr>
      </w:pPr>
    </w:p>
    <w:p w14:paraId="7D90B444">
      <w:pP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价格部分（</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tbl>
      <w:tblPr>
        <w:tblStyle w:val="6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7156"/>
      </w:tblGrid>
      <w:tr w14:paraId="26A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14:paraId="5F379D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156" w:type="dxa"/>
            <w:noWrap w:val="0"/>
            <w:vAlign w:val="center"/>
          </w:tcPr>
          <w:p w14:paraId="78B6BA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1A57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14:paraId="5817C6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w:t>
            </w:r>
            <w:r>
              <w:rPr>
                <w:rFonts w:hint="eastAsia" w:ascii="宋体" w:hAnsi="宋体" w:cs="宋体"/>
                <w:color w:val="auto"/>
                <w:sz w:val="24"/>
                <w:highlight w:val="none"/>
                <w:lang w:val="en-US" w:eastAsia="zh-CN"/>
              </w:rPr>
              <w:t>0.1</w:t>
            </w:r>
          </w:p>
        </w:tc>
        <w:tc>
          <w:tcPr>
            <w:tcW w:w="7156" w:type="dxa"/>
            <w:noWrap w:val="0"/>
            <w:vAlign w:val="center"/>
          </w:tcPr>
          <w:p w14:paraId="2F93B10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6A38122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3D93D6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4AA049DC">
      <w:pPr>
        <w:rPr>
          <w:rFonts w:hint="eastAsia"/>
        </w:rPr>
      </w:pPr>
    </w:p>
    <w:p w14:paraId="4CC7D484">
      <w:pPr>
        <w:spacing w:after="0" w:line="360" w:lineRule="auto"/>
        <w:ind w:firstLine="482" w:firstLineChars="200"/>
        <w:rPr>
          <w:rFonts w:ascii="宋体" w:hAnsi="宋体" w:eastAsia="宋体" w:cs="仿宋_GB2312"/>
          <w:color w:val="000000"/>
          <w:sz w:val="24"/>
          <w:szCs w:val="24"/>
        </w:rPr>
      </w:pPr>
      <w:r>
        <w:rPr>
          <w:rFonts w:hint="eastAsia" w:ascii="宋体" w:hAnsi="宋体" w:eastAsia="宋体" w:cs="仿宋_GB2312"/>
          <w:b/>
          <w:sz w:val="24"/>
          <w:szCs w:val="24"/>
        </w:rPr>
        <w:t>备注：</w:t>
      </w:r>
      <w:r>
        <w:rPr>
          <w:rFonts w:hint="eastAsia" w:ascii="宋体" w:hAnsi="宋体" w:eastAsia="宋体" w:cs="仿宋_GB2312"/>
          <w:color w:val="000000"/>
          <w:sz w:val="24"/>
          <w:szCs w:val="24"/>
        </w:rPr>
        <w:t>1、评分条款中涉及的业绩、荣誉、人员、社保等分公司均有效。</w:t>
      </w:r>
    </w:p>
    <w:p w14:paraId="659C1282">
      <w:pPr>
        <w:spacing w:after="0" w:line="360" w:lineRule="auto"/>
        <w:ind w:firstLine="480" w:firstLineChars="200"/>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color w:val="000000"/>
          <w:sz w:val="24"/>
          <w:szCs w:val="24"/>
          <w:lang w:eastAsia="zh-CN"/>
        </w:rPr>
        <w:t>响应文件</w:t>
      </w:r>
      <w:r>
        <w:rPr>
          <w:rFonts w:hint="eastAsia" w:ascii="宋体" w:hAnsi="宋体" w:eastAsia="宋体" w:cs="仿宋_GB2312"/>
          <w:color w:val="000000"/>
          <w:sz w:val="24"/>
          <w:szCs w:val="24"/>
        </w:rPr>
        <w:t>中如附有外文资料，必须逐一对应翻译成中文并加盖</w:t>
      </w:r>
      <w:r>
        <w:rPr>
          <w:rFonts w:hint="eastAsia" w:ascii="宋体" w:hAnsi="宋体" w:eastAsia="宋体" w:cs="仿宋_GB2312"/>
          <w:color w:val="000000"/>
          <w:sz w:val="24"/>
          <w:szCs w:val="24"/>
          <w:lang w:eastAsia="zh-CN"/>
        </w:rPr>
        <w:t>供应商</w:t>
      </w:r>
      <w:r>
        <w:rPr>
          <w:rFonts w:hint="eastAsia" w:ascii="宋体" w:hAnsi="宋体" w:eastAsia="宋体" w:cs="仿宋_GB2312"/>
          <w:color w:val="000000"/>
          <w:sz w:val="24"/>
          <w:szCs w:val="24"/>
        </w:rPr>
        <w:t>公章后附在相关外文资料后面，否则外文资料不予认可。翻译的中文资料与外文资料不符的，均不予认可。翻译严重错误的，将视同提供虚假资料。</w:t>
      </w:r>
    </w:p>
    <w:p w14:paraId="34451DA8">
      <w:pPr>
        <w:spacing w:after="0" w:line="360" w:lineRule="auto"/>
        <w:ind w:firstLine="480" w:firstLineChars="200"/>
        <w:rPr>
          <w:rFonts w:hint="eastAsia"/>
          <w:sz w:val="24"/>
          <w:szCs w:val="24"/>
        </w:rPr>
      </w:pPr>
      <w:r>
        <w:rPr>
          <w:rFonts w:hint="eastAsia" w:ascii="宋体" w:hAnsi="宋体" w:eastAsia="宋体" w:cs="仿宋_GB2312"/>
          <w:color w:val="000000"/>
          <w:sz w:val="24"/>
          <w:szCs w:val="24"/>
        </w:rPr>
        <w:t>3、</w:t>
      </w:r>
      <w:r>
        <w:rPr>
          <w:rFonts w:hint="eastAsia" w:ascii="宋体" w:hAnsi="宋体" w:eastAsia="宋体" w:cs="仿宋_GB2312"/>
          <w:b/>
          <w:sz w:val="24"/>
          <w:szCs w:val="24"/>
          <w:u w:val="single"/>
          <w:lang w:eastAsia="zh-CN"/>
        </w:rPr>
        <w:t>供应商</w:t>
      </w:r>
      <w:r>
        <w:rPr>
          <w:rFonts w:hint="eastAsia" w:ascii="宋体" w:hAnsi="宋体" w:eastAsia="宋体" w:cs="仿宋_GB2312"/>
          <w:b/>
          <w:sz w:val="24"/>
          <w:szCs w:val="24"/>
          <w:u w:val="single"/>
        </w:rPr>
        <w:t>编制</w:t>
      </w:r>
      <w:r>
        <w:rPr>
          <w:rFonts w:hint="eastAsia" w:ascii="宋体" w:hAnsi="宋体" w:eastAsia="宋体" w:cs="仿宋_GB2312"/>
          <w:b/>
          <w:sz w:val="24"/>
          <w:szCs w:val="24"/>
          <w:u w:val="single"/>
          <w:lang w:eastAsia="zh-CN"/>
        </w:rPr>
        <w:t>响应文件</w:t>
      </w:r>
      <w:r>
        <w:rPr>
          <w:rFonts w:hint="eastAsia" w:ascii="宋体" w:hAnsi="宋体" w:eastAsia="宋体" w:cs="仿宋_GB2312"/>
          <w:b/>
          <w:sz w:val="24"/>
          <w:szCs w:val="24"/>
          <w:u w:val="single"/>
        </w:rPr>
        <w:t>（商务技术文件部分）时，建议按此目录（序号和内容）提供评审标准相应的商务技术资料。</w:t>
      </w:r>
    </w:p>
    <w:p w14:paraId="2A7CDD98">
      <w:pPr>
        <w:rPr>
          <w:rFonts w:ascii="宋体" w:hAnsi="宋体" w:cs="宋体"/>
          <w:b/>
          <w:sz w:val="28"/>
          <w:szCs w:val="28"/>
        </w:rPr>
      </w:pPr>
      <w:r>
        <w:rPr>
          <w:rFonts w:hint="eastAsia" w:ascii="宋体" w:hAnsi="宋体" w:cs="宋体"/>
          <w:b/>
          <w:sz w:val="32"/>
        </w:rPr>
        <w:t>一、交易方法</w:t>
      </w:r>
    </w:p>
    <w:p w14:paraId="47D1F42C">
      <w:pPr>
        <w:adjustRightInd/>
        <w:spacing w:line="570" w:lineRule="exact"/>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w:t>
      </w:r>
      <w:r>
        <w:rPr>
          <w:rFonts w:hint="eastAsia" w:ascii="宋体" w:hAnsi="宋体" w:cs="宋体"/>
          <w:kern w:val="0"/>
          <w:sz w:val="24"/>
          <w:lang w:val="en-US" w:eastAsia="zh-CN"/>
        </w:rPr>
        <w:t>的</w:t>
      </w:r>
      <w:r>
        <w:rPr>
          <w:rFonts w:hint="eastAsia" w:ascii="宋体" w:hAnsi="宋体" w:cs="宋体"/>
          <w:kern w:val="0"/>
          <w:sz w:val="24"/>
        </w:rPr>
        <w:t>供应商为成交候选人的评标方法。</w:t>
      </w:r>
    </w:p>
    <w:p w14:paraId="1B244835">
      <w:pPr>
        <w:adjustRightInd/>
        <w:spacing w:line="570" w:lineRule="exact"/>
        <w:rPr>
          <w:rFonts w:ascii="宋体" w:hAnsi="宋体" w:cs="宋体"/>
          <w:kern w:val="0"/>
          <w:sz w:val="24"/>
        </w:rPr>
      </w:pPr>
      <w:r>
        <w:rPr>
          <w:rFonts w:hint="eastAsia" w:ascii="宋体" w:hAnsi="宋体" w:cs="宋体"/>
          <w:b/>
          <w:sz w:val="32"/>
        </w:rPr>
        <w:t>二、交易标准</w:t>
      </w:r>
    </w:p>
    <w:p w14:paraId="318A0441">
      <w:pPr>
        <w:spacing w:line="570" w:lineRule="exact"/>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见交易办法前附表。</w:t>
      </w:r>
    </w:p>
    <w:p w14:paraId="62803BFE">
      <w:pPr>
        <w:spacing w:line="570" w:lineRule="exact"/>
        <w:outlineLvl w:val="0"/>
        <w:rPr>
          <w:rFonts w:ascii="宋体" w:hAnsi="宋体" w:cs="宋体"/>
          <w:b/>
          <w:sz w:val="36"/>
          <w:szCs w:val="36"/>
        </w:rPr>
      </w:pPr>
      <w:r>
        <w:rPr>
          <w:rFonts w:hint="eastAsia" w:ascii="宋体" w:hAnsi="宋体" w:cs="宋体"/>
          <w:b/>
          <w:sz w:val="36"/>
          <w:szCs w:val="36"/>
        </w:rPr>
        <w:t>三、</w:t>
      </w:r>
      <w:r>
        <w:rPr>
          <w:rFonts w:hint="eastAsia" w:ascii="宋体" w:hAnsi="宋体" w:cs="宋体"/>
          <w:b/>
          <w:sz w:val="32"/>
        </w:rPr>
        <w:t>交易程序</w:t>
      </w:r>
    </w:p>
    <w:bookmarkEnd w:id="15"/>
    <w:p w14:paraId="3A2F302A">
      <w:pPr>
        <w:spacing w:line="570" w:lineRule="exact"/>
        <w:ind w:firstLine="472" w:firstLineChars="196"/>
        <w:rPr>
          <w:rFonts w:ascii="宋体" w:hAnsi="宋体" w:cs="宋体"/>
          <w:kern w:val="0"/>
          <w:sz w:val="24"/>
        </w:rPr>
      </w:pPr>
      <w:bookmarkStart w:id="381" w:name="第五部分"/>
      <w:bookmarkStart w:id="382" w:name="_Toc86217003"/>
      <w:r>
        <w:rPr>
          <w:rFonts w:hint="eastAsia" w:ascii="宋体" w:hAnsi="宋体" w:cs="宋体"/>
          <w:b/>
          <w:kern w:val="0"/>
          <w:sz w:val="24"/>
        </w:rPr>
        <w:t>3.1符合性审查。</w:t>
      </w:r>
      <w:r>
        <w:rPr>
          <w:rFonts w:hint="eastAsia" w:ascii="宋体" w:hAnsi="宋体" w:cs="宋体"/>
          <w:kern w:val="0"/>
          <w:sz w:val="24"/>
        </w:rPr>
        <w:t>评标委员会应当对符合资格的供应商的响应文件进行符合性审查，以确定其是否满足交易文件的实质性要求。不满足交易文件的实质性要求的，交易无效。</w:t>
      </w:r>
    </w:p>
    <w:p w14:paraId="2878E0A7">
      <w:pPr>
        <w:spacing w:line="570" w:lineRule="exact"/>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51172B1E">
      <w:pPr>
        <w:spacing w:line="57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163C6FD3">
      <w:pPr>
        <w:spacing w:line="570" w:lineRule="exact"/>
        <w:ind w:firstLine="472" w:firstLineChars="196"/>
        <w:rPr>
          <w:rFonts w:ascii="宋体" w:hAnsi="宋体" w:cs="宋体"/>
          <w:b/>
          <w:kern w:val="0"/>
          <w:sz w:val="24"/>
        </w:rPr>
      </w:pPr>
      <w:r>
        <w:rPr>
          <w:rFonts w:hint="eastAsia" w:ascii="宋体" w:hAnsi="宋体" w:cs="宋体"/>
          <w:b/>
          <w:kern w:val="0"/>
          <w:sz w:val="24"/>
        </w:rPr>
        <w:t>3.4报价评审。</w:t>
      </w:r>
    </w:p>
    <w:p w14:paraId="25AC8036">
      <w:pPr>
        <w:pStyle w:val="138"/>
        <w:spacing w:before="0" w:line="570" w:lineRule="exact"/>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6E22D5AA">
      <w:pPr>
        <w:pStyle w:val="138"/>
        <w:spacing w:before="0" w:line="570" w:lineRule="exact"/>
        <w:ind w:firstLine="480"/>
        <w:rPr>
          <w:rFonts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5DD277C9">
      <w:pPr>
        <w:pStyle w:val="138"/>
        <w:spacing w:before="0" w:line="57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ECAC748">
      <w:pPr>
        <w:pStyle w:val="138"/>
        <w:spacing w:before="0" w:line="570" w:lineRule="exact"/>
        <w:ind w:firstLine="480"/>
        <w:rPr>
          <w:rFonts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3B870628">
      <w:pPr>
        <w:pStyle w:val="138"/>
        <w:spacing w:before="0" w:line="57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C80D394">
      <w:pPr>
        <w:pStyle w:val="138"/>
        <w:spacing w:before="0" w:line="57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077E3E6F">
      <w:pPr>
        <w:snapToGrid w:val="0"/>
        <w:spacing w:line="570" w:lineRule="exact"/>
        <w:ind w:firstLine="480" w:firstLineChars="200"/>
        <w:jc w:val="left"/>
        <w:rPr>
          <w:rFonts w:ascii="宋体" w:hAnsi="宋体" w:cs="宋体"/>
          <w:kern w:val="0"/>
          <w:sz w:val="24"/>
        </w:rPr>
      </w:pPr>
      <w:r>
        <w:rPr>
          <w:rFonts w:hint="eastAsia" w:ascii="宋体" w:hAnsi="宋体" w:cs="宋体"/>
          <w:kern w:val="0"/>
          <w:sz w:val="24"/>
        </w:rPr>
        <w:t>3.4.2响应文件出现不是唯一的、有选择性交易报价的，交易无效。</w:t>
      </w:r>
    </w:p>
    <w:p w14:paraId="79F44E65">
      <w:pPr>
        <w:snapToGrid w:val="0"/>
        <w:spacing w:line="570" w:lineRule="exact"/>
        <w:ind w:firstLine="480" w:firstLineChars="200"/>
        <w:jc w:val="left"/>
        <w:rPr>
          <w:rFonts w:ascii="宋体" w:hAnsi="宋体" w:cs="宋体"/>
          <w:kern w:val="0"/>
          <w:sz w:val="24"/>
        </w:rPr>
      </w:pPr>
      <w:r>
        <w:rPr>
          <w:rFonts w:hint="eastAsia" w:ascii="宋体" w:hAnsi="宋体" w:cs="宋体"/>
          <w:kern w:val="0"/>
          <w:sz w:val="24"/>
        </w:rPr>
        <w:t>3.4.3交易报价超过交易文件中规定的预算金额或者最高限价的，交易无效。</w:t>
      </w:r>
    </w:p>
    <w:p w14:paraId="0081CC6F">
      <w:pPr>
        <w:pStyle w:val="138"/>
        <w:spacing w:before="0" w:line="570" w:lineRule="exact"/>
        <w:ind w:firstLine="480"/>
        <w:rPr>
          <w:rFonts w:ascii="宋体" w:hAnsi="宋体" w:cs="宋体"/>
          <w:kern w:val="0"/>
          <w:szCs w:val="24"/>
        </w:rPr>
      </w:pPr>
      <w:r>
        <w:rPr>
          <w:rFonts w:hint="eastAsia" w:ascii="宋体" w:hAnsi="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4ACA200E">
      <w:pPr>
        <w:spacing w:line="57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w:t>
      </w:r>
      <w:r>
        <w:rPr>
          <w:rFonts w:hint="eastAsia" w:ascii="宋体" w:hAnsi="宋体" w:cs="宋体"/>
          <w:kern w:val="0"/>
          <w:sz w:val="24"/>
          <w:lang w:val="en-US" w:eastAsia="zh-CN"/>
        </w:rPr>
        <w:t>第一的为</w:t>
      </w:r>
      <w:r>
        <w:rPr>
          <w:rFonts w:hint="eastAsia" w:ascii="宋体" w:hAnsi="宋体" w:cs="宋体"/>
          <w:kern w:val="0"/>
          <w:sz w:val="24"/>
        </w:rPr>
        <w:t>成交候选人。</w:t>
      </w:r>
    </w:p>
    <w:p w14:paraId="6598BDEC">
      <w:pPr>
        <w:spacing w:line="570" w:lineRule="exact"/>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1EA69A54">
      <w:pPr>
        <w:spacing w:line="570" w:lineRule="exact"/>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E16AB9">
      <w:pPr>
        <w:widowControl/>
        <w:shd w:val="clear" w:color="auto" w:fill="FFFFFF"/>
        <w:adjustRightInd/>
        <w:spacing w:after="225" w:line="570" w:lineRule="exact"/>
        <w:jc w:val="left"/>
        <w:rPr>
          <w:rFonts w:ascii="宋体" w:hAnsi="宋体" w:cs="宋体"/>
          <w:b/>
          <w:sz w:val="32"/>
        </w:rPr>
      </w:pPr>
      <w:r>
        <w:rPr>
          <w:rFonts w:hint="eastAsia" w:ascii="宋体" w:hAnsi="宋体" w:cs="宋体"/>
          <w:b/>
          <w:sz w:val="32"/>
        </w:rPr>
        <w:t>四、评标中的其他事项</w:t>
      </w:r>
    </w:p>
    <w:p w14:paraId="38B6837C">
      <w:pPr>
        <w:pStyle w:val="138"/>
        <w:spacing w:before="0" w:line="570" w:lineRule="exact"/>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E9A6E6">
      <w:pPr>
        <w:pStyle w:val="17"/>
        <w:spacing w:line="570" w:lineRule="exact"/>
        <w:ind w:left="954" w:leftChars="226" w:hanging="479" w:firstLineChars="0"/>
        <w:rPr>
          <w:rFonts w:cs="宋体"/>
          <w:szCs w:val="21"/>
        </w:rPr>
      </w:pPr>
      <w:r>
        <w:rPr>
          <w:rFonts w:hint="eastAsia" w:cs="宋体"/>
          <w:b/>
          <w:kern w:val="0"/>
        </w:rPr>
        <w:t>4.2交易无效。</w:t>
      </w:r>
      <w:r>
        <w:rPr>
          <w:rFonts w:hint="eastAsia" w:cs="宋体"/>
          <w:szCs w:val="21"/>
        </w:rPr>
        <w:t>有下列情形之一的，交易无效：</w:t>
      </w:r>
    </w:p>
    <w:p w14:paraId="650E6F41">
      <w:pPr>
        <w:spacing w:line="570" w:lineRule="exact"/>
        <w:ind w:firstLine="480" w:firstLineChars="200"/>
        <w:rPr>
          <w:rFonts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74505B77">
      <w:pPr>
        <w:spacing w:line="570" w:lineRule="exact"/>
        <w:ind w:firstLine="480" w:firstLineChars="200"/>
        <w:rPr>
          <w:rFonts w:ascii="宋体" w:hAnsi="宋体" w:cs="宋体"/>
          <w:kern w:val="0"/>
          <w:sz w:val="24"/>
        </w:rPr>
      </w:pPr>
      <w:r>
        <w:rPr>
          <w:rFonts w:hint="eastAsia" w:ascii="宋体" w:hAnsi="宋体" w:cs="宋体"/>
          <w:kern w:val="0"/>
          <w:sz w:val="24"/>
        </w:rPr>
        <w:t>4.2.2响应文件未按照交易文件要求签署、盖章的；</w:t>
      </w:r>
    </w:p>
    <w:p w14:paraId="44280615">
      <w:pPr>
        <w:spacing w:line="570" w:lineRule="exact"/>
        <w:ind w:firstLine="480" w:firstLineChars="200"/>
        <w:rPr>
          <w:rFonts w:ascii="宋体" w:hAnsi="宋体" w:cs="宋体"/>
          <w:kern w:val="0"/>
          <w:sz w:val="24"/>
        </w:rPr>
      </w:pPr>
      <w:r>
        <w:rPr>
          <w:rFonts w:hint="eastAsia" w:ascii="宋体" w:hAnsi="宋体" w:cs="宋体"/>
          <w:kern w:val="0"/>
          <w:sz w:val="24"/>
        </w:rPr>
        <w:t>4.2.3交易人拟采购的产品属于政府强制采购的节能产品品目清单范围的，供应商未按交易文件要求提供国家确定的认证机构出具的、处于有效期之内的节能产品认证证书的；</w:t>
      </w:r>
    </w:p>
    <w:p w14:paraId="5A185A7D">
      <w:pPr>
        <w:spacing w:line="570" w:lineRule="exact"/>
        <w:ind w:firstLine="480" w:firstLineChars="200"/>
        <w:rPr>
          <w:rFonts w:ascii="宋体" w:hAnsi="宋体" w:cs="宋体"/>
          <w:kern w:val="0"/>
          <w:sz w:val="24"/>
        </w:rPr>
      </w:pPr>
      <w:r>
        <w:rPr>
          <w:rFonts w:hint="eastAsia" w:ascii="宋体" w:hAnsi="宋体" w:cs="宋体"/>
          <w:kern w:val="0"/>
          <w:sz w:val="24"/>
        </w:rPr>
        <w:t>4.2.4响应文件含有交易人不能接受的附加条件的；</w:t>
      </w:r>
    </w:p>
    <w:p w14:paraId="70F29311">
      <w:pPr>
        <w:spacing w:line="570" w:lineRule="exact"/>
        <w:ind w:firstLine="480" w:firstLineChars="200"/>
        <w:rPr>
          <w:rFonts w:ascii="宋体" w:hAnsi="宋体" w:cs="宋体"/>
          <w:kern w:val="0"/>
          <w:sz w:val="24"/>
        </w:rPr>
      </w:pPr>
      <w:r>
        <w:rPr>
          <w:rFonts w:hint="eastAsia" w:ascii="宋体" w:hAnsi="宋体" w:cs="宋体"/>
          <w:kern w:val="0"/>
          <w:sz w:val="24"/>
        </w:rPr>
        <w:t>4.2.5响应文件中承诺的交易有效期少于交易文件中载明的交易有效期的；</w:t>
      </w:r>
    </w:p>
    <w:p w14:paraId="574AE2B4">
      <w:pPr>
        <w:snapToGrid w:val="0"/>
        <w:spacing w:line="570" w:lineRule="exact"/>
        <w:ind w:firstLine="120" w:firstLineChars="50"/>
        <w:jc w:val="left"/>
        <w:rPr>
          <w:rFonts w:ascii="宋体" w:hAnsi="宋体" w:cs="宋体"/>
          <w:kern w:val="0"/>
          <w:sz w:val="24"/>
        </w:rPr>
      </w:pPr>
      <w:r>
        <w:rPr>
          <w:rFonts w:hint="eastAsia" w:ascii="宋体" w:hAnsi="宋体" w:cs="宋体"/>
          <w:kern w:val="0"/>
          <w:sz w:val="24"/>
        </w:rPr>
        <w:t xml:space="preserve">   4.2.6响应文件出现不是唯一的、有选择性交易报价的;</w:t>
      </w:r>
    </w:p>
    <w:p w14:paraId="726FE7DB">
      <w:pPr>
        <w:spacing w:line="570" w:lineRule="exact"/>
        <w:ind w:firstLine="480" w:firstLineChars="200"/>
        <w:rPr>
          <w:rFonts w:ascii="宋体" w:hAnsi="宋体" w:cs="宋体"/>
          <w:kern w:val="0"/>
          <w:sz w:val="24"/>
        </w:rPr>
      </w:pPr>
      <w:r>
        <w:rPr>
          <w:rFonts w:hint="eastAsia" w:ascii="宋体" w:hAnsi="宋体" w:cs="宋体"/>
          <w:kern w:val="0"/>
          <w:sz w:val="24"/>
        </w:rPr>
        <w:t>4.2.7交易报价超过交易文件中规定的预算金额或者最高限价的;</w:t>
      </w:r>
    </w:p>
    <w:p w14:paraId="1182F71D">
      <w:pPr>
        <w:spacing w:line="570" w:lineRule="exact"/>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2C2531C6">
      <w:pPr>
        <w:spacing w:line="570" w:lineRule="exact"/>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6FA61084">
      <w:pPr>
        <w:spacing w:line="570" w:lineRule="exact"/>
        <w:ind w:firstLine="480" w:firstLineChars="200"/>
        <w:rPr>
          <w:rFonts w:ascii="宋体" w:hAnsi="宋体" w:cs="宋体"/>
          <w:kern w:val="0"/>
          <w:sz w:val="24"/>
        </w:rPr>
      </w:pPr>
      <w:r>
        <w:rPr>
          <w:rFonts w:hint="eastAsia" w:ascii="宋体" w:hAnsi="宋体" w:cs="宋体"/>
          <w:kern w:val="0"/>
          <w:sz w:val="24"/>
        </w:rPr>
        <w:t>4.2.10供应商提供虚假材料投标的；</w:t>
      </w:r>
    </w:p>
    <w:p w14:paraId="5FA2A2F7">
      <w:pPr>
        <w:spacing w:line="570" w:lineRule="exact"/>
        <w:ind w:firstLine="240" w:firstLineChars="100"/>
        <w:rPr>
          <w:rFonts w:ascii="宋体" w:hAnsi="宋体" w:cs="宋体"/>
          <w:kern w:val="0"/>
          <w:sz w:val="24"/>
        </w:rPr>
      </w:pPr>
      <w:r>
        <w:rPr>
          <w:rFonts w:hint="eastAsia" w:ascii="宋体" w:hAnsi="宋体" w:cs="宋体"/>
          <w:kern w:val="0"/>
          <w:sz w:val="24"/>
        </w:rPr>
        <w:t xml:space="preserve">  4.2.11供应商有恶意串通、妨碍其他供应商的竞争行为、损害交易人或者其他供应商的合法权益情形的；</w:t>
      </w:r>
    </w:p>
    <w:p w14:paraId="6802E5F5">
      <w:pPr>
        <w:spacing w:line="570" w:lineRule="exact"/>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4.2.12供应商仅提交备份响应文件，未在电子交易平台传输递交响应文件的，交易无效；</w:t>
      </w:r>
    </w:p>
    <w:p w14:paraId="358E3F7B">
      <w:pPr>
        <w:pStyle w:val="4"/>
        <w:spacing w:line="570" w:lineRule="exact"/>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4.2.13响应文件不满足交易文件的其它实质性要求的；</w:t>
      </w:r>
    </w:p>
    <w:p w14:paraId="26116C29">
      <w:pPr>
        <w:spacing w:line="570" w:lineRule="exact"/>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5844DFD">
      <w:pPr>
        <w:pStyle w:val="17"/>
        <w:snapToGrid w:val="0"/>
        <w:spacing w:line="570" w:lineRule="exact"/>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338CCE8">
      <w:pPr>
        <w:pStyle w:val="17"/>
        <w:snapToGrid w:val="0"/>
        <w:spacing w:line="570" w:lineRule="exact"/>
        <w:rPr>
          <w:rFonts w:cs="宋体"/>
          <w:highlight w:val="none"/>
        </w:rPr>
      </w:pPr>
      <w:r>
        <w:rPr>
          <w:rFonts w:hint="eastAsia" w:cs="宋体"/>
          <w:highlight w:val="none"/>
        </w:rPr>
        <w:t>5.1符合专业条件的供应商或者对交易文件作实质响应的供应商不足</w:t>
      </w:r>
      <w:r>
        <w:rPr>
          <w:rFonts w:hint="eastAsia" w:cs="宋体"/>
          <w:highlight w:val="none"/>
          <w:lang w:val="en-US" w:eastAsia="zh-CN"/>
        </w:rPr>
        <w:t>3</w:t>
      </w:r>
      <w:r>
        <w:rPr>
          <w:rFonts w:hint="eastAsia" w:cs="宋体"/>
          <w:highlight w:val="none"/>
        </w:rPr>
        <w:t>家的；</w:t>
      </w:r>
    </w:p>
    <w:p w14:paraId="3F3A148E">
      <w:pPr>
        <w:pStyle w:val="17"/>
        <w:snapToGrid w:val="0"/>
        <w:spacing w:line="570" w:lineRule="exact"/>
        <w:rPr>
          <w:rFonts w:cs="宋体"/>
          <w:highlight w:val="none"/>
        </w:rPr>
      </w:pPr>
      <w:r>
        <w:rPr>
          <w:rFonts w:hint="eastAsia" w:cs="宋体"/>
          <w:highlight w:val="none"/>
        </w:rPr>
        <w:t>5.2出现影响采购公正的违法、违规行为的；</w:t>
      </w:r>
    </w:p>
    <w:p w14:paraId="655C387E">
      <w:pPr>
        <w:pStyle w:val="17"/>
        <w:snapToGrid w:val="0"/>
        <w:spacing w:line="570" w:lineRule="exact"/>
        <w:rPr>
          <w:rFonts w:cs="宋体"/>
        </w:rPr>
      </w:pPr>
      <w:r>
        <w:rPr>
          <w:rFonts w:hint="eastAsia" w:cs="宋体"/>
        </w:rPr>
        <w:t>5.3供应商的报价均超过了采购预算，交易人不能支付的；</w:t>
      </w:r>
    </w:p>
    <w:p w14:paraId="3D85039C">
      <w:pPr>
        <w:pStyle w:val="17"/>
        <w:snapToGrid w:val="0"/>
        <w:spacing w:line="570" w:lineRule="exact"/>
        <w:rPr>
          <w:rFonts w:cs="宋体"/>
        </w:rPr>
      </w:pPr>
      <w:r>
        <w:rPr>
          <w:rFonts w:hint="eastAsia" w:cs="宋体"/>
        </w:rPr>
        <w:t>5.4因重大变故，采购任务取消的。</w:t>
      </w:r>
    </w:p>
    <w:p w14:paraId="74D9BFF6">
      <w:pPr>
        <w:pStyle w:val="17"/>
        <w:snapToGrid w:val="0"/>
        <w:spacing w:line="570" w:lineRule="exact"/>
        <w:rPr>
          <w:rFonts w:cs="宋体"/>
        </w:rPr>
      </w:pPr>
      <w:r>
        <w:rPr>
          <w:rFonts w:hint="eastAsia" w:cs="宋体"/>
        </w:rPr>
        <w:t>废标后，采购机构应当将废标理由通知所有供应商。</w:t>
      </w:r>
    </w:p>
    <w:p w14:paraId="68576062">
      <w:pPr>
        <w:pStyle w:val="17"/>
        <w:snapToGrid w:val="0"/>
        <w:spacing w:line="570" w:lineRule="exact"/>
        <w:ind w:firstLine="590" w:firstLineChars="245"/>
        <w:rPr>
          <w:rFonts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7A40C1BB">
      <w:pPr>
        <w:pStyle w:val="17"/>
        <w:snapToGrid w:val="0"/>
        <w:spacing w:line="570" w:lineRule="exact"/>
        <w:ind w:firstLine="590" w:firstLineChars="245"/>
        <w:rPr>
          <w:rFonts w:cs="宋体"/>
        </w:rPr>
      </w:pPr>
      <w:r>
        <w:rPr>
          <w:rFonts w:hint="eastAsia" w:cs="宋体"/>
          <w:b/>
          <w:kern w:val="0"/>
        </w:rPr>
        <w:t>7.重新开展交易。</w:t>
      </w:r>
      <w:r>
        <w:rPr>
          <w:rFonts w:hint="eastAsia" w:cs="宋体"/>
        </w:rPr>
        <w:t>影响或者可能影响</w:t>
      </w:r>
      <w:r>
        <w:rPr>
          <w:rFonts w:hint="eastAsia" w:cs="宋体"/>
          <w:kern w:val="0"/>
        </w:rPr>
        <w:t>成交</w:t>
      </w:r>
      <w:r>
        <w:rPr>
          <w:rFonts w:hint="eastAsia" w:cs="宋体"/>
        </w:rPr>
        <w:t>、成交结果的，依照下列规定处理：</w:t>
      </w:r>
    </w:p>
    <w:p w14:paraId="2E1AD3A3">
      <w:pPr>
        <w:pStyle w:val="17"/>
        <w:snapToGrid w:val="0"/>
        <w:spacing w:line="570" w:lineRule="exact"/>
        <w:ind w:firstLine="600" w:firstLineChars="250"/>
        <w:rPr>
          <w:rFonts w:cs="宋体"/>
        </w:rPr>
      </w:pPr>
      <w:r>
        <w:rPr>
          <w:rFonts w:hint="eastAsia" w:cs="宋体"/>
        </w:rPr>
        <w:t>7.1未确定</w:t>
      </w:r>
      <w:r>
        <w:rPr>
          <w:rFonts w:hint="eastAsia" w:cs="宋体"/>
          <w:kern w:val="0"/>
        </w:rPr>
        <w:t>成交</w:t>
      </w:r>
      <w:r>
        <w:rPr>
          <w:rFonts w:hint="eastAsia" w:cs="宋体"/>
        </w:rPr>
        <w:t>或者成交人的，终止本次交易活动，重新开展交易活动。</w:t>
      </w:r>
    </w:p>
    <w:p w14:paraId="3C3788A8">
      <w:pPr>
        <w:pStyle w:val="17"/>
        <w:snapToGrid w:val="0"/>
        <w:spacing w:line="570" w:lineRule="exact"/>
        <w:ind w:firstLine="600" w:firstLineChars="250"/>
        <w:rPr>
          <w:rFonts w:cs="宋体"/>
        </w:rPr>
      </w:pPr>
      <w:r>
        <w:rPr>
          <w:rFonts w:hint="eastAsia" w:cs="宋体"/>
        </w:rPr>
        <w:t>7.2已确定</w:t>
      </w:r>
      <w:r>
        <w:rPr>
          <w:rFonts w:hint="eastAsia" w:cs="宋体"/>
          <w:kern w:val="0"/>
        </w:rPr>
        <w:t>成交</w:t>
      </w:r>
      <w:r>
        <w:rPr>
          <w:rFonts w:hint="eastAsia" w:cs="宋体"/>
        </w:rPr>
        <w:t>或者成交人但尚未签订合同的，</w:t>
      </w:r>
      <w:r>
        <w:rPr>
          <w:rFonts w:hint="eastAsia" w:cs="宋体"/>
          <w:kern w:val="0"/>
        </w:rPr>
        <w:t>成交</w:t>
      </w:r>
      <w:r>
        <w:rPr>
          <w:rFonts w:hint="eastAsia" w:cs="宋体"/>
        </w:rPr>
        <w:t>或者成交结果无效，从合格的</w:t>
      </w:r>
      <w:r>
        <w:rPr>
          <w:rFonts w:hint="eastAsia" w:cs="宋体"/>
          <w:kern w:val="0"/>
        </w:rPr>
        <w:t>成交</w:t>
      </w:r>
      <w:r>
        <w:rPr>
          <w:rFonts w:hint="eastAsia" w:cs="宋体"/>
        </w:rPr>
        <w:t>或者成交候选人中另行确定</w:t>
      </w:r>
      <w:r>
        <w:rPr>
          <w:rFonts w:hint="eastAsia" w:cs="宋体"/>
          <w:kern w:val="0"/>
        </w:rPr>
        <w:t>成交</w:t>
      </w:r>
      <w:r>
        <w:rPr>
          <w:rFonts w:hint="eastAsia" w:cs="宋体"/>
        </w:rPr>
        <w:t>或者成交人；没有合格的</w:t>
      </w:r>
      <w:r>
        <w:rPr>
          <w:rFonts w:hint="eastAsia" w:cs="宋体"/>
          <w:kern w:val="0"/>
        </w:rPr>
        <w:t>成交</w:t>
      </w:r>
      <w:r>
        <w:rPr>
          <w:rFonts w:hint="eastAsia" w:cs="宋体"/>
        </w:rPr>
        <w:t>或者成交候选人的，重新开展交易活动。</w:t>
      </w:r>
    </w:p>
    <w:p w14:paraId="335AC11F">
      <w:pPr>
        <w:pStyle w:val="17"/>
        <w:snapToGrid w:val="0"/>
        <w:spacing w:line="570" w:lineRule="exact"/>
        <w:ind w:firstLine="600" w:firstLineChars="250"/>
        <w:rPr>
          <w:rFonts w:cs="宋体"/>
        </w:rPr>
      </w:pPr>
      <w:r>
        <w:rPr>
          <w:rFonts w:hint="eastAsia" w:cs="宋体"/>
        </w:rPr>
        <w:t>7.3采购合同已签订但尚未履行的，撤销合同，从合格的</w:t>
      </w:r>
      <w:r>
        <w:rPr>
          <w:rFonts w:hint="eastAsia" w:cs="宋体"/>
          <w:kern w:val="0"/>
        </w:rPr>
        <w:t>成交</w:t>
      </w:r>
      <w:r>
        <w:rPr>
          <w:rFonts w:hint="eastAsia" w:cs="宋体"/>
        </w:rPr>
        <w:t>或者成交候选人中另行确定</w:t>
      </w:r>
      <w:r>
        <w:rPr>
          <w:rFonts w:hint="eastAsia" w:cs="宋体"/>
          <w:kern w:val="0"/>
        </w:rPr>
        <w:t>成交</w:t>
      </w:r>
      <w:r>
        <w:rPr>
          <w:rFonts w:hint="eastAsia" w:cs="宋体"/>
        </w:rPr>
        <w:t>或者成交人；没有合格的</w:t>
      </w:r>
      <w:r>
        <w:rPr>
          <w:rFonts w:hint="eastAsia" w:cs="宋体"/>
          <w:kern w:val="0"/>
        </w:rPr>
        <w:t>成交</w:t>
      </w:r>
      <w:r>
        <w:rPr>
          <w:rFonts w:hint="eastAsia" w:cs="宋体"/>
        </w:rPr>
        <w:t>或者成交候选人的，重新开展交易活动。</w:t>
      </w:r>
    </w:p>
    <w:p w14:paraId="23EBB04F">
      <w:pPr>
        <w:pStyle w:val="17"/>
        <w:snapToGrid w:val="0"/>
        <w:spacing w:line="570" w:lineRule="exact"/>
        <w:rPr>
          <w:rFonts w:cs="宋体"/>
        </w:rPr>
      </w:pPr>
      <w:r>
        <w:rPr>
          <w:rFonts w:hint="eastAsia" w:cs="宋体"/>
        </w:rPr>
        <w:t>7.4采购合同已经履行，给交易人、供应商造成损失的，由责任人承担赔偿责任。</w:t>
      </w:r>
    </w:p>
    <w:p w14:paraId="15F5DFFC">
      <w:pPr>
        <w:pStyle w:val="17"/>
        <w:snapToGrid w:val="0"/>
        <w:spacing w:line="570" w:lineRule="exact"/>
        <w:rPr>
          <w:rFonts w:cs="宋体"/>
        </w:rPr>
      </w:pPr>
      <w:r>
        <w:rPr>
          <w:rFonts w:hint="eastAsia" w:cs="宋体"/>
        </w:rPr>
        <w:t>7.5采购当事人有其他违反政府采购法</w:t>
      </w:r>
      <w:r>
        <w:rPr>
          <w:rFonts w:hint="eastAsia" w:cs="宋体"/>
          <w:kern w:val="0"/>
        </w:rPr>
        <w:t>或者政府采购法实施条例等法律法规规定</w:t>
      </w:r>
      <w:r>
        <w:rPr>
          <w:rFonts w:hint="eastAsia" w:cs="宋体"/>
        </w:rPr>
        <w:t>的行为，经改正后仍然影响或者可能影响</w:t>
      </w:r>
      <w:r>
        <w:rPr>
          <w:rFonts w:hint="eastAsia" w:cs="宋体"/>
          <w:kern w:val="0"/>
        </w:rPr>
        <w:t>成交</w:t>
      </w:r>
      <w:r>
        <w:rPr>
          <w:rFonts w:hint="eastAsia" w:cs="宋体"/>
        </w:rPr>
        <w:t>、成交结果或者依法被认定为</w:t>
      </w:r>
      <w:r>
        <w:rPr>
          <w:rFonts w:hint="eastAsia" w:cs="宋体"/>
          <w:kern w:val="0"/>
        </w:rPr>
        <w:t>成交</w:t>
      </w:r>
      <w:r>
        <w:rPr>
          <w:rFonts w:hint="eastAsia" w:cs="宋体"/>
        </w:rPr>
        <w:t>、成交无效的，依照7.1-7.4规定处理。</w:t>
      </w:r>
    </w:p>
    <w:p w14:paraId="0E7EBBED">
      <w:pPr>
        <w:pStyle w:val="17"/>
        <w:snapToGrid w:val="0"/>
        <w:spacing w:line="360" w:lineRule="auto"/>
        <w:rPr>
          <w:rFonts w:cs="宋体"/>
        </w:rPr>
      </w:pPr>
      <w:r>
        <w:rPr>
          <w:rFonts w:hint="eastAsia" w:cs="宋体"/>
        </w:rPr>
        <w:t xml:space="preserve"> </w:t>
      </w:r>
    </w:p>
    <w:p w14:paraId="541F6CA4">
      <w:pPr>
        <w:pStyle w:val="16"/>
        <w:rPr>
          <w:rFonts w:hAnsi="宋体" w:cs="宋体"/>
          <w:color w:val="auto"/>
        </w:rPr>
      </w:pPr>
    </w:p>
    <w:p w14:paraId="6E5860CF">
      <w:pPr>
        <w:rPr>
          <w:rFonts w:ascii="宋体" w:hAnsi="宋体" w:cs="宋体"/>
        </w:rPr>
      </w:pPr>
    </w:p>
    <w:p w14:paraId="0460E5AF">
      <w:pPr>
        <w:rPr>
          <w:rFonts w:ascii="宋体" w:hAnsi="宋体" w:cs="宋体"/>
          <w:b/>
          <w:sz w:val="36"/>
          <w:szCs w:val="36"/>
        </w:rPr>
      </w:pPr>
      <w:r>
        <w:rPr>
          <w:rFonts w:hint="eastAsia" w:ascii="宋体" w:hAnsi="宋体" w:cs="宋体"/>
          <w:b/>
          <w:sz w:val="36"/>
          <w:szCs w:val="36"/>
        </w:rPr>
        <w:br w:type="page"/>
      </w:r>
    </w:p>
    <w:p w14:paraId="25963D24">
      <w:pPr>
        <w:pStyle w:val="3"/>
        <w:spacing w:line="360" w:lineRule="auto"/>
        <w:jc w:val="center"/>
        <w:rPr>
          <w:rFonts w:cs="仿宋"/>
          <w:color w:val="auto"/>
          <w:highlight w:val="none"/>
        </w:rPr>
      </w:pPr>
      <w:r>
        <w:rPr>
          <w:rFonts w:hint="eastAsia" w:cs="仿宋"/>
          <w:color w:val="auto"/>
          <w:highlight w:val="none"/>
        </w:rPr>
        <w:t>第五部分 拟签订的合同文本</w:t>
      </w:r>
    </w:p>
    <w:p w14:paraId="0F405588">
      <w:pPr>
        <w:pStyle w:val="17"/>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（服务类参考样本,具体以交易人实际合同为准）</w:t>
      </w:r>
    </w:p>
    <w:p w14:paraId="57D77DFC">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75933972">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签订地点：                                 签订时间：</w:t>
      </w:r>
      <w:r>
        <w:rPr>
          <w:rFonts w:hint="eastAsia" w:cs="宋体"/>
          <w:color w:val="auto"/>
          <w:lang w:eastAsia="zh-CN"/>
        </w:rPr>
        <w:t>2025</w:t>
      </w:r>
      <w:r>
        <w:rPr>
          <w:rFonts w:hint="eastAsia" w:ascii="宋体" w:hAnsi="宋体" w:eastAsia="宋体" w:cs="宋体"/>
          <w:color w:val="auto"/>
        </w:rPr>
        <w:t>年  月  日</w:t>
      </w:r>
    </w:p>
    <w:p w14:paraId="198EFA3D">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项目名称：</w:t>
      </w:r>
    </w:p>
    <w:p w14:paraId="6EB54DD6">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 xml:space="preserve">采购方（需方）：                                     </w:t>
      </w:r>
    </w:p>
    <w:p w14:paraId="681BDA85">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 xml:space="preserve">乙方（供方）：                                     </w:t>
      </w:r>
    </w:p>
    <w:p w14:paraId="6D0976B4">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供、需双方根据杭州市萧山区                             项目（交易编号-  -  -   ）交易结果和交易文件的要求，并经双方协调一致，订立本采购合同。</w:t>
      </w:r>
    </w:p>
    <w:p w14:paraId="40F3D755">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一、合同文件：</w:t>
      </w:r>
    </w:p>
    <w:p w14:paraId="676EC6B0">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1、合同条款。</w:t>
      </w:r>
    </w:p>
    <w:p w14:paraId="7B1B08CC">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2、中标通知书。</w:t>
      </w:r>
    </w:p>
    <w:p w14:paraId="121E33B8">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3、交易文件。</w:t>
      </w:r>
    </w:p>
    <w:p w14:paraId="74A69D12">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4、更正公告。</w:t>
      </w:r>
    </w:p>
    <w:p w14:paraId="711EA843">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5、中标单位投标文件。</w:t>
      </w:r>
    </w:p>
    <w:p w14:paraId="56D0F8F1">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6、其他。</w:t>
      </w:r>
    </w:p>
    <w:p w14:paraId="541D1998">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二、合同金额: 本合同金额为(大写)_________________元（￥　　　　元）人民币附：《采购项目清单内容》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2480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64BA78EC">
            <w:pPr>
              <w:pStyle w:val="17"/>
              <w:snapToGrid w:val="0"/>
              <w:spacing w:line="360" w:lineRule="auto"/>
              <w:ind w:firstLine="0" w:firstLineChars="0"/>
              <w:rPr>
                <w:rFonts w:hint="eastAsia" w:ascii="宋体" w:hAnsi="宋体" w:eastAsia="宋体" w:cs="宋体"/>
                <w:color w:val="auto"/>
              </w:rPr>
            </w:pPr>
            <w:r>
              <w:rPr>
                <w:rFonts w:hint="eastAsia" w:ascii="宋体" w:hAnsi="宋体" w:eastAsia="宋体" w:cs="宋体"/>
                <w:color w:val="auto"/>
              </w:rPr>
              <w:t>序号</w:t>
            </w:r>
          </w:p>
        </w:tc>
        <w:tc>
          <w:tcPr>
            <w:tcW w:w="1692" w:type="dxa"/>
            <w:vAlign w:val="center"/>
          </w:tcPr>
          <w:p w14:paraId="58957BCD">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采购项目</w:t>
            </w:r>
          </w:p>
        </w:tc>
        <w:tc>
          <w:tcPr>
            <w:tcW w:w="1800" w:type="dxa"/>
            <w:vAlign w:val="center"/>
          </w:tcPr>
          <w:p w14:paraId="214A4940">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中标内容</w:t>
            </w:r>
          </w:p>
        </w:tc>
        <w:tc>
          <w:tcPr>
            <w:tcW w:w="1758" w:type="dxa"/>
            <w:vAlign w:val="center"/>
          </w:tcPr>
          <w:p w14:paraId="39FF683D">
            <w:pPr>
              <w:pStyle w:val="17"/>
              <w:snapToGrid w:val="0"/>
              <w:spacing w:line="360" w:lineRule="auto"/>
              <w:ind w:firstLine="0" w:firstLineChars="0"/>
              <w:rPr>
                <w:rFonts w:hint="eastAsia" w:ascii="宋体" w:hAnsi="宋体" w:eastAsia="宋体" w:cs="宋体"/>
                <w:color w:val="auto"/>
              </w:rPr>
            </w:pPr>
            <w:r>
              <w:rPr>
                <w:rFonts w:hint="eastAsia" w:ascii="宋体" w:hAnsi="宋体" w:eastAsia="宋体" w:cs="宋体"/>
                <w:color w:val="auto"/>
              </w:rPr>
              <w:t>中标单价（元）</w:t>
            </w:r>
          </w:p>
        </w:tc>
        <w:tc>
          <w:tcPr>
            <w:tcW w:w="762" w:type="dxa"/>
            <w:vAlign w:val="center"/>
          </w:tcPr>
          <w:p w14:paraId="67D12809">
            <w:pPr>
              <w:pStyle w:val="17"/>
              <w:snapToGrid w:val="0"/>
              <w:spacing w:line="360" w:lineRule="auto"/>
              <w:ind w:firstLine="0" w:firstLineChars="0"/>
              <w:rPr>
                <w:rFonts w:hint="eastAsia" w:ascii="宋体" w:hAnsi="宋体" w:eastAsia="宋体" w:cs="宋体"/>
                <w:color w:val="auto"/>
              </w:rPr>
            </w:pPr>
            <w:r>
              <w:rPr>
                <w:rFonts w:hint="eastAsia" w:ascii="宋体" w:hAnsi="宋体" w:eastAsia="宋体" w:cs="宋体"/>
                <w:color w:val="auto"/>
              </w:rPr>
              <w:t>数量</w:t>
            </w:r>
          </w:p>
        </w:tc>
        <w:tc>
          <w:tcPr>
            <w:tcW w:w="1867" w:type="dxa"/>
            <w:vAlign w:val="center"/>
          </w:tcPr>
          <w:p w14:paraId="09745392">
            <w:pPr>
              <w:pStyle w:val="17"/>
              <w:snapToGrid w:val="0"/>
              <w:spacing w:line="360" w:lineRule="auto"/>
              <w:ind w:firstLine="0" w:firstLineChars="0"/>
              <w:rPr>
                <w:rFonts w:hint="eastAsia" w:ascii="宋体" w:hAnsi="宋体" w:eastAsia="宋体" w:cs="宋体"/>
                <w:color w:val="auto"/>
              </w:rPr>
            </w:pPr>
            <w:r>
              <w:rPr>
                <w:rFonts w:hint="eastAsia" w:ascii="宋体" w:hAnsi="宋体" w:eastAsia="宋体" w:cs="宋体"/>
                <w:color w:val="auto"/>
              </w:rPr>
              <w:t>中标总价（元）</w:t>
            </w:r>
          </w:p>
        </w:tc>
      </w:tr>
      <w:tr w14:paraId="49D3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656E7C75">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w:t>
            </w:r>
          </w:p>
        </w:tc>
        <w:tc>
          <w:tcPr>
            <w:tcW w:w="1692" w:type="dxa"/>
            <w:vAlign w:val="center"/>
          </w:tcPr>
          <w:p w14:paraId="543352F0">
            <w:pPr>
              <w:pStyle w:val="17"/>
              <w:snapToGrid w:val="0"/>
              <w:spacing w:line="360" w:lineRule="auto"/>
              <w:rPr>
                <w:rFonts w:hint="eastAsia" w:ascii="宋体" w:hAnsi="宋体" w:eastAsia="宋体" w:cs="宋体"/>
                <w:color w:val="auto"/>
              </w:rPr>
            </w:pPr>
          </w:p>
        </w:tc>
        <w:tc>
          <w:tcPr>
            <w:tcW w:w="1800" w:type="dxa"/>
            <w:vAlign w:val="center"/>
          </w:tcPr>
          <w:p w14:paraId="729CCBA0">
            <w:pPr>
              <w:pStyle w:val="17"/>
              <w:snapToGrid w:val="0"/>
              <w:spacing w:line="360" w:lineRule="auto"/>
              <w:rPr>
                <w:rFonts w:hint="eastAsia" w:ascii="宋体" w:hAnsi="宋体" w:eastAsia="宋体" w:cs="宋体"/>
                <w:color w:val="auto"/>
              </w:rPr>
            </w:pPr>
          </w:p>
        </w:tc>
        <w:tc>
          <w:tcPr>
            <w:tcW w:w="1758" w:type="dxa"/>
            <w:vAlign w:val="center"/>
          </w:tcPr>
          <w:p w14:paraId="1D2DB46B">
            <w:pPr>
              <w:pStyle w:val="17"/>
              <w:snapToGrid w:val="0"/>
              <w:spacing w:line="360" w:lineRule="auto"/>
              <w:rPr>
                <w:rFonts w:hint="eastAsia" w:ascii="宋体" w:hAnsi="宋体" w:eastAsia="宋体" w:cs="宋体"/>
                <w:color w:val="auto"/>
              </w:rPr>
            </w:pPr>
          </w:p>
        </w:tc>
        <w:tc>
          <w:tcPr>
            <w:tcW w:w="762" w:type="dxa"/>
            <w:vAlign w:val="center"/>
          </w:tcPr>
          <w:p w14:paraId="54608B80">
            <w:pPr>
              <w:pStyle w:val="17"/>
              <w:snapToGrid w:val="0"/>
              <w:spacing w:line="360" w:lineRule="auto"/>
              <w:rPr>
                <w:rFonts w:hint="eastAsia" w:ascii="宋体" w:hAnsi="宋体" w:eastAsia="宋体" w:cs="宋体"/>
                <w:color w:val="auto"/>
              </w:rPr>
            </w:pPr>
          </w:p>
        </w:tc>
        <w:tc>
          <w:tcPr>
            <w:tcW w:w="1867" w:type="dxa"/>
            <w:vAlign w:val="center"/>
          </w:tcPr>
          <w:p w14:paraId="134EC56D">
            <w:pPr>
              <w:pStyle w:val="17"/>
              <w:snapToGrid w:val="0"/>
              <w:spacing w:line="360" w:lineRule="auto"/>
              <w:rPr>
                <w:rFonts w:hint="eastAsia" w:ascii="宋体" w:hAnsi="宋体" w:eastAsia="宋体" w:cs="宋体"/>
                <w:color w:val="auto"/>
              </w:rPr>
            </w:pPr>
          </w:p>
        </w:tc>
      </w:tr>
      <w:tr w14:paraId="2957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7E52D67F">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w:t>
            </w:r>
          </w:p>
        </w:tc>
        <w:tc>
          <w:tcPr>
            <w:tcW w:w="1692" w:type="dxa"/>
            <w:vAlign w:val="center"/>
          </w:tcPr>
          <w:p w14:paraId="39C26E6F">
            <w:pPr>
              <w:pStyle w:val="17"/>
              <w:snapToGrid w:val="0"/>
              <w:spacing w:line="360" w:lineRule="auto"/>
              <w:rPr>
                <w:rFonts w:hint="eastAsia" w:ascii="宋体" w:hAnsi="宋体" w:eastAsia="宋体" w:cs="宋体"/>
                <w:color w:val="auto"/>
              </w:rPr>
            </w:pPr>
          </w:p>
        </w:tc>
        <w:tc>
          <w:tcPr>
            <w:tcW w:w="1800" w:type="dxa"/>
            <w:vAlign w:val="center"/>
          </w:tcPr>
          <w:p w14:paraId="0E949DE2">
            <w:pPr>
              <w:pStyle w:val="17"/>
              <w:snapToGrid w:val="0"/>
              <w:spacing w:line="360" w:lineRule="auto"/>
              <w:rPr>
                <w:rFonts w:hint="eastAsia" w:ascii="宋体" w:hAnsi="宋体" w:eastAsia="宋体" w:cs="宋体"/>
                <w:color w:val="auto"/>
              </w:rPr>
            </w:pPr>
          </w:p>
        </w:tc>
        <w:tc>
          <w:tcPr>
            <w:tcW w:w="1758" w:type="dxa"/>
            <w:vAlign w:val="center"/>
          </w:tcPr>
          <w:p w14:paraId="122293B8">
            <w:pPr>
              <w:pStyle w:val="17"/>
              <w:snapToGrid w:val="0"/>
              <w:spacing w:line="360" w:lineRule="auto"/>
              <w:rPr>
                <w:rFonts w:hint="eastAsia" w:ascii="宋体" w:hAnsi="宋体" w:eastAsia="宋体" w:cs="宋体"/>
                <w:color w:val="auto"/>
              </w:rPr>
            </w:pPr>
          </w:p>
        </w:tc>
        <w:tc>
          <w:tcPr>
            <w:tcW w:w="762" w:type="dxa"/>
            <w:vAlign w:val="center"/>
          </w:tcPr>
          <w:p w14:paraId="6F48CF42">
            <w:pPr>
              <w:pStyle w:val="17"/>
              <w:snapToGrid w:val="0"/>
              <w:spacing w:line="360" w:lineRule="auto"/>
              <w:rPr>
                <w:rFonts w:hint="eastAsia" w:ascii="宋体" w:hAnsi="宋体" w:eastAsia="宋体" w:cs="宋体"/>
                <w:color w:val="auto"/>
              </w:rPr>
            </w:pPr>
          </w:p>
        </w:tc>
        <w:tc>
          <w:tcPr>
            <w:tcW w:w="1867" w:type="dxa"/>
            <w:vAlign w:val="center"/>
          </w:tcPr>
          <w:p w14:paraId="0F7B409F">
            <w:pPr>
              <w:pStyle w:val="17"/>
              <w:snapToGrid w:val="0"/>
              <w:spacing w:line="360" w:lineRule="auto"/>
              <w:rPr>
                <w:rFonts w:hint="eastAsia" w:ascii="宋体" w:hAnsi="宋体" w:eastAsia="宋体" w:cs="宋体"/>
                <w:color w:val="auto"/>
              </w:rPr>
            </w:pPr>
          </w:p>
        </w:tc>
      </w:tr>
    </w:tbl>
    <w:p w14:paraId="0DFE58BD">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三、技术资料</w:t>
      </w:r>
    </w:p>
    <w:p w14:paraId="572AE730">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1.乙方应按交易文件规定的时间向采购方提供有关技术资料。</w:t>
      </w:r>
    </w:p>
    <w:p w14:paraId="5920D997">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0E61471">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四、知识产权</w:t>
      </w:r>
    </w:p>
    <w:p w14:paraId="04E1BCA4">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乙方应保证提供服务过程中不会侵犯任何第三方的知识产权。</w:t>
      </w:r>
    </w:p>
    <w:p w14:paraId="541A44C4">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五、履约保证金</w:t>
      </w:r>
    </w:p>
    <w:p w14:paraId="663BFFBE">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乙方交纳人民币        元作为本合同的履约保证金。</w:t>
      </w:r>
    </w:p>
    <w:p w14:paraId="0F4A7A11">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六、转包或分包</w:t>
      </w:r>
    </w:p>
    <w:p w14:paraId="72D30A98">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1.本合同范围的服务，应由乙方直接供应，不得转让他人供应；</w:t>
      </w:r>
    </w:p>
    <w:p w14:paraId="6B5715DB">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2.除非得到甲方的书面同意，乙方不得将本合同范围的服务全部或部分分包给他人供应；</w:t>
      </w:r>
    </w:p>
    <w:p w14:paraId="1A024844">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3.如有转让和未经甲方同意的分包行为，甲方有权解除合同，没收履约保证金并追究乙方的违约责任。</w:t>
      </w:r>
    </w:p>
    <w:p w14:paraId="2042DB2E">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七、服务质量保证期</w:t>
      </w:r>
    </w:p>
    <w:p w14:paraId="6AA257CB">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 服务质量保证期      年。（自验收合格之日起计）</w:t>
      </w:r>
    </w:p>
    <w:p w14:paraId="62BCE7D4">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八、合同履行时间、履行方式及履行地点</w:t>
      </w:r>
    </w:p>
    <w:p w14:paraId="4BE103B7">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 履行时间：</w:t>
      </w:r>
    </w:p>
    <w:p w14:paraId="45570C39">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 履行方式：</w:t>
      </w:r>
    </w:p>
    <w:p w14:paraId="5A187669">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3. 履行地点：</w:t>
      </w:r>
    </w:p>
    <w:p w14:paraId="1E67CF5E">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九、款项支付</w:t>
      </w:r>
    </w:p>
    <w:p w14:paraId="784BA538">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1.付款方式：</w:t>
      </w:r>
    </w:p>
    <w:p w14:paraId="60279CDA">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2.合同履行完毕，需方根据合同进行验收，验收合格后供应商按财政结算要求办理货款结算手续。</w:t>
      </w:r>
    </w:p>
    <w:p w14:paraId="7E5219DA">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十、税费</w:t>
      </w:r>
    </w:p>
    <w:p w14:paraId="3833D198">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本合同执行中相关的一切税费均由乙方负担。</w:t>
      </w:r>
    </w:p>
    <w:p w14:paraId="331A2376">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十一、质量保证及后续服务</w:t>
      </w:r>
    </w:p>
    <w:p w14:paraId="54CFD0B3">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 乙方应按交易文件规定向甲方提供服务。</w:t>
      </w:r>
    </w:p>
    <w:p w14:paraId="332EFE63">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 乙方提供的服务成果在服务质量保证期内发生故障，乙方应负责免费提供后续服务。对达不到要求者，根据实际情况，经双方协商，可按以下办法处理：</w:t>
      </w:r>
    </w:p>
    <w:p w14:paraId="34182A65">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⑴重做：由乙方承担所发生的全部费用。</w:t>
      </w:r>
    </w:p>
    <w:p w14:paraId="5DB1996D">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⑵贬值处理：由甲乙双方合议定价。</w:t>
      </w:r>
    </w:p>
    <w:p w14:paraId="7ED018FD">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⑶解除合同。</w:t>
      </w:r>
    </w:p>
    <w:p w14:paraId="5317A159">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3. 如在使用过程中发生问题，乙方在接到甲方通知后在1小时内到达甲方现场。</w:t>
      </w:r>
    </w:p>
    <w:p w14:paraId="4BBF264B">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4.在服务质量保证期内，乙方应对出现的质量及安全问题负责处理解决并承担一切费用。</w:t>
      </w:r>
    </w:p>
    <w:p w14:paraId="40A27EFE">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十二、违约责任</w:t>
      </w:r>
    </w:p>
    <w:p w14:paraId="5443AE86">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1.甲方无正当理由拒绝接收服务的，甲方向乙方偿付合同款项百分之 五 作为违约金。</w:t>
      </w:r>
    </w:p>
    <w:p w14:paraId="6D231C40">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2.甲方无故逾期验收和办理款项支付手续的，甲方应按逾期付款总额每日万分之 五向乙方支付违约金。</w:t>
      </w:r>
    </w:p>
    <w:p w14:paraId="0268FFA2">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41ACD618">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4.供方在服务项目验收合格之日起保修期内违反本合同有关承诺保证的，损失由乙方承担赔偿。</w:t>
      </w:r>
    </w:p>
    <w:p w14:paraId="4B08B06D">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5.如发现乙方违反招投标文件和合同的有关规定，甲方有权根据约定和《杭州市政府采购供应商合同履行和售后服务考核暂行办法》，对乙方进行处罚，并有权提前终止合同。</w:t>
      </w:r>
    </w:p>
    <w:p w14:paraId="4946DB28">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十三、争议的解决</w:t>
      </w:r>
    </w:p>
    <w:p w14:paraId="217BD9B9">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因本合同引起的或与本合同有关的任何争议，合同双方应首先通过协商解决，达成书面协议，如协商不成，可选择下列第      种方式解决。</w:t>
      </w:r>
    </w:p>
    <w:p w14:paraId="61B89940">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（1）提请杭州仲裁委员会按照该会仲裁规则进行仲裁，仲裁裁决是终局的，对合同双方均有约束力。</w:t>
      </w:r>
    </w:p>
    <w:p w14:paraId="309E91A1">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（2）向有管辖权的人民法院提起诉讼。</w:t>
      </w:r>
    </w:p>
    <w:p w14:paraId="3589D1D0">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十四、合同生效</w:t>
      </w:r>
    </w:p>
    <w:p w14:paraId="2B849F11">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1.中标方持中标通知书作为与需方签订合同的凭证。</w:t>
      </w:r>
    </w:p>
    <w:p w14:paraId="1560DED1">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2.本合同经需、供双方法定代表人或其授权委托人签字并加盖单位公章后生效。</w:t>
      </w:r>
    </w:p>
    <w:p w14:paraId="04DBFB27">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需方（盖章）：                      供方（盖章）：</w:t>
      </w:r>
    </w:p>
    <w:p w14:paraId="1750B1CA">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地址：                             地址：</w:t>
      </w:r>
    </w:p>
    <w:p w14:paraId="5B0CC8FD">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 xml:space="preserve">法定代表人（或委托代理人）签名：   法定代表人（或委托代理人）签名：                    </w:t>
      </w:r>
    </w:p>
    <w:p w14:paraId="0ED02F55">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联系电话：                         联系电话：</w:t>
      </w:r>
    </w:p>
    <w:p w14:paraId="01AA76D5">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邮政编码：                         邮政编码：</w:t>
      </w:r>
    </w:p>
    <w:p w14:paraId="03D15706">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 xml:space="preserve">开户银行：                         开户银行：      </w:t>
      </w:r>
    </w:p>
    <w:p w14:paraId="4B9DD005">
      <w:pPr>
        <w:pStyle w:val="17"/>
        <w:snapToGrid w:val="0"/>
        <w:spacing w:line="360" w:lineRule="auto"/>
        <w:rPr>
          <w:rFonts w:hint="eastAsia" w:ascii="宋体" w:hAnsi="宋体" w:eastAsia="宋体" w:cs="宋体"/>
          <w:color w:val="auto"/>
        </w:rPr>
      </w:pPr>
      <w:r>
        <w:rPr>
          <w:rFonts w:hint="eastAsia" w:ascii="宋体" w:hAnsi="宋体" w:eastAsia="宋体" w:cs="宋体"/>
          <w:color w:val="auto"/>
        </w:rPr>
        <w:t>帐号：                             帐号：</w:t>
      </w:r>
    </w:p>
    <w:p w14:paraId="1D44AB98">
      <w:pPr>
        <w:rPr>
          <w:rFonts w:ascii="宋体" w:hAnsi="宋体" w:cs="宋体"/>
          <w:sz w:val="24"/>
        </w:rPr>
      </w:pPr>
    </w:p>
    <w:p w14:paraId="0A2E9512"/>
    <w:p w14:paraId="13F22450">
      <w:pPr>
        <w:spacing w:line="360" w:lineRule="auto"/>
        <w:ind w:left="720" w:firstLine="723" w:firstLineChars="200"/>
        <w:outlineLvl w:val="0"/>
        <w:rPr>
          <w:rFonts w:ascii="宋体" w:hAnsi="宋体" w:cs="宋体"/>
          <w:b/>
          <w:sz w:val="36"/>
          <w:szCs w:val="20"/>
        </w:rPr>
      </w:pPr>
    </w:p>
    <w:p w14:paraId="006D9E94">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1"/>
      <w:r>
        <w:rPr>
          <w:rFonts w:hint="eastAsia" w:ascii="宋体" w:hAnsi="宋体" w:cs="宋体"/>
          <w:b/>
          <w:sz w:val="36"/>
          <w:szCs w:val="20"/>
        </w:rPr>
        <w:t xml:space="preserve"> </w:t>
      </w:r>
      <w:bookmarkEnd w:id="382"/>
      <w:r>
        <w:rPr>
          <w:rFonts w:hint="eastAsia" w:ascii="宋体" w:hAnsi="宋体" w:cs="宋体"/>
          <w:b/>
          <w:sz w:val="36"/>
          <w:szCs w:val="20"/>
        </w:rPr>
        <w:t>应提交的有关格式范例</w:t>
      </w:r>
    </w:p>
    <w:p w14:paraId="0F9FC4A9">
      <w:pPr>
        <w:spacing w:line="360" w:lineRule="auto"/>
        <w:jc w:val="center"/>
        <w:outlineLvl w:val="0"/>
        <w:rPr>
          <w:rFonts w:ascii="宋体" w:hAnsi="宋体" w:cs="宋体"/>
          <w:b/>
          <w:kern w:val="0"/>
          <w:sz w:val="36"/>
          <w:szCs w:val="36"/>
        </w:rPr>
      </w:pPr>
    </w:p>
    <w:p w14:paraId="2938744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B4AE3B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06BB546">
      <w:pPr>
        <w:spacing w:line="360" w:lineRule="auto"/>
        <w:jc w:val="center"/>
        <w:outlineLvl w:val="0"/>
        <w:rPr>
          <w:rFonts w:ascii="宋体" w:hAnsi="宋体" w:cs="宋体"/>
          <w:b/>
          <w:kern w:val="0"/>
          <w:sz w:val="36"/>
          <w:szCs w:val="36"/>
        </w:rPr>
      </w:pPr>
    </w:p>
    <w:p w14:paraId="009A3BCD">
      <w:pPr>
        <w:snapToGrid w:val="0"/>
        <w:spacing w:line="360" w:lineRule="auto"/>
        <w:rPr>
          <w:rFonts w:ascii="宋体" w:hAnsi="宋体" w:cs="宋体"/>
          <w:sz w:val="24"/>
        </w:rPr>
      </w:pPr>
      <w:r>
        <w:rPr>
          <w:rFonts w:hint="eastAsia" w:ascii="宋体" w:hAnsi="宋体" w:cs="宋体"/>
          <w:sz w:val="24"/>
        </w:rPr>
        <w:t>（1）符合参加交易活动应当具备的一般条件的承诺函…………………（页码）</w:t>
      </w:r>
    </w:p>
    <w:p w14:paraId="23E95D28">
      <w:pPr>
        <w:snapToGrid w:val="0"/>
        <w:spacing w:line="360" w:lineRule="auto"/>
        <w:rPr>
          <w:rFonts w:ascii="宋体" w:hAnsi="宋体" w:cs="宋体"/>
          <w:sz w:val="24"/>
        </w:rPr>
      </w:pPr>
      <w:r>
        <w:rPr>
          <w:rFonts w:hint="eastAsia" w:ascii="宋体" w:hAnsi="宋体" w:cs="宋体"/>
          <w:sz w:val="24"/>
        </w:rPr>
        <w:t>（2）本项目的特定资格要求………………………………………………（页码）</w:t>
      </w:r>
    </w:p>
    <w:p w14:paraId="2177FBC2">
      <w:pPr>
        <w:snapToGrid w:val="0"/>
        <w:spacing w:line="360" w:lineRule="auto"/>
        <w:ind w:firstLine="480" w:firstLineChars="200"/>
        <w:rPr>
          <w:rFonts w:ascii="宋体" w:hAnsi="宋体" w:cs="宋体"/>
          <w:sz w:val="24"/>
        </w:rPr>
      </w:pPr>
    </w:p>
    <w:p w14:paraId="7671EA4B">
      <w:pPr>
        <w:spacing w:line="360" w:lineRule="auto"/>
        <w:ind w:firstLine="480" w:firstLineChars="200"/>
        <w:rPr>
          <w:rFonts w:ascii="宋体" w:hAnsi="宋体" w:cs="宋体"/>
          <w:sz w:val="24"/>
        </w:rPr>
      </w:pPr>
    </w:p>
    <w:p w14:paraId="0E8C03F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符合参加交易活动应当具备的一般条件的承诺函</w:t>
      </w:r>
    </w:p>
    <w:p w14:paraId="7C4133FE">
      <w:pPr>
        <w:snapToGrid w:val="0"/>
        <w:spacing w:line="360" w:lineRule="auto"/>
        <w:rPr>
          <w:rFonts w:ascii="宋体" w:hAnsi="宋体" w:cs="宋体"/>
          <w:sz w:val="24"/>
        </w:rPr>
      </w:pPr>
    </w:p>
    <w:p w14:paraId="2BFC9A90">
      <w:pPr>
        <w:snapToGrid w:val="0"/>
        <w:spacing w:line="360" w:lineRule="auto"/>
        <w:rPr>
          <w:rFonts w:ascii="宋体" w:hAnsi="宋体" w:cs="宋体"/>
          <w:sz w:val="24"/>
          <w:u w:val="single"/>
        </w:rPr>
      </w:pPr>
      <w:r>
        <w:rPr>
          <w:rFonts w:hint="eastAsia" w:ascii="宋体" w:hAnsi="宋体" w:cs="宋体"/>
          <w:sz w:val="24"/>
          <w:u w:val="single"/>
        </w:rPr>
        <w:t>（交易人）、（采购机构）：</w:t>
      </w:r>
    </w:p>
    <w:p w14:paraId="0E56CBA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（项目名称）【交易编号：    】</w:t>
      </w:r>
      <w:r>
        <w:rPr>
          <w:rFonts w:hint="eastAsia" w:ascii="宋体" w:hAnsi="宋体" w:cs="宋体"/>
          <w:sz w:val="24"/>
        </w:rPr>
        <w:t>交易活动，郑重承诺：</w:t>
      </w:r>
    </w:p>
    <w:p w14:paraId="1209491D">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43FDDF4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DAC1A5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5EDD56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6725E0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A452BB2">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22B98F2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45755D4">
      <w:pPr>
        <w:snapToGrid w:val="0"/>
        <w:spacing w:line="360" w:lineRule="auto"/>
        <w:ind w:firstLine="5520" w:firstLineChars="2300"/>
        <w:rPr>
          <w:rFonts w:ascii="宋体" w:hAnsi="宋体" w:cs="宋体"/>
          <w:kern w:val="0"/>
          <w:sz w:val="24"/>
          <w:lang w:val="zh-CN"/>
        </w:rPr>
      </w:pPr>
    </w:p>
    <w:p w14:paraId="0D89450F">
      <w:pPr>
        <w:snapToGrid w:val="0"/>
        <w:spacing w:line="360" w:lineRule="auto"/>
        <w:ind w:firstLine="5520" w:firstLineChars="2300"/>
        <w:rPr>
          <w:rFonts w:ascii="宋体" w:hAnsi="宋体" w:cs="宋体"/>
          <w:kern w:val="0"/>
          <w:sz w:val="24"/>
          <w:lang w:val="zh-CN"/>
        </w:rPr>
      </w:pPr>
    </w:p>
    <w:p w14:paraId="290756B6">
      <w:pPr>
        <w:snapToGrid w:val="0"/>
        <w:spacing w:line="360" w:lineRule="auto"/>
        <w:ind w:firstLine="5520" w:firstLineChars="2300"/>
        <w:rPr>
          <w:rFonts w:ascii="宋体" w:hAnsi="宋体" w:cs="宋体"/>
          <w:kern w:val="0"/>
          <w:sz w:val="24"/>
          <w:lang w:val="zh-CN"/>
        </w:rPr>
      </w:pPr>
    </w:p>
    <w:p w14:paraId="1EA625D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6377BC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E50D710">
      <w:pPr>
        <w:snapToGrid w:val="0"/>
        <w:spacing w:line="360" w:lineRule="auto"/>
        <w:ind w:right="480"/>
        <w:jc w:val="center"/>
        <w:rPr>
          <w:rFonts w:ascii="宋体" w:hAnsi="宋体" w:cs="宋体"/>
          <w:b/>
          <w:kern w:val="0"/>
          <w:sz w:val="32"/>
          <w:szCs w:val="32"/>
        </w:rPr>
      </w:pPr>
    </w:p>
    <w:p w14:paraId="388CFFC4">
      <w:pPr>
        <w:snapToGrid w:val="0"/>
        <w:spacing w:line="360" w:lineRule="auto"/>
        <w:ind w:right="480"/>
        <w:jc w:val="center"/>
        <w:rPr>
          <w:rFonts w:ascii="宋体" w:hAnsi="宋体" w:cs="宋体"/>
          <w:b/>
          <w:kern w:val="0"/>
          <w:sz w:val="32"/>
          <w:szCs w:val="32"/>
        </w:rPr>
      </w:pPr>
    </w:p>
    <w:p w14:paraId="0193BF89">
      <w:pPr>
        <w:snapToGrid w:val="0"/>
        <w:spacing w:line="360" w:lineRule="auto"/>
        <w:ind w:right="480"/>
        <w:jc w:val="center"/>
        <w:rPr>
          <w:rFonts w:ascii="宋体" w:hAnsi="宋体" w:cs="宋体"/>
          <w:b/>
          <w:kern w:val="0"/>
          <w:sz w:val="32"/>
          <w:szCs w:val="32"/>
        </w:rPr>
      </w:pPr>
    </w:p>
    <w:p w14:paraId="03860056">
      <w:pPr>
        <w:rPr>
          <w:rFonts w:ascii="宋体" w:hAnsi="宋体" w:cs="宋体"/>
        </w:rPr>
      </w:pPr>
    </w:p>
    <w:p w14:paraId="36AE6CDD">
      <w:pPr>
        <w:snapToGrid w:val="0"/>
        <w:spacing w:line="360" w:lineRule="auto"/>
        <w:ind w:right="480"/>
        <w:jc w:val="center"/>
        <w:rPr>
          <w:rFonts w:ascii="宋体" w:hAnsi="宋体" w:cs="宋体"/>
          <w:b/>
          <w:kern w:val="0"/>
          <w:sz w:val="32"/>
          <w:szCs w:val="32"/>
        </w:rPr>
      </w:pPr>
    </w:p>
    <w:p w14:paraId="0189235C">
      <w:pPr>
        <w:snapToGrid w:val="0"/>
        <w:spacing w:line="360" w:lineRule="auto"/>
        <w:ind w:right="480"/>
        <w:jc w:val="center"/>
        <w:rPr>
          <w:rFonts w:ascii="宋体" w:hAnsi="宋体" w:cs="宋体"/>
          <w:b/>
          <w:kern w:val="0"/>
          <w:sz w:val="32"/>
          <w:szCs w:val="32"/>
        </w:rPr>
      </w:pPr>
    </w:p>
    <w:p w14:paraId="273DFAFB">
      <w:pPr>
        <w:snapToGrid w:val="0"/>
        <w:spacing w:line="360" w:lineRule="auto"/>
        <w:ind w:right="480"/>
        <w:jc w:val="center"/>
        <w:rPr>
          <w:rFonts w:ascii="宋体" w:hAnsi="宋体" w:cs="宋体"/>
          <w:b/>
          <w:kern w:val="0"/>
          <w:sz w:val="32"/>
          <w:szCs w:val="32"/>
        </w:rPr>
      </w:pPr>
    </w:p>
    <w:p w14:paraId="2A7768D5">
      <w:pPr>
        <w:rPr>
          <w:rFonts w:ascii="宋体" w:hAnsi="宋体" w:cs="宋体"/>
          <w:b/>
          <w:kern w:val="0"/>
          <w:sz w:val="32"/>
          <w:szCs w:val="32"/>
        </w:rPr>
      </w:pPr>
      <w:r>
        <w:rPr>
          <w:rFonts w:hint="eastAsia" w:ascii="宋体" w:hAnsi="宋体" w:cs="宋体"/>
          <w:b/>
          <w:kern w:val="0"/>
          <w:sz w:val="32"/>
          <w:szCs w:val="32"/>
        </w:rPr>
        <w:br w:type="page"/>
      </w:r>
    </w:p>
    <w:p w14:paraId="5E480A6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5D6D5460">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77AA3C3D">
      <w:pPr>
        <w:spacing w:line="360" w:lineRule="auto"/>
        <w:jc w:val="center"/>
        <w:rPr>
          <w:rFonts w:ascii="宋体" w:hAnsi="宋体" w:cs="宋体"/>
          <w:kern w:val="0"/>
          <w:sz w:val="24"/>
          <w:lang w:val="zh-CN"/>
        </w:rPr>
      </w:pPr>
    </w:p>
    <w:p w14:paraId="74232DD0">
      <w:pPr>
        <w:widowControl/>
        <w:spacing w:line="360" w:lineRule="auto"/>
        <w:ind w:left="150"/>
        <w:jc w:val="center"/>
        <w:rPr>
          <w:rFonts w:ascii="宋体" w:hAnsi="宋体" w:cs="宋体"/>
          <w:b/>
          <w:kern w:val="0"/>
          <w:sz w:val="32"/>
          <w:szCs w:val="32"/>
        </w:rPr>
      </w:pPr>
    </w:p>
    <w:p w14:paraId="57795DF7">
      <w:pPr>
        <w:rPr>
          <w:rFonts w:ascii="宋体" w:hAnsi="宋体" w:cs="宋体"/>
        </w:rPr>
      </w:pPr>
    </w:p>
    <w:p w14:paraId="3CABBC17">
      <w:pPr>
        <w:snapToGrid w:val="0"/>
        <w:spacing w:line="360" w:lineRule="auto"/>
        <w:ind w:right="480"/>
        <w:jc w:val="center"/>
        <w:rPr>
          <w:rFonts w:ascii="宋体" w:hAnsi="宋体" w:cs="宋体"/>
          <w:b/>
          <w:kern w:val="0"/>
          <w:sz w:val="32"/>
          <w:szCs w:val="32"/>
        </w:rPr>
      </w:pPr>
    </w:p>
    <w:p w14:paraId="09E38314">
      <w:pPr>
        <w:snapToGrid w:val="0"/>
        <w:spacing w:line="360" w:lineRule="auto"/>
        <w:ind w:right="480"/>
        <w:jc w:val="center"/>
        <w:rPr>
          <w:rFonts w:ascii="宋体" w:hAnsi="宋体" w:cs="宋体"/>
          <w:b/>
          <w:kern w:val="0"/>
          <w:sz w:val="32"/>
          <w:szCs w:val="32"/>
        </w:rPr>
      </w:pPr>
    </w:p>
    <w:p w14:paraId="23E174AF">
      <w:pPr>
        <w:snapToGrid w:val="0"/>
        <w:spacing w:line="360" w:lineRule="auto"/>
        <w:ind w:right="480"/>
        <w:jc w:val="center"/>
        <w:rPr>
          <w:rFonts w:ascii="宋体" w:hAnsi="宋体" w:cs="宋体"/>
          <w:b/>
          <w:kern w:val="0"/>
          <w:sz w:val="32"/>
          <w:szCs w:val="32"/>
        </w:rPr>
      </w:pPr>
    </w:p>
    <w:p w14:paraId="53DA84DD">
      <w:pPr>
        <w:snapToGrid w:val="0"/>
        <w:spacing w:line="360" w:lineRule="auto"/>
        <w:ind w:right="480"/>
        <w:jc w:val="center"/>
        <w:rPr>
          <w:rFonts w:ascii="宋体" w:hAnsi="宋体" w:cs="宋体"/>
          <w:b/>
          <w:kern w:val="0"/>
          <w:sz w:val="32"/>
          <w:szCs w:val="32"/>
        </w:rPr>
      </w:pPr>
    </w:p>
    <w:p w14:paraId="25E7FBC7">
      <w:pPr>
        <w:snapToGrid w:val="0"/>
        <w:spacing w:line="360" w:lineRule="auto"/>
        <w:ind w:right="480"/>
        <w:jc w:val="center"/>
        <w:rPr>
          <w:rFonts w:ascii="宋体" w:hAnsi="宋体" w:cs="宋体"/>
          <w:b/>
          <w:kern w:val="0"/>
          <w:sz w:val="32"/>
          <w:szCs w:val="32"/>
        </w:rPr>
      </w:pPr>
    </w:p>
    <w:p w14:paraId="07D5D6C7">
      <w:pPr>
        <w:snapToGrid w:val="0"/>
        <w:spacing w:line="360" w:lineRule="auto"/>
        <w:ind w:right="480"/>
        <w:jc w:val="center"/>
        <w:rPr>
          <w:rFonts w:ascii="宋体" w:hAnsi="宋体" w:cs="宋体"/>
          <w:b/>
          <w:kern w:val="0"/>
          <w:sz w:val="32"/>
          <w:szCs w:val="32"/>
        </w:rPr>
      </w:pPr>
    </w:p>
    <w:p w14:paraId="4EF961C4">
      <w:pPr>
        <w:spacing w:line="360" w:lineRule="auto"/>
        <w:jc w:val="center"/>
        <w:outlineLvl w:val="0"/>
        <w:rPr>
          <w:rFonts w:ascii="宋体" w:hAnsi="宋体" w:cs="宋体"/>
          <w:b/>
          <w:kern w:val="0"/>
          <w:sz w:val="36"/>
          <w:szCs w:val="36"/>
        </w:rPr>
      </w:pPr>
    </w:p>
    <w:p w14:paraId="40B949FD">
      <w:pPr>
        <w:snapToGrid w:val="0"/>
        <w:spacing w:line="360" w:lineRule="auto"/>
        <w:ind w:right="480"/>
        <w:jc w:val="center"/>
        <w:rPr>
          <w:rFonts w:ascii="宋体" w:hAnsi="宋体" w:cs="宋体"/>
          <w:b/>
          <w:kern w:val="0"/>
          <w:sz w:val="32"/>
          <w:szCs w:val="32"/>
        </w:rPr>
      </w:pPr>
    </w:p>
    <w:p w14:paraId="115D1F99">
      <w:pPr>
        <w:spacing w:line="360" w:lineRule="auto"/>
        <w:jc w:val="center"/>
        <w:outlineLvl w:val="0"/>
        <w:rPr>
          <w:rFonts w:ascii="宋体" w:hAnsi="宋体" w:cs="宋体"/>
          <w:b/>
          <w:kern w:val="0"/>
          <w:sz w:val="36"/>
          <w:szCs w:val="36"/>
        </w:rPr>
      </w:pPr>
    </w:p>
    <w:p w14:paraId="3347DCB3">
      <w:pPr>
        <w:snapToGrid w:val="0"/>
        <w:spacing w:line="360" w:lineRule="auto"/>
        <w:ind w:right="480"/>
        <w:jc w:val="center"/>
        <w:rPr>
          <w:rFonts w:ascii="宋体" w:hAnsi="宋体" w:cs="宋体"/>
          <w:b/>
          <w:kern w:val="0"/>
          <w:sz w:val="32"/>
          <w:szCs w:val="32"/>
        </w:rPr>
      </w:pPr>
    </w:p>
    <w:p w14:paraId="4A05AFF0">
      <w:pPr>
        <w:spacing w:line="360" w:lineRule="auto"/>
        <w:jc w:val="center"/>
        <w:outlineLvl w:val="0"/>
        <w:rPr>
          <w:rFonts w:ascii="宋体" w:hAnsi="宋体" w:cs="宋体"/>
          <w:b/>
          <w:kern w:val="0"/>
          <w:sz w:val="36"/>
          <w:szCs w:val="36"/>
        </w:rPr>
      </w:pPr>
    </w:p>
    <w:p w14:paraId="22E66457">
      <w:pPr>
        <w:rPr>
          <w:rFonts w:ascii="宋体" w:hAnsi="宋体" w:cs="宋体"/>
          <w:b/>
          <w:kern w:val="0"/>
          <w:sz w:val="36"/>
          <w:szCs w:val="36"/>
        </w:rPr>
      </w:pPr>
      <w:r>
        <w:rPr>
          <w:rFonts w:hint="eastAsia" w:ascii="宋体" w:hAnsi="宋体" w:cs="宋体"/>
          <w:b/>
          <w:kern w:val="0"/>
          <w:sz w:val="36"/>
          <w:szCs w:val="36"/>
        </w:rPr>
        <w:br w:type="page"/>
      </w:r>
    </w:p>
    <w:p w14:paraId="61F568C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D9828CC">
      <w:pPr>
        <w:spacing w:line="360" w:lineRule="auto"/>
        <w:jc w:val="center"/>
        <w:outlineLvl w:val="0"/>
        <w:rPr>
          <w:rFonts w:ascii="宋体" w:hAnsi="宋体" w:cs="宋体"/>
          <w:b/>
          <w:kern w:val="0"/>
          <w:sz w:val="24"/>
        </w:rPr>
      </w:pPr>
    </w:p>
    <w:p w14:paraId="21DEE94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w:t>
      </w:r>
      <w:r>
        <w:rPr>
          <w:rFonts w:hint="eastAsia" w:ascii="宋体" w:hAnsi="宋体" w:cs="宋体"/>
          <w:b/>
          <w:kern w:val="0"/>
          <w:sz w:val="28"/>
          <w:szCs w:val="28"/>
          <w:lang w:val="en-US" w:eastAsia="zh-CN"/>
        </w:rPr>
        <w:t xml:space="preserve"> </w:t>
      </w:r>
      <w:r>
        <w:rPr>
          <w:rFonts w:hint="eastAsia" w:ascii="宋体" w:hAnsi="宋体" w:cs="宋体"/>
          <w:b/>
          <w:kern w:val="0"/>
          <w:sz w:val="28"/>
          <w:szCs w:val="28"/>
        </w:rPr>
        <w:t>录</w:t>
      </w:r>
    </w:p>
    <w:p w14:paraId="6FADF110">
      <w:pPr>
        <w:snapToGrid w:val="0"/>
        <w:spacing w:line="360" w:lineRule="auto"/>
        <w:ind w:left="479" w:leftChars="228"/>
        <w:rPr>
          <w:rFonts w:ascii="宋体" w:hAnsi="宋体" w:cs="宋体"/>
        </w:rPr>
      </w:pPr>
      <w:r>
        <w:rPr>
          <w:rFonts w:hint="eastAsia" w:ascii="宋体" w:hAnsi="宋体" w:cs="宋体"/>
          <w:sz w:val="24"/>
        </w:rPr>
        <w:t>（1）交易函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58FEF69">
      <w:pPr>
        <w:snapToGrid w:val="0"/>
        <w:spacing w:line="360" w:lineRule="auto"/>
        <w:ind w:firstLine="480" w:firstLineChars="200"/>
        <w:rPr>
          <w:rFonts w:ascii="宋体" w:hAnsi="宋体" w:cs="宋体"/>
          <w:sz w:val="24"/>
        </w:rPr>
      </w:pPr>
      <w:r>
        <w:rPr>
          <w:rFonts w:hint="eastAsia" w:ascii="宋体" w:hAnsi="宋体" w:cs="宋体"/>
          <w:sz w:val="24"/>
        </w:rPr>
        <w:t>（3）营业执照</w:t>
      </w:r>
      <w:r>
        <w:rPr>
          <w:rFonts w:hint="eastAsia" w:ascii="宋体" w:hAnsi="宋体" w:cs="宋体"/>
        </w:rPr>
        <w:t>………………………………………………………………………………（页码）</w:t>
      </w:r>
    </w:p>
    <w:p w14:paraId="2EA6F200">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518E4F7A">
      <w:pPr>
        <w:snapToGrid w:val="0"/>
        <w:spacing w:line="360" w:lineRule="auto"/>
        <w:ind w:firstLine="480" w:firstLineChars="200"/>
        <w:rPr>
          <w:rFonts w:ascii="宋体" w:hAnsi="宋体" w:cs="宋体"/>
        </w:rPr>
      </w:pPr>
      <w:r>
        <w:rPr>
          <w:rFonts w:hint="eastAsia" w:ascii="宋体" w:hAnsi="宋体" w:cs="宋体"/>
          <w:sz w:val="24"/>
        </w:rPr>
        <w:t>（5）评标标准相应的商务技术资料………………………………………………</w:t>
      </w:r>
      <w:r>
        <w:rPr>
          <w:rFonts w:hint="eastAsia" w:ascii="宋体" w:hAnsi="宋体" w:cs="宋体"/>
        </w:rPr>
        <w:t>（页码）</w:t>
      </w:r>
    </w:p>
    <w:p w14:paraId="5C543FAD">
      <w:pPr>
        <w:snapToGrid w:val="0"/>
        <w:spacing w:line="360" w:lineRule="auto"/>
        <w:ind w:firstLine="480" w:firstLineChars="200"/>
        <w:rPr>
          <w:rFonts w:ascii="宋体" w:hAnsi="宋体" w:cs="宋体"/>
          <w:sz w:val="24"/>
        </w:rPr>
      </w:pPr>
      <w:r>
        <w:rPr>
          <w:rFonts w:hint="eastAsia" w:ascii="宋体" w:hAnsi="宋体" w:cs="宋体"/>
          <w:sz w:val="24"/>
        </w:rPr>
        <w:t>（6）响应标的清单………………………………………………………………</w:t>
      </w:r>
      <w:r>
        <w:rPr>
          <w:rFonts w:hint="eastAsia" w:ascii="宋体" w:hAnsi="宋体" w:cs="宋体"/>
        </w:rPr>
        <w:t>（页码）</w:t>
      </w:r>
    </w:p>
    <w:p w14:paraId="5C1FC7D7">
      <w:pPr>
        <w:snapToGrid w:val="0"/>
        <w:spacing w:line="360" w:lineRule="auto"/>
        <w:ind w:firstLine="480" w:firstLineChars="200"/>
        <w:rPr>
          <w:rFonts w:ascii="宋体" w:hAnsi="宋体" w:cs="宋体"/>
          <w:sz w:val="24"/>
        </w:rPr>
      </w:pPr>
      <w:r>
        <w:rPr>
          <w:rFonts w:hint="eastAsia" w:ascii="宋体" w:hAnsi="宋体" w:cs="宋体"/>
          <w:sz w:val="24"/>
        </w:rPr>
        <w:t>（7）商务技术偏离表……………………………………………………………</w:t>
      </w:r>
      <w:r>
        <w:rPr>
          <w:rFonts w:hint="eastAsia" w:ascii="宋体" w:hAnsi="宋体" w:cs="宋体"/>
        </w:rPr>
        <w:t>（页码）</w:t>
      </w:r>
    </w:p>
    <w:p w14:paraId="4B576D3A">
      <w:pPr>
        <w:snapToGrid w:val="0"/>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val="zh-CN"/>
        </w:rPr>
        <w:t>供应商廉洁自律承诺书</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rPr>
        <w:t>（页码）</w:t>
      </w:r>
    </w:p>
    <w:p w14:paraId="33896904">
      <w:pPr>
        <w:snapToGrid w:val="0"/>
        <w:spacing w:line="360" w:lineRule="auto"/>
        <w:jc w:val="center"/>
        <w:rPr>
          <w:rFonts w:ascii="宋体" w:hAnsi="宋体" w:cs="宋体"/>
          <w:b/>
          <w:kern w:val="0"/>
          <w:sz w:val="32"/>
          <w:szCs w:val="32"/>
          <w:lang w:val="zh-CN"/>
        </w:rPr>
      </w:pPr>
    </w:p>
    <w:p w14:paraId="7AC5EFA6">
      <w:pPr>
        <w:snapToGrid w:val="0"/>
        <w:spacing w:line="360" w:lineRule="auto"/>
        <w:jc w:val="center"/>
        <w:rPr>
          <w:rFonts w:ascii="宋体" w:hAnsi="宋体" w:cs="宋体"/>
          <w:b/>
          <w:kern w:val="0"/>
          <w:sz w:val="32"/>
          <w:szCs w:val="32"/>
          <w:lang w:val="zh-CN"/>
        </w:rPr>
      </w:pPr>
    </w:p>
    <w:p w14:paraId="2475B90C">
      <w:pPr>
        <w:snapToGrid w:val="0"/>
        <w:spacing w:line="360" w:lineRule="auto"/>
        <w:jc w:val="center"/>
        <w:rPr>
          <w:rFonts w:ascii="宋体" w:hAnsi="宋体" w:cs="宋体"/>
          <w:b/>
          <w:kern w:val="0"/>
          <w:sz w:val="32"/>
          <w:szCs w:val="32"/>
          <w:lang w:val="zh-CN"/>
        </w:rPr>
      </w:pPr>
    </w:p>
    <w:p w14:paraId="13862EBC">
      <w:pPr>
        <w:snapToGrid w:val="0"/>
        <w:spacing w:line="360" w:lineRule="auto"/>
        <w:jc w:val="center"/>
        <w:rPr>
          <w:rFonts w:ascii="宋体" w:hAnsi="宋体" w:cs="宋体"/>
          <w:b/>
          <w:kern w:val="0"/>
          <w:sz w:val="32"/>
          <w:szCs w:val="32"/>
          <w:lang w:val="zh-CN"/>
        </w:rPr>
      </w:pPr>
    </w:p>
    <w:p w14:paraId="2145E092">
      <w:pPr>
        <w:snapToGrid w:val="0"/>
        <w:spacing w:line="360" w:lineRule="auto"/>
        <w:jc w:val="center"/>
        <w:rPr>
          <w:rFonts w:ascii="宋体" w:hAnsi="宋体" w:cs="宋体"/>
          <w:b/>
          <w:kern w:val="0"/>
          <w:sz w:val="32"/>
          <w:szCs w:val="32"/>
          <w:lang w:val="zh-CN"/>
        </w:rPr>
      </w:pPr>
    </w:p>
    <w:p w14:paraId="313ECE06">
      <w:pPr>
        <w:snapToGrid w:val="0"/>
        <w:spacing w:line="360" w:lineRule="auto"/>
        <w:jc w:val="center"/>
        <w:outlineLvl w:val="0"/>
        <w:rPr>
          <w:rFonts w:ascii="宋体" w:hAnsi="宋体" w:cs="宋体"/>
          <w:b/>
          <w:kern w:val="0"/>
          <w:sz w:val="32"/>
          <w:szCs w:val="32"/>
        </w:rPr>
      </w:pPr>
    </w:p>
    <w:p w14:paraId="2767BF05">
      <w:pPr>
        <w:snapToGrid w:val="0"/>
        <w:spacing w:line="360" w:lineRule="auto"/>
        <w:jc w:val="center"/>
        <w:outlineLvl w:val="0"/>
        <w:rPr>
          <w:rFonts w:ascii="宋体" w:hAnsi="宋体" w:cs="宋体"/>
          <w:b/>
          <w:kern w:val="0"/>
          <w:sz w:val="32"/>
          <w:szCs w:val="32"/>
        </w:rPr>
      </w:pPr>
    </w:p>
    <w:p w14:paraId="20982A55">
      <w:pPr>
        <w:rPr>
          <w:rFonts w:ascii="宋体" w:hAnsi="宋体" w:cs="宋体"/>
        </w:rPr>
      </w:pPr>
    </w:p>
    <w:p w14:paraId="35370E54">
      <w:pPr>
        <w:snapToGrid w:val="0"/>
        <w:spacing w:line="360" w:lineRule="auto"/>
        <w:jc w:val="center"/>
        <w:outlineLvl w:val="0"/>
        <w:rPr>
          <w:rFonts w:ascii="宋体" w:hAnsi="宋体" w:cs="宋体"/>
          <w:b/>
          <w:kern w:val="0"/>
          <w:sz w:val="32"/>
          <w:szCs w:val="32"/>
        </w:rPr>
      </w:pPr>
    </w:p>
    <w:p w14:paraId="6BB87102">
      <w:pPr>
        <w:snapToGrid w:val="0"/>
        <w:spacing w:line="360" w:lineRule="auto"/>
        <w:jc w:val="center"/>
        <w:outlineLvl w:val="0"/>
        <w:rPr>
          <w:rFonts w:ascii="宋体" w:hAnsi="宋体" w:cs="宋体"/>
          <w:b/>
          <w:kern w:val="0"/>
          <w:sz w:val="32"/>
          <w:szCs w:val="32"/>
        </w:rPr>
      </w:pPr>
    </w:p>
    <w:p w14:paraId="49F731B4">
      <w:pPr>
        <w:snapToGrid w:val="0"/>
        <w:spacing w:line="360" w:lineRule="auto"/>
        <w:jc w:val="center"/>
        <w:outlineLvl w:val="0"/>
        <w:rPr>
          <w:rFonts w:ascii="宋体" w:hAnsi="宋体" w:cs="宋体"/>
          <w:b/>
          <w:kern w:val="0"/>
          <w:sz w:val="32"/>
          <w:szCs w:val="32"/>
        </w:rPr>
      </w:pPr>
    </w:p>
    <w:p w14:paraId="4DACB5A1">
      <w:pPr>
        <w:snapToGrid w:val="0"/>
        <w:spacing w:line="360" w:lineRule="auto"/>
        <w:jc w:val="center"/>
        <w:outlineLvl w:val="0"/>
        <w:rPr>
          <w:rFonts w:ascii="宋体" w:hAnsi="宋体" w:cs="宋体"/>
          <w:b/>
          <w:kern w:val="0"/>
          <w:sz w:val="32"/>
          <w:szCs w:val="32"/>
        </w:rPr>
      </w:pPr>
    </w:p>
    <w:p w14:paraId="62064FE3">
      <w:pPr>
        <w:snapToGrid w:val="0"/>
        <w:spacing w:line="360" w:lineRule="auto"/>
        <w:jc w:val="center"/>
        <w:outlineLvl w:val="0"/>
        <w:rPr>
          <w:rFonts w:ascii="宋体" w:hAnsi="宋体" w:cs="宋体"/>
          <w:b/>
          <w:kern w:val="0"/>
          <w:sz w:val="32"/>
          <w:szCs w:val="32"/>
        </w:rPr>
      </w:pPr>
    </w:p>
    <w:p w14:paraId="5AB1A7CE">
      <w:pPr>
        <w:snapToGrid w:val="0"/>
        <w:spacing w:line="360" w:lineRule="auto"/>
        <w:jc w:val="center"/>
        <w:outlineLvl w:val="0"/>
        <w:rPr>
          <w:rFonts w:ascii="宋体" w:hAnsi="宋体" w:cs="宋体"/>
          <w:b/>
          <w:kern w:val="0"/>
          <w:sz w:val="32"/>
          <w:szCs w:val="32"/>
        </w:rPr>
      </w:pPr>
    </w:p>
    <w:p w14:paraId="1857355A">
      <w:pPr>
        <w:rPr>
          <w:rFonts w:ascii="宋体" w:hAnsi="宋体" w:cs="宋体"/>
          <w:b/>
          <w:kern w:val="0"/>
          <w:sz w:val="32"/>
          <w:szCs w:val="32"/>
        </w:rPr>
      </w:pPr>
      <w:r>
        <w:rPr>
          <w:rFonts w:hint="eastAsia" w:ascii="宋体" w:hAnsi="宋体" w:cs="宋体"/>
          <w:b/>
          <w:kern w:val="0"/>
          <w:sz w:val="32"/>
          <w:szCs w:val="32"/>
        </w:rPr>
        <w:br w:type="page"/>
      </w:r>
    </w:p>
    <w:p w14:paraId="0FBFFF08">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一、交易函</w:t>
      </w:r>
    </w:p>
    <w:p w14:paraId="25A3EE78">
      <w:pPr>
        <w:snapToGrid w:val="0"/>
        <w:spacing w:line="360" w:lineRule="auto"/>
        <w:rPr>
          <w:rFonts w:ascii="宋体" w:hAnsi="宋体" w:cs="宋体"/>
          <w:sz w:val="24"/>
          <w:u w:val="single"/>
        </w:rPr>
      </w:pPr>
      <w:r>
        <w:rPr>
          <w:rFonts w:hint="eastAsia" w:ascii="宋体" w:hAnsi="宋体" w:cs="宋体"/>
          <w:sz w:val="24"/>
          <w:u w:val="single"/>
        </w:rPr>
        <w:t>（交易人）、（采购代理机构）：</w:t>
      </w:r>
    </w:p>
    <w:p w14:paraId="4933E98C">
      <w:pPr>
        <w:snapToGrid w:val="0"/>
        <w:spacing w:line="440" w:lineRule="exact"/>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（项目名称）【交易编号：（采购编号）】</w:t>
      </w:r>
      <w:r>
        <w:rPr>
          <w:rFonts w:hint="eastAsia" w:ascii="宋体" w:hAnsi="宋体" w:cs="宋体"/>
          <w:sz w:val="24"/>
        </w:rPr>
        <w:t>招标的有关活动，并对此项目进行投标。为此：</w:t>
      </w:r>
    </w:p>
    <w:p w14:paraId="74769D7A">
      <w:pPr>
        <w:snapToGrid w:val="0"/>
        <w:spacing w:line="440" w:lineRule="exact"/>
        <w:ind w:firstLine="480" w:firstLineChars="200"/>
        <w:rPr>
          <w:rFonts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25610D67">
      <w:pPr>
        <w:snapToGrid w:val="0"/>
        <w:spacing w:line="440" w:lineRule="exact"/>
        <w:ind w:firstLine="480" w:firstLineChars="200"/>
        <w:rPr>
          <w:rFonts w:ascii="宋体" w:hAnsi="宋体" w:cs="宋体"/>
          <w:sz w:val="24"/>
        </w:rPr>
      </w:pPr>
      <w:r>
        <w:rPr>
          <w:rFonts w:hint="eastAsia" w:ascii="宋体" w:hAnsi="宋体" w:cs="宋体"/>
          <w:sz w:val="24"/>
        </w:rPr>
        <w:t>2、我方的响应文件包括以下内容：</w:t>
      </w:r>
    </w:p>
    <w:p w14:paraId="0FED2DE9">
      <w:pPr>
        <w:snapToGrid w:val="0"/>
        <w:spacing w:line="440" w:lineRule="exact"/>
        <w:ind w:left="210" w:leftChars="100" w:firstLine="480" w:firstLineChars="200"/>
        <w:rPr>
          <w:rFonts w:ascii="宋体" w:hAnsi="宋体" w:cs="宋体"/>
          <w:sz w:val="24"/>
        </w:rPr>
      </w:pPr>
      <w:r>
        <w:rPr>
          <w:rFonts w:hint="eastAsia" w:ascii="宋体" w:hAnsi="宋体" w:cs="宋体"/>
          <w:sz w:val="24"/>
        </w:rPr>
        <w:t>2.1资格文件：</w:t>
      </w:r>
    </w:p>
    <w:p w14:paraId="652F2669">
      <w:pPr>
        <w:snapToGrid w:val="0"/>
        <w:spacing w:line="440" w:lineRule="exact"/>
        <w:ind w:left="420" w:leftChars="200" w:firstLine="480" w:firstLineChars="200"/>
        <w:rPr>
          <w:rFonts w:ascii="宋体" w:hAnsi="宋体" w:cs="宋体"/>
          <w:sz w:val="24"/>
        </w:rPr>
      </w:pPr>
      <w:r>
        <w:rPr>
          <w:rFonts w:hint="eastAsia" w:ascii="宋体" w:hAnsi="宋体" w:cs="宋体"/>
          <w:sz w:val="24"/>
        </w:rPr>
        <w:t>2.1.1承诺函；</w:t>
      </w:r>
    </w:p>
    <w:p w14:paraId="5C08D8BB">
      <w:pPr>
        <w:snapToGrid w:val="0"/>
        <w:spacing w:line="440" w:lineRule="exact"/>
        <w:ind w:left="420" w:leftChars="200" w:firstLine="480" w:firstLineChars="200"/>
        <w:rPr>
          <w:rFonts w:ascii="宋体" w:hAnsi="宋体" w:cs="宋体"/>
          <w:sz w:val="24"/>
        </w:rPr>
      </w:pPr>
      <w:r>
        <w:rPr>
          <w:rFonts w:hint="eastAsia" w:ascii="宋体" w:hAnsi="宋体" w:cs="宋体"/>
          <w:sz w:val="24"/>
        </w:rPr>
        <w:t>2.1.2本项目的特定资格要求（如果有）。</w:t>
      </w:r>
    </w:p>
    <w:p w14:paraId="23761AF8">
      <w:pPr>
        <w:snapToGrid w:val="0"/>
        <w:spacing w:line="44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4FCADFB">
      <w:pPr>
        <w:snapToGrid w:val="0"/>
        <w:spacing w:line="440" w:lineRule="exact"/>
        <w:ind w:left="420" w:leftChars="200" w:firstLine="480" w:firstLineChars="200"/>
        <w:rPr>
          <w:rFonts w:ascii="宋体" w:hAnsi="宋体" w:cs="宋体"/>
          <w:sz w:val="24"/>
        </w:rPr>
      </w:pPr>
      <w:r>
        <w:rPr>
          <w:rFonts w:hint="eastAsia" w:ascii="宋体" w:hAnsi="宋体" w:cs="宋体"/>
          <w:sz w:val="24"/>
        </w:rPr>
        <w:t>2.2.1交易函；</w:t>
      </w:r>
      <w:r>
        <w:rPr>
          <w:rFonts w:hint="eastAsia" w:ascii="宋体" w:hAnsi="宋体" w:cs="宋体"/>
          <w:sz w:val="24"/>
          <w:lang w:val="zh-CN"/>
        </w:rPr>
        <w:t xml:space="preserve"> </w:t>
      </w:r>
    </w:p>
    <w:p w14:paraId="5FD58E89">
      <w:pPr>
        <w:snapToGrid w:val="0"/>
        <w:spacing w:line="44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11780A">
      <w:pPr>
        <w:snapToGrid w:val="0"/>
        <w:spacing w:line="440" w:lineRule="exact"/>
        <w:ind w:left="420" w:leftChars="200" w:firstLine="480" w:firstLineChars="200"/>
        <w:rPr>
          <w:rFonts w:ascii="宋体" w:hAnsi="宋体" w:cs="宋体"/>
          <w:sz w:val="24"/>
        </w:rPr>
      </w:pPr>
      <w:r>
        <w:rPr>
          <w:rFonts w:hint="eastAsia" w:ascii="宋体" w:hAnsi="宋体" w:cs="宋体"/>
          <w:sz w:val="24"/>
        </w:rPr>
        <w:t>2.2.3符合性审查资料；</w:t>
      </w:r>
    </w:p>
    <w:p w14:paraId="5C57129D">
      <w:pPr>
        <w:snapToGrid w:val="0"/>
        <w:spacing w:line="440" w:lineRule="exact"/>
        <w:ind w:left="420" w:leftChars="200" w:firstLine="480" w:firstLineChars="200"/>
        <w:rPr>
          <w:rFonts w:ascii="宋体" w:hAnsi="宋体" w:cs="宋体"/>
        </w:rPr>
      </w:pPr>
      <w:r>
        <w:rPr>
          <w:rFonts w:hint="eastAsia" w:ascii="宋体" w:hAnsi="宋体" w:cs="宋体"/>
          <w:sz w:val="24"/>
        </w:rPr>
        <w:t>2.2.4评标标准相应的商务技术资料；</w:t>
      </w:r>
    </w:p>
    <w:p w14:paraId="78E03496">
      <w:pPr>
        <w:snapToGrid w:val="0"/>
        <w:spacing w:line="440" w:lineRule="exact"/>
        <w:ind w:left="420" w:leftChars="200" w:firstLine="480" w:firstLineChars="200"/>
        <w:rPr>
          <w:rFonts w:ascii="宋体" w:hAnsi="宋体" w:cs="宋体"/>
          <w:sz w:val="24"/>
        </w:rPr>
      </w:pPr>
      <w:r>
        <w:rPr>
          <w:rFonts w:hint="eastAsia" w:ascii="宋体" w:hAnsi="宋体" w:cs="宋体"/>
          <w:sz w:val="24"/>
        </w:rPr>
        <w:t>2.2.5响应标的清单；</w:t>
      </w:r>
    </w:p>
    <w:p w14:paraId="68260D47">
      <w:pPr>
        <w:snapToGrid w:val="0"/>
        <w:spacing w:line="440" w:lineRule="exact"/>
        <w:ind w:left="420" w:leftChars="200" w:firstLine="480" w:firstLineChars="200"/>
        <w:rPr>
          <w:rFonts w:ascii="宋体" w:hAnsi="宋体" w:cs="宋体"/>
          <w:sz w:val="24"/>
        </w:rPr>
      </w:pPr>
      <w:r>
        <w:rPr>
          <w:rFonts w:hint="eastAsia" w:ascii="宋体" w:hAnsi="宋体" w:cs="宋体"/>
          <w:sz w:val="24"/>
        </w:rPr>
        <w:t>2.2.6商务技术偏离表；</w:t>
      </w:r>
    </w:p>
    <w:p w14:paraId="5B365AD7">
      <w:pPr>
        <w:snapToGrid w:val="0"/>
        <w:spacing w:line="440" w:lineRule="exact"/>
        <w:ind w:left="420" w:leftChars="200" w:firstLine="480" w:firstLineChars="200"/>
        <w:rPr>
          <w:rFonts w:ascii="宋体" w:hAnsi="宋体" w:cs="宋体"/>
          <w:sz w:val="24"/>
        </w:rPr>
      </w:pPr>
      <w:r>
        <w:rPr>
          <w:rFonts w:hint="eastAsia" w:ascii="宋体" w:hAnsi="宋体" w:cs="宋体"/>
          <w:sz w:val="24"/>
        </w:rPr>
        <w:t>2.2.7</w:t>
      </w:r>
      <w:r>
        <w:rPr>
          <w:rFonts w:hint="eastAsia" w:ascii="宋体" w:hAnsi="宋体" w:cs="宋体"/>
          <w:sz w:val="24"/>
          <w:lang w:val="zh-CN"/>
        </w:rPr>
        <w:t>供应商廉洁自律承诺书</w:t>
      </w:r>
    </w:p>
    <w:p w14:paraId="45D1BAD1">
      <w:pPr>
        <w:snapToGrid w:val="0"/>
        <w:spacing w:line="44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2122E2">
      <w:pPr>
        <w:snapToGrid w:val="0"/>
        <w:spacing w:line="440" w:lineRule="exact"/>
        <w:ind w:left="420" w:leftChars="200" w:firstLine="480" w:firstLineChars="200"/>
        <w:rPr>
          <w:rFonts w:ascii="宋体" w:hAnsi="宋体" w:cs="宋体"/>
          <w:sz w:val="24"/>
        </w:rPr>
      </w:pPr>
      <w:r>
        <w:rPr>
          <w:rFonts w:hint="eastAsia" w:ascii="宋体" w:hAnsi="宋体" w:cs="宋体"/>
          <w:sz w:val="24"/>
        </w:rPr>
        <w:t>2.3.1交易一览表（报价表）；</w:t>
      </w:r>
    </w:p>
    <w:p w14:paraId="78CBEAF6">
      <w:pPr>
        <w:snapToGrid w:val="0"/>
        <w:spacing w:line="440" w:lineRule="exact"/>
        <w:ind w:firstLine="480" w:firstLineChars="200"/>
        <w:rPr>
          <w:rFonts w:ascii="宋体" w:hAnsi="宋体" w:cs="宋体"/>
          <w:sz w:val="24"/>
        </w:rPr>
      </w:pPr>
      <w:r>
        <w:rPr>
          <w:rFonts w:hint="eastAsia" w:ascii="宋体" w:hAnsi="宋体" w:cs="宋体"/>
          <w:sz w:val="24"/>
        </w:rPr>
        <w:t>3、我方承诺除商务技术偏离表列出的偏离外，我方响应交易文件的全部要求。</w:t>
      </w:r>
    </w:p>
    <w:p w14:paraId="776D0E4C">
      <w:pPr>
        <w:snapToGrid w:val="0"/>
        <w:spacing w:line="440" w:lineRule="exact"/>
        <w:ind w:firstLine="480" w:firstLineChars="200"/>
        <w:rPr>
          <w:rFonts w:ascii="宋体" w:hAnsi="宋体" w:cs="宋体"/>
          <w:sz w:val="24"/>
        </w:rPr>
      </w:pPr>
      <w:r>
        <w:rPr>
          <w:rFonts w:hint="eastAsia" w:ascii="宋体" w:hAnsi="宋体" w:cs="宋体"/>
          <w:sz w:val="24"/>
        </w:rPr>
        <w:t>4、如我方成交，我方承诺：</w:t>
      </w:r>
    </w:p>
    <w:p w14:paraId="32FAA511">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2210C2F1">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013B51D">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4.3按照交易文件要求提交履约保证金； </w:t>
      </w:r>
    </w:p>
    <w:p w14:paraId="39039BD5">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88F09C6">
      <w:pPr>
        <w:snapToGrid w:val="0"/>
        <w:spacing w:line="440" w:lineRule="exact"/>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C105115">
      <w:pPr>
        <w:spacing w:line="440" w:lineRule="exact"/>
        <w:ind w:firstLine="3600" w:firstLineChars="1500"/>
        <w:rPr>
          <w:rFonts w:ascii="宋体" w:hAnsi="宋体" w:cs="宋体"/>
          <w:sz w:val="24"/>
        </w:rPr>
      </w:pPr>
      <w:r>
        <w:rPr>
          <w:rFonts w:hint="eastAsia" w:ascii="宋体" w:hAnsi="宋体" w:cs="宋体"/>
          <w:sz w:val="24"/>
        </w:rPr>
        <w:t xml:space="preserve">供应商名称（电子签名）：                          </w:t>
      </w:r>
    </w:p>
    <w:p w14:paraId="647B5235">
      <w:pPr>
        <w:spacing w:line="440" w:lineRule="exact"/>
        <w:jc w:val="center"/>
        <w:rPr>
          <w:rFonts w:ascii="宋体" w:hAnsi="宋体" w:cs="宋体"/>
          <w:kern w:val="0"/>
          <w:sz w:val="24"/>
          <w:u w:val="single"/>
        </w:rPr>
      </w:pPr>
      <w:r>
        <w:rPr>
          <w:rFonts w:hint="eastAsia" w:ascii="宋体" w:hAnsi="宋体" w:cs="宋体"/>
          <w:sz w:val="24"/>
        </w:rPr>
        <w:t xml:space="preserve">     日期：  年   月   日</w:t>
      </w:r>
    </w:p>
    <w:p w14:paraId="7E3EA116">
      <w:pPr>
        <w:rPr>
          <w:rFonts w:ascii="宋体" w:hAnsi="宋体" w:cs="宋体"/>
          <w:sz w:val="24"/>
        </w:rPr>
      </w:pPr>
      <w:r>
        <w:rPr>
          <w:rFonts w:hint="eastAsia" w:ascii="宋体" w:hAnsi="宋体" w:cs="宋体"/>
          <w:sz w:val="24"/>
        </w:rPr>
        <w:t>注：按本格式和要求提供。</w:t>
      </w:r>
    </w:p>
    <w:p w14:paraId="4651F3B4">
      <w:pPr>
        <w:pStyle w:val="25"/>
        <w:rPr>
          <w:rFonts w:hAnsi="宋体" w:cs="宋体"/>
          <w:lang w:val="en-US"/>
        </w:rPr>
      </w:pPr>
    </w:p>
    <w:p w14:paraId="05C62D29">
      <w:pPr>
        <w:jc w:val="center"/>
        <w:rPr>
          <w:rFonts w:ascii="宋体" w:hAnsi="宋体" w:cs="宋体"/>
          <w:b/>
          <w:kern w:val="0"/>
          <w:sz w:val="32"/>
          <w:szCs w:val="32"/>
          <w:lang w:val="en-US"/>
        </w:rPr>
      </w:pPr>
    </w:p>
    <w:p w14:paraId="43F74D9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FA22760">
      <w:pPr>
        <w:snapToGrid w:val="0"/>
        <w:spacing w:line="360" w:lineRule="auto"/>
        <w:rPr>
          <w:rFonts w:ascii="宋体" w:hAnsi="宋体" w:cs="宋体"/>
          <w:sz w:val="24"/>
        </w:rPr>
      </w:pPr>
      <w:r>
        <w:rPr>
          <w:rFonts w:hint="eastAsia" w:ascii="宋体" w:hAnsi="宋体" w:cs="宋体"/>
          <w:sz w:val="24"/>
        </w:rPr>
        <w:t xml:space="preserve">                                </w:t>
      </w:r>
    </w:p>
    <w:p w14:paraId="18F0A412">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50BA32EC">
      <w:pPr>
        <w:snapToGrid w:val="0"/>
        <w:spacing w:line="360" w:lineRule="auto"/>
        <w:rPr>
          <w:rFonts w:ascii="宋体" w:hAnsi="宋体" w:cs="宋体"/>
          <w:kern w:val="0"/>
          <w:sz w:val="24"/>
        </w:rPr>
      </w:pPr>
      <w:r>
        <w:rPr>
          <w:rFonts w:hint="eastAsia" w:ascii="宋体" w:hAnsi="宋体" w:cs="宋体"/>
          <w:sz w:val="24"/>
          <w:u w:val="single"/>
        </w:rPr>
        <w:t>（交易人）、（采购代理机构）</w:t>
      </w:r>
      <w:r>
        <w:rPr>
          <w:rFonts w:hint="eastAsia" w:ascii="宋体" w:hAnsi="宋体" w:cs="宋体"/>
          <w:kern w:val="0"/>
          <w:sz w:val="24"/>
          <w:lang w:val="zh-CN"/>
        </w:rPr>
        <w:t>：</w:t>
      </w:r>
    </w:p>
    <w:p w14:paraId="260591D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（项目名称）【交易编号：（采购编号）】</w:t>
      </w:r>
      <w:r>
        <w:rPr>
          <w:rFonts w:hint="eastAsia" w:ascii="宋体" w:hAnsi="宋体" w:cs="宋体"/>
          <w:kern w:val="0"/>
          <w:sz w:val="24"/>
          <w:lang w:val="zh-CN"/>
        </w:rPr>
        <w:t>采购投标的一切事项，其法律后果由我方承担。</w:t>
      </w:r>
    </w:p>
    <w:p w14:paraId="48E61E0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BE73F9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72C801D">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D044E5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EA9BF36">
      <w:pPr>
        <w:snapToGrid w:val="0"/>
        <w:spacing w:line="360" w:lineRule="auto"/>
        <w:rPr>
          <w:rFonts w:ascii="宋体" w:hAnsi="宋体" w:cs="宋体"/>
          <w:sz w:val="24"/>
        </w:rPr>
      </w:pPr>
    </w:p>
    <w:p w14:paraId="335E6D4B">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17D9FCA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9A0F038">
      <w:pPr>
        <w:pStyle w:val="156"/>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56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68B8101">
            <w:pPr>
              <w:pStyle w:val="156"/>
              <w:adjustRightInd w:val="0"/>
              <w:spacing w:line="360" w:lineRule="auto"/>
              <w:rPr>
                <w:rFonts w:hAnsi="宋体" w:cs="宋体"/>
                <w:bCs/>
                <w:sz w:val="24"/>
              </w:rPr>
            </w:pPr>
            <w:r>
              <w:rPr>
                <w:rFonts w:hint="eastAsia" w:hAnsi="宋体" w:cs="宋体"/>
                <w:bCs/>
                <w:sz w:val="24"/>
              </w:rPr>
              <w:t>正面：                                 反面：</w:t>
            </w:r>
          </w:p>
          <w:p w14:paraId="3564BAAC">
            <w:pPr>
              <w:pStyle w:val="156"/>
              <w:adjustRightInd w:val="0"/>
              <w:spacing w:line="360" w:lineRule="auto"/>
              <w:rPr>
                <w:rFonts w:hAnsi="宋体" w:cs="宋体"/>
                <w:bCs/>
                <w:sz w:val="24"/>
              </w:rPr>
            </w:pPr>
          </w:p>
        </w:tc>
      </w:tr>
    </w:tbl>
    <w:p w14:paraId="54BD07F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4A03A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49B73E7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EFB9703">
      <w:pPr>
        <w:jc w:val="center"/>
        <w:rPr>
          <w:rFonts w:ascii="宋体" w:hAnsi="宋体" w:cs="宋体"/>
          <w:b/>
          <w:kern w:val="0"/>
          <w:sz w:val="32"/>
          <w:szCs w:val="32"/>
        </w:rPr>
      </w:pPr>
    </w:p>
    <w:p w14:paraId="58F47307">
      <w:pPr>
        <w:jc w:val="center"/>
        <w:rPr>
          <w:rFonts w:ascii="宋体" w:hAnsi="宋体" w:cs="宋体"/>
          <w:b/>
          <w:kern w:val="0"/>
          <w:sz w:val="32"/>
          <w:szCs w:val="32"/>
        </w:rPr>
      </w:pPr>
      <w:r>
        <w:rPr>
          <w:rFonts w:hint="eastAsia" w:ascii="宋体" w:hAnsi="宋体" w:cs="宋体"/>
          <w:b/>
          <w:kern w:val="0"/>
          <w:sz w:val="32"/>
          <w:szCs w:val="32"/>
        </w:rPr>
        <w:t>三、营业执照</w:t>
      </w:r>
    </w:p>
    <w:p w14:paraId="4E8B8663">
      <w:pPr>
        <w:jc w:val="center"/>
        <w:rPr>
          <w:rFonts w:ascii="宋体" w:hAnsi="宋体" w:cs="宋体"/>
          <w:b/>
          <w:kern w:val="0"/>
          <w:sz w:val="32"/>
          <w:szCs w:val="32"/>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47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12CA03F">
            <w:pPr>
              <w:pStyle w:val="156"/>
              <w:adjustRightInd w:val="0"/>
              <w:spacing w:line="360" w:lineRule="auto"/>
              <w:rPr>
                <w:rFonts w:hAnsi="宋体" w:cs="宋体"/>
                <w:bCs/>
                <w:sz w:val="24"/>
              </w:rPr>
            </w:pPr>
          </w:p>
        </w:tc>
      </w:tr>
    </w:tbl>
    <w:p w14:paraId="13C8BEA4">
      <w:pPr>
        <w:snapToGrid w:val="0"/>
        <w:spacing w:line="360" w:lineRule="auto"/>
        <w:ind w:firstLine="576"/>
        <w:jc w:val="center"/>
        <w:rPr>
          <w:rFonts w:ascii="宋体" w:hAnsi="宋体" w:cs="宋体"/>
          <w:kern w:val="0"/>
          <w:sz w:val="24"/>
          <w:lang w:val="zh-CN"/>
        </w:rPr>
      </w:pPr>
    </w:p>
    <w:p w14:paraId="5BC7D69A">
      <w:pPr>
        <w:snapToGrid w:val="0"/>
        <w:spacing w:line="360" w:lineRule="auto"/>
        <w:ind w:firstLine="576"/>
        <w:jc w:val="center"/>
        <w:rPr>
          <w:rFonts w:ascii="宋体" w:hAnsi="宋体" w:cs="宋体"/>
          <w:kern w:val="0"/>
          <w:sz w:val="24"/>
          <w:lang w:val="zh-CN"/>
        </w:rPr>
      </w:pPr>
    </w:p>
    <w:p w14:paraId="180B916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供应商名称(电子签名)：                              </w:t>
      </w:r>
    </w:p>
    <w:p w14:paraId="5F639E2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34A92CD">
      <w:pPr>
        <w:jc w:val="center"/>
        <w:rPr>
          <w:rFonts w:ascii="宋体" w:hAnsi="宋体" w:cs="宋体"/>
          <w:b/>
          <w:kern w:val="0"/>
          <w:sz w:val="32"/>
          <w:szCs w:val="32"/>
        </w:rPr>
      </w:pPr>
    </w:p>
    <w:p w14:paraId="0FF44D56">
      <w:pPr>
        <w:jc w:val="center"/>
        <w:rPr>
          <w:rFonts w:ascii="宋体" w:hAnsi="宋体" w:cs="宋体"/>
          <w:b/>
          <w:kern w:val="0"/>
          <w:sz w:val="32"/>
          <w:szCs w:val="32"/>
        </w:rPr>
      </w:pPr>
      <w:r>
        <w:rPr>
          <w:rFonts w:hint="eastAsia" w:ascii="宋体" w:hAnsi="宋体" w:cs="宋体"/>
          <w:b/>
          <w:kern w:val="0"/>
          <w:sz w:val="32"/>
          <w:szCs w:val="32"/>
        </w:rPr>
        <w:t>四、符合性审查资料</w:t>
      </w:r>
    </w:p>
    <w:p w14:paraId="2B7BB986">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0C2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B372D3">
            <w:pPr>
              <w:snapToGrid w:val="0"/>
              <w:spacing w:line="240" w:lineRule="atLeast"/>
              <w:jc w:val="center"/>
              <w:rPr>
                <w:rFonts w:ascii="宋体" w:hAnsi="宋体" w:cs="宋体"/>
                <w:b/>
                <w:sz w:val="24"/>
              </w:rPr>
            </w:pPr>
            <w:r>
              <w:rPr>
                <w:rFonts w:hint="eastAsia" w:ascii="宋体" w:hAnsi="宋体" w:cs="宋体"/>
                <w:b/>
                <w:sz w:val="24"/>
              </w:rPr>
              <w:t>序号</w:t>
            </w:r>
          </w:p>
        </w:tc>
        <w:tc>
          <w:tcPr>
            <w:tcW w:w="3976" w:type="dxa"/>
            <w:vAlign w:val="center"/>
          </w:tcPr>
          <w:p w14:paraId="61EE79C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566" w:type="dxa"/>
            <w:vAlign w:val="center"/>
          </w:tcPr>
          <w:p w14:paraId="4FFF5BF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839971D">
            <w:pPr>
              <w:snapToGrid w:val="0"/>
              <w:spacing w:line="240" w:lineRule="atLeast"/>
              <w:jc w:val="center"/>
              <w:rPr>
                <w:rFonts w:ascii="宋体" w:hAnsi="宋体" w:cs="宋体"/>
                <w:b/>
                <w:sz w:val="24"/>
              </w:rPr>
            </w:pPr>
            <w:r>
              <w:rPr>
                <w:rFonts w:hint="eastAsia" w:ascii="宋体" w:hAnsi="宋体" w:cs="宋体"/>
                <w:b/>
                <w:sz w:val="24"/>
              </w:rPr>
              <w:t>响应文件中的</w:t>
            </w:r>
          </w:p>
          <w:p w14:paraId="1405EF0B">
            <w:pPr>
              <w:snapToGrid w:val="0"/>
              <w:spacing w:line="240" w:lineRule="atLeast"/>
              <w:jc w:val="center"/>
              <w:rPr>
                <w:rFonts w:ascii="宋体" w:hAnsi="宋体" w:cs="宋体"/>
                <w:b/>
                <w:sz w:val="24"/>
              </w:rPr>
            </w:pPr>
            <w:r>
              <w:rPr>
                <w:rFonts w:hint="eastAsia" w:ascii="宋体" w:hAnsi="宋体" w:cs="宋体"/>
                <w:b/>
                <w:sz w:val="24"/>
              </w:rPr>
              <w:t>页码位置</w:t>
            </w:r>
          </w:p>
        </w:tc>
      </w:tr>
      <w:tr w14:paraId="00F2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85686">
            <w:pPr>
              <w:jc w:val="center"/>
              <w:rPr>
                <w:rFonts w:ascii="宋体" w:hAnsi="宋体" w:cs="宋体"/>
                <w:sz w:val="24"/>
              </w:rPr>
            </w:pPr>
            <w:r>
              <w:rPr>
                <w:rFonts w:hint="eastAsia" w:ascii="宋体" w:hAnsi="宋体" w:cs="宋体"/>
                <w:sz w:val="24"/>
              </w:rPr>
              <w:t>1</w:t>
            </w:r>
          </w:p>
        </w:tc>
        <w:tc>
          <w:tcPr>
            <w:tcW w:w="3976" w:type="dxa"/>
            <w:vAlign w:val="center"/>
          </w:tcPr>
          <w:p w14:paraId="71EC5A47">
            <w:pPr>
              <w:spacing w:line="360" w:lineRule="auto"/>
              <w:jc w:val="center"/>
              <w:rPr>
                <w:rFonts w:ascii="宋体" w:hAnsi="宋体" w:cs="宋体"/>
                <w:sz w:val="24"/>
              </w:rPr>
            </w:pPr>
            <w:r>
              <w:rPr>
                <w:rFonts w:hint="eastAsia" w:ascii="宋体" w:hAnsi="宋体" w:cs="宋体"/>
                <w:sz w:val="24"/>
              </w:rPr>
              <w:t>响应文件按照交易文件要求签署、盖章。</w:t>
            </w:r>
          </w:p>
        </w:tc>
        <w:tc>
          <w:tcPr>
            <w:tcW w:w="3566" w:type="dxa"/>
            <w:vAlign w:val="center"/>
          </w:tcPr>
          <w:p w14:paraId="6AFBB910">
            <w:pPr>
              <w:jc w:val="cente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653BF92A">
            <w:pPr>
              <w:jc w:val="center"/>
              <w:rPr>
                <w:rFonts w:ascii="宋体" w:hAnsi="宋体" w:cs="宋体"/>
                <w:sz w:val="24"/>
              </w:rPr>
            </w:pPr>
          </w:p>
          <w:p w14:paraId="59DBF5F4">
            <w:pPr>
              <w:jc w:val="center"/>
              <w:rPr>
                <w:rFonts w:ascii="宋体" w:hAnsi="宋体" w:cs="宋体"/>
                <w:sz w:val="24"/>
              </w:rPr>
            </w:pPr>
            <w:r>
              <w:rPr>
                <w:rFonts w:hint="eastAsia" w:ascii="宋体" w:hAnsi="宋体" w:cs="宋体"/>
                <w:sz w:val="24"/>
              </w:rPr>
              <w:t>见响应文件</w:t>
            </w:r>
          </w:p>
          <w:p w14:paraId="15ADA072">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8FF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47C45C">
            <w:pPr>
              <w:spacing w:line="360" w:lineRule="auto"/>
              <w:jc w:val="center"/>
              <w:rPr>
                <w:rFonts w:ascii="宋体" w:hAnsi="宋体" w:cs="宋体"/>
                <w:sz w:val="24"/>
              </w:rPr>
            </w:pPr>
            <w:r>
              <w:rPr>
                <w:rFonts w:hint="eastAsia" w:ascii="宋体" w:hAnsi="宋体" w:cs="宋体"/>
                <w:sz w:val="24"/>
              </w:rPr>
              <w:t>2</w:t>
            </w:r>
          </w:p>
        </w:tc>
        <w:tc>
          <w:tcPr>
            <w:tcW w:w="3976" w:type="dxa"/>
            <w:vAlign w:val="center"/>
          </w:tcPr>
          <w:p w14:paraId="2E93CCA1">
            <w:pPr>
              <w:spacing w:line="360" w:lineRule="auto"/>
              <w:jc w:val="center"/>
              <w:rPr>
                <w:rFonts w:ascii="宋体" w:hAnsi="宋体" w:cs="宋体"/>
                <w:sz w:val="24"/>
              </w:rPr>
            </w:pPr>
            <w:r>
              <w:rPr>
                <w:rFonts w:hint="eastAsia" w:ascii="宋体" w:hAnsi="宋体" w:cs="宋体"/>
                <w:sz w:val="24"/>
              </w:rPr>
              <w:t>响应文件中承诺的交易有效期不少于交易文件中载明的交易有效期。</w:t>
            </w:r>
          </w:p>
        </w:tc>
        <w:tc>
          <w:tcPr>
            <w:tcW w:w="3566" w:type="dxa"/>
            <w:vAlign w:val="center"/>
          </w:tcPr>
          <w:p w14:paraId="3661E94B">
            <w:pPr>
              <w:jc w:val="center"/>
              <w:rPr>
                <w:rFonts w:ascii="宋体" w:hAnsi="宋体" w:cs="宋体"/>
                <w:sz w:val="24"/>
              </w:rPr>
            </w:pPr>
            <w:r>
              <w:rPr>
                <w:rFonts w:hint="eastAsia" w:ascii="宋体" w:hAnsi="宋体" w:cs="宋体"/>
                <w:sz w:val="24"/>
              </w:rPr>
              <w:t>交易函</w:t>
            </w:r>
          </w:p>
        </w:tc>
        <w:tc>
          <w:tcPr>
            <w:tcW w:w="1418" w:type="dxa"/>
            <w:vAlign w:val="center"/>
          </w:tcPr>
          <w:p w14:paraId="3E0AC15A">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0837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AAC53A">
            <w:pPr>
              <w:jc w:val="center"/>
              <w:rPr>
                <w:rFonts w:ascii="宋体" w:hAnsi="宋体" w:cs="宋体"/>
                <w:sz w:val="24"/>
              </w:rPr>
            </w:pPr>
            <w:r>
              <w:rPr>
                <w:rFonts w:hint="eastAsia" w:ascii="宋体" w:hAnsi="宋体" w:cs="宋体"/>
                <w:sz w:val="24"/>
              </w:rPr>
              <w:t>3</w:t>
            </w:r>
          </w:p>
        </w:tc>
        <w:tc>
          <w:tcPr>
            <w:tcW w:w="3976" w:type="dxa"/>
            <w:vAlign w:val="center"/>
          </w:tcPr>
          <w:p w14:paraId="319963CC">
            <w:pPr>
              <w:spacing w:line="360" w:lineRule="auto"/>
              <w:jc w:val="center"/>
              <w:rPr>
                <w:rFonts w:ascii="宋体" w:hAnsi="宋体" w:cs="宋体"/>
                <w:sz w:val="24"/>
              </w:rPr>
            </w:pPr>
            <w:r>
              <w:rPr>
                <w:rFonts w:hint="eastAsia" w:ascii="宋体" w:hAnsi="宋体" w:cs="宋体"/>
                <w:sz w:val="24"/>
              </w:rPr>
              <w:t>响应文件满足交易文件的其它实质性要求。</w:t>
            </w:r>
          </w:p>
        </w:tc>
        <w:tc>
          <w:tcPr>
            <w:tcW w:w="3566" w:type="dxa"/>
            <w:vAlign w:val="center"/>
          </w:tcPr>
          <w:p w14:paraId="337606C3">
            <w:pPr>
              <w:jc w:val="center"/>
              <w:rPr>
                <w:rFonts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126D894A">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4BFE454">
      <w:pPr>
        <w:spacing w:line="360" w:lineRule="auto"/>
        <w:ind w:right="420"/>
        <w:rPr>
          <w:rFonts w:ascii="宋体" w:hAnsi="宋体" w:cs="宋体"/>
          <w:sz w:val="24"/>
        </w:rPr>
      </w:pPr>
      <w:r>
        <w:rPr>
          <w:rFonts w:hint="eastAsia" w:ascii="宋体" w:hAnsi="宋体" w:cs="宋体"/>
          <w:sz w:val="24"/>
        </w:rPr>
        <w:t>注：按本格式和要求提供。</w:t>
      </w:r>
    </w:p>
    <w:p w14:paraId="605366E9">
      <w:pPr>
        <w:jc w:val="center"/>
        <w:rPr>
          <w:rFonts w:ascii="宋体" w:hAnsi="宋体" w:cs="宋体"/>
          <w:b/>
          <w:kern w:val="0"/>
          <w:sz w:val="32"/>
          <w:szCs w:val="32"/>
        </w:rPr>
      </w:pPr>
    </w:p>
    <w:p w14:paraId="4BDF8A49">
      <w:pPr>
        <w:jc w:val="center"/>
        <w:rPr>
          <w:rFonts w:ascii="宋体" w:hAnsi="宋体" w:cs="宋体"/>
          <w:b/>
          <w:kern w:val="0"/>
          <w:sz w:val="32"/>
          <w:szCs w:val="32"/>
        </w:rPr>
      </w:pPr>
    </w:p>
    <w:p w14:paraId="27CE4694">
      <w:pPr>
        <w:jc w:val="center"/>
        <w:rPr>
          <w:rFonts w:ascii="宋体" w:hAnsi="宋体" w:cs="宋体"/>
          <w:b/>
          <w:kern w:val="0"/>
          <w:sz w:val="32"/>
          <w:szCs w:val="32"/>
        </w:rPr>
      </w:pPr>
    </w:p>
    <w:p w14:paraId="369594AA">
      <w:pPr>
        <w:jc w:val="center"/>
        <w:rPr>
          <w:rFonts w:ascii="宋体" w:hAnsi="宋体" w:cs="宋体"/>
        </w:rPr>
      </w:pPr>
      <w:r>
        <w:rPr>
          <w:rFonts w:hint="eastAsia" w:ascii="宋体" w:hAnsi="宋体" w:cs="宋体"/>
          <w:b/>
          <w:kern w:val="0"/>
          <w:sz w:val="32"/>
          <w:szCs w:val="32"/>
        </w:rPr>
        <w:t>五、评标标准相应的商务技术资料</w:t>
      </w:r>
    </w:p>
    <w:p w14:paraId="4A7CA24C">
      <w:pPr>
        <w:snapToGrid w:val="0"/>
        <w:spacing w:line="360" w:lineRule="auto"/>
        <w:jc w:val="left"/>
        <w:rPr>
          <w:rFonts w:ascii="宋体" w:hAnsi="宋体" w:cs="宋体"/>
          <w:b/>
          <w:sz w:val="24"/>
        </w:rPr>
      </w:pPr>
      <w:r>
        <w:rPr>
          <w:rFonts w:hint="eastAsia" w:ascii="宋体" w:hAnsi="宋体" w:cs="宋体"/>
          <w:b/>
          <w:sz w:val="24"/>
        </w:rPr>
        <w:t>（按交易文件第四部分交易办法前附表中“响应文件中评标标准相应的商务技术资料目录”提供资料。）</w:t>
      </w:r>
    </w:p>
    <w:p w14:paraId="045C6DAC">
      <w:pPr>
        <w:jc w:val="center"/>
        <w:rPr>
          <w:rFonts w:ascii="宋体" w:hAnsi="宋体" w:cs="宋体"/>
          <w:b/>
          <w:kern w:val="0"/>
          <w:sz w:val="32"/>
          <w:szCs w:val="32"/>
        </w:rPr>
      </w:pPr>
    </w:p>
    <w:p w14:paraId="3ED20553">
      <w:pPr>
        <w:jc w:val="center"/>
        <w:rPr>
          <w:rFonts w:ascii="宋体" w:hAnsi="宋体" w:cs="宋体"/>
          <w:b/>
          <w:kern w:val="0"/>
          <w:sz w:val="32"/>
          <w:szCs w:val="32"/>
        </w:rPr>
      </w:pPr>
    </w:p>
    <w:p w14:paraId="4E257153">
      <w:pPr>
        <w:jc w:val="center"/>
        <w:rPr>
          <w:rFonts w:ascii="宋体" w:hAnsi="宋体" w:cs="宋体"/>
          <w:b/>
          <w:kern w:val="0"/>
          <w:sz w:val="32"/>
          <w:szCs w:val="32"/>
        </w:rPr>
      </w:pPr>
    </w:p>
    <w:p w14:paraId="435AB560">
      <w:pPr>
        <w:jc w:val="center"/>
        <w:rPr>
          <w:rFonts w:ascii="宋体" w:hAnsi="宋体" w:cs="宋体"/>
          <w:b/>
          <w:kern w:val="0"/>
          <w:sz w:val="32"/>
          <w:szCs w:val="32"/>
        </w:rPr>
      </w:pPr>
    </w:p>
    <w:p w14:paraId="7548D450">
      <w:pPr>
        <w:jc w:val="center"/>
        <w:rPr>
          <w:rFonts w:ascii="宋体" w:hAnsi="宋体" w:cs="宋体"/>
          <w:b/>
          <w:kern w:val="0"/>
          <w:sz w:val="32"/>
          <w:szCs w:val="32"/>
        </w:rPr>
      </w:pPr>
    </w:p>
    <w:p w14:paraId="2EF00994">
      <w:pPr>
        <w:pStyle w:val="62"/>
        <w:rPr>
          <w:rFonts w:hAnsi="宋体" w:cs="宋体"/>
          <w:b/>
          <w:kern w:val="0"/>
          <w:sz w:val="32"/>
          <w:szCs w:val="32"/>
        </w:rPr>
      </w:pPr>
    </w:p>
    <w:p w14:paraId="267E9FED">
      <w:pPr>
        <w:pStyle w:val="51"/>
        <w:rPr>
          <w:rFonts w:ascii="宋体" w:hAnsi="宋体" w:cs="宋体"/>
        </w:rPr>
      </w:pPr>
    </w:p>
    <w:p w14:paraId="2D026107">
      <w:pPr>
        <w:jc w:val="center"/>
        <w:rPr>
          <w:rFonts w:ascii="宋体" w:hAnsi="宋体" w:cs="宋体"/>
          <w:b/>
          <w:kern w:val="0"/>
          <w:sz w:val="32"/>
          <w:szCs w:val="32"/>
        </w:rPr>
      </w:pPr>
    </w:p>
    <w:p w14:paraId="6B5A1071">
      <w:pPr>
        <w:jc w:val="center"/>
        <w:rPr>
          <w:rFonts w:ascii="宋体" w:hAnsi="宋体" w:cs="宋体"/>
          <w:b/>
          <w:kern w:val="0"/>
          <w:sz w:val="32"/>
          <w:szCs w:val="32"/>
        </w:rPr>
      </w:pPr>
    </w:p>
    <w:p w14:paraId="3423CF89">
      <w:pPr>
        <w:pStyle w:val="4"/>
        <w:jc w:val="center"/>
        <w:rPr>
          <w:rFonts w:hint="eastAsia" w:ascii="宋体" w:hAnsi="宋体" w:eastAsia="宋体" w:cs="宋体"/>
        </w:rPr>
      </w:pPr>
      <w:r>
        <w:rPr>
          <w:rFonts w:hint="eastAsia" w:ascii="宋体" w:hAnsi="宋体" w:eastAsia="宋体" w:cs="宋体"/>
          <w:lang w:val="en-US"/>
        </w:rPr>
        <w:t>六</w:t>
      </w:r>
      <w:r>
        <w:rPr>
          <w:rFonts w:hint="eastAsia" w:ascii="宋体" w:hAnsi="宋体" w:eastAsia="宋体" w:cs="宋体"/>
        </w:rPr>
        <w:t>、</w:t>
      </w:r>
      <w:r>
        <w:rPr>
          <w:rFonts w:hint="eastAsia" w:ascii="宋体" w:hAnsi="宋体" w:eastAsia="宋体" w:cs="宋体"/>
          <w:lang w:val="en-US"/>
        </w:rPr>
        <w:t>响应</w:t>
      </w:r>
      <w:r>
        <w:rPr>
          <w:rFonts w:hint="eastAsia" w:ascii="宋体" w:hAnsi="宋体" w:eastAsia="宋体" w:cs="宋体"/>
        </w:rPr>
        <w:t>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AC4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79F268">
            <w:pPr>
              <w:rPr>
                <w:rFonts w:hint="eastAsia" w:ascii="宋体" w:hAnsi="宋体" w:eastAsia="宋体" w:cs="宋体"/>
              </w:rPr>
            </w:pPr>
            <w:r>
              <w:rPr>
                <w:rFonts w:hint="eastAsia" w:ascii="宋体" w:hAnsi="宋体" w:eastAsia="宋体" w:cs="宋体"/>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7DEB806">
            <w:pPr>
              <w:rPr>
                <w:rFonts w:hint="eastAsia" w:ascii="宋体" w:hAnsi="宋体" w:eastAsia="宋体" w:cs="宋体"/>
              </w:rPr>
            </w:pPr>
            <w:r>
              <w:rPr>
                <w:rFonts w:hint="eastAsia" w:ascii="宋体" w:hAnsi="宋体" w:eastAsia="宋体" w:cs="宋体"/>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ACF138F">
            <w:pPr>
              <w:rPr>
                <w:rFonts w:hint="eastAsia" w:ascii="宋体" w:hAnsi="宋体" w:eastAsia="宋体" w:cs="宋体"/>
              </w:rPr>
            </w:pPr>
            <w:r>
              <w:rPr>
                <w:rFonts w:hint="eastAsia" w:ascii="宋体" w:hAnsi="宋体" w:eastAsia="宋体" w:cs="宋体"/>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D3F67C4">
            <w:pPr>
              <w:rPr>
                <w:rFonts w:hint="eastAsia" w:ascii="宋体" w:hAnsi="宋体" w:eastAsia="宋体" w:cs="宋体"/>
              </w:rPr>
            </w:pPr>
            <w:r>
              <w:rPr>
                <w:rFonts w:hint="eastAsia" w:ascii="宋体" w:hAnsi="宋体" w:eastAsia="宋体" w:cs="宋体"/>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48F7390">
            <w:pPr>
              <w:rPr>
                <w:rFonts w:hint="eastAsia" w:ascii="宋体" w:hAnsi="宋体" w:eastAsia="宋体" w:cs="宋体"/>
              </w:rPr>
            </w:pPr>
            <w:r>
              <w:rPr>
                <w:rFonts w:hint="eastAsia" w:ascii="宋体" w:hAnsi="宋体" w:eastAsia="宋体" w:cs="宋体"/>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D206925">
            <w:pPr>
              <w:rPr>
                <w:rFonts w:hint="eastAsia" w:ascii="宋体" w:hAnsi="宋体" w:eastAsia="宋体" w:cs="宋体"/>
              </w:rPr>
            </w:pPr>
            <w:r>
              <w:rPr>
                <w:rFonts w:hint="eastAsia" w:ascii="宋体" w:hAnsi="宋体" w:eastAsia="宋体" w:cs="宋体"/>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DE5B69B">
            <w:pPr>
              <w:rPr>
                <w:rFonts w:hint="eastAsia" w:ascii="宋体" w:hAnsi="宋体" w:eastAsia="宋体" w:cs="宋体"/>
              </w:rPr>
            </w:pPr>
            <w:r>
              <w:rPr>
                <w:rFonts w:hint="eastAsia" w:ascii="宋体" w:hAnsi="宋体" w:eastAsia="宋体" w:cs="宋体"/>
              </w:rPr>
              <w:t>备注</w:t>
            </w:r>
          </w:p>
        </w:tc>
      </w:tr>
      <w:tr w14:paraId="744A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E2BF50">
            <w:pPr>
              <w:rPr>
                <w:rFonts w:hint="eastAsia" w:ascii="宋体" w:hAnsi="宋体" w:eastAsia="宋体" w:cs="宋体"/>
              </w:rPr>
            </w:pPr>
            <w:r>
              <w:rPr>
                <w:rFonts w:hint="eastAsia" w:ascii="宋体" w:hAnsi="宋体" w:eastAsia="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14:paraId="6096219E">
            <w:pPr>
              <w:rPr>
                <w:rFonts w:hint="eastAsia" w:ascii="宋体" w:hAnsi="宋体" w:eastAsia="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626C0CEC">
            <w:pP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0AD5EE3">
            <w:pPr>
              <w:rPr>
                <w:rFonts w:hint="eastAsia" w:ascii="宋体" w:hAnsi="宋体" w:eastAsia="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09D90C5F">
            <w:pPr>
              <w:rPr>
                <w:rFonts w:hint="eastAsia" w:ascii="宋体" w:hAnsi="宋体" w:eastAsia="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14:paraId="7EE87CEB">
            <w:pPr>
              <w:rPr>
                <w:rFonts w:hint="eastAsia" w:ascii="宋体" w:hAnsi="宋体" w:eastAsia="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3CA9FDDD">
            <w:pPr>
              <w:rPr>
                <w:rFonts w:hint="eastAsia" w:ascii="宋体" w:hAnsi="宋体" w:eastAsia="宋体" w:cs="宋体"/>
              </w:rPr>
            </w:pPr>
          </w:p>
        </w:tc>
      </w:tr>
      <w:tr w14:paraId="285F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E2A295">
            <w:pPr>
              <w:rPr>
                <w:rFonts w:hint="eastAsia" w:ascii="宋体" w:hAnsi="宋体" w:eastAsia="宋体" w:cs="宋体"/>
              </w:rPr>
            </w:pPr>
            <w:r>
              <w:rPr>
                <w:rFonts w:hint="eastAsia" w:ascii="宋体" w:hAnsi="宋体" w:eastAsia="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14:paraId="66AA6C5A">
            <w:pPr>
              <w:rPr>
                <w:rFonts w:hint="eastAsia" w:ascii="宋体" w:hAnsi="宋体" w:eastAsia="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31008A5B">
            <w:pP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BEA179F">
            <w:pPr>
              <w:rPr>
                <w:rFonts w:hint="eastAsia" w:ascii="宋体" w:hAnsi="宋体" w:eastAsia="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50059F5D">
            <w:pPr>
              <w:rPr>
                <w:rFonts w:hint="eastAsia" w:ascii="宋体" w:hAnsi="宋体" w:eastAsia="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14:paraId="42921A97">
            <w:pPr>
              <w:rPr>
                <w:rFonts w:hint="eastAsia" w:ascii="宋体" w:hAnsi="宋体" w:eastAsia="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08634F8E">
            <w:pPr>
              <w:rPr>
                <w:rFonts w:hint="eastAsia" w:ascii="宋体" w:hAnsi="宋体" w:eastAsia="宋体" w:cs="宋体"/>
              </w:rPr>
            </w:pPr>
          </w:p>
        </w:tc>
      </w:tr>
      <w:tr w14:paraId="1C8A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CC18F4">
            <w:pPr>
              <w:rPr>
                <w:rFonts w:hint="eastAsia" w:ascii="宋体" w:hAnsi="宋体" w:eastAsia="宋体" w:cs="宋体"/>
              </w:rPr>
            </w:pPr>
            <w:r>
              <w:rPr>
                <w:rFonts w:hint="eastAsia" w:ascii="宋体" w:hAnsi="宋体" w:eastAsia="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14:paraId="36545F71">
            <w:pPr>
              <w:rPr>
                <w:rFonts w:hint="eastAsia" w:ascii="宋体" w:hAnsi="宋体" w:eastAsia="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084EC68D">
            <w:pPr>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8DC1E99">
            <w:pPr>
              <w:rPr>
                <w:rFonts w:hint="eastAsia" w:ascii="宋体" w:hAnsi="宋体" w:eastAsia="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5861AD8D">
            <w:pPr>
              <w:rPr>
                <w:rFonts w:hint="eastAsia" w:ascii="宋体" w:hAnsi="宋体" w:eastAsia="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14:paraId="36F5D45B">
            <w:pPr>
              <w:rPr>
                <w:rFonts w:hint="eastAsia" w:ascii="宋体" w:hAnsi="宋体" w:eastAsia="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27081F10">
            <w:pPr>
              <w:rPr>
                <w:rFonts w:hint="eastAsia" w:ascii="宋体" w:hAnsi="宋体" w:eastAsia="宋体" w:cs="宋体"/>
              </w:rPr>
            </w:pPr>
          </w:p>
        </w:tc>
      </w:tr>
    </w:tbl>
    <w:p w14:paraId="6B2DF28C">
      <w:pPr>
        <w:rPr>
          <w:rFonts w:hint="eastAsia" w:ascii="宋体" w:hAnsi="宋体" w:eastAsia="宋体" w:cs="宋体"/>
        </w:rPr>
      </w:pPr>
      <w:r>
        <w:rPr>
          <w:rFonts w:hint="eastAsia" w:ascii="宋体" w:hAnsi="宋体" w:eastAsia="宋体" w:cs="宋体"/>
        </w:rPr>
        <w:t>注：按本格式和要求提供。</w:t>
      </w:r>
    </w:p>
    <w:p w14:paraId="226632A9">
      <w:pPr>
        <w:jc w:val="center"/>
        <w:rPr>
          <w:rFonts w:ascii="宋体" w:hAnsi="宋体" w:cs="宋体"/>
          <w:b/>
          <w:kern w:val="0"/>
          <w:sz w:val="32"/>
          <w:szCs w:val="32"/>
        </w:rPr>
      </w:pPr>
    </w:p>
    <w:p w14:paraId="2A6B11C9">
      <w:pPr>
        <w:jc w:val="center"/>
        <w:rPr>
          <w:rFonts w:ascii="宋体" w:hAnsi="宋体" w:cs="宋体"/>
          <w:b/>
          <w:kern w:val="0"/>
          <w:sz w:val="32"/>
          <w:szCs w:val="32"/>
        </w:rPr>
      </w:pPr>
    </w:p>
    <w:p w14:paraId="349C7CAE">
      <w:pPr>
        <w:rPr>
          <w:rFonts w:ascii="宋体" w:hAnsi="宋体" w:cs="宋体"/>
          <w:b/>
          <w:kern w:val="0"/>
          <w:sz w:val="32"/>
          <w:szCs w:val="32"/>
        </w:rPr>
      </w:pPr>
      <w:r>
        <w:rPr>
          <w:rFonts w:hint="eastAsia" w:ascii="宋体" w:hAnsi="宋体" w:cs="宋体"/>
          <w:b/>
          <w:kern w:val="0"/>
          <w:sz w:val="32"/>
          <w:szCs w:val="32"/>
        </w:rPr>
        <w:br w:type="page"/>
      </w:r>
    </w:p>
    <w:p w14:paraId="3D171A46">
      <w:pPr>
        <w:spacing w:line="360" w:lineRule="auto"/>
        <w:ind w:right="420"/>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D16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B0305A">
            <w:pPr>
              <w:jc w:val="center"/>
              <w:rPr>
                <w:rFonts w:ascii="宋体" w:hAnsi="宋体" w:cs="宋体"/>
                <w:b/>
                <w:bCs/>
                <w:sz w:val="24"/>
              </w:rPr>
            </w:pPr>
            <w:r>
              <w:rPr>
                <w:rFonts w:hint="eastAsia" w:ascii="宋体" w:hAnsi="宋体" w:cs="宋体"/>
                <w:b/>
                <w:bCs/>
                <w:sz w:val="24"/>
              </w:rPr>
              <w:t>序号</w:t>
            </w:r>
          </w:p>
        </w:tc>
        <w:tc>
          <w:tcPr>
            <w:tcW w:w="3683" w:type="dxa"/>
          </w:tcPr>
          <w:p w14:paraId="714098DF">
            <w:pPr>
              <w:jc w:val="center"/>
              <w:rPr>
                <w:rFonts w:ascii="宋体" w:hAnsi="宋体" w:cs="宋体"/>
                <w:b/>
                <w:bCs/>
                <w:sz w:val="24"/>
              </w:rPr>
            </w:pPr>
            <w:r>
              <w:rPr>
                <w:rFonts w:hint="eastAsia" w:ascii="宋体" w:hAnsi="宋体" w:cs="宋体"/>
                <w:b/>
                <w:bCs/>
                <w:sz w:val="24"/>
              </w:rPr>
              <w:t>交易文件章节及具体内容</w:t>
            </w:r>
          </w:p>
        </w:tc>
        <w:tc>
          <w:tcPr>
            <w:tcW w:w="3546" w:type="dxa"/>
          </w:tcPr>
          <w:p w14:paraId="3A4F8959">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718D163">
            <w:pPr>
              <w:jc w:val="center"/>
              <w:rPr>
                <w:rFonts w:ascii="宋体" w:hAnsi="宋体" w:cs="宋体"/>
                <w:b/>
                <w:bCs/>
                <w:sz w:val="24"/>
              </w:rPr>
            </w:pPr>
            <w:r>
              <w:rPr>
                <w:rFonts w:hint="eastAsia" w:ascii="宋体" w:hAnsi="宋体" w:cs="宋体"/>
                <w:b/>
                <w:bCs/>
                <w:sz w:val="24"/>
              </w:rPr>
              <w:t>偏离说明</w:t>
            </w:r>
          </w:p>
        </w:tc>
      </w:tr>
      <w:tr w14:paraId="5585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AECFC0">
            <w:pPr>
              <w:jc w:val="center"/>
              <w:rPr>
                <w:rFonts w:ascii="宋体" w:hAnsi="宋体" w:cs="宋体"/>
                <w:kern w:val="0"/>
                <w:sz w:val="24"/>
              </w:rPr>
            </w:pPr>
            <w:r>
              <w:rPr>
                <w:rFonts w:hint="eastAsia" w:ascii="宋体" w:hAnsi="宋体" w:cs="宋体"/>
                <w:kern w:val="0"/>
                <w:sz w:val="24"/>
              </w:rPr>
              <w:t>1</w:t>
            </w:r>
          </w:p>
        </w:tc>
        <w:tc>
          <w:tcPr>
            <w:tcW w:w="3683" w:type="dxa"/>
          </w:tcPr>
          <w:p w14:paraId="51EA486D">
            <w:pPr>
              <w:jc w:val="center"/>
              <w:rPr>
                <w:rFonts w:ascii="宋体" w:hAnsi="宋体" w:cs="宋体"/>
                <w:b/>
                <w:kern w:val="0"/>
                <w:sz w:val="32"/>
                <w:szCs w:val="32"/>
              </w:rPr>
            </w:pPr>
          </w:p>
        </w:tc>
        <w:tc>
          <w:tcPr>
            <w:tcW w:w="3546" w:type="dxa"/>
          </w:tcPr>
          <w:p w14:paraId="51AA1F41">
            <w:pPr>
              <w:jc w:val="center"/>
              <w:rPr>
                <w:rFonts w:ascii="宋体" w:hAnsi="宋体" w:cs="宋体"/>
                <w:b/>
                <w:kern w:val="0"/>
                <w:sz w:val="32"/>
                <w:szCs w:val="32"/>
              </w:rPr>
            </w:pPr>
          </w:p>
        </w:tc>
        <w:tc>
          <w:tcPr>
            <w:tcW w:w="1276" w:type="dxa"/>
          </w:tcPr>
          <w:p w14:paraId="6063AC4B">
            <w:pPr>
              <w:jc w:val="center"/>
              <w:rPr>
                <w:rFonts w:ascii="宋体" w:hAnsi="宋体" w:cs="宋体"/>
                <w:b/>
                <w:kern w:val="0"/>
                <w:sz w:val="32"/>
                <w:szCs w:val="32"/>
              </w:rPr>
            </w:pPr>
          </w:p>
        </w:tc>
      </w:tr>
      <w:tr w14:paraId="7DA3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8D3ED7">
            <w:pPr>
              <w:jc w:val="center"/>
              <w:rPr>
                <w:rFonts w:ascii="宋体" w:hAnsi="宋体" w:cs="宋体"/>
                <w:kern w:val="0"/>
                <w:sz w:val="24"/>
              </w:rPr>
            </w:pPr>
            <w:r>
              <w:rPr>
                <w:rFonts w:hint="eastAsia" w:ascii="宋体" w:hAnsi="宋体" w:cs="宋体"/>
                <w:kern w:val="0"/>
                <w:sz w:val="24"/>
              </w:rPr>
              <w:t>2</w:t>
            </w:r>
          </w:p>
        </w:tc>
        <w:tc>
          <w:tcPr>
            <w:tcW w:w="3683" w:type="dxa"/>
          </w:tcPr>
          <w:p w14:paraId="35D3E7AF">
            <w:pPr>
              <w:jc w:val="center"/>
              <w:rPr>
                <w:rFonts w:ascii="宋体" w:hAnsi="宋体" w:cs="宋体"/>
                <w:b/>
                <w:kern w:val="0"/>
                <w:sz w:val="32"/>
                <w:szCs w:val="32"/>
              </w:rPr>
            </w:pPr>
          </w:p>
        </w:tc>
        <w:tc>
          <w:tcPr>
            <w:tcW w:w="3546" w:type="dxa"/>
          </w:tcPr>
          <w:p w14:paraId="67ED2A33">
            <w:pPr>
              <w:jc w:val="center"/>
              <w:rPr>
                <w:rFonts w:ascii="宋体" w:hAnsi="宋体" w:cs="宋体"/>
                <w:b/>
                <w:kern w:val="0"/>
                <w:sz w:val="32"/>
                <w:szCs w:val="32"/>
              </w:rPr>
            </w:pPr>
          </w:p>
        </w:tc>
        <w:tc>
          <w:tcPr>
            <w:tcW w:w="1276" w:type="dxa"/>
          </w:tcPr>
          <w:p w14:paraId="6DAD508C">
            <w:pPr>
              <w:jc w:val="center"/>
              <w:rPr>
                <w:rFonts w:ascii="宋体" w:hAnsi="宋体" w:cs="宋体"/>
                <w:b/>
                <w:kern w:val="0"/>
                <w:sz w:val="32"/>
                <w:szCs w:val="32"/>
              </w:rPr>
            </w:pPr>
          </w:p>
        </w:tc>
      </w:tr>
      <w:tr w14:paraId="199F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AD9D6F">
            <w:pPr>
              <w:jc w:val="center"/>
              <w:rPr>
                <w:rFonts w:ascii="宋体" w:hAnsi="宋体" w:cs="宋体"/>
                <w:kern w:val="0"/>
                <w:sz w:val="24"/>
              </w:rPr>
            </w:pPr>
            <w:r>
              <w:rPr>
                <w:rFonts w:hint="eastAsia" w:ascii="宋体" w:hAnsi="宋体" w:cs="宋体"/>
                <w:kern w:val="0"/>
                <w:sz w:val="24"/>
              </w:rPr>
              <w:t>……</w:t>
            </w:r>
          </w:p>
        </w:tc>
        <w:tc>
          <w:tcPr>
            <w:tcW w:w="3683" w:type="dxa"/>
          </w:tcPr>
          <w:p w14:paraId="00388341">
            <w:pPr>
              <w:jc w:val="center"/>
              <w:rPr>
                <w:rFonts w:ascii="宋体" w:hAnsi="宋体" w:cs="宋体"/>
                <w:b/>
                <w:kern w:val="0"/>
                <w:sz w:val="32"/>
                <w:szCs w:val="32"/>
              </w:rPr>
            </w:pPr>
          </w:p>
        </w:tc>
        <w:tc>
          <w:tcPr>
            <w:tcW w:w="3546" w:type="dxa"/>
          </w:tcPr>
          <w:p w14:paraId="1BC5DBDA">
            <w:pPr>
              <w:jc w:val="center"/>
              <w:rPr>
                <w:rFonts w:ascii="宋体" w:hAnsi="宋体" w:cs="宋体"/>
                <w:b/>
                <w:kern w:val="0"/>
                <w:sz w:val="32"/>
                <w:szCs w:val="32"/>
              </w:rPr>
            </w:pPr>
          </w:p>
        </w:tc>
        <w:tc>
          <w:tcPr>
            <w:tcW w:w="1276" w:type="dxa"/>
          </w:tcPr>
          <w:p w14:paraId="5C7499E5">
            <w:pPr>
              <w:jc w:val="center"/>
              <w:rPr>
                <w:rFonts w:ascii="宋体" w:hAnsi="宋体" w:cs="宋体"/>
                <w:b/>
                <w:kern w:val="0"/>
                <w:sz w:val="32"/>
                <w:szCs w:val="32"/>
              </w:rPr>
            </w:pPr>
          </w:p>
        </w:tc>
      </w:tr>
    </w:tbl>
    <w:p w14:paraId="7F553D2C">
      <w:pPr>
        <w:jc w:val="left"/>
        <w:rPr>
          <w:rFonts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759C859B">
      <w:pPr>
        <w:jc w:val="center"/>
        <w:rPr>
          <w:rFonts w:ascii="宋体" w:hAnsi="宋体" w:cs="宋体"/>
          <w:b/>
          <w:kern w:val="0"/>
          <w:sz w:val="32"/>
          <w:szCs w:val="32"/>
        </w:rPr>
      </w:pPr>
    </w:p>
    <w:p w14:paraId="7941973B">
      <w:pPr>
        <w:spacing w:line="360" w:lineRule="auto"/>
        <w:ind w:right="420"/>
        <w:rPr>
          <w:rFonts w:ascii="宋体" w:hAnsi="宋体" w:cs="宋体"/>
          <w:sz w:val="24"/>
        </w:rPr>
      </w:pPr>
      <w:r>
        <w:rPr>
          <w:rFonts w:hint="eastAsia" w:ascii="宋体" w:hAnsi="宋体" w:cs="宋体"/>
          <w:sz w:val="24"/>
        </w:rPr>
        <w:t>注：按本格式和要求提供。</w:t>
      </w:r>
    </w:p>
    <w:p w14:paraId="642D10DC">
      <w:pPr>
        <w:jc w:val="center"/>
        <w:rPr>
          <w:rFonts w:ascii="宋体" w:hAnsi="宋体" w:cs="宋体"/>
          <w:b/>
          <w:kern w:val="0"/>
          <w:sz w:val="32"/>
          <w:szCs w:val="32"/>
        </w:rPr>
      </w:pPr>
    </w:p>
    <w:p w14:paraId="277823AF">
      <w:pPr>
        <w:rPr>
          <w:rFonts w:ascii="宋体" w:hAnsi="宋体" w:cs="宋体"/>
          <w:b/>
          <w:bCs/>
          <w:sz w:val="32"/>
          <w:szCs w:val="32"/>
        </w:rPr>
      </w:pPr>
      <w:r>
        <w:rPr>
          <w:rFonts w:hint="eastAsia" w:ascii="宋体" w:hAnsi="宋体" w:cs="宋体"/>
          <w:b/>
          <w:bCs/>
          <w:sz w:val="32"/>
          <w:szCs w:val="32"/>
        </w:rPr>
        <w:br w:type="page"/>
      </w:r>
    </w:p>
    <w:p w14:paraId="6FAD0018">
      <w:pPr>
        <w:jc w:val="center"/>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供应商廉洁自律承诺书</w:t>
      </w:r>
    </w:p>
    <w:p w14:paraId="2B4EAE9A">
      <w:pPr>
        <w:snapToGrid w:val="0"/>
        <w:spacing w:line="360" w:lineRule="auto"/>
        <w:rPr>
          <w:rFonts w:ascii="宋体" w:hAnsi="宋体" w:cs="宋体"/>
          <w:sz w:val="24"/>
        </w:rPr>
      </w:pPr>
    </w:p>
    <w:p w14:paraId="0A093FA6">
      <w:pPr>
        <w:snapToGrid w:val="0"/>
        <w:spacing w:line="360" w:lineRule="auto"/>
        <w:rPr>
          <w:rFonts w:ascii="宋体" w:hAnsi="宋体" w:cs="宋体"/>
          <w:kern w:val="0"/>
          <w:sz w:val="24"/>
        </w:rPr>
      </w:pPr>
      <w:r>
        <w:rPr>
          <w:rFonts w:hint="eastAsia" w:ascii="宋体" w:hAnsi="宋体" w:cs="宋体"/>
          <w:sz w:val="24"/>
          <w:u w:val="single"/>
        </w:rPr>
        <w:t>（交易人）、（采购代理机构）</w:t>
      </w:r>
      <w:r>
        <w:rPr>
          <w:rFonts w:hint="eastAsia" w:ascii="宋体" w:hAnsi="宋体" w:cs="宋体"/>
          <w:kern w:val="0"/>
          <w:sz w:val="24"/>
          <w:lang w:val="zh-CN"/>
        </w:rPr>
        <w:t>：</w:t>
      </w:r>
    </w:p>
    <w:p w14:paraId="555C669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1CB2AA9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09C218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6A1855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3A1171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17BDC3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6EDF99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DF7B42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5E9CB87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9EDB389">
      <w:pPr>
        <w:autoSpaceDE w:val="0"/>
        <w:autoSpaceDN w:val="0"/>
        <w:spacing w:line="360" w:lineRule="auto"/>
        <w:ind w:left="2"/>
        <w:jc w:val="left"/>
        <w:rPr>
          <w:rFonts w:ascii="宋体" w:hAnsi="宋体" w:cs="宋体"/>
          <w:kern w:val="0"/>
          <w:sz w:val="24"/>
          <w:lang w:val="zh-CN"/>
        </w:rPr>
      </w:pPr>
    </w:p>
    <w:p w14:paraId="34BAF739">
      <w:pPr>
        <w:autoSpaceDE w:val="0"/>
        <w:autoSpaceDN w:val="0"/>
        <w:spacing w:line="360" w:lineRule="auto"/>
        <w:ind w:left="2"/>
        <w:jc w:val="left"/>
        <w:rPr>
          <w:rFonts w:ascii="宋体" w:hAnsi="宋体" w:cs="宋体"/>
          <w:kern w:val="0"/>
          <w:sz w:val="24"/>
          <w:lang w:val="zh-CN"/>
        </w:rPr>
      </w:pPr>
    </w:p>
    <w:p w14:paraId="15094722">
      <w:pPr>
        <w:autoSpaceDE w:val="0"/>
        <w:autoSpaceDN w:val="0"/>
        <w:spacing w:line="360" w:lineRule="auto"/>
        <w:ind w:left="2"/>
        <w:jc w:val="left"/>
        <w:rPr>
          <w:rFonts w:ascii="宋体" w:hAnsi="宋体" w:cs="宋体"/>
          <w:kern w:val="0"/>
          <w:sz w:val="24"/>
          <w:lang w:val="zh-CN"/>
        </w:rPr>
      </w:pPr>
    </w:p>
    <w:p w14:paraId="42487B0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C1705E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88073DB">
      <w:pPr>
        <w:spacing w:line="360" w:lineRule="auto"/>
        <w:jc w:val="center"/>
        <w:rPr>
          <w:rFonts w:ascii="宋体" w:hAnsi="宋体" w:cs="宋体"/>
          <w:b/>
          <w:bCs/>
          <w:sz w:val="24"/>
        </w:rPr>
      </w:pPr>
    </w:p>
    <w:p w14:paraId="512DE3E2">
      <w:pPr>
        <w:spacing w:line="360" w:lineRule="auto"/>
        <w:ind w:right="420"/>
        <w:rPr>
          <w:rFonts w:ascii="宋体" w:hAnsi="宋体" w:cs="宋体"/>
          <w:sz w:val="24"/>
        </w:rPr>
      </w:pPr>
      <w:r>
        <w:rPr>
          <w:rFonts w:hint="eastAsia" w:ascii="宋体" w:hAnsi="宋体" w:cs="宋体"/>
          <w:sz w:val="24"/>
        </w:rPr>
        <w:t>注：按本格式和要求提供。</w:t>
      </w:r>
    </w:p>
    <w:p w14:paraId="4FDDD850">
      <w:pPr>
        <w:spacing w:line="360" w:lineRule="auto"/>
        <w:jc w:val="center"/>
        <w:rPr>
          <w:rFonts w:ascii="宋体" w:hAnsi="宋体" w:cs="宋体"/>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start="18"/>
          <w:cols w:space="720" w:num="1"/>
          <w:titlePg/>
          <w:docGrid w:linePitch="312" w:charSpace="0"/>
        </w:sectPr>
      </w:pPr>
    </w:p>
    <w:p w14:paraId="28E229D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DCEA7F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99C0631">
      <w:pPr>
        <w:spacing w:line="360" w:lineRule="auto"/>
        <w:jc w:val="center"/>
        <w:outlineLvl w:val="0"/>
        <w:rPr>
          <w:rFonts w:ascii="宋体" w:hAnsi="宋体" w:cs="宋体"/>
          <w:b/>
          <w:kern w:val="0"/>
          <w:sz w:val="36"/>
          <w:szCs w:val="36"/>
        </w:rPr>
      </w:pPr>
    </w:p>
    <w:p w14:paraId="7C116E20">
      <w:pPr>
        <w:snapToGrid w:val="0"/>
        <w:spacing w:line="360" w:lineRule="auto"/>
        <w:rPr>
          <w:rFonts w:ascii="宋体" w:hAnsi="宋体" w:cs="宋体"/>
          <w:sz w:val="24"/>
        </w:rPr>
      </w:pPr>
      <w:r>
        <w:rPr>
          <w:rFonts w:hint="eastAsia" w:ascii="宋体" w:hAnsi="宋体" w:cs="宋体"/>
          <w:sz w:val="24"/>
        </w:rPr>
        <w:t>（1）交易一览表（报价表）………………………………………………………（页码）</w:t>
      </w:r>
    </w:p>
    <w:p w14:paraId="3D55A1C0">
      <w:pPr>
        <w:snapToGrid w:val="0"/>
        <w:spacing w:line="360" w:lineRule="auto"/>
        <w:ind w:right="480"/>
        <w:jc w:val="center"/>
        <w:rPr>
          <w:rFonts w:ascii="宋体" w:hAnsi="宋体" w:cs="宋体"/>
          <w:b/>
          <w:kern w:val="0"/>
          <w:sz w:val="32"/>
          <w:szCs w:val="32"/>
        </w:rPr>
      </w:pPr>
    </w:p>
    <w:p w14:paraId="0570438B">
      <w:pPr>
        <w:snapToGrid w:val="0"/>
        <w:spacing w:line="360" w:lineRule="auto"/>
        <w:ind w:right="480"/>
        <w:jc w:val="center"/>
        <w:rPr>
          <w:rFonts w:ascii="宋体" w:hAnsi="宋体" w:cs="宋体"/>
          <w:b/>
          <w:kern w:val="0"/>
          <w:sz w:val="32"/>
          <w:szCs w:val="32"/>
        </w:rPr>
      </w:pPr>
    </w:p>
    <w:p w14:paraId="52889E1C">
      <w:pPr>
        <w:snapToGrid w:val="0"/>
        <w:spacing w:line="360" w:lineRule="auto"/>
        <w:ind w:right="480"/>
        <w:jc w:val="center"/>
        <w:rPr>
          <w:rFonts w:ascii="宋体" w:hAnsi="宋体" w:cs="宋体"/>
          <w:b/>
          <w:kern w:val="0"/>
          <w:sz w:val="32"/>
          <w:szCs w:val="32"/>
        </w:rPr>
      </w:pPr>
    </w:p>
    <w:p w14:paraId="546132F9">
      <w:pPr>
        <w:snapToGrid w:val="0"/>
        <w:spacing w:line="360" w:lineRule="auto"/>
        <w:ind w:right="480"/>
        <w:jc w:val="center"/>
        <w:rPr>
          <w:rFonts w:ascii="宋体" w:hAnsi="宋体" w:cs="宋体"/>
          <w:b/>
          <w:kern w:val="0"/>
          <w:sz w:val="32"/>
          <w:szCs w:val="32"/>
        </w:rPr>
      </w:pPr>
    </w:p>
    <w:p w14:paraId="2C733FFB">
      <w:pPr>
        <w:snapToGrid w:val="0"/>
        <w:spacing w:line="360" w:lineRule="auto"/>
        <w:ind w:right="480"/>
        <w:jc w:val="center"/>
        <w:rPr>
          <w:rFonts w:ascii="宋体" w:hAnsi="宋体" w:cs="宋体"/>
          <w:b/>
          <w:kern w:val="0"/>
          <w:sz w:val="32"/>
          <w:szCs w:val="32"/>
        </w:rPr>
      </w:pPr>
    </w:p>
    <w:p w14:paraId="02220678">
      <w:pPr>
        <w:snapToGrid w:val="0"/>
        <w:spacing w:line="360" w:lineRule="auto"/>
        <w:ind w:right="480"/>
        <w:jc w:val="center"/>
        <w:rPr>
          <w:rFonts w:ascii="宋体" w:hAnsi="宋体" w:cs="宋体"/>
          <w:b/>
          <w:kern w:val="0"/>
          <w:sz w:val="32"/>
          <w:szCs w:val="32"/>
        </w:rPr>
      </w:pPr>
    </w:p>
    <w:p w14:paraId="6BB61251">
      <w:pPr>
        <w:snapToGrid w:val="0"/>
        <w:spacing w:line="360" w:lineRule="auto"/>
        <w:ind w:right="480"/>
        <w:jc w:val="center"/>
        <w:rPr>
          <w:rFonts w:ascii="宋体" w:hAnsi="宋体" w:cs="宋体"/>
          <w:b/>
          <w:kern w:val="0"/>
          <w:sz w:val="32"/>
          <w:szCs w:val="32"/>
        </w:rPr>
      </w:pPr>
    </w:p>
    <w:p w14:paraId="44043BAA">
      <w:pPr>
        <w:snapToGrid w:val="0"/>
        <w:spacing w:line="360" w:lineRule="auto"/>
        <w:ind w:right="480"/>
        <w:jc w:val="center"/>
        <w:rPr>
          <w:rFonts w:ascii="宋体" w:hAnsi="宋体" w:cs="宋体"/>
          <w:b/>
          <w:kern w:val="0"/>
          <w:sz w:val="32"/>
          <w:szCs w:val="32"/>
        </w:rPr>
      </w:pPr>
    </w:p>
    <w:p w14:paraId="55C8108E">
      <w:pPr>
        <w:snapToGrid w:val="0"/>
        <w:spacing w:line="360" w:lineRule="auto"/>
        <w:ind w:right="480"/>
        <w:jc w:val="center"/>
        <w:rPr>
          <w:rFonts w:ascii="宋体" w:hAnsi="宋体" w:cs="宋体"/>
          <w:b/>
          <w:kern w:val="0"/>
          <w:sz w:val="32"/>
          <w:szCs w:val="32"/>
        </w:rPr>
      </w:pPr>
    </w:p>
    <w:p w14:paraId="4D496CD1">
      <w:pPr>
        <w:snapToGrid w:val="0"/>
        <w:spacing w:line="360" w:lineRule="auto"/>
        <w:ind w:right="480"/>
        <w:jc w:val="center"/>
        <w:rPr>
          <w:rFonts w:ascii="宋体" w:hAnsi="宋体" w:cs="宋体"/>
          <w:b/>
          <w:kern w:val="0"/>
          <w:sz w:val="32"/>
          <w:szCs w:val="32"/>
        </w:rPr>
      </w:pPr>
    </w:p>
    <w:p w14:paraId="73101812">
      <w:pPr>
        <w:snapToGrid w:val="0"/>
        <w:spacing w:line="360" w:lineRule="auto"/>
        <w:ind w:right="480"/>
        <w:jc w:val="center"/>
        <w:rPr>
          <w:rFonts w:ascii="宋体" w:hAnsi="宋体" w:cs="宋体"/>
          <w:b/>
          <w:kern w:val="0"/>
          <w:sz w:val="32"/>
          <w:szCs w:val="32"/>
        </w:rPr>
      </w:pPr>
    </w:p>
    <w:p w14:paraId="1BAD5F6F">
      <w:pPr>
        <w:snapToGrid w:val="0"/>
        <w:spacing w:line="360" w:lineRule="auto"/>
        <w:ind w:right="480"/>
        <w:jc w:val="center"/>
        <w:rPr>
          <w:rFonts w:ascii="宋体" w:hAnsi="宋体" w:cs="宋体"/>
          <w:b/>
          <w:kern w:val="0"/>
          <w:sz w:val="32"/>
          <w:szCs w:val="32"/>
        </w:rPr>
      </w:pPr>
    </w:p>
    <w:p w14:paraId="795F5842">
      <w:pPr>
        <w:snapToGrid w:val="0"/>
        <w:spacing w:line="360" w:lineRule="auto"/>
        <w:ind w:right="480"/>
        <w:jc w:val="center"/>
        <w:rPr>
          <w:rFonts w:ascii="宋体" w:hAnsi="宋体" w:cs="宋体"/>
          <w:b/>
          <w:kern w:val="0"/>
          <w:sz w:val="32"/>
          <w:szCs w:val="32"/>
        </w:rPr>
      </w:pPr>
    </w:p>
    <w:p w14:paraId="5BAFF04C">
      <w:pPr>
        <w:snapToGrid w:val="0"/>
        <w:spacing w:line="360" w:lineRule="auto"/>
        <w:ind w:right="480"/>
        <w:jc w:val="center"/>
        <w:rPr>
          <w:rFonts w:ascii="宋体" w:hAnsi="宋体" w:cs="宋体"/>
          <w:b/>
          <w:kern w:val="0"/>
          <w:sz w:val="32"/>
          <w:szCs w:val="32"/>
        </w:rPr>
      </w:pPr>
    </w:p>
    <w:p w14:paraId="5F43E7AE">
      <w:pPr>
        <w:snapToGrid w:val="0"/>
        <w:spacing w:line="360" w:lineRule="auto"/>
        <w:ind w:right="480"/>
        <w:jc w:val="center"/>
        <w:rPr>
          <w:rFonts w:ascii="宋体" w:hAnsi="宋体" w:cs="宋体"/>
          <w:b/>
          <w:kern w:val="0"/>
          <w:sz w:val="32"/>
          <w:szCs w:val="32"/>
        </w:rPr>
      </w:pPr>
    </w:p>
    <w:p w14:paraId="4C8369C7">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61FB8080">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一、交易一览表（报价表）</w:t>
      </w:r>
    </w:p>
    <w:p w14:paraId="1EEE260A">
      <w:pPr>
        <w:snapToGrid w:val="0"/>
        <w:spacing w:line="360" w:lineRule="auto"/>
        <w:rPr>
          <w:rFonts w:hint="eastAsia" w:ascii="宋体" w:hAnsi="宋体" w:eastAsia="宋体" w:cs="宋体"/>
          <w:kern w:val="0"/>
          <w:sz w:val="24"/>
        </w:rPr>
      </w:pPr>
      <w:r>
        <w:rPr>
          <w:rFonts w:hint="eastAsia" w:ascii="宋体" w:hAnsi="宋体" w:eastAsia="宋体" w:cs="宋体"/>
          <w:sz w:val="24"/>
          <w:u w:val="single"/>
        </w:rPr>
        <w:t>（交易人）、（采购代理机构）</w:t>
      </w:r>
      <w:r>
        <w:rPr>
          <w:rFonts w:hint="eastAsia" w:ascii="宋体" w:hAnsi="宋体" w:eastAsia="宋体" w:cs="宋体"/>
          <w:kern w:val="0"/>
          <w:sz w:val="24"/>
          <w:lang w:val="zh-CN"/>
        </w:rPr>
        <w:t>：</w:t>
      </w:r>
    </w:p>
    <w:p w14:paraId="6F98FA22">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按你方交易文件要求，我们，本响应文件签字方，谨此向你方发出要约如下：如你方接受本投标，我方承诺按照如下交易一览表（报价表）的价格完成</w:t>
      </w:r>
      <w:r>
        <w:rPr>
          <w:rFonts w:hint="eastAsia" w:ascii="宋体" w:hAnsi="宋体" w:eastAsia="宋体" w:cs="宋体"/>
          <w:sz w:val="24"/>
          <w:u w:val="single"/>
        </w:rPr>
        <w:t>（项目名称）</w:t>
      </w:r>
      <w:r>
        <w:rPr>
          <w:rFonts w:hint="eastAsia" w:ascii="宋体" w:hAnsi="宋体" w:eastAsia="宋体" w:cs="宋体"/>
          <w:kern w:val="0"/>
          <w:sz w:val="24"/>
          <w:u w:val="single"/>
          <w:lang w:val="zh-CN"/>
        </w:rPr>
        <w:t>【交易编号：</w:t>
      </w:r>
      <w:r>
        <w:rPr>
          <w:rFonts w:hint="eastAsia" w:ascii="宋体" w:hAnsi="宋体" w:eastAsia="宋体" w:cs="宋体"/>
          <w:sz w:val="24"/>
          <w:u w:val="single"/>
        </w:rPr>
        <w:t>（采购编号）】</w:t>
      </w:r>
      <w:r>
        <w:rPr>
          <w:rFonts w:hint="eastAsia" w:ascii="宋体" w:hAnsi="宋体" w:eastAsia="宋体" w:cs="宋体"/>
          <w:sz w:val="24"/>
        </w:rPr>
        <w:t>的实施</w:t>
      </w:r>
      <w:r>
        <w:rPr>
          <w:rFonts w:hint="eastAsia" w:ascii="宋体" w:hAnsi="宋体" w:eastAsia="宋体" w:cs="宋体"/>
          <w:kern w:val="0"/>
          <w:sz w:val="24"/>
          <w:lang w:val="zh-CN"/>
        </w:rPr>
        <w:t>。</w:t>
      </w:r>
    </w:p>
    <w:p w14:paraId="0CE1CA03">
      <w:pPr>
        <w:snapToGrid w:val="0"/>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交易一览表（报价表）(单位均为人民币元)</w:t>
      </w:r>
    </w:p>
    <w:tbl>
      <w:tblPr>
        <w:tblStyle w:val="64"/>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960"/>
        <w:gridCol w:w="3030"/>
        <w:gridCol w:w="3082"/>
        <w:gridCol w:w="2918"/>
      </w:tblGrid>
      <w:tr w14:paraId="6E28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1B928C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3968D25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960" w:type="dxa"/>
          </w:tcPr>
          <w:p w14:paraId="26AF2600">
            <w:pPr>
              <w:spacing w:line="360" w:lineRule="auto"/>
              <w:jc w:val="center"/>
              <w:rPr>
                <w:rFonts w:ascii="宋体" w:hAnsi="宋体" w:cs="宋体"/>
                <w:b/>
                <w:color w:val="auto"/>
                <w:sz w:val="24"/>
              </w:rPr>
            </w:pPr>
          </w:p>
          <w:p w14:paraId="7B24951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3030" w:type="dxa"/>
            <w:vAlign w:val="center"/>
          </w:tcPr>
          <w:p w14:paraId="6AE638E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3082" w:type="dxa"/>
            <w:vAlign w:val="center"/>
          </w:tcPr>
          <w:p w14:paraId="7BC1C16C">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918" w:type="dxa"/>
          </w:tcPr>
          <w:p w14:paraId="583B4367">
            <w:pPr>
              <w:spacing w:line="360" w:lineRule="auto"/>
              <w:jc w:val="center"/>
              <w:rPr>
                <w:rFonts w:ascii="宋体" w:hAnsi="宋体" w:cs="宋体"/>
                <w:b/>
                <w:color w:val="auto"/>
                <w:sz w:val="24"/>
              </w:rPr>
            </w:pPr>
          </w:p>
          <w:p w14:paraId="44C55F1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28E3FF8">
            <w:pPr>
              <w:spacing w:line="360" w:lineRule="auto"/>
              <w:jc w:val="center"/>
              <w:rPr>
                <w:rFonts w:ascii="宋体" w:hAnsi="宋体" w:cs="宋体"/>
                <w:b/>
                <w:color w:val="auto"/>
                <w:sz w:val="24"/>
              </w:rPr>
            </w:pPr>
          </w:p>
        </w:tc>
      </w:tr>
      <w:tr w14:paraId="3E60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4EB4DD7F">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08946E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960" w:type="dxa"/>
            <w:vAlign w:val="center"/>
          </w:tcPr>
          <w:p w14:paraId="33A787D9">
            <w:pPr>
              <w:snapToGrid w:val="0"/>
              <w:spacing w:line="360" w:lineRule="auto"/>
              <w:jc w:val="center"/>
              <w:rPr>
                <w:rFonts w:ascii="宋体" w:hAnsi="宋体" w:cs="宋体"/>
                <w:color w:val="auto"/>
                <w:sz w:val="24"/>
              </w:rPr>
            </w:pPr>
          </w:p>
        </w:tc>
        <w:tc>
          <w:tcPr>
            <w:tcW w:w="3030" w:type="dxa"/>
            <w:vAlign w:val="center"/>
          </w:tcPr>
          <w:p w14:paraId="675CC5C1">
            <w:pPr>
              <w:snapToGrid w:val="0"/>
              <w:spacing w:line="360" w:lineRule="auto"/>
              <w:jc w:val="center"/>
              <w:rPr>
                <w:rFonts w:ascii="宋体" w:hAnsi="宋体" w:cs="宋体"/>
                <w:color w:val="auto"/>
                <w:sz w:val="24"/>
              </w:rPr>
            </w:pPr>
          </w:p>
        </w:tc>
        <w:tc>
          <w:tcPr>
            <w:tcW w:w="3082" w:type="dxa"/>
            <w:vAlign w:val="center"/>
          </w:tcPr>
          <w:p w14:paraId="00FFAD45">
            <w:pPr>
              <w:spacing w:line="360" w:lineRule="auto"/>
              <w:jc w:val="center"/>
              <w:rPr>
                <w:rFonts w:ascii="宋体" w:hAnsi="宋体" w:cs="宋体"/>
                <w:color w:val="auto"/>
                <w:sz w:val="24"/>
              </w:rPr>
            </w:pPr>
          </w:p>
        </w:tc>
        <w:tc>
          <w:tcPr>
            <w:tcW w:w="2918" w:type="dxa"/>
          </w:tcPr>
          <w:p w14:paraId="15FC2F03">
            <w:pPr>
              <w:spacing w:line="360" w:lineRule="auto"/>
              <w:jc w:val="center"/>
              <w:rPr>
                <w:rFonts w:ascii="宋体" w:hAnsi="宋体" w:cs="宋体"/>
                <w:color w:val="auto"/>
                <w:sz w:val="24"/>
              </w:rPr>
            </w:pPr>
          </w:p>
        </w:tc>
      </w:tr>
      <w:tr w14:paraId="6890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6551217">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656A769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960" w:type="dxa"/>
            <w:vAlign w:val="center"/>
          </w:tcPr>
          <w:p w14:paraId="1B11EA93">
            <w:pPr>
              <w:snapToGrid w:val="0"/>
              <w:spacing w:line="360" w:lineRule="auto"/>
              <w:jc w:val="center"/>
              <w:rPr>
                <w:rFonts w:ascii="宋体" w:hAnsi="宋体" w:cs="宋体"/>
                <w:color w:val="auto"/>
                <w:sz w:val="24"/>
              </w:rPr>
            </w:pPr>
          </w:p>
        </w:tc>
        <w:tc>
          <w:tcPr>
            <w:tcW w:w="3030" w:type="dxa"/>
            <w:vAlign w:val="center"/>
          </w:tcPr>
          <w:p w14:paraId="61FAB145">
            <w:pPr>
              <w:snapToGrid w:val="0"/>
              <w:spacing w:line="360" w:lineRule="auto"/>
              <w:jc w:val="center"/>
              <w:rPr>
                <w:rFonts w:ascii="宋体" w:hAnsi="宋体" w:cs="宋体"/>
                <w:color w:val="auto"/>
                <w:sz w:val="24"/>
              </w:rPr>
            </w:pPr>
          </w:p>
        </w:tc>
        <w:tc>
          <w:tcPr>
            <w:tcW w:w="3082" w:type="dxa"/>
            <w:vAlign w:val="center"/>
          </w:tcPr>
          <w:p w14:paraId="71496947">
            <w:pPr>
              <w:spacing w:line="360" w:lineRule="auto"/>
              <w:jc w:val="center"/>
              <w:rPr>
                <w:rFonts w:ascii="宋体" w:hAnsi="宋体" w:cs="宋体"/>
                <w:color w:val="auto"/>
                <w:sz w:val="24"/>
              </w:rPr>
            </w:pPr>
          </w:p>
        </w:tc>
        <w:tc>
          <w:tcPr>
            <w:tcW w:w="2918" w:type="dxa"/>
          </w:tcPr>
          <w:p w14:paraId="4CFBD2B7">
            <w:pPr>
              <w:spacing w:line="360" w:lineRule="auto"/>
              <w:jc w:val="center"/>
              <w:rPr>
                <w:rFonts w:ascii="宋体" w:hAnsi="宋体" w:cs="宋体"/>
                <w:color w:val="auto"/>
                <w:sz w:val="24"/>
              </w:rPr>
            </w:pPr>
          </w:p>
        </w:tc>
      </w:tr>
      <w:tr w14:paraId="1B7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E663213">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EFAA1CF">
            <w:pPr>
              <w:snapToGrid w:val="0"/>
              <w:spacing w:line="360" w:lineRule="auto"/>
              <w:jc w:val="center"/>
              <w:rPr>
                <w:rFonts w:ascii="宋体" w:hAnsi="宋体" w:cs="宋体"/>
                <w:color w:val="auto"/>
                <w:sz w:val="24"/>
              </w:rPr>
            </w:pPr>
          </w:p>
        </w:tc>
        <w:tc>
          <w:tcPr>
            <w:tcW w:w="2960" w:type="dxa"/>
            <w:vAlign w:val="center"/>
          </w:tcPr>
          <w:p w14:paraId="5A1FA161">
            <w:pPr>
              <w:snapToGrid w:val="0"/>
              <w:spacing w:line="360" w:lineRule="auto"/>
              <w:jc w:val="center"/>
              <w:rPr>
                <w:rFonts w:ascii="宋体" w:hAnsi="宋体" w:cs="宋体"/>
                <w:color w:val="auto"/>
                <w:sz w:val="24"/>
              </w:rPr>
            </w:pPr>
          </w:p>
        </w:tc>
        <w:tc>
          <w:tcPr>
            <w:tcW w:w="3030" w:type="dxa"/>
            <w:vAlign w:val="center"/>
          </w:tcPr>
          <w:p w14:paraId="7D1C0D04">
            <w:pPr>
              <w:snapToGrid w:val="0"/>
              <w:spacing w:line="360" w:lineRule="auto"/>
              <w:jc w:val="center"/>
              <w:rPr>
                <w:rFonts w:ascii="宋体" w:hAnsi="宋体" w:cs="宋体"/>
                <w:color w:val="auto"/>
                <w:sz w:val="24"/>
              </w:rPr>
            </w:pPr>
          </w:p>
        </w:tc>
        <w:tc>
          <w:tcPr>
            <w:tcW w:w="3082" w:type="dxa"/>
            <w:vAlign w:val="center"/>
          </w:tcPr>
          <w:p w14:paraId="0FE8589C">
            <w:pPr>
              <w:spacing w:line="360" w:lineRule="auto"/>
              <w:jc w:val="center"/>
              <w:rPr>
                <w:rFonts w:ascii="宋体" w:hAnsi="宋体" w:cs="宋体"/>
                <w:color w:val="auto"/>
                <w:sz w:val="24"/>
              </w:rPr>
            </w:pPr>
          </w:p>
        </w:tc>
        <w:tc>
          <w:tcPr>
            <w:tcW w:w="2918" w:type="dxa"/>
          </w:tcPr>
          <w:p w14:paraId="50131E41">
            <w:pPr>
              <w:spacing w:line="360" w:lineRule="auto"/>
              <w:jc w:val="center"/>
              <w:rPr>
                <w:rFonts w:ascii="宋体" w:hAnsi="宋体" w:cs="宋体"/>
                <w:color w:val="auto"/>
                <w:sz w:val="24"/>
              </w:rPr>
            </w:pPr>
          </w:p>
        </w:tc>
      </w:tr>
      <w:tr w14:paraId="0E0E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3E1907F">
            <w:pPr>
              <w:spacing w:line="360" w:lineRule="auto"/>
              <w:jc w:val="center"/>
              <w:rPr>
                <w:rFonts w:ascii="宋体" w:hAnsi="宋体" w:cs="宋体"/>
                <w:color w:val="auto"/>
                <w:sz w:val="24"/>
              </w:rPr>
            </w:pPr>
          </w:p>
        </w:tc>
        <w:tc>
          <w:tcPr>
            <w:tcW w:w="992" w:type="dxa"/>
            <w:vAlign w:val="center"/>
          </w:tcPr>
          <w:p w14:paraId="62EB5626">
            <w:pPr>
              <w:snapToGrid w:val="0"/>
              <w:spacing w:line="360" w:lineRule="auto"/>
              <w:jc w:val="center"/>
              <w:rPr>
                <w:rFonts w:ascii="宋体" w:hAnsi="宋体" w:cs="宋体"/>
                <w:color w:val="auto"/>
                <w:sz w:val="24"/>
              </w:rPr>
            </w:pPr>
          </w:p>
        </w:tc>
        <w:tc>
          <w:tcPr>
            <w:tcW w:w="2960" w:type="dxa"/>
            <w:vAlign w:val="center"/>
          </w:tcPr>
          <w:p w14:paraId="2BEA601A">
            <w:pPr>
              <w:snapToGrid w:val="0"/>
              <w:spacing w:line="360" w:lineRule="auto"/>
              <w:jc w:val="center"/>
              <w:rPr>
                <w:rFonts w:ascii="宋体" w:hAnsi="宋体" w:cs="宋体"/>
                <w:color w:val="auto"/>
                <w:sz w:val="24"/>
              </w:rPr>
            </w:pPr>
          </w:p>
        </w:tc>
        <w:tc>
          <w:tcPr>
            <w:tcW w:w="3030" w:type="dxa"/>
            <w:vAlign w:val="center"/>
          </w:tcPr>
          <w:p w14:paraId="7AC18CB4">
            <w:pPr>
              <w:snapToGrid w:val="0"/>
              <w:spacing w:line="360" w:lineRule="auto"/>
              <w:jc w:val="center"/>
              <w:rPr>
                <w:rFonts w:ascii="宋体" w:hAnsi="宋体" w:cs="宋体"/>
                <w:color w:val="auto"/>
                <w:sz w:val="24"/>
              </w:rPr>
            </w:pPr>
          </w:p>
        </w:tc>
        <w:tc>
          <w:tcPr>
            <w:tcW w:w="3082" w:type="dxa"/>
            <w:vAlign w:val="center"/>
          </w:tcPr>
          <w:p w14:paraId="5E108B29">
            <w:pPr>
              <w:spacing w:line="360" w:lineRule="auto"/>
              <w:jc w:val="center"/>
              <w:rPr>
                <w:rFonts w:ascii="宋体" w:hAnsi="宋体" w:cs="宋体"/>
                <w:color w:val="auto"/>
                <w:sz w:val="24"/>
              </w:rPr>
            </w:pPr>
          </w:p>
        </w:tc>
        <w:tc>
          <w:tcPr>
            <w:tcW w:w="2918" w:type="dxa"/>
          </w:tcPr>
          <w:p w14:paraId="654CE678">
            <w:pPr>
              <w:spacing w:line="360" w:lineRule="auto"/>
              <w:jc w:val="center"/>
              <w:rPr>
                <w:rFonts w:ascii="宋体" w:hAnsi="宋体" w:cs="宋体"/>
                <w:color w:val="auto"/>
                <w:sz w:val="24"/>
              </w:rPr>
            </w:pPr>
          </w:p>
        </w:tc>
      </w:tr>
      <w:tr w14:paraId="1390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82C9E32">
            <w:pPr>
              <w:spacing w:line="360" w:lineRule="auto"/>
              <w:jc w:val="center"/>
              <w:rPr>
                <w:rFonts w:ascii="宋体" w:hAnsi="宋体" w:cs="宋体"/>
                <w:color w:val="auto"/>
                <w:sz w:val="24"/>
              </w:rPr>
            </w:pPr>
          </w:p>
        </w:tc>
        <w:tc>
          <w:tcPr>
            <w:tcW w:w="992" w:type="dxa"/>
            <w:vAlign w:val="center"/>
          </w:tcPr>
          <w:p w14:paraId="274AA498">
            <w:pPr>
              <w:snapToGrid w:val="0"/>
              <w:spacing w:line="360" w:lineRule="auto"/>
              <w:jc w:val="center"/>
              <w:rPr>
                <w:rFonts w:ascii="宋体" w:hAnsi="宋体" w:cs="宋体"/>
                <w:color w:val="auto"/>
                <w:sz w:val="24"/>
              </w:rPr>
            </w:pPr>
          </w:p>
        </w:tc>
        <w:tc>
          <w:tcPr>
            <w:tcW w:w="2960" w:type="dxa"/>
            <w:vAlign w:val="center"/>
          </w:tcPr>
          <w:p w14:paraId="31C1E6D6">
            <w:pPr>
              <w:snapToGrid w:val="0"/>
              <w:spacing w:line="360" w:lineRule="auto"/>
              <w:jc w:val="center"/>
              <w:rPr>
                <w:rFonts w:ascii="宋体" w:hAnsi="宋体" w:cs="宋体"/>
                <w:color w:val="auto"/>
                <w:sz w:val="24"/>
              </w:rPr>
            </w:pPr>
          </w:p>
        </w:tc>
        <w:tc>
          <w:tcPr>
            <w:tcW w:w="3030" w:type="dxa"/>
            <w:vAlign w:val="center"/>
          </w:tcPr>
          <w:p w14:paraId="430C6409">
            <w:pPr>
              <w:snapToGrid w:val="0"/>
              <w:spacing w:line="360" w:lineRule="auto"/>
              <w:jc w:val="center"/>
              <w:rPr>
                <w:rFonts w:ascii="宋体" w:hAnsi="宋体" w:cs="宋体"/>
                <w:color w:val="auto"/>
                <w:sz w:val="24"/>
              </w:rPr>
            </w:pPr>
          </w:p>
        </w:tc>
        <w:tc>
          <w:tcPr>
            <w:tcW w:w="3082" w:type="dxa"/>
            <w:vAlign w:val="center"/>
          </w:tcPr>
          <w:p w14:paraId="33C7AFE2">
            <w:pPr>
              <w:spacing w:line="360" w:lineRule="auto"/>
              <w:jc w:val="center"/>
              <w:rPr>
                <w:rFonts w:ascii="宋体" w:hAnsi="宋体" w:cs="宋体"/>
                <w:color w:val="auto"/>
                <w:sz w:val="24"/>
              </w:rPr>
            </w:pPr>
          </w:p>
        </w:tc>
        <w:tc>
          <w:tcPr>
            <w:tcW w:w="2918" w:type="dxa"/>
          </w:tcPr>
          <w:p w14:paraId="424F0465">
            <w:pPr>
              <w:spacing w:line="360" w:lineRule="auto"/>
              <w:jc w:val="center"/>
              <w:rPr>
                <w:rFonts w:ascii="宋体" w:hAnsi="宋体" w:cs="宋体"/>
                <w:color w:val="auto"/>
                <w:sz w:val="24"/>
              </w:rPr>
            </w:pPr>
          </w:p>
        </w:tc>
      </w:tr>
      <w:tr w14:paraId="3532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99" w:type="dxa"/>
            <w:gridSpan w:val="4"/>
            <w:vAlign w:val="center"/>
          </w:tcPr>
          <w:p w14:paraId="0D308B0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6000" w:type="dxa"/>
            <w:gridSpan w:val="2"/>
          </w:tcPr>
          <w:p w14:paraId="194B8D8A">
            <w:pPr>
              <w:spacing w:line="360" w:lineRule="auto"/>
              <w:jc w:val="center"/>
              <w:rPr>
                <w:rFonts w:ascii="宋体" w:hAnsi="宋体" w:cs="宋体"/>
                <w:color w:val="auto"/>
                <w:sz w:val="24"/>
              </w:rPr>
            </w:pPr>
          </w:p>
        </w:tc>
      </w:tr>
      <w:tr w14:paraId="10B6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799" w:type="dxa"/>
            <w:gridSpan w:val="4"/>
            <w:vAlign w:val="center"/>
          </w:tcPr>
          <w:p w14:paraId="0E9B69C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6000" w:type="dxa"/>
            <w:gridSpan w:val="2"/>
          </w:tcPr>
          <w:p w14:paraId="738364EB">
            <w:pPr>
              <w:spacing w:line="360" w:lineRule="auto"/>
              <w:jc w:val="center"/>
              <w:rPr>
                <w:rFonts w:ascii="宋体" w:hAnsi="宋体" w:cs="宋体"/>
                <w:color w:val="auto"/>
                <w:sz w:val="24"/>
              </w:rPr>
            </w:pPr>
          </w:p>
        </w:tc>
      </w:tr>
    </w:tbl>
    <w:p w14:paraId="44D041B0">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2F93DC5">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kern w:val="0"/>
          <w:sz w:val="24"/>
          <w:lang w:val="en-US" w:eastAsia="zh-CN"/>
        </w:rPr>
        <w:t>1</w:t>
      </w:r>
      <w:r>
        <w:rPr>
          <w:rFonts w:hint="eastAsia" w:ascii="宋体" w:hAnsi="宋体" w:eastAsia="宋体" w:cs="宋体"/>
          <w:kern w:val="0"/>
          <w:sz w:val="24"/>
          <w:lang w:val="zh-CN"/>
        </w:rPr>
        <w:t>、供应商需按本表格式填写，不得自行更改。</w:t>
      </w:r>
    </w:p>
    <w:p w14:paraId="5CE15566">
      <w:pPr>
        <w:spacing w:line="360" w:lineRule="auto"/>
        <w:ind w:firstLine="480" w:firstLineChars="200"/>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b/>
          <w:kern w:val="0"/>
          <w:sz w:val="24"/>
          <w:lang w:val="zh-CN"/>
        </w:rPr>
        <w:t>交易人将以合同形式有偿取得货物或服务，不接受供应商给予的赠品、回扣或者与采购无关的其他商品、服务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响应文件含有交易人不能接受的附加条件的，交易无效</w:t>
      </w:r>
      <w:r>
        <w:rPr>
          <w:rFonts w:hint="eastAsia" w:ascii="宋体" w:hAnsi="宋体" w:eastAsia="宋体" w:cs="宋体"/>
          <w:b/>
          <w:kern w:val="0"/>
          <w:sz w:val="24"/>
          <w:lang w:val="zh-CN"/>
        </w:rPr>
        <w:t>；采购内容未包含在《交易一览表（报价表）》名称栏中，供应商不能作出合理解释的，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响应文件含有交易人不能接受的附加条件的，交易无效。</w:t>
      </w:r>
    </w:p>
    <w:p w14:paraId="40AD4263">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cs="宋体"/>
          <w:kern w:val="0"/>
          <w:sz w:val="24"/>
          <w:lang w:val="en-US" w:eastAsia="zh-CN"/>
        </w:rPr>
        <w:t>3</w:t>
      </w:r>
      <w:r>
        <w:rPr>
          <w:rFonts w:hint="eastAsia" w:ascii="宋体" w:hAnsi="宋体" w:eastAsia="宋体" w:cs="宋体"/>
          <w:kern w:val="0"/>
          <w:sz w:val="24"/>
          <w:lang w:val="zh-CN"/>
        </w:rPr>
        <w:t>、以上表格要求细分项目及报价，在“规格型号（或具体服务）”一栏中，货物类项目填写规格型号，服务类项目填写具体服务。</w:t>
      </w:r>
    </w:p>
    <w:p w14:paraId="4F595E5F">
      <w:pPr>
        <w:snapToGrid w:val="0"/>
        <w:spacing w:line="360" w:lineRule="auto"/>
        <w:ind w:firstLine="480" w:firstLineChars="200"/>
        <w:jc w:val="left"/>
        <w:rPr>
          <w:rFonts w:hint="eastAsia" w:ascii="宋体" w:hAnsi="宋体" w:eastAsia="宋体" w:cs="宋体"/>
          <w:sz w:val="32"/>
          <w:szCs w:val="32"/>
        </w:rPr>
      </w:pPr>
      <w:r>
        <w:rPr>
          <w:rFonts w:hint="eastAsia" w:ascii="宋体" w:hAnsi="宋体" w:cs="宋体"/>
          <w:kern w:val="0"/>
          <w:sz w:val="24"/>
          <w:lang w:val="en-US" w:eastAsia="zh-CN"/>
        </w:rPr>
        <w:t>4</w:t>
      </w:r>
      <w:r>
        <w:rPr>
          <w:rFonts w:hint="eastAsia" w:ascii="宋体" w:hAnsi="宋体" w:eastAsia="宋体" w:cs="宋体"/>
          <w:kern w:val="0"/>
          <w:sz w:val="24"/>
          <w:lang w:val="zh-CN"/>
        </w:rPr>
        <w:t>、特别提示：采购机构将对项目名称和项目编号，成交供应商名称、地址和</w:t>
      </w:r>
      <w:r>
        <w:rPr>
          <w:rFonts w:hint="eastAsia" w:ascii="宋体" w:hAnsi="宋体" w:eastAsia="宋体" w:cs="宋体"/>
          <w:kern w:val="0"/>
          <w:sz w:val="24"/>
        </w:rPr>
        <w:t>成交</w:t>
      </w:r>
      <w:r>
        <w:rPr>
          <w:rFonts w:hint="eastAsia" w:ascii="宋体" w:hAnsi="宋体" w:eastAsia="宋体" w:cs="宋体"/>
          <w:kern w:val="0"/>
          <w:sz w:val="24"/>
          <w:lang w:val="zh-CN"/>
        </w:rPr>
        <w:t>金额等予以公示。</w:t>
      </w:r>
    </w:p>
    <w:p w14:paraId="109FE26B">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p>
    <w:p w14:paraId="10C457BC">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电子签名</w:t>
      </w:r>
      <w:r>
        <w:rPr>
          <w:rFonts w:hint="eastAsia" w:ascii="宋体" w:hAnsi="宋体" w:eastAsia="宋体" w:cs="宋体"/>
          <w:kern w:val="0"/>
          <w:sz w:val="24"/>
          <w:lang w:val="zh-CN"/>
        </w:rPr>
        <w:t>）：</w:t>
      </w:r>
    </w:p>
    <w:p w14:paraId="51D86ED5">
      <w:pPr>
        <w:autoSpaceDE w:val="0"/>
        <w:autoSpaceDN w:val="0"/>
        <w:spacing w:line="360" w:lineRule="auto"/>
        <w:ind w:left="2" w:leftChars="1" w:right="1120" w:firstLine="4560" w:firstLineChars="1900"/>
        <w:jc w:val="left"/>
        <w:rPr>
          <w:rFonts w:hint="eastAsia" w:ascii="宋体" w:hAnsi="宋体" w:eastAsia="宋体" w:cs="宋体"/>
          <w:sz w:val="32"/>
          <w:szCs w:val="32"/>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093FE454">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4BA4F48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983F25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B2DA4E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8F04BF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7B8EF3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52438B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8F63D7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034671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24BDE44">
      <w:pPr>
        <w:snapToGrid w:val="0"/>
        <w:spacing w:line="360" w:lineRule="auto"/>
        <w:rPr>
          <w:rFonts w:ascii="宋体" w:hAnsi="宋体" w:cs="宋体"/>
          <w:bCs/>
          <w:sz w:val="24"/>
        </w:rPr>
      </w:pPr>
      <w:r>
        <w:rPr>
          <w:rFonts w:hint="eastAsia" w:ascii="宋体" w:hAnsi="宋体" w:cs="宋体"/>
          <w:bCs/>
          <w:sz w:val="24"/>
        </w:rPr>
        <w:t>二、质疑项目基本情况</w:t>
      </w:r>
    </w:p>
    <w:p w14:paraId="796BF23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72E692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3F90F65">
      <w:pPr>
        <w:snapToGrid w:val="0"/>
        <w:spacing w:line="360" w:lineRule="auto"/>
        <w:rPr>
          <w:rFonts w:ascii="宋体" w:hAnsi="宋体" w:cs="宋体"/>
          <w:sz w:val="24"/>
          <w:u w:val="dotted"/>
        </w:rPr>
      </w:pPr>
      <w:r>
        <w:rPr>
          <w:rFonts w:hint="eastAsia" w:ascii="宋体" w:hAnsi="宋体" w:cs="宋体"/>
          <w:sz w:val="24"/>
        </w:rPr>
        <w:t>交易人名称：</w:t>
      </w:r>
      <w:r>
        <w:rPr>
          <w:rFonts w:hint="eastAsia" w:ascii="宋体" w:hAnsi="宋体" w:cs="宋体"/>
          <w:sz w:val="24"/>
          <w:u w:val="dotted"/>
        </w:rPr>
        <w:t xml:space="preserve">                                         </w:t>
      </w:r>
    </w:p>
    <w:p w14:paraId="68A64BD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CD9A782">
      <w:pPr>
        <w:snapToGrid w:val="0"/>
        <w:spacing w:line="360" w:lineRule="auto"/>
        <w:rPr>
          <w:rFonts w:ascii="宋体" w:hAnsi="宋体" w:cs="宋体"/>
          <w:bCs/>
          <w:sz w:val="24"/>
        </w:rPr>
      </w:pPr>
      <w:r>
        <w:rPr>
          <w:rFonts w:hint="eastAsia" w:ascii="宋体" w:hAnsi="宋体" w:cs="宋体"/>
          <w:bCs/>
          <w:sz w:val="24"/>
        </w:rPr>
        <w:t>三、质疑事项具体内容</w:t>
      </w:r>
    </w:p>
    <w:p w14:paraId="425943C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B5E543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F6438B2">
      <w:pPr>
        <w:snapToGrid w:val="0"/>
        <w:spacing w:line="360" w:lineRule="auto"/>
        <w:rPr>
          <w:rFonts w:ascii="宋体" w:hAnsi="宋体" w:cs="宋体"/>
          <w:sz w:val="24"/>
        </w:rPr>
      </w:pPr>
      <w:r>
        <w:rPr>
          <w:rFonts w:hint="eastAsia" w:ascii="宋体" w:hAnsi="宋体" w:cs="宋体"/>
          <w:sz w:val="24"/>
          <w:u w:val="dotted"/>
        </w:rPr>
        <w:t xml:space="preserve">                                                       </w:t>
      </w:r>
    </w:p>
    <w:p w14:paraId="15BB5DC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E6CFC11">
      <w:pPr>
        <w:snapToGrid w:val="0"/>
        <w:spacing w:line="360" w:lineRule="auto"/>
        <w:rPr>
          <w:rFonts w:ascii="宋体" w:hAnsi="宋体" w:cs="宋体"/>
          <w:sz w:val="24"/>
          <w:u w:val="dotted"/>
        </w:rPr>
      </w:pPr>
      <w:r>
        <w:rPr>
          <w:rFonts w:hint="eastAsia" w:ascii="宋体" w:hAnsi="宋体" w:cs="宋体"/>
          <w:sz w:val="24"/>
          <w:u w:val="dotted"/>
        </w:rPr>
        <w:t xml:space="preserve">                                                     </w:t>
      </w:r>
    </w:p>
    <w:p w14:paraId="6CD84626">
      <w:pPr>
        <w:snapToGrid w:val="0"/>
        <w:spacing w:line="360" w:lineRule="auto"/>
        <w:rPr>
          <w:rFonts w:ascii="宋体" w:hAnsi="宋体" w:cs="宋体"/>
          <w:sz w:val="24"/>
          <w:u w:val="dotted"/>
        </w:rPr>
      </w:pPr>
      <w:r>
        <w:rPr>
          <w:rFonts w:hint="eastAsia" w:ascii="宋体" w:hAnsi="宋体" w:cs="宋体"/>
          <w:sz w:val="24"/>
        </w:rPr>
        <w:t>质疑事项2</w:t>
      </w:r>
    </w:p>
    <w:p w14:paraId="7B7FEDFA">
      <w:pPr>
        <w:snapToGrid w:val="0"/>
        <w:spacing w:line="360" w:lineRule="auto"/>
        <w:rPr>
          <w:rFonts w:ascii="宋体" w:hAnsi="宋体" w:cs="宋体"/>
          <w:sz w:val="24"/>
        </w:rPr>
      </w:pPr>
      <w:r>
        <w:rPr>
          <w:rFonts w:hint="eastAsia" w:ascii="宋体" w:hAnsi="宋体" w:cs="宋体"/>
          <w:sz w:val="24"/>
        </w:rPr>
        <w:t>……</w:t>
      </w:r>
    </w:p>
    <w:p w14:paraId="50865A8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CF1714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EA3C13C">
      <w:pPr>
        <w:spacing w:line="360" w:lineRule="auto"/>
        <w:rPr>
          <w:rFonts w:ascii="宋体" w:hAnsi="宋体" w:cs="宋体"/>
          <w:sz w:val="24"/>
        </w:rPr>
      </w:pPr>
      <w:r>
        <w:rPr>
          <w:rFonts w:hint="eastAsia" w:ascii="宋体" w:hAnsi="宋体" w:cs="宋体"/>
          <w:sz w:val="24"/>
        </w:rPr>
        <w:t xml:space="preserve">签字(签章)：                   公章：                      </w:t>
      </w:r>
    </w:p>
    <w:p w14:paraId="773A76CD">
      <w:pPr>
        <w:spacing w:line="360" w:lineRule="auto"/>
        <w:rPr>
          <w:rFonts w:ascii="宋体" w:hAnsi="宋体" w:cs="宋体"/>
          <w:sz w:val="24"/>
        </w:rPr>
      </w:pPr>
      <w:r>
        <w:rPr>
          <w:rFonts w:hint="eastAsia" w:ascii="宋体" w:hAnsi="宋体" w:cs="宋体"/>
          <w:sz w:val="24"/>
        </w:rPr>
        <w:t xml:space="preserve">日期：    </w:t>
      </w:r>
    </w:p>
    <w:p w14:paraId="08690ECB">
      <w:pPr>
        <w:spacing w:line="360" w:lineRule="auto"/>
        <w:jc w:val="center"/>
        <w:rPr>
          <w:rFonts w:ascii="宋体" w:hAnsi="宋体" w:cs="宋体"/>
          <w:b/>
          <w:bCs/>
          <w:sz w:val="24"/>
        </w:rPr>
      </w:pPr>
    </w:p>
    <w:p w14:paraId="646CCD7B">
      <w:pPr>
        <w:spacing w:line="360" w:lineRule="auto"/>
        <w:rPr>
          <w:rFonts w:ascii="宋体" w:hAnsi="宋体" w:cs="宋体"/>
          <w:b/>
          <w:sz w:val="24"/>
        </w:rPr>
      </w:pPr>
    </w:p>
    <w:p w14:paraId="1401FC6D">
      <w:pPr>
        <w:spacing w:line="360" w:lineRule="auto"/>
        <w:rPr>
          <w:rFonts w:ascii="宋体" w:hAnsi="宋体" w:cs="宋体"/>
          <w:b/>
          <w:sz w:val="24"/>
        </w:rPr>
      </w:pPr>
    </w:p>
    <w:p w14:paraId="12F89976">
      <w:pPr>
        <w:spacing w:line="360" w:lineRule="auto"/>
        <w:rPr>
          <w:rFonts w:ascii="宋体" w:hAnsi="宋体" w:cs="宋体"/>
          <w:b/>
          <w:sz w:val="24"/>
        </w:rPr>
      </w:pPr>
    </w:p>
    <w:p w14:paraId="63DE9808">
      <w:pPr>
        <w:spacing w:line="360" w:lineRule="auto"/>
        <w:rPr>
          <w:rFonts w:ascii="宋体" w:hAnsi="宋体" w:cs="宋体"/>
          <w:b/>
          <w:sz w:val="24"/>
        </w:rPr>
      </w:pPr>
      <w:r>
        <w:rPr>
          <w:rFonts w:hint="eastAsia" w:ascii="宋体" w:hAnsi="宋体" w:cs="宋体"/>
          <w:b/>
          <w:sz w:val="24"/>
        </w:rPr>
        <w:t>质疑函制作说明：</w:t>
      </w:r>
    </w:p>
    <w:p w14:paraId="2912A93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B7C98B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F00465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FE28BA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804677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5568FE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81FEB86">
      <w:pPr>
        <w:widowControl/>
        <w:spacing w:line="360" w:lineRule="auto"/>
        <w:ind w:firstLine="600" w:firstLineChars="200"/>
        <w:jc w:val="left"/>
        <w:rPr>
          <w:rFonts w:ascii="宋体" w:hAnsi="宋体" w:cs="宋体"/>
          <w:sz w:val="30"/>
          <w:szCs w:val="30"/>
        </w:rPr>
      </w:pPr>
    </w:p>
    <w:p w14:paraId="0BB4A2A4">
      <w:pPr>
        <w:spacing w:line="360" w:lineRule="auto"/>
        <w:jc w:val="center"/>
        <w:rPr>
          <w:rFonts w:ascii="宋体" w:hAnsi="宋体" w:cs="宋体"/>
          <w:b/>
          <w:spacing w:val="6"/>
          <w:sz w:val="32"/>
          <w:szCs w:val="32"/>
        </w:rPr>
      </w:pPr>
    </w:p>
    <w:p w14:paraId="2DBC8DA4">
      <w:pPr>
        <w:spacing w:line="360" w:lineRule="auto"/>
        <w:jc w:val="center"/>
        <w:rPr>
          <w:rFonts w:ascii="宋体" w:hAnsi="宋体" w:cs="宋体"/>
          <w:b/>
          <w:spacing w:val="6"/>
          <w:sz w:val="32"/>
          <w:szCs w:val="32"/>
        </w:rPr>
      </w:pPr>
    </w:p>
    <w:p w14:paraId="1DB3DB60">
      <w:pPr>
        <w:spacing w:line="360" w:lineRule="auto"/>
        <w:jc w:val="center"/>
        <w:rPr>
          <w:rFonts w:ascii="宋体" w:hAnsi="宋体" w:cs="宋体"/>
          <w:b/>
          <w:spacing w:val="6"/>
          <w:sz w:val="32"/>
          <w:szCs w:val="32"/>
        </w:rPr>
      </w:pPr>
    </w:p>
    <w:p w14:paraId="053CBDD7">
      <w:pPr>
        <w:spacing w:line="360" w:lineRule="auto"/>
        <w:jc w:val="center"/>
        <w:rPr>
          <w:rFonts w:ascii="宋体" w:hAnsi="宋体" w:cs="宋体"/>
          <w:b/>
          <w:spacing w:val="6"/>
          <w:sz w:val="32"/>
          <w:szCs w:val="32"/>
        </w:rPr>
      </w:pPr>
    </w:p>
    <w:p w14:paraId="00D0D7B6">
      <w:pPr>
        <w:spacing w:line="360" w:lineRule="auto"/>
        <w:jc w:val="center"/>
        <w:rPr>
          <w:rFonts w:ascii="宋体" w:hAnsi="宋体" w:cs="宋体"/>
          <w:b/>
          <w:spacing w:val="6"/>
          <w:sz w:val="32"/>
          <w:szCs w:val="32"/>
        </w:rPr>
      </w:pPr>
    </w:p>
    <w:p w14:paraId="6719A639">
      <w:pPr>
        <w:spacing w:line="360" w:lineRule="auto"/>
        <w:jc w:val="center"/>
        <w:rPr>
          <w:rFonts w:ascii="宋体" w:hAnsi="宋体" w:cs="宋体"/>
          <w:b/>
          <w:spacing w:val="6"/>
          <w:sz w:val="32"/>
          <w:szCs w:val="32"/>
        </w:rPr>
      </w:pPr>
    </w:p>
    <w:p w14:paraId="680C6D2F">
      <w:pPr>
        <w:spacing w:line="360" w:lineRule="auto"/>
        <w:jc w:val="center"/>
        <w:rPr>
          <w:rFonts w:ascii="宋体" w:hAnsi="宋体" w:cs="宋体"/>
          <w:b/>
          <w:spacing w:val="6"/>
          <w:sz w:val="32"/>
          <w:szCs w:val="32"/>
        </w:rPr>
      </w:pPr>
    </w:p>
    <w:p w14:paraId="0FA52438">
      <w:pPr>
        <w:spacing w:line="360" w:lineRule="auto"/>
        <w:jc w:val="center"/>
        <w:rPr>
          <w:rFonts w:ascii="宋体" w:hAnsi="宋体" w:cs="宋体"/>
          <w:b/>
          <w:spacing w:val="6"/>
          <w:sz w:val="32"/>
          <w:szCs w:val="32"/>
        </w:rPr>
      </w:pPr>
    </w:p>
    <w:p w14:paraId="52CA2567">
      <w:pPr>
        <w:spacing w:line="360" w:lineRule="auto"/>
        <w:jc w:val="center"/>
        <w:rPr>
          <w:rFonts w:ascii="宋体" w:hAnsi="宋体" w:cs="宋体"/>
          <w:b/>
          <w:spacing w:val="6"/>
          <w:sz w:val="32"/>
          <w:szCs w:val="32"/>
        </w:rPr>
      </w:pPr>
    </w:p>
    <w:p w14:paraId="544807ED">
      <w:pPr>
        <w:spacing w:line="360" w:lineRule="auto"/>
        <w:jc w:val="center"/>
        <w:rPr>
          <w:rFonts w:ascii="宋体" w:hAnsi="宋体" w:cs="宋体"/>
          <w:b/>
          <w:spacing w:val="6"/>
          <w:sz w:val="32"/>
          <w:szCs w:val="32"/>
        </w:rPr>
      </w:pPr>
    </w:p>
    <w:p w14:paraId="76A07937">
      <w:pPr>
        <w:spacing w:line="360" w:lineRule="auto"/>
        <w:jc w:val="center"/>
        <w:rPr>
          <w:rFonts w:ascii="宋体" w:hAnsi="宋体" w:cs="宋体"/>
          <w:b/>
          <w:spacing w:val="6"/>
          <w:sz w:val="32"/>
          <w:szCs w:val="32"/>
        </w:rPr>
      </w:pPr>
    </w:p>
    <w:p w14:paraId="39B6477D">
      <w:pPr>
        <w:spacing w:line="360" w:lineRule="auto"/>
        <w:jc w:val="center"/>
        <w:rPr>
          <w:rFonts w:ascii="宋体" w:hAnsi="宋体" w:cs="宋体"/>
          <w:b/>
          <w:spacing w:val="6"/>
          <w:sz w:val="32"/>
          <w:szCs w:val="32"/>
        </w:rPr>
      </w:pPr>
    </w:p>
    <w:p w14:paraId="23AD1BC6">
      <w:pPr>
        <w:spacing w:line="360" w:lineRule="auto"/>
        <w:jc w:val="left"/>
        <w:rPr>
          <w:rFonts w:ascii="宋体" w:hAnsi="宋体" w:cs="宋体"/>
          <w:b/>
          <w:spacing w:val="6"/>
          <w:sz w:val="32"/>
          <w:szCs w:val="32"/>
        </w:rPr>
      </w:pPr>
    </w:p>
    <w:p w14:paraId="5501C5FE">
      <w:pPr>
        <w:spacing w:line="360" w:lineRule="auto"/>
        <w:jc w:val="left"/>
        <w:rPr>
          <w:rFonts w:ascii="宋体" w:hAnsi="宋体" w:cs="宋体"/>
          <w:b/>
          <w:spacing w:val="6"/>
          <w:sz w:val="32"/>
          <w:szCs w:val="32"/>
        </w:rPr>
      </w:pPr>
    </w:p>
    <w:p w14:paraId="3B24D608">
      <w:pPr>
        <w:autoSpaceDE w:val="0"/>
        <w:autoSpaceDN w:val="0"/>
        <w:jc w:val="left"/>
        <w:rPr>
          <w:rFonts w:ascii="宋体" w:hAnsi="宋体" w:cs="宋体"/>
          <w:b/>
          <w:spacing w:val="6"/>
          <w:sz w:val="32"/>
          <w:szCs w:val="32"/>
        </w:rPr>
      </w:pPr>
      <w:r>
        <w:rPr>
          <w:rFonts w:hint="eastAsia" w:ascii="宋体" w:hAnsi="宋体" w:cs="宋体"/>
          <w:b/>
          <w:spacing w:val="6"/>
          <w:sz w:val="32"/>
          <w:szCs w:val="32"/>
        </w:rPr>
        <w:t>附件2：</w:t>
      </w:r>
    </w:p>
    <w:p w14:paraId="4203F855">
      <w:pPr>
        <w:autoSpaceDE w:val="0"/>
        <w:autoSpaceDN w:val="0"/>
        <w:jc w:val="center"/>
        <w:rPr>
          <w:rFonts w:ascii="宋体" w:hAnsi="宋体" w:cs="宋体"/>
          <w:b/>
          <w:bCs/>
          <w:sz w:val="32"/>
          <w:szCs w:val="32"/>
        </w:rPr>
      </w:pPr>
    </w:p>
    <w:p w14:paraId="3B4B8FAD">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1698B8D6">
      <w:pPr>
        <w:spacing w:line="360" w:lineRule="auto"/>
        <w:rPr>
          <w:rFonts w:ascii="宋体" w:hAnsi="宋体" w:cs="宋体"/>
          <w:sz w:val="24"/>
          <w:u w:val="single"/>
        </w:rPr>
      </w:pPr>
    </w:p>
    <w:p w14:paraId="647CE9FB">
      <w:pPr>
        <w:spacing w:line="360" w:lineRule="auto"/>
        <w:rPr>
          <w:rFonts w:ascii="宋体" w:hAnsi="宋体" w:cs="宋体"/>
          <w:sz w:val="24"/>
        </w:rPr>
      </w:pPr>
      <w:r>
        <w:rPr>
          <w:rFonts w:hint="eastAsia" w:ascii="宋体" w:hAnsi="宋体" w:cs="宋体"/>
          <w:sz w:val="24"/>
          <w:u w:val="single"/>
        </w:rPr>
        <w:t>（交易人）、（采购代理机构）</w:t>
      </w:r>
    </w:p>
    <w:p w14:paraId="38D4046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687D8B6">
      <w:pPr>
        <w:spacing w:line="360" w:lineRule="auto"/>
        <w:ind w:firstLine="480" w:firstLineChars="200"/>
        <w:rPr>
          <w:rFonts w:ascii="宋体" w:hAnsi="宋体" w:cs="宋体"/>
          <w:sz w:val="24"/>
        </w:rPr>
      </w:pPr>
      <w:r>
        <w:rPr>
          <w:rFonts w:hint="eastAsia" w:ascii="宋体" w:hAnsi="宋体" w:cs="宋体"/>
          <w:sz w:val="24"/>
        </w:rPr>
        <w:t>特此说明。</w:t>
      </w:r>
    </w:p>
    <w:p w14:paraId="42B8B7C0">
      <w:pPr>
        <w:spacing w:line="360" w:lineRule="auto"/>
        <w:ind w:firstLine="494"/>
        <w:rPr>
          <w:rFonts w:ascii="宋体" w:hAnsi="宋体" w:cs="宋体"/>
          <w:sz w:val="24"/>
        </w:rPr>
      </w:pPr>
    </w:p>
    <w:p w14:paraId="40454723">
      <w:pPr>
        <w:spacing w:line="360" w:lineRule="auto"/>
        <w:ind w:firstLine="494"/>
        <w:rPr>
          <w:rFonts w:ascii="宋体" w:hAnsi="宋体" w:cs="宋体"/>
          <w:sz w:val="24"/>
        </w:rPr>
      </w:pPr>
    </w:p>
    <w:p w14:paraId="6E947FD2">
      <w:pPr>
        <w:spacing w:line="360" w:lineRule="auto"/>
        <w:ind w:firstLine="494"/>
        <w:rPr>
          <w:rFonts w:ascii="宋体" w:hAnsi="宋体" w:cs="宋体"/>
          <w:sz w:val="24"/>
        </w:rPr>
      </w:pPr>
    </w:p>
    <w:p w14:paraId="4F5EB334">
      <w:pPr>
        <w:spacing w:line="360" w:lineRule="auto"/>
        <w:ind w:firstLine="494"/>
        <w:rPr>
          <w:rFonts w:ascii="宋体" w:hAnsi="宋体" w:cs="宋体"/>
          <w:sz w:val="24"/>
        </w:rPr>
      </w:pPr>
    </w:p>
    <w:p w14:paraId="1563136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37CB41C">
      <w:pPr>
        <w:ind w:right="1440" w:firstLine="494"/>
        <w:jc w:val="center"/>
        <w:rPr>
          <w:rFonts w:ascii="宋体" w:hAnsi="宋体" w:cs="宋体"/>
          <w:sz w:val="24"/>
        </w:rPr>
      </w:pPr>
      <w:r>
        <w:rPr>
          <w:rFonts w:hint="eastAsia" w:ascii="宋体" w:hAnsi="宋体" w:cs="宋体"/>
          <w:sz w:val="24"/>
        </w:rPr>
        <w:t xml:space="preserve">                              日期：       年     月     日</w:t>
      </w:r>
    </w:p>
    <w:p w14:paraId="4D40F25A">
      <w:pPr>
        <w:rPr>
          <w:rFonts w:ascii="宋体" w:hAnsi="宋体" w:cs="宋体"/>
          <w:sz w:val="24"/>
        </w:rPr>
      </w:pPr>
      <w:r>
        <w:rPr>
          <w:rFonts w:hint="eastAsia" w:ascii="宋体" w:hAnsi="宋体" w:cs="宋体"/>
          <w:b/>
          <w:bCs/>
          <w:sz w:val="24"/>
        </w:rPr>
        <w:t>附：</w:t>
      </w:r>
    </w:p>
    <w:p w14:paraId="4450C5B0">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7F2315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77F2315E">
                      <w:pPr>
                        <w:jc w:val="center"/>
                      </w:pPr>
                    </w:p>
                  </w:txbxContent>
                </v:textbox>
              </v:rect>
            </w:pict>
          </mc:Fallback>
        </mc:AlternateContent>
      </w:r>
      <w:r>
        <w:rPr>
          <w:rFonts w:hint="eastAsia" w:ascii="宋体" w:hAnsi="宋体" w:cs="宋体"/>
          <w:sz w:val="24"/>
        </w:rPr>
        <w:t>投标单位法定名称章（印模）                投标单位“XX专用章”（印模）</w:t>
      </w:r>
    </w:p>
    <w:p w14:paraId="3A29F98E">
      <w:pPr>
        <w:autoSpaceDE w:val="0"/>
        <w:autoSpaceDN w:val="0"/>
        <w:jc w:val="center"/>
        <w:rPr>
          <w:rFonts w:ascii="宋体" w:hAnsi="宋体" w:cs="宋体"/>
          <w:b/>
          <w:spacing w:val="6"/>
          <w:sz w:val="32"/>
          <w:szCs w:val="32"/>
        </w:rPr>
      </w:pPr>
    </w:p>
    <w:p w14:paraId="216F47BF">
      <w:pPr>
        <w:autoSpaceDE w:val="0"/>
        <w:autoSpaceDN w:val="0"/>
        <w:jc w:val="center"/>
        <w:rPr>
          <w:rFonts w:ascii="宋体" w:hAnsi="宋体" w:cs="宋体"/>
          <w:b/>
          <w:spacing w:val="6"/>
          <w:sz w:val="32"/>
          <w:szCs w:val="32"/>
        </w:rPr>
      </w:pPr>
    </w:p>
    <w:p w14:paraId="53244BF9">
      <w:pPr>
        <w:autoSpaceDE w:val="0"/>
        <w:autoSpaceDN w:val="0"/>
        <w:jc w:val="center"/>
        <w:rPr>
          <w:rFonts w:ascii="宋体" w:hAnsi="宋体" w:cs="宋体"/>
          <w:b/>
          <w:spacing w:val="6"/>
          <w:sz w:val="32"/>
          <w:szCs w:val="32"/>
        </w:rPr>
      </w:pPr>
    </w:p>
    <w:p w14:paraId="36D6CA6F">
      <w:pPr>
        <w:autoSpaceDE w:val="0"/>
        <w:autoSpaceDN w:val="0"/>
        <w:jc w:val="center"/>
        <w:rPr>
          <w:rFonts w:ascii="宋体" w:hAnsi="宋体" w:cs="宋体"/>
          <w:b/>
          <w:spacing w:val="6"/>
          <w:sz w:val="32"/>
          <w:szCs w:val="32"/>
        </w:rPr>
      </w:pPr>
    </w:p>
    <w:p w14:paraId="1F9FFC99">
      <w:pPr>
        <w:autoSpaceDE w:val="0"/>
        <w:autoSpaceDN w:val="0"/>
        <w:jc w:val="center"/>
        <w:rPr>
          <w:rFonts w:ascii="宋体" w:hAnsi="宋体" w:cs="宋体"/>
          <w:b/>
          <w:spacing w:val="6"/>
          <w:sz w:val="32"/>
          <w:szCs w:val="32"/>
        </w:rPr>
      </w:pPr>
    </w:p>
    <w:p w14:paraId="1FBCBB00">
      <w:pPr>
        <w:autoSpaceDE w:val="0"/>
        <w:autoSpaceDN w:val="0"/>
        <w:jc w:val="center"/>
        <w:rPr>
          <w:rFonts w:ascii="宋体" w:hAnsi="宋体" w:cs="宋体"/>
          <w:b/>
          <w:spacing w:val="6"/>
          <w:sz w:val="32"/>
          <w:szCs w:val="32"/>
        </w:rPr>
      </w:pPr>
    </w:p>
    <w:p w14:paraId="457C311A">
      <w:pPr>
        <w:autoSpaceDE w:val="0"/>
        <w:autoSpaceDN w:val="0"/>
        <w:jc w:val="center"/>
        <w:rPr>
          <w:rFonts w:ascii="宋体" w:hAnsi="宋体" w:cs="宋体"/>
          <w:b/>
          <w:spacing w:val="6"/>
          <w:sz w:val="32"/>
          <w:szCs w:val="32"/>
        </w:rPr>
      </w:pPr>
    </w:p>
    <w:p w14:paraId="7D1691F2">
      <w:pPr>
        <w:autoSpaceDE w:val="0"/>
        <w:autoSpaceDN w:val="0"/>
        <w:jc w:val="center"/>
        <w:rPr>
          <w:rFonts w:ascii="宋体" w:hAnsi="宋体" w:cs="宋体"/>
          <w:b/>
          <w:spacing w:val="6"/>
          <w:sz w:val="32"/>
          <w:szCs w:val="32"/>
        </w:rPr>
      </w:pPr>
    </w:p>
    <w:p w14:paraId="7FC90C8F">
      <w:pPr>
        <w:autoSpaceDE w:val="0"/>
        <w:autoSpaceDN w:val="0"/>
        <w:jc w:val="center"/>
        <w:rPr>
          <w:rFonts w:ascii="宋体" w:hAnsi="宋体" w:cs="宋体"/>
          <w:b/>
          <w:spacing w:val="6"/>
          <w:sz w:val="32"/>
          <w:szCs w:val="32"/>
        </w:rPr>
      </w:pPr>
    </w:p>
    <w:p w14:paraId="455708D4">
      <w:pPr>
        <w:autoSpaceDE w:val="0"/>
        <w:autoSpaceDN w:val="0"/>
        <w:jc w:val="center"/>
        <w:rPr>
          <w:rFonts w:ascii="宋体" w:hAnsi="宋体" w:cs="宋体"/>
          <w:b/>
          <w:spacing w:val="6"/>
          <w:sz w:val="32"/>
          <w:szCs w:val="32"/>
        </w:rPr>
      </w:pPr>
    </w:p>
    <w:p w14:paraId="6C5D58FA">
      <w:pPr>
        <w:autoSpaceDE w:val="0"/>
        <w:autoSpaceDN w:val="0"/>
        <w:jc w:val="center"/>
        <w:rPr>
          <w:rFonts w:ascii="宋体" w:hAnsi="宋体" w:cs="宋体"/>
          <w:b/>
          <w:spacing w:val="6"/>
          <w:sz w:val="32"/>
          <w:szCs w:val="32"/>
        </w:rPr>
      </w:pPr>
    </w:p>
    <w:p w14:paraId="79DC5857">
      <w:pPr>
        <w:autoSpaceDE w:val="0"/>
        <w:autoSpaceDN w:val="0"/>
        <w:jc w:val="center"/>
        <w:rPr>
          <w:rFonts w:ascii="宋体" w:hAnsi="宋体" w:cs="宋体"/>
          <w:b/>
          <w:spacing w:val="6"/>
          <w:sz w:val="32"/>
          <w:szCs w:val="32"/>
        </w:rPr>
      </w:pPr>
    </w:p>
    <w:p w14:paraId="29FAA87D">
      <w:pPr>
        <w:autoSpaceDE w:val="0"/>
        <w:autoSpaceDN w:val="0"/>
        <w:jc w:val="center"/>
        <w:rPr>
          <w:rFonts w:ascii="宋体" w:hAnsi="宋体" w:cs="宋体"/>
          <w:b/>
          <w:spacing w:val="6"/>
          <w:sz w:val="32"/>
          <w:szCs w:val="32"/>
        </w:rPr>
      </w:pPr>
    </w:p>
    <w:p w14:paraId="58A50CEC">
      <w:pPr>
        <w:autoSpaceDE w:val="0"/>
        <w:autoSpaceDN w:val="0"/>
        <w:jc w:val="center"/>
        <w:rPr>
          <w:rFonts w:ascii="宋体" w:hAnsi="宋体" w:cs="宋体"/>
          <w:b/>
          <w:spacing w:val="6"/>
          <w:sz w:val="32"/>
          <w:szCs w:val="32"/>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7D24">
    <w:pPr>
      <w:pStyle w:val="3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6617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E6617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38E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32DA4">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432DA4">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BBF5">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65C5B">
                          <w:pPr>
                            <w:pStyle w:val="3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F765C5B">
                    <w:pPr>
                      <w:pStyle w:val="39"/>
                    </w:pPr>
                    <w:r>
                      <w:fldChar w:fldCharType="begin"/>
                    </w:r>
                    <w:r>
                      <w:instrText xml:space="preserve"> PAGE  \* MERGEFORMAT </w:instrText>
                    </w:r>
                    <w:r>
                      <w:fldChar w:fldCharType="separate"/>
                    </w:r>
                    <w:r>
                      <w:t>19</w:t>
                    </w:r>
                    <w:r>
                      <w:fldChar w:fldCharType="end"/>
                    </w:r>
                  </w:p>
                </w:txbxContent>
              </v:textbox>
            </v:shape>
          </w:pict>
        </mc:Fallback>
      </mc:AlternateContent>
    </w:r>
  </w:p>
  <w:p w14:paraId="0FFAB97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DFE2">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51FF9">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9D51FF9">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6A3226A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FF75">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40790">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3840790">
                    <w:pPr>
                      <w:pStyle w:val="39"/>
                    </w:pPr>
                    <w:r>
                      <w:fldChar w:fldCharType="begin"/>
                    </w:r>
                    <w:r>
                      <w:instrText xml:space="preserve"> PAGE  \* MERGEFORMAT </w:instrText>
                    </w:r>
                    <w:r>
                      <w:fldChar w:fldCharType="separate"/>
                    </w:r>
                    <w:r>
                      <w:t>24</w:t>
                    </w:r>
                    <w:r>
                      <w:fldChar w:fldCharType="end"/>
                    </w:r>
                  </w:p>
                </w:txbxContent>
              </v:textbox>
            </v:shape>
          </w:pict>
        </mc:Fallback>
      </mc:AlternateContent>
    </w:r>
  </w:p>
  <w:p w14:paraId="10EC8F9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FB7E">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43DCB">
                          <w:pPr>
                            <w:pStyle w:val="3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4A43DCB">
                    <w:pPr>
                      <w:pStyle w:val="39"/>
                    </w:pPr>
                    <w:r>
                      <w:fldChar w:fldCharType="begin"/>
                    </w:r>
                    <w:r>
                      <w:instrText xml:space="preserve"> PAGE  \* MERGEFORMAT </w:instrText>
                    </w:r>
                    <w:r>
                      <w:fldChar w:fldCharType="separate"/>
                    </w:r>
                    <w:r>
                      <w:t>22</w:t>
                    </w:r>
                    <w:r>
                      <w:fldChar w:fldCharType="end"/>
                    </w:r>
                  </w:p>
                </w:txbxContent>
              </v:textbox>
            </v:shape>
          </w:pict>
        </mc:Fallback>
      </mc:AlternateContent>
    </w:r>
  </w:p>
  <w:p w14:paraId="5372CB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0CA0">
    <w:pPr>
      <w:pStyle w:val="39"/>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25ED9">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BC25ED9">
                    <w:pPr>
                      <w:pStyle w:val="3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6D4F">
    <w:pPr>
      <w:pStyle w:val="39"/>
      <w:framePr w:wrap="around" w:vAnchor="text" w:hAnchor="margin" w:xAlign="right" w:y="1"/>
      <w:rPr>
        <w:rStyle w:val="74"/>
      </w:rPr>
    </w:pPr>
    <w:r>
      <w:fldChar w:fldCharType="begin"/>
    </w:r>
    <w:r>
      <w:rPr>
        <w:rStyle w:val="74"/>
      </w:rPr>
      <w:instrText xml:space="preserve">PAGE  </w:instrText>
    </w:r>
    <w:r>
      <w:fldChar w:fldCharType="end"/>
    </w:r>
  </w:p>
  <w:p w14:paraId="0C5B6E05">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F7FC">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6F2AC">
                          <w:pPr>
                            <w:pStyle w:val="3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696F2AC">
                    <w:pPr>
                      <w:pStyle w:val="3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773C">
    <w:pPr>
      <w:pStyle w:val="41"/>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754E">
    <w:pPr>
      <w:pStyle w:val="41"/>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82612">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45D04">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49D6">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90D7">
    <w:pPr>
      <w:pStyle w:val="41"/>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lNWFmOWIzMmQzM2NkM2IwMGVlMDhkZmVlMjJkZTEifQ=="/>
    <w:docVar w:name="KSO_WPS_MARK_KEY" w:val="4ff0aa9b-4779-4ceb-9114-0a47e3196f8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867"/>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4F"/>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1C7"/>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D69"/>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3F3"/>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A5A"/>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5E2"/>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7EC"/>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4E6"/>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79C"/>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820"/>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48A"/>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5A9"/>
    <w:rsid w:val="009A7E7C"/>
    <w:rsid w:val="009B05D2"/>
    <w:rsid w:val="009B12A4"/>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E16"/>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128"/>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867"/>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8F6"/>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16E"/>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5CD"/>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6E2698"/>
    <w:rsid w:val="017055D0"/>
    <w:rsid w:val="019F7441"/>
    <w:rsid w:val="01B37585"/>
    <w:rsid w:val="01B5399D"/>
    <w:rsid w:val="01BF6960"/>
    <w:rsid w:val="01D55165"/>
    <w:rsid w:val="01DF6BF8"/>
    <w:rsid w:val="01EC2C57"/>
    <w:rsid w:val="02231601"/>
    <w:rsid w:val="02354BB2"/>
    <w:rsid w:val="025F0711"/>
    <w:rsid w:val="026B2E25"/>
    <w:rsid w:val="02824D4D"/>
    <w:rsid w:val="02833BD7"/>
    <w:rsid w:val="02A039BD"/>
    <w:rsid w:val="02DC4B10"/>
    <w:rsid w:val="02DD76CE"/>
    <w:rsid w:val="02E7016D"/>
    <w:rsid w:val="02F36323"/>
    <w:rsid w:val="02F5619C"/>
    <w:rsid w:val="031528B9"/>
    <w:rsid w:val="03154A32"/>
    <w:rsid w:val="03225385"/>
    <w:rsid w:val="0326446A"/>
    <w:rsid w:val="032C2340"/>
    <w:rsid w:val="032D5555"/>
    <w:rsid w:val="036634D2"/>
    <w:rsid w:val="036C02B0"/>
    <w:rsid w:val="03752B1F"/>
    <w:rsid w:val="037F7267"/>
    <w:rsid w:val="03A21514"/>
    <w:rsid w:val="03DD35E4"/>
    <w:rsid w:val="04076900"/>
    <w:rsid w:val="04137DFA"/>
    <w:rsid w:val="041A5A3B"/>
    <w:rsid w:val="042311BA"/>
    <w:rsid w:val="042B157A"/>
    <w:rsid w:val="0455463B"/>
    <w:rsid w:val="048E51A9"/>
    <w:rsid w:val="048F763B"/>
    <w:rsid w:val="049F330E"/>
    <w:rsid w:val="04AA775C"/>
    <w:rsid w:val="04AF1889"/>
    <w:rsid w:val="04B85F11"/>
    <w:rsid w:val="04EE3F9B"/>
    <w:rsid w:val="04F66F48"/>
    <w:rsid w:val="051E28A6"/>
    <w:rsid w:val="05251E14"/>
    <w:rsid w:val="052615FE"/>
    <w:rsid w:val="05507636"/>
    <w:rsid w:val="056120A1"/>
    <w:rsid w:val="05770BD6"/>
    <w:rsid w:val="05A16594"/>
    <w:rsid w:val="05A7762D"/>
    <w:rsid w:val="05AF6015"/>
    <w:rsid w:val="05BF4603"/>
    <w:rsid w:val="05C04DC2"/>
    <w:rsid w:val="05D40A08"/>
    <w:rsid w:val="05EC6B48"/>
    <w:rsid w:val="060E5941"/>
    <w:rsid w:val="06110FAF"/>
    <w:rsid w:val="06127C3D"/>
    <w:rsid w:val="06362632"/>
    <w:rsid w:val="06493CA7"/>
    <w:rsid w:val="065A6178"/>
    <w:rsid w:val="065F48A2"/>
    <w:rsid w:val="066F1CF3"/>
    <w:rsid w:val="067D59FE"/>
    <w:rsid w:val="067F1859"/>
    <w:rsid w:val="06930BB8"/>
    <w:rsid w:val="06956198"/>
    <w:rsid w:val="06B75798"/>
    <w:rsid w:val="070B051A"/>
    <w:rsid w:val="07180613"/>
    <w:rsid w:val="07245D42"/>
    <w:rsid w:val="07264C62"/>
    <w:rsid w:val="07541052"/>
    <w:rsid w:val="0779354C"/>
    <w:rsid w:val="07D86292"/>
    <w:rsid w:val="07FE18F3"/>
    <w:rsid w:val="08061376"/>
    <w:rsid w:val="08452D77"/>
    <w:rsid w:val="085349C5"/>
    <w:rsid w:val="085602B5"/>
    <w:rsid w:val="086401F8"/>
    <w:rsid w:val="08751CAA"/>
    <w:rsid w:val="087E4C40"/>
    <w:rsid w:val="08A871D0"/>
    <w:rsid w:val="08D66AD6"/>
    <w:rsid w:val="08DA33A3"/>
    <w:rsid w:val="08E80F13"/>
    <w:rsid w:val="09335624"/>
    <w:rsid w:val="0944690F"/>
    <w:rsid w:val="09535675"/>
    <w:rsid w:val="095F057D"/>
    <w:rsid w:val="09631A49"/>
    <w:rsid w:val="09642282"/>
    <w:rsid w:val="09733572"/>
    <w:rsid w:val="09772C16"/>
    <w:rsid w:val="098353B5"/>
    <w:rsid w:val="09A92330"/>
    <w:rsid w:val="09B06B87"/>
    <w:rsid w:val="09B43535"/>
    <w:rsid w:val="09C13146"/>
    <w:rsid w:val="09E04166"/>
    <w:rsid w:val="09E35DAD"/>
    <w:rsid w:val="0A0B4F7B"/>
    <w:rsid w:val="0A1C0718"/>
    <w:rsid w:val="0A3E7710"/>
    <w:rsid w:val="0A5B7E63"/>
    <w:rsid w:val="0A6431C6"/>
    <w:rsid w:val="0A782765"/>
    <w:rsid w:val="0A980E78"/>
    <w:rsid w:val="0AA374A5"/>
    <w:rsid w:val="0AAB7649"/>
    <w:rsid w:val="0AAF5E89"/>
    <w:rsid w:val="0AB86C5C"/>
    <w:rsid w:val="0ABC5606"/>
    <w:rsid w:val="0AC42692"/>
    <w:rsid w:val="0AC47E94"/>
    <w:rsid w:val="0AD663AB"/>
    <w:rsid w:val="0ADE3108"/>
    <w:rsid w:val="0ADF4EB4"/>
    <w:rsid w:val="0AEE75C3"/>
    <w:rsid w:val="0B0F74C5"/>
    <w:rsid w:val="0B30404E"/>
    <w:rsid w:val="0B4C6C14"/>
    <w:rsid w:val="0B631A88"/>
    <w:rsid w:val="0B631FF5"/>
    <w:rsid w:val="0B683D45"/>
    <w:rsid w:val="0B75728C"/>
    <w:rsid w:val="0B76461B"/>
    <w:rsid w:val="0B7F3F11"/>
    <w:rsid w:val="0B884417"/>
    <w:rsid w:val="0BBD169E"/>
    <w:rsid w:val="0BE71621"/>
    <w:rsid w:val="0BF6188C"/>
    <w:rsid w:val="0BF73C91"/>
    <w:rsid w:val="0C0A711D"/>
    <w:rsid w:val="0C170175"/>
    <w:rsid w:val="0C571A41"/>
    <w:rsid w:val="0C5C1171"/>
    <w:rsid w:val="0C5E1CBC"/>
    <w:rsid w:val="0C615B50"/>
    <w:rsid w:val="0C8445DA"/>
    <w:rsid w:val="0C87121B"/>
    <w:rsid w:val="0CC007F7"/>
    <w:rsid w:val="0CC617AC"/>
    <w:rsid w:val="0CC95944"/>
    <w:rsid w:val="0CEC143D"/>
    <w:rsid w:val="0CFE707A"/>
    <w:rsid w:val="0D063BDA"/>
    <w:rsid w:val="0D08375F"/>
    <w:rsid w:val="0D086357"/>
    <w:rsid w:val="0D184CFB"/>
    <w:rsid w:val="0D1C1CB4"/>
    <w:rsid w:val="0D3D3B60"/>
    <w:rsid w:val="0D4A7419"/>
    <w:rsid w:val="0D616980"/>
    <w:rsid w:val="0D710184"/>
    <w:rsid w:val="0D827401"/>
    <w:rsid w:val="0D84094E"/>
    <w:rsid w:val="0D8A00E9"/>
    <w:rsid w:val="0D8D589E"/>
    <w:rsid w:val="0D95362E"/>
    <w:rsid w:val="0DA01C73"/>
    <w:rsid w:val="0DD63300"/>
    <w:rsid w:val="0DF50604"/>
    <w:rsid w:val="0DF702FE"/>
    <w:rsid w:val="0E060E51"/>
    <w:rsid w:val="0E0A5DCA"/>
    <w:rsid w:val="0E1417C1"/>
    <w:rsid w:val="0E19600D"/>
    <w:rsid w:val="0E373674"/>
    <w:rsid w:val="0E3966AF"/>
    <w:rsid w:val="0E497E38"/>
    <w:rsid w:val="0E5604B2"/>
    <w:rsid w:val="0E572551"/>
    <w:rsid w:val="0E6D5D79"/>
    <w:rsid w:val="0E71687C"/>
    <w:rsid w:val="0E7321E8"/>
    <w:rsid w:val="0E7872AF"/>
    <w:rsid w:val="0E9D0089"/>
    <w:rsid w:val="0EB803EE"/>
    <w:rsid w:val="0ECA3B86"/>
    <w:rsid w:val="0EDF62A7"/>
    <w:rsid w:val="0EF94D4B"/>
    <w:rsid w:val="0F0B13B6"/>
    <w:rsid w:val="0F182768"/>
    <w:rsid w:val="0F446008"/>
    <w:rsid w:val="0F4958DC"/>
    <w:rsid w:val="0F515DF7"/>
    <w:rsid w:val="0F546D8C"/>
    <w:rsid w:val="0F596BA8"/>
    <w:rsid w:val="0F5E3A6B"/>
    <w:rsid w:val="0F6248D2"/>
    <w:rsid w:val="0F635421"/>
    <w:rsid w:val="0F693536"/>
    <w:rsid w:val="0F751E56"/>
    <w:rsid w:val="0F7B0511"/>
    <w:rsid w:val="0F7B76D9"/>
    <w:rsid w:val="0F816ACD"/>
    <w:rsid w:val="0F9832DB"/>
    <w:rsid w:val="0FBF3FD2"/>
    <w:rsid w:val="0FBF7FF3"/>
    <w:rsid w:val="0FCF086E"/>
    <w:rsid w:val="0FCF1C32"/>
    <w:rsid w:val="0FD054CB"/>
    <w:rsid w:val="0FDA406B"/>
    <w:rsid w:val="0FE4264A"/>
    <w:rsid w:val="0FEA2AFE"/>
    <w:rsid w:val="0FFC3E38"/>
    <w:rsid w:val="10646583"/>
    <w:rsid w:val="10686720"/>
    <w:rsid w:val="1077526D"/>
    <w:rsid w:val="107D4B15"/>
    <w:rsid w:val="108300B5"/>
    <w:rsid w:val="10841832"/>
    <w:rsid w:val="108A3C80"/>
    <w:rsid w:val="10C20BDE"/>
    <w:rsid w:val="10C26171"/>
    <w:rsid w:val="10D74432"/>
    <w:rsid w:val="10DC700E"/>
    <w:rsid w:val="10DD5ABC"/>
    <w:rsid w:val="10E07A23"/>
    <w:rsid w:val="10F33360"/>
    <w:rsid w:val="10F4083A"/>
    <w:rsid w:val="10FC16EA"/>
    <w:rsid w:val="110F1D40"/>
    <w:rsid w:val="11266F33"/>
    <w:rsid w:val="118963A1"/>
    <w:rsid w:val="11A62FDE"/>
    <w:rsid w:val="11B147AE"/>
    <w:rsid w:val="11B94EEB"/>
    <w:rsid w:val="11C2407B"/>
    <w:rsid w:val="11C6522A"/>
    <w:rsid w:val="11E104CC"/>
    <w:rsid w:val="11E20309"/>
    <w:rsid w:val="11E430E4"/>
    <w:rsid w:val="11FD3133"/>
    <w:rsid w:val="12255233"/>
    <w:rsid w:val="122D6B2D"/>
    <w:rsid w:val="12530213"/>
    <w:rsid w:val="12662CA5"/>
    <w:rsid w:val="127433EF"/>
    <w:rsid w:val="127723A9"/>
    <w:rsid w:val="12862074"/>
    <w:rsid w:val="12883966"/>
    <w:rsid w:val="129E45B4"/>
    <w:rsid w:val="12D21374"/>
    <w:rsid w:val="12D81596"/>
    <w:rsid w:val="12E812AE"/>
    <w:rsid w:val="12F369CC"/>
    <w:rsid w:val="13072A44"/>
    <w:rsid w:val="131A1B7F"/>
    <w:rsid w:val="13314778"/>
    <w:rsid w:val="135F4BE2"/>
    <w:rsid w:val="136A730B"/>
    <w:rsid w:val="13833AA0"/>
    <w:rsid w:val="138C2BBB"/>
    <w:rsid w:val="13913864"/>
    <w:rsid w:val="13972729"/>
    <w:rsid w:val="139B1A0A"/>
    <w:rsid w:val="139D25C7"/>
    <w:rsid w:val="13B251F2"/>
    <w:rsid w:val="13BF3CE4"/>
    <w:rsid w:val="13F84916"/>
    <w:rsid w:val="141008D8"/>
    <w:rsid w:val="14125FE6"/>
    <w:rsid w:val="1419630E"/>
    <w:rsid w:val="14500381"/>
    <w:rsid w:val="146D271E"/>
    <w:rsid w:val="14756348"/>
    <w:rsid w:val="147C605C"/>
    <w:rsid w:val="14982588"/>
    <w:rsid w:val="149A5AD9"/>
    <w:rsid w:val="14A7619D"/>
    <w:rsid w:val="14D03112"/>
    <w:rsid w:val="14F25B02"/>
    <w:rsid w:val="14FD58E1"/>
    <w:rsid w:val="150536C3"/>
    <w:rsid w:val="15095AC8"/>
    <w:rsid w:val="150C1963"/>
    <w:rsid w:val="151447A0"/>
    <w:rsid w:val="154A6454"/>
    <w:rsid w:val="15762120"/>
    <w:rsid w:val="15B704CB"/>
    <w:rsid w:val="15C14BFB"/>
    <w:rsid w:val="15F5359F"/>
    <w:rsid w:val="15F56AC3"/>
    <w:rsid w:val="1608540D"/>
    <w:rsid w:val="16113A63"/>
    <w:rsid w:val="16204A74"/>
    <w:rsid w:val="1675224E"/>
    <w:rsid w:val="16A8729C"/>
    <w:rsid w:val="16B33777"/>
    <w:rsid w:val="16BC70A7"/>
    <w:rsid w:val="16C6339E"/>
    <w:rsid w:val="16C730F7"/>
    <w:rsid w:val="16D6012D"/>
    <w:rsid w:val="16E81DEE"/>
    <w:rsid w:val="16FE2244"/>
    <w:rsid w:val="170D692B"/>
    <w:rsid w:val="172F2D79"/>
    <w:rsid w:val="17557BEF"/>
    <w:rsid w:val="17604FC4"/>
    <w:rsid w:val="177E2113"/>
    <w:rsid w:val="17852075"/>
    <w:rsid w:val="17BF493D"/>
    <w:rsid w:val="17D349C1"/>
    <w:rsid w:val="181D4C2E"/>
    <w:rsid w:val="182201B4"/>
    <w:rsid w:val="1830729E"/>
    <w:rsid w:val="18316649"/>
    <w:rsid w:val="185134E3"/>
    <w:rsid w:val="185C5B9E"/>
    <w:rsid w:val="1860524D"/>
    <w:rsid w:val="1870062C"/>
    <w:rsid w:val="187F6930"/>
    <w:rsid w:val="18817102"/>
    <w:rsid w:val="18830A15"/>
    <w:rsid w:val="1885277C"/>
    <w:rsid w:val="18852B28"/>
    <w:rsid w:val="188B5043"/>
    <w:rsid w:val="188B5321"/>
    <w:rsid w:val="188E4A99"/>
    <w:rsid w:val="18940551"/>
    <w:rsid w:val="189F40D7"/>
    <w:rsid w:val="18AB5E89"/>
    <w:rsid w:val="18BC14C5"/>
    <w:rsid w:val="18E04A25"/>
    <w:rsid w:val="18EE574D"/>
    <w:rsid w:val="190A0F56"/>
    <w:rsid w:val="19341F4D"/>
    <w:rsid w:val="194C79FC"/>
    <w:rsid w:val="196162C5"/>
    <w:rsid w:val="196273C8"/>
    <w:rsid w:val="19932372"/>
    <w:rsid w:val="19A20DD5"/>
    <w:rsid w:val="19A31AFE"/>
    <w:rsid w:val="19AE03F1"/>
    <w:rsid w:val="19D16EBE"/>
    <w:rsid w:val="19D515D6"/>
    <w:rsid w:val="19EE70BA"/>
    <w:rsid w:val="19F60106"/>
    <w:rsid w:val="1A071A03"/>
    <w:rsid w:val="1A1F16AE"/>
    <w:rsid w:val="1A3B5C77"/>
    <w:rsid w:val="1A7C336C"/>
    <w:rsid w:val="1A7D566B"/>
    <w:rsid w:val="1A823DD7"/>
    <w:rsid w:val="1A984BAD"/>
    <w:rsid w:val="1AB8220E"/>
    <w:rsid w:val="1ABA17ED"/>
    <w:rsid w:val="1AE00A2F"/>
    <w:rsid w:val="1AE4166C"/>
    <w:rsid w:val="1AEE25CF"/>
    <w:rsid w:val="1AF06CFB"/>
    <w:rsid w:val="1AF11B8D"/>
    <w:rsid w:val="1AFD2812"/>
    <w:rsid w:val="1B11359C"/>
    <w:rsid w:val="1B2A271F"/>
    <w:rsid w:val="1B404F30"/>
    <w:rsid w:val="1B486183"/>
    <w:rsid w:val="1B530544"/>
    <w:rsid w:val="1B5665D7"/>
    <w:rsid w:val="1B6C383F"/>
    <w:rsid w:val="1B713184"/>
    <w:rsid w:val="1B825FBC"/>
    <w:rsid w:val="1BA209CF"/>
    <w:rsid w:val="1BB4777D"/>
    <w:rsid w:val="1BD75AB8"/>
    <w:rsid w:val="1BE22A26"/>
    <w:rsid w:val="1BFC757B"/>
    <w:rsid w:val="1C0459C2"/>
    <w:rsid w:val="1C0E52F2"/>
    <w:rsid w:val="1C1B3B4A"/>
    <w:rsid w:val="1C4306F9"/>
    <w:rsid w:val="1C733010"/>
    <w:rsid w:val="1C760A04"/>
    <w:rsid w:val="1C88086E"/>
    <w:rsid w:val="1C8F7AB9"/>
    <w:rsid w:val="1CA4563B"/>
    <w:rsid w:val="1CC47A8B"/>
    <w:rsid w:val="1CD777BF"/>
    <w:rsid w:val="1D0D1432"/>
    <w:rsid w:val="1D1E1A2C"/>
    <w:rsid w:val="1D266CE1"/>
    <w:rsid w:val="1D3963AF"/>
    <w:rsid w:val="1D4216A0"/>
    <w:rsid w:val="1D553591"/>
    <w:rsid w:val="1D6A673C"/>
    <w:rsid w:val="1D9247AE"/>
    <w:rsid w:val="1D9A1F5B"/>
    <w:rsid w:val="1D9F335C"/>
    <w:rsid w:val="1DA36519"/>
    <w:rsid w:val="1DB567EC"/>
    <w:rsid w:val="1DB754A5"/>
    <w:rsid w:val="1DCC3A00"/>
    <w:rsid w:val="1DDC3C09"/>
    <w:rsid w:val="1DF51A98"/>
    <w:rsid w:val="1DFE2663"/>
    <w:rsid w:val="1E0F2F88"/>
    <w:rsid w:val="1E116D00"/>
    <w:rsid w:val="1E264716"/>
    <w:rsid w:val="1E3D060F"/>
    <w:rsid w:val="1E3E0893"/>
    <w:rsid w:val="1E3F7D2E"/>
    <w:rsid w:val="1E4134E4"/>
    <w:rsid w:val="1E5062B3"/>
    <w:rsid w:val="1E523514"/>
    <w:rsid w:val="1E5D45D2"/>
    <w:rsid w:val="1E6E7EF3"/>
    <w:rsid w:val="1E714A66"/>
    <w:rsid w:val="1E780D78"/>
    <w:rsid w:val="1E802593"/>
    <w:rsid w:val="1E8168D0"/>
    <w:rsid w:val="1E8B6156"/>
    <w:rsid w:val="1EA703CC"/>
    <w:rsid w:val="1EB7330C"/>
    <w:rsid w:val="1ECC428E"/>
    <w:rsid w:val="1EE546FA"/>
    <w:rsid w:val="1EFC401D"/>
    <w:rsid w:val="1F0A0FF3"/>
    <w:rsid w:val="1F142018"/>
    <w:rsid w:val="1F5771FF"/>
    <w:rsid w:val="1FE3088A"/>
    <w:rsid w:val="1FE310D2"/>
    <w:rsid w:val="1FE868A9"/>
    <w:rsid w:val="20034907"/>
    <w:rsid w:val="20173E4B"/>
    <w:rsid w:val="204E48BC"/>
    <w:rsid w:val="208921B3"/>
    <w:rsid w:val="2093370A"/>
    <w:rsid w:val="20973DEB"/>
    <w:rsid w:val="20A121E7"/>
    <w:rsid w:val="20B26522"/>
    <w:rsid w:val="20B34C6B"/>
    <w:rsid w:val="20B44310"/>
    <w:rsid w:val="20BA4FDC"/>
    <w:rsid w:val="20DF1008"/>
    <w:rsid w:val="211116EB"/>
    <w:rsid w:val="211E01F0"/>
    <w:rsid w:val="216133FC"/>
    <w:rsid w:val="21634E12"/>
    <w:rsid w:val="216E35B9"/>
    <w:rsid w:val="218944CA"/>
    <w:rsid w:val="21BE09A7"/>
    <w:rsid w:val="21C15436"/>
    <w:rsid w:val="21D56769"/>
    <w:rsid w:val="21D62C50"/>
    <w:rsid w:val="21E52EF3"/>
    <w:rsid w:val="21FB5D7B"/>
    <w:rsid w:val="220B1C3D"/>
    <w:rsid w:val="221D1D20"/>
    <w:rsid w:val="22334A87"/>
    <w:rsid w:val="224D01B6"/>
    <w:rsid w:val="226338A3"/>
    <w:rsid w:val="2291225D"/>
    <w:rsid w:val="22B24A96"/>
    <w:rsid w:val="22BE6801"/>
    <w:rsid w:val="22C31167"/>
    <w:rsid w:val="23113F1A"/>
    <w:rsid w:val="233500BF"/>
    <w:rsid w:val="23377FF7"/>
    <w:rsid w:val="234B0C3C"/>
    <w:rsid w:val="236B425F"/>
    <w:rsid w:val="23735C1A"/>
    <w:rsid w:val="23836192"/>
    <w:rsid w:val="23901F29"/>
    <w:rsid w:val="239C0061"/>
    <w:rsid w:val="23B908A4"/>
    <w:rsid w:val="23DD1015"/>
    <w:rsid w:val="23E26AF1"/>
    <w:rsid w:val="23E95BEF"/>
    <w:rsid w:val="23FD0064"/>
    <w:rsid w:val="241D6B0D"/>
    <w:rsid w:val="24241552"/>
    <w:rsid w:val="244C1636"/>
    <w:rsid w:val="245375B0"/>
    <w:rsid w:val="24642C0A"/>
    <w:rsid w:val="24676C52"/>
    <w:rsid w:val="24884A02"/>
    <w:rsid w:val="24900AE8"/>
    <w:rsid w:val="249307DC"/>
    <w:rsid w:val="24B22173"/>
    <w:rsid w:val="24B8013A"/>
    <w:rsid w:val="24B95AD9"/>
    <w:rsid w:val="24BE24DA"/>
    <w:rsid w:val="24C04D3E"/>
    <w:rsid w:val="24CF5825"/>
    <w:rsid w:val="24D252AE"/>
    <w:rsid w:val="24D663E6"/>
    <w:rsid w:val="24D77F2B"/>
    <w:rsid w:val="24DD40AA"/>
    <w:rsid w:val="24F353B2"/>
    <w:rsid w:val="25006F8E"/>
    <w:rsid w:val="250143DC"/>
    <w:rsid w:val="254F52B1"/>
    <w:rsid w:val="256B043E"/>
    <w:rsid w:val="258B00E2"/>
    <w:rsid w:val="258E062F"/>
    <w:rsid w:val="25902C01"/>
    <w:rsid w:val="25A01259"/>
    <w:rsid w:val="25A34E23"/>
    <w:rsid w:val="25A917A6"/>
    <w:rsid w:val="25BE27CC"/>
    <w:rsid w:val="25BE4B2C"/>
    <w:rsid w:val="25C44658"/>
    <w:rsid w:val="25DE1BBE"/>
    <w:rsid w:val="25E92F53"/>
    <w:rsid w:val="25F72724"/>
    <w:rsid w:val="25F74A5C"/>
    <w:rsid w:val="2628662C"/>
    <w:rsid w:val="262D45DE"/>
    <w:rsid w:val="26321F0A"/>
    <w:rsid w:val="26336919"/>
    <w:rsid w:val="264542D6"/>
    <w:rsid w:val="264E3031"/>
    <w:rsid w:val="266E6AE8"/>
    <w:rsid w:val="26871DC8"/>
    <w:rsid w:val="26995227"/>
    <w:rsid w:val="26A06E73"/>
    <w:rsid w:val="26A53EF9"/>
    <w:rsid w:val="26A94201"/>
    <w:rsid w:val="26AC274F"/>
    <w:rsid w:val="26BC17D3"/>
    <w:rsid w:val="27044A29"/>
    <w:rsid w:val="271D34C8"/>
    <w:rsid w:val="2724317A"/>
    <w:rsid w:val="272F6449"/>
    <w:rsid w:val="276142BF"/>
    <w:rsid w:val="27783712"/>
    <w:rsid w:val="27907362"/>
    <w:rsid w:val="27947C38"/>
    <w:rsid w:val="279B7084"/>
    <w:rsid w:val="27A973E8"/>
    <w:rsid w:val="280D353B"/>
    <w:rsid w:val="28133675"/>
    <w:rsid w:val="281F77FC"/>
    <w:rsid w:val="28333E1D"/>
    <w:rsid w:val="28454BD6"/>
    <w:rsid w:val="28455253"/>
    <w:rsid w:val="2849353B"/>
    <w:rsid w:val="28551971"/>
    <w:rsid w:val="285B1C53"/>
    <w:rsid w:val="289F7086"/>
    <w:rsid w:val="28C32028"/>
    <w:rsid w:val="28CC490F"/>
    <w:rsid w:val="28DE40AA"/>
    <w:rsid w:val="29345E77"/>
    <w:rsid w:val="293E5ED7"/>
    <w:rsid w:val="29432FFD"/>
    <w:rsid w:val="29453CBE"/>
    <w:rsid w:val="294C65AD"/>
    <w:rsid w:val="296C60AB"/>
    <w:rsid w:val="297B318B"/>
    <w:rsid w:val="29806583"/>
    <w:rsid w:val="298B3C4C"/>
    <w:rsid w:val="29971261"/>
    <w:rsid w:val="29F26D24"/>
    <w:rsid w:val="2A15033F"/>
    <w:rsid w:val="2A1662C1"/>
    <w:rsid w:val="2A1C7367"/>
    <w:rsid w:val="2A2815FA"/>
    <w:rsid w:val="2A426494"/>
    <w:rsid w:val="2A554D17"/>
    <w:rsid w:val="2A6D6092"/>
    <w:rsid w:val="2A7D76B4"/>
    <w:rsid w:val="2A841E7E"/>
    <w:rsid w:val="2A9F114D"/>
    <w:rsid w:val="2ABD39C5"/>
    <w:rsid w:val="2ACA1E50"/>
    <w:rsid w:val="2AE12546"/>
    <w:rsid w:val="2AEE1B3B"/>
    <w:rsid w:val="2AF47F2E"/>
    <w:rsid w:val="2B1F7EA1"/>
    <w:rsid w:val="2B437463"/>
    <w:rsid w:val="2B4D3EED"/>
    <w:rsid w:val="2B7807EE"/>
    <w:rsid w:val="2B9222BE"/>
    <w:rsid w:val="2BA50BF7"/>
    <w:rsid w:val="2BBF00EC"/>
    <w:rsid w:val="2BC37CFD"/>
    <w:rsid w:val="2BD5237F"/>
    <w:rsid w:val="2BD5698B"/>
    <w:rsid w:val="2BE536CE"/>
    <w:rsid w:val="2BE758D9"/>
    <w:rsid w:val="2BEA7DD3"/>
    <w:rsid w:val="2C09049E"/>
    <w:rsid w:val="2C0A653C"/>
    <w:rsid w:val="2C1208F5"/>
    <w:rsid w:val="2C191F85"/>
    <w:rsid w:val="2C251BC9"/>
    <w:rsid w:val="2C767170"/>
    <w:rsid w:val="2C9A4365"/>
    <w:rsid w:val="2CD535EF"/>
    <w:rsid w:val="2CE82D6F"/>
    <w:rsid w:val="2D2216DE"/>
    <w:rsid w:val="2D343236"/>
    <w:rsid w:val="2D5C59D6"/>
    <w:rsid w:val="2D751EAD"/>
    <w:rsid w:val="2D8C0DAB"/>
    <w:rsid w:val="2D9A4A31"/>
    <w:rsid w:val="2DD15014"/>
    <w:rsid w:val="2DE802CF"/>
    <w:rsid w:val="2DEE6374"/>
    <w:rsid w:val="2DF72DE4"/>
    <w:rsid w:val="2E0220AF"/>
    <w:rsid w:val="2E4B082A"/>
    <w:rsid w:val="2E4E72C7"/>
    <w:rsid w:val="2E5D4E86"/>
    <w:rsid w:val="2E5D790B"/>
    <w:rsid w:val="2E7479C0"/>
    <w:rsid w:val="2E776A61"/>
    <w:rsid w:val="2E7A2AEB"/>
    <w:rsid w:val="2E9A3C18"/>
    <w:rsid w:val="2E9D2BF1"/>
    <w:rsid w:val="2E9D638E"/>
    <w:rsid w:val="2EB249D3"/>
    <w:rsid w:val="2EBB0FEE"/>
    <w:rsid w:val="2EBD63E4"/>
    <w:rsid w:val="2EC63002"/>
    <w:rsid w:val="2EDA313F"/>
    <w:rsid w:val="2EE349EB"/>
    <w:rsid w:val="2F064D1A"/>
    <w:rsid w:val="2F0A6B38"/>
    <w:rsid w:val="2F0E78D3"/>
    <w:rsid w:val="2F1819BF"/>
    <w:rsid w:val="2F1D5AEE"/>
    <w:rsid w:val="2F1E6340"/>
    <w:rsid w:val="2F3D5CCF"/>
    <w:rsid w:val="2F683F29"/>
    <w:rsid w:val="2F7013AD"/>
    <w:rsid w:val="2F920A3A"/>
    <w:rsid w:val="2F946CCB"/>
    <w:rsid w:val="2F9E57CA"/>
    <w:rsid w:val="2FD25781"/>
    <w:rsid w:val="2FF346DE"/>
    <w:rsid w:val="2FFD7934"/>
    <w:rsid w:val="2FFE2E5D"/>
    <w:rsid w:val="30256393"/>
    <w:rsid w:val="30623E23"/>
    <w:rsid w:val="30733ACD"/>
    <w:rsid w:val="308C3862"/>
    <w:rsid w:val="309379D8"/>
    <w:rsid w:val="30A270F7"/>
    <w:rsid w:val="30B2684A"/>
    <w:rsid w:val="30DF1478"/>
    <w:rsid w:val="30EA055D"/>
    <w:rsid w:val="30EC586F"/>
    <w:rsid w:val="30F8334B"/>
    <w:rsid w:val="31311FBE"/>
    <w:rsid w:val="31377457"/>
    <w:rsid w:val="3152233D"/>
    <w:rsid w:val="31943F2B"/>
    <w:rsid w:val="319C6071"/>
    <w:rsid w:val="31AC537E"/>
    <w:rsid w:val="31B420C4"/>
    <w:rsid w:val="31B82C24"/>
    <w:rsid w:val="31C549B6"/>
    <w:rsid w:val="31D00487"/>
    <w:rsid w:val="31E3679B"/>
    <w:rsid w:val="31E732FD"/>
    <w:rsid w:val="322C1F03"/>
    <w:rsid w:val="323116EF"/>
    <w:rsid w:val="324C0959"/>
    <w:rsid w:val="32517576"/>
    <w:rsid w:val="3262346C"/>
    <w:rsid w:val="32831AC5"/>
    <w:rsid w:val="32A64673"/>
    <w:rsid w:val="32BE5C2C"/>
    <w:rsid w:val="32D67DFA"/>
    <w:rsid w:val="32E41F6D"/>
    <w:rsid w:val="32FB6478"/>
    <w:rsid w:val="33070D36"/>
    <w:rsid w:val="331A52E9"/>
    <w:rsid w:val="331E793D"/>
    <w:rsid w:val="33263B3F"/>
    <w:rsid w:val="333463C7"/>
    <w:rsid w:val="336963EB"/>
    <w:rsid w:val="33740CD3"/>
    <w:rsid w:val="33816EEB"/>
    <w:rsid w:val="338863E7"/>
    <w:rsid w:val="33981EC5"/>
    <w:rsid w:val="33C34B98"/>
    <w:rsid w:val="33CC29B3"/>
    <w:rsid w:val="33D377CA"/>
    <w:rsid w:val="33EB55CD"/>
    <w:rsid w:val="33EC4C02"/>
    <w:rsid w:val="33F66F9D"/>
    <w:rsid w:val="340D2360"/>
    <w:rsid w:val="3410665D"/>
    <w:rsid w:val="341449FD"/>
    <w:rsid w:val="34164A18"/>
    <w:rsid w:val="34211214"/>
    <w:rsid w:val="342E63AB"/>
    <w:rsid w:val="34653DBB"/>
    <w:rsid w:val="346E6803"/>
    <w:rsid w:val="34950E68"/>
    <w:rsid w:val="34986E94"/>
    <w:rsid w:val="34AF62C9"/>
    <w:rsid w:val="34CB4388"/>
    <w:rsid w:val="34FA6E12"/>
    <w:rsid w:val="350651EC"/>
    <w:rsid w:val="3509229B"/>
    <w:rsid w:val="354D7158"/>
    <w:rsid w:val="358D5588"/>
    <w:rsid w:val="359F7395"/>
    <w:rsid w:val="36136070"/>
    <w:rsid w:val="363A3B40"/>
    <w:rsid w:val="365302AE"/>
    <w:rsid w:val="36607A0A"/>
    <w:rsid w:val="366D6354"/>
    <w:rsid w:val="366E227C"/>
    <w:rsid w:val="366F2E0D"/>
    <w:rsid w:val="367479D5"/>
    <w:rsid w:val="367B6A5C"/>
    <w:rsid w:val="368F0A4A"/>
    <w:rsid w:val="36A74ADA"/>
    <w:rsid w:val="36AD60D5"/>
    <w:rsid w:val="36B224F9"/>
    <w:rsid w:val="36C35BE4"/>
    <w:rsid w:val="36D57215"/>
    <w:rsid w:val="36E7464B"/>
    <w:rsid w:val="36E763F9"/>
    <w:rsid w:val="36EC0CC9"/>
    <w:rsid w:val="372C4D60"/>
    <w:rsid w:val="37390A8E"/>
    <w:rsid w:val="373F410B"/>
    <w:rsid w:val="37BD1A5A"/>
    <w:rsid w:val="37EE7094"/>
    <w:rsid w:val="37F50B08"/>
    <w:rsid w:val="37FB5813"/>
    <w:rsid w:val="381E14A6"/>
    <w:rsid w:val="38266AD2"/>
    <w:rsid w:val="38296C89"/>
    <w:rsid w:val="383002EB"/>
    <w:rsid w:val="38586797"/>
    <w:rsid w:val="38740160"/>
    <w:rsid w:val="3882287D"/>
    <w:rsid w:val="388834D5"/>
    <w:rsid w:val="388843DC"/>
    <w:rsid w:val="38BC0149"/>
    <w:rsid w:val="38C2674E"/>
    <w:rsid w:val="38C93665"/>
    <w:rsid w:val="38D87D1C"/>
    <w:rsid w:val="38FC217E"/>
    <w:rsid w:val="38FE3E4C"/>
    <w:rsid w:val="391F535F"/>
    <w:rsid w:val="394474B9"/>
    <w:rsid w:val="39636459"/>
    <w:rsid w:val="396B7F6C"/>
    <w:rsid w:val="396F72C9"/>
    <w:rsid w:val="39B417A9"/>
    <w:rsid w:val="39B555DC"/>
    <w:rsid w:val="39BF788E"/>
    <w:rsid w:val="39D37108"/>
    <w:rsid w:val="39F5707E"/>
    <w:rsid w:val="39FC5695"/>
    <w:rsid w:val="39FE23D7"/>
    <w:rsid w:val="3A006D8E"/>
    <w:rsid w:val="3A08284D"/>
    <w:rsid w:val="3A163157"/>
    <w:rsid w:val="3A272EEA"/>
    <w:rsid w:val="3A3651E5"/>
    <w:rsid w:val="3A4E2342"/>
    <w:rsid w:val="3A5F6380"/>
    <w:rsid w:val="3A654204"/>
    <w:rsid w:val="3A744481"/>
    <w:rsid w:val="3A8C7BEF"/>
    <w:rsid w:val="3A906246"/>
    <w:rsid w:val="3ADB6274"/>
    <w:rsid w:val="3B01669F"/>
    <w:rsid w:val="3B0B2B3F"/>
    <w:rsid w:val="3B190B4B"/>
    <w:rsid w:val="3B2349B7"/>
    <w:rsid w:val="3B2C626B"/>
    <w:rsid w:val="3B616CFF"/>
    <w:rsid w:val="3B6259F6"/>
    <w:rsid w:val="3B815CB3"/>
    <w:rsid w:val="3B954675"/>
    <w:rsid w:val="3B976654"/>
    <w:rsid w:val="3BAD7986"/>
    <w:rsid w:val="3BC01EFC"/>
    <w:rsid w:val="3BCA786A"/>
    <w:rsid w:val="3BD31E2F"/>
    <w:rsid w:val="3BF15831"/>
    <w:rsid w:val="3BF63E9F"/>
    <w:rsid w:val="3C105946"/>
    <w:rsid w:val="3C3D7544"/>
    <w:rsid w:val="3C407FCA"/>
    <w:rsid w:val="3C471448"/>
    <w:rsid w:val="3C5F759A"/>
    <w:rsid w:val="3C6468B7"/>
    <w:rsid w:val="3C6C525A"/>
    <w:rsid w:val="3C7A02EC"/>
    <w:rsid w:val="3CCE23CB"/>
    <w:rsid w:val="3CD17D17"/>
    <w:rsid w:val="3CEE6358"/>
    <w:rsid w:val="3CEF6A75"/>
    <w:rsid w:val="3D3C7F39"/>
    <w:rsid w:val="3D440F09"/>
    <w:rsid w:val="3D4504A0"/>
    <w:rsid w:val="3D527577"/>
    <w:rsid w:val="3D540560"/>
    <w:rsid w:val="3D8734BB"/>
    <w:rsid w:val="3D9A11D4"/>
    <w:rsid w:val="3DA16D89"/>
    <w:rsid w:val="3DA364BE"/>
    <w:rsid w:val="3DE041CB"/>
    <w:rsid w:val="3E012496"/>
    <w:rsid w:val="3E0D48F6"/>
    <w:rsid w:val="3E1868B4"/>
    <w:rsid w:val="3E3143FD"/>
    <w:rsid w:val="3E331626"/>
    <w:rsid w:val="3E377251"/>
    <w:rsid w:val="3E42664B"/>
    <w:rsid w:val="3E5A7334"/>
    <w:rsid w:val="3E661223"/>
    <w:rsid w:val="3E7B5D6B"/>
    <w:rsid w:val="3E843E66"/>
    <w:rsid w:val="3E8F51FE"/>
    <w:rsid w:val="3E926F87"/>
    <w:rsid w:val="3E992734"/>
    <w:rsid w:val="3E9A59DE"/>
    <w:rsid w:val="3EAF4836"/>
    <w:rsid w:val="3EC33DFA"/>
    <w:rsid w:val="3EF66285"/>
    <w:rsid w:val="3EFA3DD4"/>
    <w:rsid w:val="3F060E16"/>
    <w:rsid w:val="3F1D1096"/>
    <w:rsid w:val="3F2F0234"/>
    <w:rsid w:val="3F6363FE"/>
    <w:rsid w:val="3F680D5B"/>
    <w:rsid w:val="3F737B86"/>
    <w:rsid w:val="3F756B8F"/>
    <w:rsid w:val="3F8D4B70"/>
    <w:rsid w:val="3F8F7490"/>
    <w:rsid w:val="3F95482B"/>
    <w:rsid w:val="3FAF4907"/>
    <w:rsid w:val="3FD71055"/>
    <w:rsid w:val="3FE413B8"/>
    <w:rsid w:val="40034B6B"/>
    <w:rsid w:val="4019356B"/>
    <w:rsid w:val="401E0778"/>
    <w:rsid w:val="40501DC1"/>
    <w:rsid w:val="40592157"/>
    <w:rsid w:val="406E1CAE"/>
    <w:rsid w:val="409E00F9"/>
    <w:rsid w:val="40A0133A"/>
    <w:rsid w:val="40C31A53"/>
    <w:rsid w:val="40C8654C"/>
    <w:rsid w:val="40D1060A"/>
    <w:rsid w:val="40E569F4"/>
    <w:rsid w:val="40FF545D"/>
    <w:rsid w:val="410067C8"/>
    <w:rsid w:val="413C45E3"/>
    <w:rsid w:val="4147433B"/>
    <w:rsid w:val="417B08E5"/>
    <w:rsid w:val="418F0D2A"/>
    <w:rsid w:val="41BD65CF"/>
    <w:rsid w:val="41D01505"/>
    <w:rsid w:val="41D57EC1"/>
    <w:rsid w:val="41EE3A17"/>
    <w:rsid w:val="42474939"/>
    <w:rsid w:val="424C3C57"/>
    <w:rsid w:val="42511210"/>
    <w:rsid w:val="42613FF3"/>
    <w:rsid w:val="42660D96"/>
    <w:rsid w:val="428667D2"/>
    <w:rsid w:val="42BD2B83"/>
    <w:rsid w:val="42BF6068"/>
    <w:rsid w:val="42CD1CE0"/>
    <w:rsid w:val="42D53E10"/>
    <w:rsid w:val="42E1381E"/>
    <w:rsid w:val="42ED6459"/>
    <w:rsid w:val="42FE58DD"/>
    <w:rsid w:val="43174B3D"/>
    <w:rsid w:val="433C11C9"/>
    <w:rsid w:val="433F0E43"/>
    <w:rsid w:val="434B790E"/>
    <w:rsid w:val="4360274F"/>
    <w:rsid w:val="43755ABB"/>
    <w:rsid w:val="437F55E8"/>
    <w:rsid w:val="43977AB6"/>
    <w:rsid w:val="43A3342B"/>
    <w:rsid w:val="43C77C27"/>
    <w:rsid w:val="43DE09EE"/>
    <w:rsid w:val="44002FAD"/>
    <w:rsid w:val="442C241A"/>
    <w:rsid w:val="4430589B"/>
    <w:rsid w:val="44356927"/>
    <w:rsid w:val="44555BCC"/>
    <w:rsid w:val="446808A1"/>
    <w:rsid w:val="449101DD"/>
    <w:rsid w:val="449D00C3"/>
    <w:rsid w:val="44BE0AC1"/>
    <w:rsid w:val="44C2027B"/>
    <w:rsid w:val="44C333F6"/>
    <w:rsid w:val="44D71090"/>
    <w:rsid w:val="44DE1391"/>
    <w:rsid w:val="44E72961"/>
    <w:rsid w:val="45062140"/>
    <w:rsid w:val="451B225C"/>
    <w:rsid w:val="45212A9B"/>
    <w:rsid w:val="452410C9"/>
    <w:rsid w:val="452E1696"/>
    <w:rsid w:val="45317DFB"/>
    <w:rsid w:val="45322F35"/>
    <w:rsid w:val="453744F1"/>
    <w:rsid w:val="456D3CE4"/>
    <w:rsid w:val="4579042C"/>
    <w:rsid w:val="457F0571"/>
    <w:rsid w:val="45851176"/>
    <w:rsid w:val="45C63B94"/>
    <w:rsid w:val="45F134FD"/>
    <w:rsid w:val="46082B57"/>
    <w:rsid w:val="460E7DA5"/>
    <w:rsid w:val="46121983"/>
    <w:rsid w:val="46222FA9"/>
    <w:rsid w:val="462F0F3E"/>
    <w:rsid w:val="46300F72"/>
    <w:rsid w:val="46422483"/>
    <w:rsid w:val="464A34A5"/>
    <w:rsid w:val="4659254A"/>
    <w:rsid w:val="465B0637"/>
    <w:rsid w:val="465D66D7"/>
    <w:rsid w:val="465E3F0D"/>
    <w:rsid w:val="466A16E6"/>
    <w:rsid w:val="466F15BE"/>
    <w:rsid w:val="46893F2B"/>
    <w:rsid w:val="46C4686E"/>
    <w:rsid w:val="46F078F8"/>
    <w:rsid w:val="47124CD3"/>
    <w:rsid w:val="473D0E4D"/>
    <w:rsid w:val="477B778F"/>
    <w:rsid w:val="478203EC"/>
    <w:rsid w:val="478C322D"/>
    <w:rsid w:val="479425BB"/>
    <w:rsid w:val="47B025FA"/>
    <w:rsid w:val="47B855F3"/>
    <w:rsid w:val="47DC0269"/>
    <w:rsid w:val="47E23D6B"/>
    <w:rsid w:val="4809698F"/>
    <w:rsid w:val="48097DF4"/>
    <w:rsid w:val="480C2553"/>
    <w:rsid w:val="4811697D"/>
    <w:rsid w:val="481A49ED"/>
    <w:rsid w:val="482A3FDA"/>
    <w:rsid w:val="483E6D72"/>
    <w:rsid w:val="487A3E25"/>
    <w:rsid w:val="487B0FC2"/>
    <w:rsid w:val="48833F78"/>
    <w:rsid w:val="48846D6F"/>
    <w:rsid w:val="488B5503"/>
    <w:rsid w:val="48937E21"/>
    <w:rsid w:val="48975AF1"/>
    <w:rsid w:val="489968C1"/>
    <w:rsid w:val="489A0361"/>
    <w:rsid w:val="48B70E45"/>
    <w:rsid w:val="48B94FF3"/>
    <w:rsid w:val="48CA6540"/>
    <w:rsid w:val="48CB5B7A"/>
    <w:rsid w:val="48D41EFB"/>
    <w:rsid w:val="48E37AAB"/>
    <w:rsid w:val="48E45439"/>
    <w:rsid w:val="48FD4B4C"/>
    <w:rsid w:val="48FF4D77"/>
    <w:rsid w:val="490606C8"/>
    <w:rsid w:val="490A68E0"/>
    <w:rsid w:val="491055FE"/>
    <w:rsid w:val="491F08F3"/>
    <w:rsid w:val="494C6EA1"/>
    <w:rsid w:val="494D4D8B"/>
    <w:rsid w:val="495F5B3E"/>
    <w:rsid w:val="496F77D7"/>
    <w:rsid w:val="497654FD"/>
    <w:rsid w:val="497B1C34"/>
    <w:rsid w:val="49982747"/>
    <w:rsid w:val="49985F1D"/>
    <w:rsid w:val="49B64211"/>
    <w:rsid w:val="49C97054"/>
    <w:rsid w:val="49CC7CB0"/>
    <w:rsid w:val="49F6167F"/>
    <w:rsid w:val="49FA7F6C"/>
    <w:rsid w:val="49FE2F06"/>
    <w:rsid w:val="4A064FA0"/>
    <w:rsid w:val="4A0D2B83"/>
    <w:rsid w:val="4A16615C"/>
    <w:rsid w:val="4A2755BC"/>
    <w:rsid w:val="4A4424D7"/>
    <w:rsid w:val="4A6E0CA4"/>
    <w:rsid w:val="4A7A76C8"/>
    <w:rsid w:val="4A83134F"/>
    <w:rsid w:val="4AAE4E32"/>
    <w:rsid w:val="4AB82D0F"/>
    <w:rsid w:val="4AD65667"/>
    <w:rsid w:val="4AEB7664"/>
    <w:rsid w:val="4AFD7C19"/>
    <w:rsid w:val="4B0567D1"/>
    <w:rsid w:val="4B0C7EDD"/>
    <w:rsid w:val="4B236AAE"/>
    <w:rsid w:val="4B555D27"/>
    <w:rsid w:val="4B602D44"/>
    <w:rsid w:val="4B707271"/>
    <w:rsid w:val="4B915450"/>
    <w:rsid w:val="4B9739F7"/>
    <w:rsid w:val="4B9C1FA2"/>
    <w:rsid w:val="4BA753B7"/>
    <w:rsid w:val="4BB14899"/>
    <w:rsid w:val="4BD27749"/>
    <w:rsid w:val="4BD61A32"/>
    <w:rsid w:val="4BE96C25"/>
    <w:rsid w:val="4BEE2503"/>
    <w:rsid w:val="4C073241"/>
    <w:rsid w:val="4C090CD7"/>
    <w:rsid w:val="4C0E5A41"/>
    <w:rsid w:val="4C177328"/>
    <w:rsid w:val="4C245A30"/>
    <w:rsid w:val="4C38183B"/>
    <w:rsid w:val="4C5D53ED"/>
    <w:rsid w:val="4C676029"/>
    <w:rsid w:val="4CAF7256"/>
    <w:rsid w:val="4CB6685F"/>
    <w:rsid w:val="4CBD4B75"/>
    <w:rsid w:val="4CC367FE"/>
    <w:rsid w:val="4CE46382"/>
    <w:rsid w:val="4D077F3C"/>
    <w:rsid w:val="4D123355"/>
    <w:rsid w:val="4D137AF0"/>
    <w:rsid w:val="4D1E2B24"/>
    <w:rsid w:val="4D2A3B31"/>
    <w:rsid w:val="4D312C52"/>
    <w:rsid w:val="4D3763FF"/>
    <w:rsid w:val="4D4B0F25"/>
    <w:rsid w:val="4D5A74CD"/>
    <w:rsid w:val="4D605FAF"/>
    <w:rsid w:val="4D905305"/>
    <w:rsid w:val="4D964A72"/>
    <w:rsid w:val="4D9C1254"/>
    <w:rsid w:val="4DB239A2"/>
    <w:rsid w:val="4DBA2F4A"/>
    <w:rsid w:val="4DD95C0E"/>
    <w:rsid w:val="4DF20A41"/>
    <w:rsid w:val="4E057827"/>
    <w:rsid w:val="4E080750"/>
    <w:rsid w:val="4E1B2133"/>
    <w:rsid w:val="4E526455"/>
    <w:rsid w:val="4E6A373F"/>
    <w:rsid w:val="4E79371D"/>
    <w:rsid w:val="4E793892"/>
    <w:rsid w:val="4E800872"/>
    <w:rsid w:val="4E9A20A5"/>
    <w:rsid w:val="4EA62CB3"/>
    <w:rsid w:val="4EC569ED"/>
    <w:rsid w:val="4ED24695"/>
    <w:rsid w:val="4ED50EA1"/>
    <w:rsid w:val="4EEC050C"/>
    <w:rsid w:val="4F104EC3"/>
    <w:rsid w:val="4F47354A"/>
    <w:rsid w:val="4F586980"/>
    <w:rsid w:val="4F911C54"/>
    <w:rsid w:val="4FB819CB"/>
    <w:rsid w:val="4FE1119C"/>
    <w:rsid w:val="4FE625E0"/>
    <w:rsid w:val="5021480F"/>
    <w:rsid w:val="505D15FC"/>
    <w:rsid w:val="50604E35"/>
    <w:rsid w:val="506522E2"/>
    <w:rsid w:val="50697A27"/>
    <w:rsid w:val="50755E1B"/>
    <w:rsid w:val="5086467A"/>
    <w:rsid w:val="50962ECB"/>
    <w:rsid w:val="509F55CA"/>
    <w:rsid w:val="50A42E38"/>
    <w:rsid w:val="50A4577F"/>
    <w:rsid w:val="50AA312A"/>
    <w:rsid w:val="50B73D1F"/>
    <w:rsid w:val="50BD5BC9"/>
    <w:rsid w:val="50C11EEE"/>
    <w:rsid w:val="50D73351"/>
    <w:rsid w:val="50E97CFC"/>
    <w:rsid w:val="50F1399D"/>
    <w:rsid w:val="50F21543"/>
    <w:rsid w:val="50FA4028"/>
    <w:rsid w:val="50FE434C"/>
    <w:rsid w:val="510C2A01"/>
    <w:rsid w:val="510D65B7"/>
    <w:rsid w:val="511157AB"/>
    <w:rsid w:val="5142540C"/>
    <w:rsid w:val="51450661"/>
    <w:rsid w:val="515A3F3F"/>
    <w:rsid w:val="518832C8"/>
    <w:rsid w:val="51A0432A"/>
    <w:rsid w:val="51A86090"/>
    <w:rsid w:val="51B41622"/>
    <w:rsid w:val="51B7396D"/>
    <w:rsid w:val="52150CE3"/>
    <w:rsid w:val="522E4CC3"/>
    <w:rsid w:val="522F38A0"/>
    <w:rsid w:val="5244713B"/>
    <w:rsid w:val="524B14E7"/>
    <w:rsid w:val="524E66A2"/>
    <w:rsid w:val="52615633"/>
    <w:rsid w:val="52923265"/>
    <w:rsid w:val="52977FD4"/>
    <w:rsid w:val="52A25790"/>
    <w:rsid w:val="52A96B6F"/>
    <w:rsid w:val="52B45975"/>
    <w:rsid w:val="52D94AA4"/>
    <w:rsid w:val="52DE1206"/>
    <w:rsid w:val="52EA3A62"/>
    <w:rsid w:val="52F50BB8"/>
    <w:rsid w:val="53097272"/>
    <w:rsid w:val="532277BC"/>
    <w:rsid w:val="53381D95"/>
    <w:rsid w:val="534F3F53"/>
    <w:rsid w:val="53544462"/>
    <w:rsid w:val="5397158E"/>
    <w:rsid w:val="54013861"/>
    <w:rsid w:val="54182F06"/>
    <w:rsid w:val="54487265"/>
    <w:rsid w:val="544D6070"/>
    <w:rsid w:val="54605E1E"/>
    <w:rsid w:val="54824BF3"/>
    <w:rsid w:val="54A26F2C"/>
    <w:rsid w:val="54B3506A"/>
    <w:rsid w:val="54CA0D16"/>
    <w:rsid w:val="54DD4057"/>
    <w:rsid w:val="54E7490F"/>
    <w:rsid w:val="55061018"/>
    <w:rsid w:val="550764A4"/>
    <w:rsid w:val="550B2BF6"/>
    <w:rsid w:val="550D751A"/>
    <w:rsid w:val="550E7937"/>
    <w:rsid w:val="55214EB5"/>
    <w:rsid w:val="55364EFD"/>
    <w:rsid w:val="554418B3"/>
    <w:rsid w:val="555667CB"/>
    <w:rsid w:val="555D4828"/>
    <w:rsid w:val="557A4C8B"/>
    <w:rsid w:val="558931E1"/>
    <w:rsid w:val="55923347"/>
    <w:rsid w:val="55925180"/>
    <w:rsid w:val="55983B1B"/>
    <w:rsid w:val="55A8376B"/>
    <w:rsid w:val="55C248FD"/>
    <w:rsid w:val="55DC29B6"/>
    <w:rsid w:val="55DD4241"/>
    <w:rsid w:val="561C1BE8"/>
    <w:rsid w:val="564104D7"/>
    <w:rsid w:val="56446F6C"/>
    <w:rsid w:val="566101E2"/>
    <w:rsid w:val="566B473E"/>
    <w:rsid w:val="566B6D1E"/>
    <w:rsid w:val="56761B52"/>
    <w:rsid w:val="567B39F1"/>
    <w:rsid w:val="569E129D"/>
    <w:rsid w:val="56B43713"/>
    <w:rsid w:val="56FE2AC4"/>
    <w:rsid w:val="57032A2C"/>
    <w:rsid w:val="570F5219"/>
    <w:rsid w:val="575B2326"/>
    <w:rsid w:val="575D12B5"/>
    <w:rsid w:val="57610A87"/>
    <w:rsid w:val="57660D9A"/>
    <w:rsid w:val="577B1140"/>
    <w:rsid w:val="577B7F21"/>
    <w:rsid w:val="577F181B"/>
    <w:rsid w:val="57921984"/>
    <w:rsid w:val="579737F0"/>
    <w:rsid w:val="57AB7B30"/>
    <w:rsid w:val="57AF5251"/>
    <w:rsid w:val="57B26373"/>
    <w:rsid w:val="57B3517E"/>
    <w:rsid w:val="57B63F04"/>
    <w:rsid w:val="57CD20C2"/>
    <w:rsid w:val="57CE43F9"/>
    <w:rsid w:val="57CE6216"/>
    <w:rsid w:val="57D675AB"/>
    <w:rsid w:val="57D95FDD"/>
    <w:rsid w:val="57E84C11"/>
    <w:rsid w:val="57FE2A9D"/>
    <w:rsid w:val="581813F7"/>
    <w:rsid w:val="58190916"/>
    <w:rsid w:val="582D36B9"/>
    <w:rsid w:val="58917D2F"/>
    <w:rsid w:val="5894085C"/>
    <w:rsid w:val="58AE4F0C"/>
    <w:rsid w:val="58B85899"/>
    <w:rsid w:val="58C0702C"/>
    <w:rsid w:val="58D109C4"/>
    <w:rsid w:val="58E363A9"/>
    <w:rsid w:val="58E57399"/>
    <w:rsid w:val="58E66753"/>
    <w:rsid w:val="59104322"/>
    <w:rsid w:val="59207875"/>
    <w:rsid w:val="59272ECB"/>
    <w:rsid w:val="595E1678"/>
    <w:rsid w:val="59617B7F"/>
    <w:rsid w:val="596D5BD4"/>
    <w:rsid w:val="597257BB"/>
    <w:rsid w:val="597E3DD8"/>
    <w:rsid w:val="59812CD9"/>
    <w:rsid w:val="59AB1AC0"/>
    <w:rsid w:val="59B31026"/>
    <w:rsid w:val="59CE6424"/>
    <w:rsid w:val="59F80043"/>
    <w:rsid w:val="59FA2D9E"/>
    <w:rsid w:val="5A09252F"/>
    <w:rsid w:val="5A0B2778"/>
    <w:rsid w:val="5A102F20"/>
    <w:rsid w:val="5A115C90"/>
    <w:rsid w:val="5A226EE5"/>
    <w:rsid w:val="5A284E98"/>
    <w:rsid w:val="5A2A7C7B"/>
    <w:rsid w:val="5A3E2560"/>
    <w:rsid w:val="5A4566FD"/>
    <w:rsid w:val="5A5D3B6E"/>
    <w:rsid w:val="5A637A76"/>
    <w:rsid w:val="5A6D33BA"/>
    <w:rsid w:val="5A730357"/>
    <w:rsid w:val="5A792B1F"/>
    <w:rsid w:val="5A874767"/>
    <w:rsid w:val="5AA85BE2"/>
    <w:rsid w:val="5AAD6F28"/>
    <w:rsid w:val="5AB715D1"/>
    <w:rsid w:val="5AD63A24"/>
    <w:rsid w:val="5AE51FB6"/>
    <w:rsid w:val="5AFC1BC3"/>
    <w:rsid w:val="5B142173"/>
    <w:rsid w:val="5B1E1EF1"/>
    <w:rsid w:val="5B1F705C"/>
    <w:rsid w:val="5B266C40"/>
    <w:rsid w:val="5B2E1A1D"/>
    <w:rsid w:val="5B35370F"/>
    <w:rsid w:val="5B3D3D70"/>
    <w:rsid w:val="5B437E3E"/>
    <w:rsid w:val="5B4C378D"/>
    <w:rsid w:val="5B843A1C"/>
    <w:rsid w:val="5B873E3F"/>
    <w:rsid w:val="5B882C13"/>
    <w:rsid w:val="5BA30FBF"/>
    <w:rsid w:val="5BC6799A"/>
    <w:rsid w:val="5C02690E"/>
    <w:rsid w:val="5C074A7D"/>
    <w:rsid w:val="5C196DA7"/>
    <w:rsid w:val="5C2A048C"/>
    <w:rsid w:val="5C2D5E43"/>
    <w:rsid w:val="5C6C1F17"/>
    <w:rsid w:val="5C7422AE"/>
    <w:rsid w:val="5C80234E"/>
    <w:rsid w:val="5C8A680C"/>
    <w:rsid w:val="5C97682C"/>
    <w:rsid w:val="5C9815A6"/>
    <w:rsid w:val="5CE45C2B"/>
    <w:rsid w:val="5D0C4701"/>
    <w:rsid w:val="5D0F0395"/>
    <w:rsid w:val="5D221076"/>
    <w:rsid w:val="5D397964"/>
    <w:rsid w:val="5D5A391C"/>
    <w:rsid w:val="5D5F10C0"/>
    <w:rsid w:val="5D891B7B"/>
    <w:rsid w:val="5D8A5E82"/>
    <w:rsid w:val="5DAD38EE"/>
    <w:rsid w:val="5DAD527A"/>
    <w:rsid w:val="5DC664B8"/>
    <w:rsid w:val="5E006862"/>
    <w:rsid w:val="5E0207B9"/>
    <w:rsid w:val="5E093CEF"/>
    <w:rsid w:val="5E094BE2"/>
    <w:rsid w:val="5E0E2BEE"/>
    <w:rsid w:val="5E1834A1"/>
    <w:rsid w:val="5E1D07CE"/>
    <w:rsid w:val="5E261785"/>
    <w:rsid w:val="5E286E51"/>
    <w:rsid w:val="5E3D511B"/>
    <w:rsid w:val="5E4A7017"/>
    <w:rsid w:val="5E4E4446"/>
    <w:rsid w:val="5E547CF9"/>
    <w:rsid w:val="5E552BBA"/>
    <w:rsid w:val="5E570FD2"/>
    <w:rsid w:val="5E611C10"/>
    <w:rsid w:val="5E626095"/>
    <w:rsid w:val="5E74631F"/>
    <w:rsid w:val="5E7A0F3F"/>
    <w:rsid w:val="5EA73388"/>
    <w:rsid w:val="5ED752A6"/>
    <w:rsid w:val="5EF37C90"/>
    <w:rsid w:val="5EF50A1B"/>
    <w:rsid w:val="5EFC7377"/>
    <w:rsid w:val="5F012A1A"/>
    <w:rsid w:val="5F06174D"/>
    <w:rsid w:val="5F1F1FE1"/>
    <w:rsid w:val="5F3A3602"/>
    <w:rsid w:val="5F4120FD"/>
    <w:rsid w:val="5F45733B"/>
    <w:rsid w:val="5F6277C6"/>
    <w:rsid w:val="5F6D0B1D"/>
    <w:rsid w:val="5F750771"/>
    <w:rsid w:val="5F7E6D95"/>
    <w:rsid w:val="5F7F7267"/>
    <w:rsid w:val="5F856D27"/>
    <w:rsid w:val="5F8D0B82"/>
    <w:rsid w:val="5FCC5339"/>
    <w:rsid w:val="5FE34A5B"/>
    <w:rsid w:val="5FFE1E36"/>
    <w:rsid w:val="600E02C3"/>
    <w:rsid w:val="60232584"/>
    <w:rsid w:val="603242D9"/>
    <w:rsid w:val="60373160"/>
    <w:rsid w:val="603E62FA"/>
    <w:rsid w:val="605864BB"/>
    <w:rsid w:val="607330CE"/>
    <w:rsid w:val="60825176"/>
    <w:rsid w:val="608508AD"/>
    <w:rsid w:val="609F2AC4"/>
    <w:rsid w:val="60A4468B"/>
    <w:rsid w:val="60C413D5"/>
    <w:rsid w:val="60C63929"/>
    <w:rsid w:val="60D32F39"/>
    <w:rsid w:val="60FA2EE8"/>
    <w:rsid w:val="61054A27"/>
    <w:rsid w:val="610A52BC"/>
    <w:rsid w:val="611D2366"/>
    <w:rsid w:val="61246A0C"/>
    <w:rsid w:val="61421856"/>
    <w:rsid w:val="614316C0"/>
    <w:rsid w:val="615227C4"/>
    <w:rsid w:val="61654E3F"/>
    <w:rsid w:val="617D493B"/>
    <w:rsid w:val="6182292A"/>
    <w:rsid w:val="61985864"/>
    <w:rsid w:val="619F7F92"/>
    <w:rsid w:val="61A66B9D"/>
    <w:rsid w:val="61AE7A4D"/>
    <w:rsid w:val="61F53810"/>
    <w:rsid w:val="61F94C26"/>
    <w:rsid w:val="62000E56"/>
    <w:rsid w:val="62244584"/>
    <w:rsid w:val="624F3E49"/>
    <w:rsid w:val="62632286"/>
    <w:rsid w:val="62775066"/>
    <w:rsid w:val="62885958"/>
    <w:rsid w:val="628903DB"/>
    <w:rsid w:val="62F40B65"/>
    <w:rsid w:val="62FC2CFE"/>
    <w:rsid w:val="63024505"/>
    <w:rsid w:val="633E2C52"/>
    <w:rsid w:val="63540CCD"/>
    <w:rsid w:val="635B1DB5"/>
    <w:rsid w:val="63711FED"/>
    <w:rsid w:val="63823C5F"/>
    <w:rsid w:val="63880DDC"/>
    <w:rsid w:val="638D750D"/>
    <w:rsid w:val="63AC52D2"/>
    <w:rsid w:val="63AC6CC0"/>
    <w:rsid w:val="63B2483E"/>
    <w:rsid w:val="63E02C32"/>
    <w:rsid w:val="63E069F4"/>
    <w:rsid w:val="63EF1280"/>
    <w:rsid w:val="64055776"/>
    <w:rsid w:val="64134DA1"/>
    <w:rsid w:val="64175397"/>
    <w:rsid w:val="641F5987"/>
    <w:rsid w:val="64240056"/>
    <w:rsid w:val="643E143A"/>
    <w:rsid w:val="64524F4A"/>
    <w:rsid w:val="647608ED"/>
    <w:rsid w:val="648B6EEF"/>
    <w:rsid w:val="64A07A63"/>
    <w:rsid w:val="64A22D98"/>
    <w:rsid w:val="64A86911"/>
    <w:rsid w:val="64C158BF"/>
    <w:rsid w:val="64CE2EAA"/>
    <w:rsid w:val="64D92163"/>
    <w:rsid w:val="64E060B2"/>
    <w:rsid w:val="65191F50"/>
    <w:rsid w:val="653C3090"/>
    <w:rsid w:val="65854376"/>
    <w:rsid w:val="658767BE"/>
    <w:rsid w:val="65882CD5"/>
    <w:rsid w:val="65892531"/>
    <w:rsid w:val="658A7D36"/>
    <w:rsid w:val="65C14EA6"/>
    <w:rsid w:val="66153939"/>
    <w:rsid w:val="66195831"/>
    <w:rsid w:val="662E75B1"/>
    <w:rsid w:val="66342C2E"/>
    <w:rsid w:val="663D23D9"/>
    <w:rsid w:val="663E784C"/>
    <w:rsid w:val="664802EF"/>
    <w:rsid w:val="66551A38"/>
    <w:rsid w:val="665F41A2"/>
    <w:rsid w:val="666D1F69"/>
    <w:rsid w:val="667133EA"/>
    <w:rsid w:val="66773CAF"/>
    <w:rsid w:val="668B6A45"/>
    <w:rsid w:val="66CD08B8"/>
    <w:rsid w:val="66DC5708"/>
    <w:rsid w:val="66E45887"/>
    <w:rsid w:val="671E7365"/>
    <w:rsid w:val="67250593"/>
    <w:rsid w:val="67263D79"/>
    <w:rsid w:val="672F3F24"/>
    <w:rsid w:val="673A0C44"/>
    <w:rsid w:val="673E055F"/>
    <w:rsid w:val="67551CE3"/>
    <w:rsid w:val="679447E3"/>
    <w:rsid w:val="67A22552"/>
    <w:rsid w:val="67A530AB"/>
    <w:rsid w:val="67B22DCC"/>
    <w:rsid w:val="67BE71AA"/>
    <w:rsid w:val="67C13401"/>
    <w:rsid w:val="67D90273"/>
    <w:rsid w:val="67DE5875"/>
    <w:rsid w:val="67E55852"/>
    <w:rsid w:val="67EB1AB4"/>
    <w:rsid w:val="67F320F3"/>
    <w:rsid w:val="67FA1285"/>
    <w:rsid w:val="68133A6D"/>
    <w:rsid w:val="683B7D96"/>
    <w:rsid w:val="683E73A9"/>
    <w:rsid w:val="68551F4F"/>
    <w:rsid w:val="686B0E1B"/>
    <w:rsid w:val="687C10C9"/>
    <w:rsid w:val="68840C16"/>
    <w:rsid w:val="68873FA3"/>
    <w:rsid w:val="68876EFB"/>
    <w:rsid w:val="68884654"/>
    <w:rsid w:val="689F444F"/>
    <w:rsid w:val="68B96DBB"/>
    <w:rsid w:val="68CA2805"/>
    <w:rsid w:val="68E85AE5"/>
    <w:rsid w:val="68E937A3"/>
    <w:rsid w:val="69232A11"/>
    <w:rsid w:val="692C52B9"/>
    <w:rsid w:val="693E15D3"/>
    <w:rsid w:val="69627681"/>
    <w:rsid w:val="697414BE"/>
    <w:rsid w:val="6977531D"/>
    <w:rsid w:val="69A82EFF"/>
    <w:rsid w:val="69AC62C8"/>
    <w:rsid w:val="69B51747"/>
    <w:rsid w:val="69C037FD"/>
    <w:rsid w:val="69CC2BFF"/>
    <w:rsid w:val="69D327F2"/>
    <w:rsid w:val="69FD55B8"/>
    <w:rsid w:val="6A0B1C62"/>
    <w:rsid w:val="6A0D3F4C"/>
    <w:rsid w:val="6A0E1913"/>
    <w:rsid w:val="6A1758CC"/>
    <w:rsid w:val="6A1B5725"/>
    <w:rsid w:val="6A2406C8"/>
    <w:rsid w:val="6A4B328A"/>
    <w:rsid w:val="6A8F2B46"/>
    <w:rsid w:val="6ABA3454"/>
    <w:rsid w:val="6AD53F40"/>
    <w:rsid w:val="6ADE0BD1"/>
    <w:rsid w:val="6AE96859"/>
    <w:rsid w:val="6AEB1339"/>
    <w:rsid w:val="6B147746"/>
    <w:rsid w:val="6B24787C"/>
    <w:rsid w:val="6B311F89"/>
    <w:rsid w:val="6B340F05"/>
    <w:rsid w:val="6B3C0466"/>
    <w:rsid w:val="6B4D6B8B"/>
    <w:rsid w:val="6B573233"/>
    <w:rsid w:val="6B5B6274"/>
    <w:rsid w:val="6B694FD4"/>
    <w:rsid w:val="6B935D53"/>
    <w:rsid w:val="6B9F5F5F"/>
    <w:rsid w:val="6BB64B7C"/>
    <w:rsid w:val="6BB93611"/>
    <w:rsid w:val="6BDB5825"/>
    <w:rsid w:val="6BE6647E"/>
    <w:rsid w:val="6C196F71"/>
    <w:rsid w:val="6C226FCB"/>
    <w:rsid w:val="6C31226F"/>
    <w:rsid w:val="6C3447DE"/>
    <w:rsid w:val="6C390C24"/>
    <w:rsid w:val="6C3A05AD"/>
    <w:rsid w:val="6C552F0B"/>
    <w:rsid w:val="6C8C67B7"/>
    <w:rsid w:val="6C9D744C"/>
    <w:rsid w:val="6CC17318"/>
    <w:rsid w:val="6CD7423E"/>
    <w:rsid w:val="6CD86C36"/>
    <w:rsid w:val="6CE77C1D"/>
    <w:rsid w:val="6CFD3965"/>
    <w:rsid w:val="6CFE67A8"/>
    <w:rsid w:val="6D167928"/>
    <w:rsid w:val="6D261515"/>
    <w:rsid w:val="6D26299B"/>
    <w:rsid w:val="6D332F2B"/>
    <w:rsid w:val="6D4772EC"/>
    <w:rsid w:val="6D4B1CBB"/>
    <w:rsid w:val="6D8007DE"/>
    <w:rsid w:val="6D902214"/>
    <w:rsid w:val="6D9078AF"/>
    <w:rsid w:val="6DAA3FEF"/>
    <w:rsid w:val="6DC0172B"/>
    <w:rsid w:val="6DCB690C"/>
    <w:rsid w:val="6DD41A5B"/>
    <w:rsid w:val="6DF43C2E"/>
    <w:rsid w:val="6DF51CA3"/>
    <w:rsid w:val="6E580FD8"/>
    <w:rsid w:val="6E8335BD"/>
    <w:rsid w:val="6E8E12EF"/>
    <w:rsid w:val="6E9045AA"/>
    <w:rsid w:val="6E93207D"/>
    <w:rsid w:val="6E972936"/>
    <w:rsid w:val="6EB74327"/>
    <w:rsid w:val="6ED446C5"/>
    <w:rsid w:val="6EE06035"/>
    <w:rsid w:val="6F0612D5"/>
    <w:rsid w:val="6F2A7D94"/>
    <w:rsid w:val="6F8040B3"/>
    <w:rsid w:val="6F8331F1"/>
    <w:rsid w:val="6F8B1310"/>
    <w:rsid w:val="6FAA3E8C"/>
    <w:rsid w:val="6FAE1A09"/>
    <w:rsid w:val="6FD360C5"/>
    <w:rsid w:val="6FD75BF8"/>
    <w:rsid w:val="6FDF68BA"/>
    <w:rsid w:val="707723D0"/>
    <w:rsid w:val="708351E6"/>
    <w:rsid w:val="70911BAC"/>
    <w:rsid w:val="709D39A5"/>
    <w:rsid w:val="70A54C63"/>
    <w:rsid w:val="70C40F7D"/>
    <w:rsid w:val="70DA254F"/>
    <w:rsid w:val="70DB77AC"/>
    <w:rsid w:val="70F5661B"/>
    <w:rsid w:val="70FF0D7D"/>
    <w:rsid w:val="71360107"/>
    <w:rsid w:val="713B688E"/>
    <w:rsid w:val="71973F9C"/>
    <w:rsid w:val="71BB7EAA"/>
    <w:rsid w:val="71D43752"/>
    <w:rsid w:val="71D7083C"/>
    <w:rsid w:val="71F1796A"/>
    <w:rsid w:val="72154626"/>
    <w:rsid w:val="72262B5D"/>
    <w:rsid w:val="72283FF7"/>
    <w:rsid w:val="722E7212"/>
    <w:rsid w:val="723A0474"/>
    <w:rsid w:val="725923E4"/>
    <w:rsid w:val="72606251"/>
    <w:rsid w:val="72864BF7"/>
    <w:rsid w:val="72897D89"/>
    <w:rsid w:val="729023FC"/>
    <w:rsid w:val="72ED05FF"/>
    <w:rsid w:val="72F6768F"/>
    <w:rsid w:val="73025471"/>
    <w:rsid w:val="73C0646E"/>
    <w:rsid w:val="73D47D0C"/>
    <w:rsid w:val="73DE7C64"/>
    <w:rsid w:val="73F676A0"/>
    <w:rsid w:val="73FB5744"/>
    <w:rsid w:val="740C16F1"/>
    <w:rsid w:val="7411756E"/>
    <w:rsid w:val="741A03AB"/>
    <w:rsid w:val="742222F5"/>
    <w:rsid w:val="74273B85"/>
    <w:rsid w:val="74476126"/>
    <w:rsid w:val="74706664"/>
    <w:rsid w:val="747F3682"/>
    <w:rsid w:val="749C4185"/>
    <w:rsid w:val="74AB7D7F"/>
    <w:rsid w:val="74BE006A"/>
    <w:rsid w:val="74D4035D"/>
    <w:rsid w:val="74DF0134"/>
    <w:rsid w:val="75067759"/>
    <w:rsid w:val="75080267"/>
    <w:rsid w:val="752E6DCD"/>
    <w:rsid w:val="7551380D"/>
    <w:rsid w:val="755E6A8C"/>
    <w:rsid w:val="75600BE5"/>
    <w:rsid w:val="7564475C"/>
    <w:rsid w:val="756D319E"/>
    <w:rsid w:val="7583797F"/>
    <w:rsid w:val="75870D83"/>
    <w:rsid w:val="759C36C5"/>
    <w:rsid w:val="75B408E2"/>
    <w:rsid w:val="75D20F1D"/>
    <w:rsid w:val="75D752AF"/>
    <w:rsid w:val="75DA2C18"/>
    <w:rsid w:val="75F01402"/>
    <w:rsid w:val="75F54412"/>
    <w:rsid w:val="761403A7"/>
    <w:rsid w:val="761969BC"/>
    <w:rsid w:val="761D08E0"/>
    <w:rsid w:val="76286757"/>
    <w:rsid w:val="765D347C"/>
    <w:rsid w:val="76826699"/>
    <w:rsid w:val="76844C5A"/>
    <w:rsid w:val="76B127E1"/>
    <w:rsid w:val="76C87133"/>
    <w:rsid w:val="76CD08D5"/>
    <w:rsid w:val="76D323C2"/>
    <w:rsid w:val="76DB4B92"/>
    <w:rsid w:val="76FF4961"/>
    <w:rsid w:val="77052AA4"/>
    <w:rsid w:val="77136511"/>
    <w:rsid w:val="77340A39"/>
    <w:rsid w:val="77351FD0"/>
    <w:rsid w:val="77472422"/>
    <w:rsid w:val="77616A05"/>
    <w:rsid w:val="777A4C48"/>
    <w:rsid w:val="777F31F2"/>
    <w:rsid w:val="77B27D81"/>
    <w:rsid w:val="77BC4C63"/>
    <w:rsid w:val="77D1700D"/>
    <w:rsid w:val="77E4568D"/>
    <w:rsid w:val="77EC04CC"/>
    <w:rsid w:val="78511348"/>
    <w:rsid w:val="78775729"/>
    <w:rsid w:val="78A42DB0"/>
    <w:rsid w:val="78A656AB"/>
    <w:rsid w:val="78B2245C"/>
    <w:rsid w:val="78E172CC"/>
    <w:rsid w:val="78EA1D1F"/>
    <w:rsid w:val="7904172F"/>
    <w:rsid w:val="79062AD2"/>
    <w:rsid w:val="790F7E27"/>
    <w:rsid w:val="791E3E58"/>
    <w:rsid w:val="791F528E"/>
    <w:rsid w:val="792A1CDC"/>
    <w:rsid w:val="792A231A"/>
    <w:rsid w:val="79316829"/>
    <w:rsid w:val="797E66A9"/>
    <w:rsid w:val="79951395"/>
    <w:rsid w:val="79A97383"/>
    <w:rsid w:val="79CD0EA3"/>
    <w:rsid w:val="79D95BF8"/>
    <w:rsid w:val="79E27E8B"/>
    <w:rsid w:val="79F850CE"/>
    <w:rsid w:val="79FD443C"/>
    <w:rsid w:val="7A122D59"/>
    <w:rsid w:val="7A1D1975"/>
    <w:rsid w:val="7A3902E6"/>
    <w:rsid w:val="7A3E5150"/>
    <w:rsid w:val="7A4670D6"/>
    <w:rsid w:val="7A4F0F30"/>
    <w:rsid w:val="7A534B63"/>
    <w:rsid w:val="7A615382"/>
    <w:rsid w:val="7A653600"/>
    <w:rsid w:val="7A67303B"/>
    <w:rsid w:val="7A9665D8"/>
    <w:rsid w:val="7A9C2D07"/>
    <w:rsid w:val="7AAB1D04"/>
    <w:rsid w:val="7ABA4368"/>
    <w:rsid w:val="7ABE57C2"/>
    <w:rsid w:val="7AC77EEB"/>
    <w:rsid w:val="7AD05746"/>
    <w:rsid w:val="7AF03C47"/>
    <w:rsid w:val="7AFE603B"/>
    <w:rsid w:val="7B257FFD"/>
    <w:rsid w:val="7B307BC7"/>
    <w:rsid w:val="7B343476"/>
    <w:rsid w:val="7B3D7ADD"/>
    <w:rsid w:val="7B4E27FA"/>
    <w:rsid w:val="7B5A2978"/>
    <w:rsid w:val="7B5A7E4C"/>
    <w:rsid w:val="7B667AF9"/>
    <w:rsid w:val="7B7468F8"/>
    <w:rsid w:val="7B8E0E59"/>
    <w:rsid w:val="7BAF7593"/>
    <w:rsid w:val="7BC70502"/>
    <w:rsid w:val="7BEE0103"/>
    <w:rsid w:val="7C0A0FE4"/>
    <w:rsid w:val="7C195B55"/>
    <w:rsid w:val="7C1C7EBF"/>
    <w:rsid w:val="7C254906"/>
    <w:rsid w:val="7C2D4AAE"/>
    <w:rsid w:val="7C32323F"/>
    <w:rsid w:val="7C5022FF"/>
    <w:rsid w:val="7C590818"/>
    <w:rsid w:val="7C6E0182"/>
    <w:rsid w:val="7C7C10F6"/>
    <w:rsid w:val="7C853BEA"/>
    <w:rsid w:val="7C881368"/>
    <w:rsid w:val="7C921F30"/>
    <w:rsid w:val="7CA67789"/>
    <w:rsid w:val="7CB83E2E"/>
    <w:rsid w:val="7CB947D1"/>
    <w:rsid w:val="7CE27788"/>
    <w:rsid w:val="7CE72C39"/>
    <w:rsid w:val="7CED1E2D"/>
    <w:rsid w:val="7D0357E5"/>
    <w:rsid w:val="7D065993"/>
    <w:rsid w:val="7D0C32F1"/>
    <w:rsid w:val="7D0F408D"/>
    <w:rsid w:val="7D197F5B"/>
    <w:rsid w:val="7D491C6C"/>
    <w:rsid w:val="7D4C666D"/>
    <w:rsid w:val="7D5429C0"/>
    <w:rsid w:val="7D6E6D43"/>
    <w:rsid w:val="7D7069D2"/>
    <w:rsid w:val="7D887CB8"/>
    <w:rsid w:val="7DA244B6"/>
    <w:rsid w:val="7DAD6DD7"/>
    <w:rsid w:val="7DB57A34"/>
    <w:rsid w:val="7DDB10A1"/>
    <w:rsid w:val="7DE60973"/>
    <w:rsid w:val="7DEF0916"/>
    <w:rsid w:val="7E09450F"/>
    <w:rsid w:val="7E1E5218"/>
    <w:rsid w:val="7E610F60"/>
    <w:rsid w:val="7E7514D4"/>
    <w:rsid w:val="7E834226"/>
    <w:rsid w:val="7E881BB2"/>
    <w:rsid w:val="7E9A4E1F"/>
    <w:rsid w:val="7EA7723A"/>
    <w:rsid w:val="7EF56FBB"/>
    <w:rsid w:val="7EF874E0"/>
    <w:rsid w:val="7EFD7DCB"/>
    <w:rsid w:val="7F067E4D"/>
    <w:rsid w:val="7F0768EB"/>
    <w:rsid w:val="7F143BEC"/>
    <w:rsid w:val="7F1E236B"/>
    <w:rsid w:val="7F5F0C6A"/>
    <w:rsid w:val="7F6137FA"/>
    <w:rsid w:val="7F715AF2"/>
    <w:rsid w:val="7F793597"/>
    <w:rsid w:val="7F7B314F"/>
    <w:rsid w:val="7F886E69"/>
    <w:rsid w:val="7F9164CE"/>
    <w:rsid w:val="7FD40030"/>
    <w:rsid w:val="7FE16704"/>
    <w:rsid w:val="7FF9198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32"/>
    <w:autoRedefine/>
    <w:qFormat/>
    <w:uiPriority w:val="0"/>
    <w:rPr>
      <w:rFonts w:ascii="宋体" w:hAnsi="Courier New" w:cs="Arial"/>
      <w:snapToGrid w:val="0"/>
      <w:szCs w:val="21"/>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link w:val="270"/>
    <w:autoRedefine/>
    <w:qFormat/>
    <w:uiPriority w:val="0"/>
    <w:pPr>
      <w:spacing w:line="480" w:lineRule="exact"/>
      <w:ind w:firstLine="480" w:firstLineChars="200"/>
    </w:pPr>
    <w:rPr>
      <w:rFonts w:ascii="宋体" w:hAnsi="宋体"/>
      <w:sz w:val="24"/>
    </w:rPr>
  </w:style>
  <w:style w:type="paragraph" w:styleId="18">
    <w:name w:val="caption"/>
    <w:basedOn w:val="1"/>
    <w:next w:val="1"/>
    <w:link w:val="235"/>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9"/>
    <w:autoRedefine/>
    <w:qFormat/>
    <w:uiPriority w:val="0"/>
    <w:pPr>
      <w:shd w:val="clear" w:color="auto" w:fill="000080"/>
    </w:pPr>
  </w:style>
  <w:style w:type="paragraph" w:styleId="21">
    <w:name w:val="annotation text"/>
    <w:basedOn w:val="1"/>
    <w:link w:val="348"/>
    <w:autoRedefine/>
    <w:qFormat/>
    <w:uiPriority w:val="99"/>
    <w:pPr>
      <w:jc w:val="left"/>
    </w:pPr>
  </w:style>
  <w:style w:type="paragraph" w:styleId="22">
    <w:name w:val="Salutation"/>
    <w:basedOn w:val="1"/>
    <w:next w:val="1"/>
    <w:link w:val="302"/>
    <w:autoRedefine/>
    <w:qFormat/>
    <w:uiPriority w:val="0"/>
    <w:rPr>
      <w:rFonts w:ascii="仿宋_GB2312" w:eastAsia="仿宋_GB2312"/>
      <w:sz w:val="28"/>
      <w:szCs w:val="20"/>
    </w:rPr>
  </w:style>
  <w:style w:type="paragraph" w:styleId="23">
    <w:name w:val="Body Text 3"/>
    <w:basedOn w:val="1"/>
    <w:link w:val="334"/>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8"/>
    <w:autoRedefine/>
    <w:qFormat/>
    <w:uiPriority w:val="0"/>
    <w:pPr>
      <w:ind w:left="100" w:leftChars="2500"/>
    </w:pPr>
    <w:rPr>
      <w:rFonts w:ascii="宋体"/>
      <w:sz w:val="24"/>
      <w:szCs w:val="21"/>
      <w:lang w:val="zh-CN"/>
    </w:rPr>
  </w:style>
  <w:style w:type="paragraph" w:styleId="36">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5"/>
    <w:autoRedefine/>
    <w:qFormat/>
    <w:uiPriority w:val="0"/>
    <w:rPr>
      <w:lang w:val="zh-CN"/>
    </w:rPr>
  </w:style>
  <w:style w:type="paragraph" w:styleId="38">
    <w:name w:val="Balloon Text"/>
    <w:basedOn w:val="1"/>
    <w:link w:val="195"/>
    <w:autoRedefine/>
    <w:qFormat/>
    <w:uiPriority w:val="0"/>
    <w:rPr>
      <w:sz w:val="18"/>
      <w:szCs w:val="18"/>
    </w:rPr>
  </w:style>
  <w:style w:type="paragraph" w:styleId="39">
    <w:name w:val="footer"/>
    <w:basedOn w:val="1"/>
    <w:link w:val="387"/>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rPr>
  </w:style>
  <w:style w:type="paragraph" w:styleId="41">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9"/>
    <w:autoRedefine/>
    <w:qFormat/>
    <w:uiPriority w:val="0"/>
    <w:pPr>
      <w:spacing w:line="360" w:lineRule="auto"/>
      <w:ind w:firstLine="420"/>
    </w:pPr>
    <w:rPr>
      <w:sz w:val="24"/>
      <w:szCs w:val="20"/>
    </w:rPr>
  </w:style>
  <w:style w:type="paragraph" w:styleId="54">
    <w:name w:val="index 7"/>
    <w:basedOn w:val="1"/>
    <w:next w:val="1"/>
    <w:autoRedefine/>
    <w:qFormat/>
    <w:uiPriority w:val="0"/>
    <w:pPr>
      <w:ind w:left="2520"/>
    </w:p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3"/>
    <w:autoRedefine/>
    <w:qFormat/>
    <w:uiPriority w:val="0"/>
    <w:rPr>
      <w:b/>
      <w:bCs/>
    </w:rPr>
  </w:style>
  <w:style w:type="paragraph" w:styleId="62">
    <w:name w:val="Body Text First Indent"/>
    <w:basedOn w:val="25"/>
    <w:link w:val="325"/>
    <w:autoRedefine/>
    <w:qFormat/>
    <w:uiPriority w:val="0"/>
    <w:pPr>
      <w:ind w:firstLine="420"/>
    </w:pPr>
    <w:rPr>
      <w:rFonts w:hAnsi="Calibri" w:cs="Times New Roman"/>
      <w:snapToGrid/>
      <w:szCs w:val="20"/>
    </w:rPr>
  </w:style>
  <w:style w:type="paragraph" w:styleId="63">
    <w:name w:val="Body Text First Indent 2"/>
    <w:basedOn w:val="17"/>
    <w:link w:val="128"/>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标题 1 Char"/>
    <w:link w:val="3"/>
    <w:autoRedefine/>
    <w:qFormat/>
    <w:uiPriority w:val="9"/>
    <w:rPr>
      <w:b/>
      <w:bCs/>
      <w:kern w:val="44"/>
      <w:sz w:val="44"/>
      <w:szCs w:val="44"/>
    </w:rPr>
  </w:style>
  <w:style w:type="character" w:customStyle="1" w:styleId="82">
    <w:name w:val="标题 2 Char"/>
    <w:autoRedefine/>
    <w:qFormat/>
    <w:uiPriority w:val="0"/>
    <w:rPr>
      <w:rFonts w:ascii="Arial" w:hAnsi="Arial" w:eastAsia="黑体"/>
      <w:b/>
      <w:kern w:val="2"/>
      <w:sz w:val="32"/>
      <w:lang w:val="en-US" w:eastAsia="zh-CN"/>
    </w:rPr>
  </w:style>
  <w:style w:type="character" w:customStyle="1" w:styleId="83">
    <w:name w:val="页脚 字符"/>
    <w:autoRedefine/>
    <w:qFormat/>
    <w:uiPriority w:val="99"/>
    <w:rPr>
      <w:kern w:val="2"/>
      <w:sz w:val="18"/>
      <w:szCs w:val="18"/>
    </w:rPr>
  </w:style>
  <w:style w:type="paragraph" w:styleId="8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5">
    <w:name w:val="Default"/>
    <w:next w:val="86"/>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正文文本首行缩进 21"/>
    <w:basedOn w:val="17"/>
    <w:autoRedefine/>
    <w:qFormat/>
    <w:uiPriority w:val="99"/>
    <w:pPr>
      <w:spacing w:line="200" w:lineRule="atLeast"/>
      <w:ind w:firstLine="420"/>
    </w:pPr>
    <w:rPr>
      <w:rFonts w:hAnsi="Courier New"/>
      <w:spacing w:val="-4"/>
      <w:sz w:val="18"/>
    </w:rPr>
  </w:style>
  <w:style w:type="paragraph" w:customStyle="1" w:styleId="88">
    <w:name w:val="[Normal]"/>
    <w:autoRedefine/>
    <w:qFormat/>
    <w:uiPriority w:val="0"/>
    <w:rPr>
      <w:rFonts w:ascii="宋体" w:hAnsi="宋体" w:eastAsia="宋体" w:cs="Times New Roman"/>
      <w:sz w:val="24"/>
      <w:lang w:val="zh-CN" w:eastAsia="zh-CN" w:bidi="ar-SA"/>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1"/>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3"/>
    <w:autoRedefine/>
    <w:qFormat/>
    <w:uiPriority w:val="0"/>
    <w:rPr>
      <w:rFonts w:ascii="宋体" w:hAnsi="宋体"/>
      <w:kern w:val="2"/>
      <w:sz w:val="21"/>
      <w:szCs w:val="24"/>
    </w:rPr>
  </w:style>
  <w:style w:type="character" w:customStyle="1" w:styleId="129">
    <w:name w:val="font11"/>
    <w:basedOn w:val="7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1"/>
    <w:autoRedefine/>
    <w:qFormat/>
    <w:uiPriority w:val="0"/>
    <w:rPr>
      <w:rFonts w:ascii="Arial" w:hAnsi="Arial" w:eastAsia="黑体" w:cs="Arial"/>
      <w:snapToGrid w:val="0"/>
      <w:kern w:val="0"/>
      <w:szCs w:val="21"/>
    </w:rPr>
  </w:style>
  <w:style w:type="character" w:customStyle="1" w:styleId="132">
    <w:name w:val="纯文本 Char"/>
    <w:link w:val="2"/>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47"/>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Char"/>
    <w:link w:val="8"/>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4"/>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Char"/>
    <w:link w:val="35"/>
    <w:autoRedefine/>
    <w:qFormat/>
    <w:uiPriority w:val="0"/>
    <w:rPr>
      <w:rFonts w:ascii="宋体"/>
      <w:kern w:val="2"/>
      <w:sz w:val="24"/>
      <w:szCs w:val="21"/>
      <w:lang w:val="zh-CN"/>
    </w:rPr>
  </w:style>
  <w:style w:type="character" w:customStyle="1" w:styleId="189">
    <w:name w:val="标题 9 Char"/>
    <w:link w:val="11"/>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Char"/>
    <w:link w:val="38"/>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Char1"/>
    <w:link w:val="20"/>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basedOn w:val="7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6"/>
    <w:autoRedefine/>
    <w:qFormat/>
    <w:uiPriority w:val="0"/>
    <w:rPr>
      <w:rFonts w:ascii="仿宋_GB2312" w:hAnsi="仿宋" w:eastAsia="仿宋_GB2312" w:cs="仿宋_GB2312"/>
      <w:sz w:val="32"/>
      <w:szCs w:val="30"/>
      <w:lang w:val="zh-CN"/>
    </w:rPr>
  </w:style>
  <w:style w:type="character" w:customStyle="1" w:styleId="225">
    <w:name w:val="HTML 地址 Char"/>
    <w:link w:val="30"/>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6"/>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8"/>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5"/>
    <w:autoRedefine/>
    <w:qFormat/>
    <w:uiPriority w:val="0"/>
    <w:rPr>
      <w:rFonts w:ascii="仿宋_GB2312" w:eastAsia="仿宋_GB2312" w:cs="仿宋_GB2312"/>
      <w:color w:val="000000"/>
      <w:sz w:val="24"/>
      <w:szCs w:val="24"/>
      <w:lang w:val="en-US" w:eastAsia="zh-CN" w:bidi="ar-SA"/>
    </w:rPr>
  </w:style>
  <w:style w:type="paragraph" w:customStyle="1" w:styleId="24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8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17"/>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2"/>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8"/>
    <w:autoRedefine/>
    <w:qFormat/>
    <w:uiPriority w:val="0"/>
    <w:rPr>
      <w:rFonts w:ascii="黑体" w:hAnsi="Courier New" w:eastAsia="黑体"/>
    </w:rPr>
  </w:style>
  <w:style w:type="character" w:customStyle="1" w:styleId="306">
    <w:name w:val="正文文本 2 Char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9"/>
    <w:autoRedefine/>
    <w:qFormat/>
    <w:uiPriority w:val="0"/>
    <w:rPr>
      <w:b/>
      <w:bCs/>
      <w:kern w:val="2"/>
      <w:sz w:val="24"/>
      <w:szCs w:val="24"/>
    </w:rPr>
  </w:style>
  <w:style w:type="character" w:customStyle="1" w:styleId="312">
    <w:name w:val="正文文本缩进 2 Char"/>
    <w:link w:val="36"/>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0"/>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62"/>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3"/>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autoRedefine/>
    <w:qFormat/>
    <w:uiPriority w:val="0"/>
    <w:rPr>
      <w:kern w:val="2"/>
      <w:sz w:val="21"/>
      <w:szCs w:val="24"/>
    </w:rPr>
  </w:style>
  <w:style w:type="character" w:customStyle="1" w:styleId="349">
    <w:name w:val="签名 Char"/>
    <w:link w:val="42"/>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3"/>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39"/>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1"/>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5"/>
    <w:next w:val="85"/>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5"/>
    <w:next w:val="85"/>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1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2"/>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1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7"/>
    <w:autoRedefine/>
    <w:qFormat/>
    <w:uiPriority w:val="0"/>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84"/>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basedOn w:val="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68">
    <w:name w:val="font101"/>
    <w:basedOn w:val="71"/>
    <w:autoRedefine/>
    <w:qFormat/>
    <w:uiPriority w:val="0"/>
    <w:rPr>
      <w:rFonts w:hint="eastAsia" w:ascii="宋体" w:hAnsi="宋体" w:eastAsia="宋体" w:cs="宋体"/>
      <w:color w:val="FF0000"/>
      <w:sz w:val="20"/>
      <w:szCs w:val="20"/>
      <w:u w:val="none"/>
    </w:rPr>
  </w:style>
  <w:style w:type="paragraph" w:customStyle="1" w:styleId="969">
    <w:name w:val="封面编号"/>
    <w:basedOn w:val="1"/>
    <w:autoRedefine/>
    <w:qFormat/>
    <w:uiPriority w:val="0"/>
    <w:pPr>
      <w:spacing w:line="360" w:lineRule="auto"/>
      <w:jc w:val="center"/>
    </w:pPr>
    <w:rPr>
      <w:rFonts w:ascii="黑体" w:hAnsi="宋体" w:eastAsia="黑体" w:cs="宋体"/>
      <w:b/>
      <w:bCs/>
      <w:sz w:val="38"/>
      <w:szCs w:val="20"/>
    </w:rPr>
  </w:style>
  <w:style w:type="paragraph" w:customStyle="1" w:styleId="97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71">
    <w:name w:val="不明显强调1"/>
    <w:autoRedefine/>
    <w:qFormat/>
    <w:uiPriority w:val="19"/>
    <w:rPr>
      <w:i/>
      <w:iCs/>
    </w:rPr>
  </w:style>
  <w:style w:type="paragraph" w:customStyle="1" w:styleId="972">
    <w:name w:val="Revision"/>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73">
    <w:name w:val="Table Normal"/>
    <w:autoRedefine/>
    <w:unhideWhenUsed/>
    <w:qFormat/>
    <w:uiPriority w:val="0"/>
    <w:tblPr>
      <w:tblCellMar>
        <w:top w:w="0" w:type="dxa"/>
        <w:left w:w="0" w:type="dxa"/>
        <w:bottom w:w="0" w:type="dxa"/>
        <w:right w:w="0" w:type="dxa"/>
      </w:tblCellMar>
    </w:tblPr>
  </w:style>
  <w:style w:type="character" w:customStyle="1" w:styleId="974">
    <w:name w:val="font131"/>
    <w:basedOn w:val="71"/>
    <w:autoRedefine/>
    <w:qFormat/>
    <w:uiPriority w:val="0"/>
    <w:rPr>
      <w:rFonts w:hint="eastAsia" w:ascii="宋体" w:hAnsi="宋体" w:eastAsia="宋体" w:cs="宋体"/>
      <w:color w:val="000000"/>
      <w:sz w:val="24"/>
      <w:szCs w:val="24"/>
      <w:u w:val="none"/>
    </w:rPr>
  </w:style>
  <w:style w:type="character" w:customStyle="1" w:styleId="975">
    <w:name w:val="font112"/>
    <w:basedOn w:val="71"/>
    <w:autoRedefine/>
    <w:qFormat/>
    <w:uiPriority w:val="0"/>
    <w:rPr>
      <w:rFonts w:hint="default" w:ascii="Calibri" w:hAnsi="Calibri" w:cs="Calibri"/>
      <w:color w:val="000000"/>
      <w:sz w:val="20"/>
      <w:szCs w:val="20"/>
      <w:u w:val="none"/>
    </w:rPr>
  </w:style>
  <w:style w:type="character" w:customStyle="1" w:styleId="976">
    <w:name w:val="font141"/>
    <w:basedOn w:val="7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20943</Words>
  <Characters>21989</Characters>
  <Lines>195</Lines>
  <Paragraphs>55</Paragraphs>
  <TotalTime>49</TotalTime>
  <ScaleCrop>false</ScaleCrop>
  <LinksUpToDate>false</LinksUpToDate>
  <CharactersWithSpaces>24066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2023-08-14T00:47:00Z</dcterms:created>
  <dc:creator>Administrator</dc:creator>
  <cp:lastModifiedBy>Aun</cp:lastModifiedBy>
  <cp:lastPrinted>2025-04-02T01:10:00Z</cp:lastPrinted>
  <dcterms:modified xsi:type="dcterms:W3CDTF">2025-06-30T02:02:18Z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833C3DFA24F04CF8801BECF945952C47_13</vt:lpwstr>
  </property>
  <property fmtid="{D5CDD505-2E9C-101B-9397-08002B2CF9AE}" pid="5" name="commondata">
    <vt:lpwstr>eyJoZGlkIjoiMzdkYTNjODAzOWEyZTBjZWI2OWE0Y2U2MTNhOGNiNmUifQ==</vt:lpwstr>
  </property>
  <property fmtid="{D5CDD505-2E9C-101B-9397-08002B2CF9AE}" pid="6" name="KSOTemplateDocerSaveRecord">
    <vt:lpwstr>eyJoZGlkIjoiNzJkMjdmZjE5MjU2NTEzN2IzYjkxYzRmZDM5ZGQ2YjMiLCJ1c2VySWQiOiIyODUxNjgxODMifQ==</vt:lpwstr>
  </property>
</Properties>
</file>