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1BCE6">
      <w:pPr>
        <w:rPr>
          <w:color w:val="000000" w:themeColor="text1"/>
          <w14:textFill>
            <w14:solidFill>
              <w14:schemeClr w14:val="tx1"/>
            </w14:solidFill>
          </w14:textFill>
        </w:rPr>
      </w:pPr>
    </w:p>
    <w:p w14:paraId="58E7E079">
      <w:pPr>
        <w:rPr>
          <w:color w:val="000000" w:themeColor="text1"/>
          <w14:textFill>
            <w14:solidFill>
              <w14:schemeClr w14:val="tx1"/>
            </w14:solidFill>
          </w14:textFill>
        </w:rPr>
      </w:pPr>
    </w:p>
    <w:p w14:paraId="4E93B1D4">
      <w:pPr>
        <w:jc w:val="center"/>
        <w:rPr>
          <w:rFonts w:hint="eastAsia" w:eastAsia="宋体"/>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浙江开放大学萧山学院信息设备管理平台</w:t>
      </w:r>
    </w:p>
    <w:p w14:paraId="1AF5AA62">
      <w:pPr>
        <w:jc w:val="center"/>
        <w:rPr>
          <w:color w:val="000000" w:themeColor="text1"/>
          <w:sz w:val="40"/>
          <w14:textFill>
            <w14:solidFill>
              <w14:schemeClr w14:val="tx1"/>
            </w14:solidFill>
          </w14:textFill>
        </w:rPr>
      </w:pPr>
    </w:p>
    <w:p w14:paraId="19DB7AC5">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交易文件</w:t>
      </w:r>
    </w:p>
    <w:p w14:paraId="253409E4">
      <w:pPr>
        <w:jc w:val="center"/>
        <w:rPr>
          <w:color w:val="000000" w:themeColor="text1"/>
          <w:sz w:val="36"/>
          <w14:textFill>
            <w14:solidFill>
              <w14:schemeClr w14:val="tx1"/>
            </w14:solidFill>
          </w14:textFill>
        </w:rPr>
      </w:pPr>
    </w:p>
    <w:p w14:paraId="35932D9A">
      <w:pPr>
        <w:jc w:val="center"/>
        <w:rPr>
          <w:color w:val="000000" w:themeColor="text1"/>
          <w:sz w:val="36"/>
          <w14:textFill>
            <w14:solidFill>
              <w14:schemeClr w14:val="tx1"/>
            </w14:solidFill>
          </w14:textFill>
        </w:rPr>
      </w:pPr>
    </w:p>
    <w:p w14:paraId="4472D45D">
      <w:pPr>
        <w:jc w:val="center"/>
        <w:rPr>
          <w:color w:val="000000" w:themeColor="text1"/>
          <w:sz w:val="36"/>
          <w14:textFill>
            <w14:solidFill>
              <w14:schemeClr w14:val="tx1"/>
            </w14:solidFill>
          </w14:textFill>
        </w:rPr>
      </w:pPr>
    </w:p>
    <w:p w14:paraId="34286ACE">
      <w:pPr>
        <w:jc w:val="center"/>
        <w:rPr>
          <w:color w:val="000000" w:themeColor="text1"/>
          <w:sz w:val="36"/>
          <w14:textFill>
            <w14:solidFill>
              <w14:schemeClr w14:val="tx1"/>
            </w14:solidFill>
          </w14:textFill>
        </w:rPr>
      </w:pPr>
    </w:p>
    <w:p w14:paraId="25A0E8E9">
      <w:pPr>
        <w:jc w:val="center"/>
        <w:rPr>
          <w:color w:val="000000" w:themeColor="text1"/>
          <w:sz w:val="36"/>
          <w14:textFill>
            <w14:solidFill>
              <w14:schemeClr w14:val="tx1"/>
            </w14:solidFill>
          </w14:textFill>
        </w:rPr>
      </w:pPr>
    </w:p>
    <w:p w14:paraId="10AC7341">
      <w:pPr>
        <w:jc w:val="center"/>
        <w:rPr>
          <w:color w:val="000000" w:themeColor="text1"/>
          <w:sz w:val="36"/>
          <w14:textFill>
            <w14:solidFill>
              <w14:schemeClr w14:val="tx1"/>
            </w14:solidFill>
          </w14:textFill>
        </w:rPr>
      </w:pPr>
    </w:p>
    <w:p w14:paraId="30D4E29E">
      <w:pPr>
        <w:jc w:val="center"/>
        <w:rPr>
          <w:rFonts w:hint="eastAsia" w:eastAsia="宋体"/>
          <w:color w:val="000000" w:themeColor="text1"/>
          <w:sz w:val="36"/>
          <w:lang w:eastAsia="zh-CN"/>
          <w14:textFill>
            <w14:solidFill>
              <w14:schemeClr w14:val="tx1"/>
            </w14:solidFill>
          </w14:textFill>
        </w:rPr>
      </w:pPr>
      <w:r>
        <w:rPr>
          <w:rFonts w:hint="eastAsia"/>
          <w:color w:val="000000" w:themeColor="text1"/>
          <w:sz w:val="36"/>
          <w14:textFill>
            <w14:solidFill>
              <w14:schemeClr w14:val="tx1"/>
            </w14:solidFill>
          </w14:textFill>
        </w:rPr>
        <w:t>编号:</w:t>
      </w:r>
      <w:r>
        <w:rPr>
          <w:rFonts w:hint="eastAsia"/>
          <w:color w:val="000000" w:themeColor="text1"/>
          <w:sz w:val="36"/>
          <w:lang w:eastAsia="zh-CN"/>
          <w14:textFill>
            <w14:solidFill>
              <w14:schemeClr w14:val="tx1"/>
            </w14:solidFill>
          </w14:textFill>
        </w:rPr>
        <w:t>XSKFDX-LCY-2025001</w:t>
      </w:r>
    </w:p>
    <w:p w14:paraId="0EF0934A">
      <w:pPr>
        <w:jc w:val="center"/>
        <w:rPr>
          <w:color w:val="000000" w:themeColor="text1"/>
          <w:sz w:val="36"/>
          <w14:textFill>
            <w14:solidFill>
              <w14:schemeClr w14:val="tx1"/>
            </w14:solidFill>
          </w14:textFill>
        </w:rPr>
      </w:pPr>
    </w:p>
    <w:p w14:paraId="57FC03EB">
      <w:pPr>
        <w:jc w:val="center"/>
        <w:rPr>
          <w:color w:val="000000" w:themeColor="text1"/>
          <w:sz w:val="36"/>
          <w14:textFill>
            <w14:solidFill>
              <w14:schemeClr w14:val="tx1"/>
            </w14:solidFill>
          </w14:textFill>
        </w:rPr>
      </w:pPr>
    </w:p>
    <w:p w14:paraId="3A1073C4">
      <w:pPr>
        <w:pStyle w:val="16"/>
        <w:ind w:firstLine="720"/>
        <w:rPr>
          <w:rFonts w:cs="宋体"/>
          <w:color w:val="000000" w:themeColor="text1"/>
          <w:sz w:val="36"/>
          <w14:textFill>
            <w14:solidFill>
              <w14:schemeClr w14:val="tx1"/>
            </w14:solidFill>
          </w14:textFill>
        </w:rPr>
      </w:pPr>
    </w:p>
    <w:p w14:paraId="1045042D">
      <w:pPr>
        <w:pStyle w:val="16"/>
        <w:ind w:firstLine="720"/>
        <w:rPr>
          <w:rFonts w:cs="宋体"/>
          <w:color w:val="000000" w:themeColor="text1"/>
          <w:sz w:val="36"/>
          <w14:textFill>
            <w14:solidFill>
              <w14:schemeClr w14:val="tx1"/>
            </w14:solidFill>
          </w14:textFill>
        </w:rPr>
      </w:pPr>
    </w:p>
    <w:p w14:paraId="5ABF59C5">
      <w:pPr>
        <w:pStyle w:val="16"/>
        <w:ind w:firstLine="720"/>
        <w:rPr>
          <w:rFonts w:cs="宋体"/>
          <w:color w:val="000000" w:themeColor="text1"/>
          <w:sz w:val="36"/>
          <w14:textFill>
            <w14:solidFill>
              <w14:schemeClr w14:val="tx1"/>
            </w14:solidFill>
          </w14:textFill>
        </w:rPr>
      </w:pPr>
    </w:p>
    <w:p w14:paraId="5E9CC1AB">
      <w:pPr>
        <w:jc w:val="center"/>
        <w:rPr>
          <w:color w:val="000000" w:themeColor="text1"/>
          <w:sz w:val="36"/>
          <w14:textFill>
            <w14:solidFill>
              <w14:schemeClr w14:val="tx1"/>
            </w14:solidFill>
          </w14:textFill>
        </w:rPr>
      </w:pPr>
    </w:p>
    <w:p w14:paraId="096431B3">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p>
    <w:p w14:paraId="229880F3">
      <w:pPr>
        <w:rPr>
          <w:color w:val="000000" w:themeColor="text1"/>
          <w14:textFill>
            <w14:solidFill>
              <w14:schemeClr w14:val="tx1"/>
            </w14:solidFill>
          </w14:textFill>
        </w:rPr>
      </w:pPr>
    </w:p>
    <w:p w14:paraId="4A5880CC">
      <w:pPr>
        <w:jc w:val="center"/>
        <w:rPr>
          <w:color w:val="000000" w:themeColor="text1"/>
          <w14:textFill>
            <w14:solidFill>
              <w14:schemeClr w14:val="tx1"/>
            </w14:solidFill>
          </w14:textFill>
        </w:rPr>
      </w:pPr>
    </w:p>
    <w:p w14:paraId="6DAE274B">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浙江开放大学萧山学院</w:t>
      </w:r>
    </w:p>
    <w:p w14:paraId="00E62D27">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浙江越锋项目管理有限公司</w:t>
      </w:r>
    </w:p>
    <w:p w14:paraId="648A1289">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202</w:t>
      </w:r>
      <w:r>
        <w:rPr>
          <w:rFonts w:hint="eastAsia"/>
          <w:color w:val="000000" w:themeColor="text1"/>
          <w:sz w:val="36"/>
          <w:lang w:val="en-US" w:eastAsia="zh-CN"/>
          <w14:textFill>
            <w14:solidFill>
              <w14:schemeClr w14:val="tx1"/>
            </w14:solidFill>
          </w14:textFill>
        </w:rPr>
        <w:t>5</w:t>
      </w:r>
      <w:r>
        <w:rPr>
          <w:rFonts w:hint="eastAsia"/>
          <w:color w:val="000000" w:themeColor="text1"/>
          <w:sz w:val="36"/>
          <w14:textFill>
            <w14:solidFill>
              <w14:schemeClr w14:val="tx1"/>
            </w14:solidFill>
          </w14:textFill>
        </w:rPr>
        <w:t>年</w:t>
      </w:r>
      <w:r>
        <w:rPr>
          <w:rFonts w:hint="eastAsia"/>
          <w:color w:val="000000" w:themeColor="text1"/>
          <w:sz w:val="36"/>
          <w:lang w:val="en-US" w:eastAsia="zh-CN"/>
          <w14:textFill>
            <w14:solidFill>
              <w14:schemeClr w14:val="tx1"/>
            </w14:solidFill>
          </w14:textFill>
        </w:rPr>
        <w:t>7</w:t>
      </w:r>
      <w:r>
        <w:rPr>
          <w:rFonts w:hint="eastAsia"/>
          <w:color w:val="000000" w:themeColor="text1"/>
          <w:sz w:val="36"/>
          <w14:textFill>
            <w14:solidFill>
              <w14:schemeClr w14:val="tx1"/>
            </w14:solidFill>
          </w14:textFill>
        </w:rPr>
        <w:t>月</w:t>
      </w:r>
    </w:p>
    <w:p w14:paraId="6D6984A5">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br w:type="page"/>
      </w:r>
    </w:p>
    <w:p w14:paraId="6E7FEAC6">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4529F909">
      <w:pPr>
        <w:rPr>
          <w:color w:val="000000" w:themeColor="text1"/>
          <w14:textFill>
            <w14:solidFill>
              <w14:schemeClr w14:val="tx1"/>
            </w14:solidFill>
          </w14:textFill>
        </w:rPr>
      </w:pPr>
    </w:p>
    <w:p w14:paraId="4F1B1E8F">
      <w:pPr>
        <w:rPr>
          <w:color w:val="000000" w:themeColor="text1"/>
          <w14:textFill>
            <w14:solidFill>
              <w14:schemeClr w14:val="tx1"/>
            </w14:solidFill>
          </w14:textFill>
        </w:rPr>
      </w:pPr>
    </w:p>
    <w:p w14:paraId="57AC7FE3">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第一部分      交易公告</w:t>
      </w:r>
    </w:p>
    <w:p w14:paraId="29D079D4">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      供应商须知</w:t>
      </w:r>
    </w:p>
    <w:p w14:paraId="5514038F">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第三部分      采购需求</w:t>
      </w:r>
    </w:p>
    <w:p w14:paraId="319BB303">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第四部分      评标办法</w:t>
      </w:r>
    </w:p>
    <w:p w14:paraId="4DB32162">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第五部分      拟签订的合同文本</w:t>
      </w:r>
    </w:p>
    <w:p w14:paraId="50D9497A">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第六部分      应提交的有关格式范例</w:t>
      </w:r>
    </w:p>
    <w:p w14:paraId="23A3854E">
      <w:pPr>
        <w:spacing w:line="276" w:lineRule="auto"/>
        <w:rPr>
          <w:color w:val="000000" w:themeColor="text1"/>
          <w:sz w:val="32"/>
          <w14:textFill>
            <w14:solidFill>
              <w14:schemeClr w14:val="tx1"/>
            </w14:solidFill>
          </w14:textFill>
        </w:rPr>
      </w:pPr>
    </w:p>
    <w:p w14:paraId="7B1356A7">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0FF466DA">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交易公告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706C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9F7C216">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14:paraId="46B48354">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r>
              <w:rPr>
                <w:rFonts w:hint="eastAsia"/>
                <w:color w:val="000000" w:themeColor="text1"/>
                <w:u w:val="single"/>
                <w:lang w:eastAsia="zh-CN"/>
                <w14:textFill>
                  <w14:solidFill>
                    <w14:schemeClr w14:val="tx1"/>
                  </w14:solidFill>
                </w14:textFill>
              </w:rPr>
              <w:t>浙江开放大学萧山学院信息设备管理平台</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招标项目的潜在供应商应在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w:t>
            </w:r>
            <w:r>
              <w:fldChar w:fldCharType="begin"/>
            </w:r>
            <w:r>
              <w:instrText xml:space="preserve"> HYPERLINK "https://www.zcygov.cn/）获取（下载）招标文件，并于2021年" </w:instrText>
            </w:r>
            <w:r>
              <w:fldChar w:fldCharType="separate"/>
            </w:r>
            <w:r>
              <w:rPr>
                <w:rFonts w:hint="eastAsia"/>
                <w:color w:val="000000" w:themeColor="text1"/>
                <w14:textFill>
                  <w14:solidFill>
                    <w14:schemeClr w14:val="tx1"/>
                  </w14:solidFill>
                </w14:textFill>
              </w:rPr>
              <w:t>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/）获取（下载）交易文件，并于202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09</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分00秒</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（北京时间）前递交（上传）响应文件。</w:t>
            </w:r>
          </w:p>
          <w:p w14:paraId="1C9F97F8">
            <w:pPr>
              <w:rPr>
                <w:color w:val="000000" w:themeColor="text1"/>
                <w14:textFill>
                  <w14:solidFill>
                    <w14:schemeClr w14:val="tx1"/>
                  </w14:solidFill>
                </w14:textFill>
              </w:rPr>
            </w:pPr>
          </w:p>
        </w:tc>
      </w:tr>
    </w:tbl>
    <w:p w14:paraId="6C263B09">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一、项目基本情况                                            </w:t>
      </w:r>
    </w:p>
    <w:p w14:paraId="035304FC">
      <w:pPr>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lang w:eastAsia="zh-CN"/>
          <w14:textFill>
            <w14:solidFill>
              <w14:schemeClr w14:val="tx1"/>
            </w14:solidFill>
          </w14:textFill>
        </w:rPr>
        <w:t>XSKFDX-LCY-2025001</w:t>
      </w:r>
    </w:p>
    <w:p w14:paraId="4DA11875">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浙江开放大学萧山学院信息设备管理平台</w:t>
      </w:r>
    </w:p>
    <w:p w14:paraId="68A9592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35</w:t>
      </w:r>
      <w:r>
        <w:rPr>
          <w:rFonts w:hint="eastAsia"/>
          <w:color w:val="000000" w:themeColor="text1"/>
          <w:highlight w:val="none"/>
          <w14:textFill>
            <w14:solidFill>
              <w14:schemeClr w14:val="tx1"/>
            </w14:solidFill>
          </w14:textFill>
        </w:rPr>
        <w:t>0000</w:t>
      </w:r>
    </w:p>
    <w:p w14:paraId="5706F6A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35</w:t>
      </w:r>
      <w:r>
        <w:rPr>
          <w:rFonts w:hint="eastAsia"/>
          <w:color w:val="000000" w:themeColor="text1"/>
          <w:highlight w:val="none"/>
          <w14:textFill>
            <w14:solidFill>
              <w14:schemeClr w14:val="tx1"/>
            </w14:solidFill>
          </w14:textFill>
        </w:rPr>
        <w:t>0000</w:t>
      </w:r>
    </w:p>
    <w:p w14:paraId="232EB79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采购需求：（项目名称）主要内容：</w:t>
      </w:r>
      <w:bookmarkStart w:id="0" w:name="OLE_LINK2"/>
      <w:r>
        <w:rPr>
          <w:rFonts w:hint="eastAsia"/>
          <w:color w:val="000000" w:themeColor="text1"/>
          <w14:textFill>
            <w14:solidFill>
              <w14:schemeClr w14:val="tx1"/>
            </w14:solidFill>
          </w14:textFill>
        </w:rPr>
        <w:t>详见交易文件第三部分采购需求</w:t>
      </w:r>
      <w:bookmarkEnd w:id="0"/>
      <w:r>
        <w:rPr>
          <w:rFonts w:hint="eastAsia"/>
          <w:color w:val="000000" w:themeColor="text1"/>
          <w14:textFill>
            <w14:solidFill>
              <w14:schemeClr w14:val="tx1"/>
            </w14:solidFill>
          </w14:textFill>
        </w:rPr>
        <w:t>。</w:t>
      </w:r>
    </w:p>
    <w:p w14:paraId="43E590C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合同履约期限：按交易文件要求</w:t>
      </w:r>
    </w:p>
    <w:p w14:paraId="25D8979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本项目接受联合体投标：否 。</w:t>
      </w:r>
    </w:p>
    <w:p w14:paraId="52BD86E1">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二、申请人的资格要求</w:t>
      </w:r>
      <w:r>
        <w:rPr>
          <w:rFonts w:hint="eastAsia"/>
          <w:color w:val="000000" w:themeColor="text1"/>
          <w14:textFill>
            <w14:solidFill>
              <w14:schemeClr w14:val="tx1"/>
            </w14:solidFill>
          </w14:textFill>
        </w:rPr>
        <w:t>：</w:t>
      </w:r>
    </w:p>
    <w:p w14:paraId="137EBCF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38A72E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2.本项目的特定资格要求：无；</w:t>
      </w:r>
    </w:p>
    <w:p w14:paraId="54AD77D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7440F3">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三、获取交易文件 </w:t>
      </w:r>
    </w:p>
    <w:p w14:paraId="4FB3F22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时间：/至202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日，每天上午00:00至12:00 ，下午12:00至23:59（北京时间，线上获取法定节假日均可，线下获取文件法定节假日除外）</w:t>
      </w:r>
    </w:p>
    <w:p w14:paraId="0F5279D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bookmarkStart w:id="1" w:name="OLE_LINK3"/>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 xml:space="preserve">/） </w:t>
      </w:r>
      <w:bookmarkEnd w:id="1"/>
    </w:p>
    <w:p w14:paraId="6FEECA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 xml:space="preserve">/在线申请获取采购文件（进入“项目采购”应用，在获取采购文件菜单中选择项目，申请获取采购文件）。 </w:t>
      </w:r>
    </w:p>
    <w:p w14:paraId="4507FC3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售价（元）：0 </w:t>
      </w:r>
      <w:r>
        <w:rPr>
          <w:rFonts w:hint="eastAsia"/>
          <w:color w:val="000000" w:themeColor="text1"/>
          <w14:textFill>
            <w14:solidFill>
              <w14:schemeClr w14:val="tx1"/>
            </w14:solidFill>
          </w14:textFill>
        </w:rPr>
        <w:tab/>
      </w:r>
    </w:p>
    <w:p w14:paraId="760F23A2">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四、提交响应文件截止时间、开标时间和地点</w:t>
      </w:r>
    </w:p>
    <w:p w14:paraId="68AE126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提交响应文件截止时间： 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日09点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 （北京时间）</w:t>
      </w:r>
    </w:p>
    <w:p w14:paraId="63FAE8C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投标地点（网址）：</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 xml:space="preserve">/） </w:t>
      </w:r>
    </w:p>
    <w:p w14:paraId="5AC8C32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开标时间：202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日09点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 xml:space="preserve">分 </w:t>
      </w:r>
    </w:p>
    <w:p w14:paraId="18CC172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开标地点（网址）：</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w:t>
      </w:r>
    </w:p>
    <w:p w14:paraId="59E9D686">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五、公告期限 </w:t>
      </w:r>
    </w:p>
    <w:p w14:paraId="439B3FC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自本公告发布之日起1个工作日。</w:t>
      </w:r>
    </w:p>
    <w:p w14:paraId="4141ED06">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六、其他补充事宜</w:t>
      </w:r>
    </w:p>
    <w:p w14:paraId="4D47282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3个工作日内，以书面形式向采购人和采购代理机构提出质疑。</w:t>
      </w:r>
    </w:p>
    <w:p w14:paraId="0C01FAC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2.其他事项：（1）电子招投标的说明：①电子招投标：本项目以数据电文形式，依托“政府采购云平台（</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电子交易客户端”----前往“浙江政府采购网-下载专区-电子交易客户端”进行下载并安装；③交易文件的获取：使用账号登录或者使用CA登录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平台；进入“项目采购”应用，在获取采购文件菜单中选择项目，获取交易文件；④响应文件的制作：在“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电子交易客户端”中完成“填写基本信息”、“导入响应文件”、“标书关联”、“标书检查”、“电子签名”、“生成电子标书”等操作；⑤采购人、采购机构将依托</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平台“服务中心-帮助文档-项目采购-操作流程-电子招投标-政府采购项目电子交易管理操作指南-供应商”。</w:t>
      </w:r>
    </w:p>
    <w:p w14:paraId="03E9F56A">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七、对本次采购提出询问、质疑，请按以下方式联系</w:t>
      </w:r>
    </w:p>
    <w:p w14:paraId="2DBA82C9">
      <w:pPr>
        <w:spacing w:line="360" w:lineRule="auto"/>
        <w:rPr>
          <w:color w:val="000000" w:themeColor="text1"/>
          <w14:textFill>
            <w14:solidFill>
              <w14:schemeClr w14:val="tx1"/>
            </w14:solidFill>
          </w14:textFill>
        </w:rPr>
      </w:pPr>
      <w:bookmarkStart w:id="2" w:name="_Toc28359009"/>
      <w:bookmarkStart w:id="3" w:name="_Toc28359086"/>
      <w:r>
        <w:rPr>
          <w:rFonts w:hint="eastAsia"/>
          <w:color w:val="000000" w:themeColor="text1"/>
          <w14:textFill>
            <w14:solidFill>
              <w14:schemeClr w14:val="tx1"/>
            </w14:solidFill>
          </w14:textFill>
        </w:rPr>
        <w:t>1.采购人信息</w:t>
      </w:r>
    </w:p>
    <w:p w14:paraId="7B45A0F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称：浙江开放大学萧山学院</w:t>
      </w:r>
    </w:p>
    <w:p w14:paraId="0F4C13C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 址：萧山区育才路1268号  </w:t>
      </w:r>
    </w:p>
    <w:p w14:paraId="5967923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6AC6C46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 沈老师</w:t>
      </w:r>
    </w:p>
    <w:p w14:paraId="198CB4F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82665050</w:t>
      </w:r>
    </w:p>
    <w:p w14:paraId="4E44D90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2.采购代理机构信息</w:t>
      </w:r>
      <w:bookmarkEnd w:id="2"/>
      <w:bookmarkEnd w:id="3"/>
    </w:p>
    <w:p w14:paraId="35812687">
      <w:pPr>
        <w:spacing w:after="200"/>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名 称：浙江越锋项目管理有限公司</w:t>
      </w:r>
    </w:p>
    <w:p w14:paraId="104B410E">
      <w:pPr>
        <w:spacing w:after="200"/>
        <w:ind w:firstLine="240" w:firstLineChars="1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地 址： </w:t>
      </w:r>
      <w:r>
        <w:rPr>
          <w:rFonts w:hint="eastAsia"/>
          <w:color w:val="000000" w:themeColor="text1"/>
          <w:lang w:eastAsia="zh-CN"/>
          <w14:textFill>
            <w14:solidFill>
              <w14:schemeClr w14:val="tx1"/>
            </w14:solidFill>
          </w14:textFill>
        </w:rPr>
        <w:t>萧山区旺角城金座1幢2604</w:t>
      </w:r>
    </w:p>
    <w:p w14:paraId="7C06F04D">
      <w:pPr>
        <w:spacing w:after="200"/>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14:paraId="3A12E66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项目联系人（询问）：陆先生   </w:t>
      </w:r>
    </w:p>
    <w:p w14:paraId="5D7CA17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项目联系方式（询问）：15356114982</w:t>
      </w:r>
    </w:p>
    <w:p w14:paraId="7D9767F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质疑联系人：楼喆</w:t>
      </w:r>
    </w:p>
    <w:p w14:paraId="0CB7470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质疑联系方式：18069844756</w:t>
      </w:r>
    </w:p>
    <w:p w14:paraId="4139914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若对项目采购电子交易系统操作有疑问，可登录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/），点击右侧咨询小采，获取采小蜜智能服务管家帮助，或拨打</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服务热线400-881-7190获取热线服务帮助。</w:t>
      </w:r>
    </w:p>
    <w:p w14:paraId="59761D0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14:paraId="3FFFCE09">
      <w:pPr>
        <w:spacing w:line="276" w:lineRule="auto"/>
        <w:jc w:val="center"/>
        <w:rPr>
          <w:rFonts w:hint="eastAsia"/>
          <w:b/>
          <w:bCs/>
          <w:color w:val="000000" w:themeColor="text1"/>
          <w14:textFill>
            <w14:solidFill>
              <w14:schemeClr w14:val="tx1"/>
            </w14:solidFill>
          </w14:textFill>
        </w:rPr>
      </w:pPr>
    </w:p>
    <w:p w14:paraId="2759C2C2">
      <w:pPr>
        <w:spacing w:line="276" w:lineRule="auto"/>
        <w:jc w:val="center"/>
        <w:rPr>
          <w:rFonts w:hint="eastAsia"/>
          <w:b/>
          <w:bCs/>
          <w:color w:val="000000" w:themeColor="text1"/>
          <w14:textFill>
            <w14:solidFill>
              <w14:schemeClr w14:val="tx1"/>
            </w14:solidFill>
          </w14:textFill>
        </w:rPr>
      </w:pPr>
    </w:p>
    <w:p w14:paraId="2F0319AD">
      <w:pPr>
        <w:spacing w:line="276"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第二部分 供应商须知</w:t>
      </w:r>
    </w:p>
    <w:p w14:paraId="63ADDF20">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14:paraId="44E8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1D5D7E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822" w:type="pct"/>
            <w:vAlign w:val="center"/>
          </w:tcPr>
          <w:p w14:paraId="6FE4901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事项</w:t>
            </w:r>
          </w:p>
        </w:tc>
        <w:tc>
          <w:tcPr>
            <w:tcW w:w="3867" w:type="pct"/>
            <w:vAlign w:val="center"/>
          </w:tcPr>
          <w:p w14:paraId="4B8163F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本项目特别规定</w:t>
            </w:r>
          </w:p>
        </w:tc>
      </w:tr>
      <w:tr w14:paraId="1CA6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B19CC6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22" w:type="pct"/>
            <w:vAlign w:val="center"/>
          </w:tcPr>
          <w:p w14:paraId="0135DC2B">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项目属性与核心产品</w:t>
            </w:r>
          </w:p>
        </w:tc>
        <w:tc>
          <w:tcPr>
            <w:tcW w:w="3867" w:type="pct"/>
            <w:vAlign w:val="center"/>
          </w:tcPr>
          <w:p w14:paraId="5FBF78F1">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)A货物类，单一产品或核心产品为：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186B620A">
            <w:pPr>
              <w:ind w:firstLine="220" w:firstLineChars="100"/>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)B服务类。</w:t>
            </w:r>
          </w:p>
        </w:tc>
      </w:tr>
      <w:tr w14:paraId="3F29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D86443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22" w:type="pct"/>
            <w:vAlign w:val="center"/>
          </w:tcPr>
          <w:p w14:paraId="68E66944">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采购标的对应的中小企业划分标准所属行业</w:t>
            </w:r>
          </w:p>
        </w:tc>
        <w:tc>
          <w:tcPr>
            <w:tcW w:w="3867" w:type="pct"/>
            <w:vAlign w:val="center"/>
          </w:tcPr>
          <w:p w14:paraId="28AFFE68">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206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1F1AB8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22" w:type="pct"/>
            <w:vAlign w:val="center"/>
          </w:tcPr>
          <w:p w14:paraId="12E8BDAE">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是否允许采购进口产品</w:t>
            </w:r>
          </w:p>
        </w:tc>
        <w:tc>
          <w:tcPr>
            <w:tcW w:w="3867" w:type="pct"/>
            <w:vAlign w:val="center"/>
          </w:tcPr>
          <w:p w14:paraId="5DCEC03D">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24D1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772A095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22" w:type="pct"/>
            <w:vAlign w:val="center"/>
          </w:tcPr>
          <w:p w14:paraId="5125A98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分包</w:t>
            </w:r>
          </w:p>
        </w:tc>
        <w:tc>
          <w:tcPr>
            <w:tcW w:w="3867" w:type="pct"/>
            <w:vAlign w:val="center"/>
          </w:tcPr>
          <w:p w14:paraId="1D362348">
            <w:pPr>
              <w:snapToGrid w:val="0"/>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A同意将非主体、非关键性的</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工作分包。</w:t>
            </w:r>
          </w:p>
          <w:p w14:paraId="6A9E8930">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B不同意分包。</w:t>
            </w:r>
          </w:p>
        </w:tc>
      </w:tr>
      <w:tr w14:paraId="3CC1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446E133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22" w:type="pct"/>
            <w:vAlign w:val="center"/>
          </w:tcPr>
          <w:p w14:paraId="61DF5C8E">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开标前答疑会或现场考察</w:t>
            </w:r>
          </w:p>
        </w:tc>
        <w:tc>
          <w:tcPr>
            <w:tcW w:w="3867" w:type="pct"/>
            <w:vAlign w:val="center"/>
          </w:tcPr>
          <w:p w14:paraId="481F93C7">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A不组织。</w:t>
            </w:r>
          </w:p>
          <w:p w14:paraId="212AFA5C">
            <w:pPr>
              <w:spacing w:line="360" w:lineRule="auto"/>
              <w:rPr>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  ）</w:t>
            </w:r>
            <w:r>
              <w:rPr>
                <w:rFonts w:hint="eastAsia"/>
                <w:color w:val="000000" w:themeColor="text1"/>
                <w:sz w:val="22"/>
                <w14:textFill>
                  <w14:solidFill>
                    <w14:schemeClr w14:val="tx1"/>
                  </w14:solidFill>
                </w14:textFill>
              </w:rPr>
              <w:t>B组织，时间：</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,地点：</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w:t>
            </w:r>
          </w:p>
          <w:p w14:paraId="7BC1FAC7">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联系人：</w:t>
            </w:r>
            <w:r>
              <w:rPr>
                <w:rFonts w:hint="eastAsia"/>
                <w:color w:val="000000" w:themeColor="text1"/>
                <w:sz w:val="22"/>
                <w:u w:val="single"/>
                <w14:textFill>
                  <w14:solidFill>
                    <w14:schemeClr w14:val="tx1"/>
                  </w14:solidFill>
                </w14:textFill>
              </w:rPr>
              <w:t xml:space="preserve">      </w:t>
            </w:r>
            <w:r>
              <w:rPr>
                <w:rFonts w:hint="eastAsia"/>
                <w:color w:val="000000" w:themeColor="text1"/>
                <w:sz w:val="22"/>
                <w14:textFill>
                  <w14:solidFill>
                    <w14:schemeClr w14:val="tx1"/>
                  </w14:solidFill>
                </w14:textFill>
              </w:rPr>
              <w:t>；其他说明：</w:t>
            </w:r>
          </w:p>
        </w:tc>
      </w:tr>
      <w:tr w14:paraId="3949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121B2F7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2" w:type="pct"/>
            <w:vAlign w:val="center"/>
          </w:tcPr>
          <w:p w14:paraId="20CC7A8A">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样品提供</w:t>
            </w:r>
          </w:p>
        </w:tc>
        <w:tc>
          <w:tcPr>
            <w:tcW w:w="3867" w:type="pct"/>
            <w:vAlign w:val="center"/>
          </w:tcPr>
          <w:p w14:paraId="56D584C2">
            <w:pPr>
              <w:rPr>
                <w:color w:val="000000" w:themeColor="text1"/>
                <w14:textFill>
                  <w14:solidFill>
                    <w14:schemeClr w14:val="tx1"/>
                  </w14:solidFill>
                </w14:textFill>
              </w:rPr>
            </w:pPr>
            <w:r>
              <w:rPr>
                <w:rFonts w:hint="eastAsia"/>
                <w:bCs/>
                <w:color w:val="000000" w:themeColor="text1"/>
                <w:sz w:val="22"/>
                <w14:textFill>
                  <w14:solidFill>
                    <w14:schemeClr w14:val="tx1"/>
                  </w14:solidFill>
                </w14:textFill>
              </w:rPr>
              <w:t>/</w:t>
            </w:r>
          </w:p>
        </w:tc>
      </w:tr>
      <w:tr w14:paraId="6A19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4BB624B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411" w:type="dxa"/>
            <w:vAlign w:val="center"/>
          </w:tcPr>
          <w:p w14:paraId="53FF3156">
            <w:pPr>
              <w:snapToGrid w:val="0"/>
              <w:spacing w:line="360" w:lineRule="auto"/>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现场演示</w:t>
            </w:r>
          </w:p>
        </w:tc>
        <w:tc>
          <w:tcPr>
            <w:tcW w:w="6640" w:type="dxa"/>
            <w:vAlign w:val="center"/>
          </w:tcPr>
          <w:p w14:paraId="566BEFE0">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组织。</w:t>
            </w:r>
          </w:p>
          <w:p w14:paraId="03D0B02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w:t>
            </w:r>
            <w:r>
              <w:rPr>
                <w:rFonts w:hint="eastAsia" w:cs="宋体"/>
                <w:kern w:val="0"/>
                <w:sz w:val="24"/>
                <w:szCs w:val="24"/>
                <w:highlight w:val="none"/>
                <w:lang w:eastAsia="zh-CN"/>
              </w:rPr>
              <w:t>供应商</w:t>
            </w:r>
            <w:r>
              <w:rPr>
                <w:rFonts w:hint="eastAsia" w:ascii="宋体" w:hAnsi="宋体" w:eastAsia="宋体" w:cs="宋体"/>
                <w:kern w:val="0"/>
                <w:sz w:val="24"/>
                <w:szCs w:val="24"/>
                <w:highlight w:val="none"/>
              </w:rPr>
              <w:t>进行方案讲解演示。每个</w:t>
            </w:r>
            <w:r>
              <w:rPr>
                <w:rFonts w:hint="eastAsia" w:cs="宋体"/>
                <w:kern w:val="0"/>
                <w:sz w:val="24"/>
                <w:szCs w:val="24"/>
                <w:highlight w:val="none"/>
                <w:lang w:eastAsia="zh-CN"/>
              </w:rPr>
              <w:t>供应商</w:t>
            </w:r>
            <w:r>
              <w:rPr>
                <w:rFonts w:hint="eastAsia" w:ascii="宋体" w:hAnsi="宋体" w:eastAsia="宋体" w:cs="宋体"/>
                <w:kern w:val="0"/>
                <w:sz w:val="24"/>
                <w:szCs w:val="24"/>
                <w:highlight w:val="none"/>
              </w:rPr>
              <w:t>时间不超过</w:t>
            </w:r>
            <w:r>
              <w:rPr>
                <w:rFonts w:hint="eastAsia" w:ascii="宋体" w:hAnsi="宋体" w:eastAsia="宋体" w:cs="宋体"/>
                <w:kern w:val="0"/>
                <w:sz w:val="24"/>
                <w:szCs w:val="24"/>
                <w:highlight w:val="none"/>
                <w:u w:val="single"/>
              </w:rPr>
              <w:t>20</w:t>
            </w:r>
            <w:r>
              <w:rPr>
                <w:rFonts w:hint="eastAsia" w:ascii="宋体" w:hAnsi="宋体" w:eastAsia="宋体" w:cs="宋体"/>
                <w:kern w:val="0"/>
                <w:sz w:val="24"/>
                <w:szCs w:val="24"/>
                <w:highlight w:val="none"/>
              </w:rPr>
              <w:t>分钟，讲解次序以</w:t>
            </w:r>
            <w:r>
              <w:rPr>
                <w:rFonts w:hint="eastAsia" w:cs="宋体"/>
                <w:kern w:val="0"/>
                <w:sz w:val="24"/>
                <w:szCs w:val="24"/>
                <w:highlight w:val="none"/>
                <w:lang w:eastAsia="zh-CN"/>
              </w:rPr>
              <w:t>交易文件</w:t>
            </w:r>
            <w:r>
              <w:rPr>
                <w:rFonts w:hint="eastAsia" w:ascii="宋体" w:hAnsi="宋体" w:eastAsia="宋体" w:cs="宋体"/>
                <w:kern w:val="0"/>
                <w:sz w:val="24"/>
                <w:szCs w:val="24"/>
                <w:highlight w:val="none"/>
              </w:rPr>
              <w:t>解密时间先后次序为准，讲解演示人员不超过</w:t>
            </w:r>
            <w:r>
              <w:rPr>
                <w:rFonts w:hint="eastAsia" w:ascii="宋体" w:hAnsi="宋体" w:eastAsia="宋体" w:cs="宋体"/>
                <w:kern w:val="0"/>
                <w:sz w:val="24"/>
                <w:szCs w:val="24"/>
                <w:highlight w:val="none"/>
                <w:u w:val="single"/>
                <w:lang w:val="en-US" w:eastAsia="zh-CN"/>
              </w:rPr>
              <w:t>2</w:t>
            </w:r>
            <w:r>
              <w:rPr>
                <w:rFonts w:hint="eastAsia" w:ascii="宋体" w:hAnsi="宋体" w:eastAsia="宋体" w:cs="宋体"/>
                <w:kern w:val="0"/>
                <w:sz w:val="24"/>
                <w:szCs w:val="24"/>
                <w:highlight w:val="none"/>
              </w:rPr>
              <w:t>人。讲解演示结束后按要求解答评标委员会提问。</w:t>
            </w:r>
          </w:p>
          <w:p w14:paraId="78B549DA">
            <w:pPr>
              <w:keepNext w:val="0"/>
              <w:keepLines w:val="0"/>
              <w:pageBreakBefore w:val="0"/>
              <w:widowControl w:val="0"/>
              <w:kinsoku/>
              <w:wordWrap/>
              <w:overflowPunct/>
              <w:topLinePunct w:val="0"/>
              <w:autoSpaceDE/>
              <w:autoSpaceDN/>
              <w:bidi w:val="0"/>
              <w:adjustRightInd w:val="0"/>
              <w:snapToGrid w:val="0"/>
              <w:spacing w:line="336" w:lineRule="auto"/>
              <w:textAlignment w:val="auto"/>
              <w:rPr>
                <w:color w:val="000000" w:themeColor="text1"/>
                <w14:textFill>
                  <w14:solidFill>
                    <w14:schemeClr w14:val="tx1"/>
                  </w14:solidFill>
                </w14:textFill>
              </w:rPr>
            </w:pPr>
            <w:r>
              <w:rPr>
                <w:rFonts w:hint="eastAsia" w:ascii="宋体" w:hAnsi="宋体" w:eastAsia="宋体" w:cs="宋体"/>
                <w:kern w:val="0"/>
                <w:sz w:val="24"/>
                <w:szCs w:val="24"/>
                <w:highlight w:val="none"/>
              </w:rPr>
              <w:t>（2）方案讲</w:t>
            </w:r>
            <w:r>
              <w:rPr>
                <w:rFonts w:hint="eastAsia"/>
                <w:color w:val="000000" w:themeColor="text1"/>
                <w14:textFill>
                  <w14:solidFill>
                    <w14:schemeClr w14:val="tx1"/>
                  </w14:solidFill>
                </w14:textFill>
              </w:rPr>
              <w:t>解演示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现场讲解地点为</w:t>
            </w:r>
            <w:r>
              <w:rPr>
                <w:rFonts w:hint="eastAsia"/>
                <w:color w:val="000000" w:themeColor="text1"/>
                <w:lang w:eastAsia="zh-CN"/>
                <w14:textFill>
                  <w14:solidFill>
                    <w14:schemeClr w14:val="tx1"/>
                  </w14:solidFill>
                </w14:textFill>
              </w:rPr>
              <w:t>萧山区旺角城金座1幢</w:t>
            </w:r>
            <w:r>
              <w:rPr>
                <w:rFonts w:hint="eastAsia"/>
                <w:color w:val="000000" w:themeColor="text1"/>
                <w:lang w:val="en-US" w:eastAsia="zh-CN"/>
                <w14:textFill>
                  <w14:solidFill>
                    <w14:schemeClr w14:val="tx1"/>
                  </w14:solidFill>
                </w14:textFill>
              </w:rPr>
              <w:t>2604</w:t>
            </w:r>
            <w:r>
              <w:rPr>
                <w:rFonts w:hint="eastAsia" w:ascii="宋体" w:hAnsi="宋体" w:eastAsia="宋体" w:cs="宋体"/>
                <w:kern w:val="0"/>
                <w:sz w:val="24"/>
                <w:szCs w:val="24"/>
                <w:highlight w:val="none"/>
                <w:lang w:val="en-US" w:eastAsia="zh-CN"/>
              </w:rPr>
              <w:t>。签到时间：</w:t>
            </w:r>
            <w:r>
              <w:rPr>
                <w:rFonts w:hint="eastAsia" w:ascii="宋体" w:hAnsi="宋体" w:eastAsia="宋体" w:cs="宋体"/>
                <w:kern w:val="0"/>
                <w:sz w:val="24"/>
                <w:szCs w:val="24"/>
                <w:highlight w:val="none"/>
                <w:u w:val="single"/>
                <w:lang w:val="en-US" w:eastAsia="zh-CN"/>
              </w:rPr>
              <w:t>开标当天</w:t>
            </w:r>
            <w:r>
              <w:rPr>
                <w:rFonts w:hint="eastAsia" w:cs="宋体"/>
                <w:kern w:val="0"/>
                <w:sz w:val="24"/>
                <w:szCs w:val="24"/>
                <w:highlight w:val="none"/>
                <w:u w:val="single"/>
                <w:lang w:val="en-US" w:eastAsia="zh-CN"/>
              </w:rPr>
              <w:t>08</w:t>
            </w:r>
            <w:r>
              <w:rPr>
                <w:rFonts w:hint="eastAsia" w:ascii="宋体" w:hAnsi="宋体" w:eastAsia="宋体" w:cs="宋体"/>
                <w:kern w:val="0"/>
                <w:sz w:val="24"/>
                <w:szCs w:val="24"/>
                <w:highlight w:val="none"/>
                <w:u w:val="single"/>
                <w:lang w:val="en-US" w:eastAsia="zh-CN"/>
              </w:rPr>
              <w:t>：</w:t>
            </w:r>
            <w:r>
              <w:rPr>
                <w:rFonts w:hint="eastAsia" w:cs="宋体"/>
                <w:kern w:val="0"/>
                <w:sz w:val="24"/>
                <w:szCs w:val="24"/>
                <w:highlight w:val="none"/>
                <w:u w:val="single"/>
                <w:lang w:val="en-US" w:eastAsia="zh-CN"/>
              </w:rPr>
              <w:t>30</w:t>
            </w:r>
            <w:r>
              <w:rPr>
                <w:rFonts w:hint="eastAsia" w:ascii="宋体" w:hAnsi="宋体" w:eastAsia="宋体" w:cs="宋体"/>
                <w:kern w:val="0"/>
                <w:sz w:val="24"/>
                <w:szCs w:val="24"/>
                <w:highlight w:val="none"/>
                <w:u w:val="single"/>
                <w:lang w:val="en-US" w:eastAsia="zh-CN"/>
              </w:rPr>
              <w:t>-</w:t>
            </w:r>
            <w:r>
              <w:rPr>
                <w:rFonts w:hint="eastAsia" w:cs="宋体"/>
                <w:kern w:val="0"/>
                <w:sz w:val="24"/>
                <w:szCs w:val="24"/>
                <w:highlight w:val="none"/>
                <w:u w:val="single"/>
                <w:lang w:val="en-US" w:eastAsia="zh-CN"/>
              </w:rPr>
              <w:t>09</w:t>
            </w:r>
            <w:r>
              <w:rPr>
                <w:rFonts w:hint="eastAsia" w:ascii="宋体" w:hAnsi="宋体" w:eastAsia="宋体" w:cs="宋体"/>
                <w:kern w:val="0"/>
                <w:sz w:val="24"/>
                <w:szCs w:val="24"/>
                <w:highlight w:val="none"/>
                <w:u w:val="single"/>
                <w:lang w:val="en-US" w:eastAsia="zh-CN"/>
              </w:rPr>
              <w:t>：00</w:t>
            </w:r>
            <w:r>
              <w:rPr>
                <w:rFonts w:hint="eastAsia" w:ascii="宋体" w:hAnsi="宋体" w:eastAsia="宋体" w:cs="宋体"/>
                <w:kern w:val="0"/>
                <w:sz w:val="24"/>
                <w:szCs w:val="24"/>
                <w:highlight w:val="none"/>
              </w:rPr>
              <w:t>，讲解演示所用电脑等设备由</w:t>
            </w:r>
            <w:r>
              <w:rPr>
                <w:rFonts w:hint="eastAsia" w:cs="宋体"/>
                <w:kern w:val="0"/>
                <w:sz w:val="24"/>
                <w:szCs w:val="24"/>
                <w:highlight w:val="none"/>
                <w:lang w:eastAsia="zh-CN"/>
              </w:rPr>
              <w:t>供应商</w:t>
            </w:r>
            <w:r>
              <w:rPr>
                <w:rFonts w:hint="eastAsia" w:ascii="宋体" w:hAnsi="宋体" w:eastAsia="宋体" w:cs="宋体"/>
                <w:kern w:val="0"/>
                <w:sz w:val="24"/>
                <w:szCs w:val="24"/>
                <w:highlight w:val="none"/>
              </w:rPr>
              <w:t>自备。现场讲解演示人员进场时提供讲解人员名单（加盖公章）及身份证明</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法人代表请携带身份证复件及营业执照复印件），否则不得讲解演示。</w:t>
            </w:r>
          </w:p>
        </w:tc>
      </w:tr>
      <w:tr w14:paraId="178F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7A7B26A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22" w:type="pct"/>
            <w:vAlign w:val="center"/>
          </w:tcPr>
          <w:p w14:paraId="08208602">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供应商应当提供的资格、资信证明文件</w:t>
            </w:r>
          </w:p>
        </w:tc>
        <w:tc>
          <w:tcPr>
            <w:tcW w:w="3867" w:type="pct"/>
            <w:vAlign w:val="center"/>
          </w:tcPr>
          <w:p w14:paraId="71FFF645">
            <w:pPr>
              <w:spacing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（1）资格证明文件：见交易文件第二部分11.1。</w:t>
            </w:r>
          </w:p>
          <w:p w14:paraId="2FC281D7">
            <w:pPr>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供应商未提供有效的资格证明文件的，视为供应商不具备交易文件中规定的资格要求，投标无效。</w:t>
            </w:r>
          </w:p>
          <w:p w14:paraId="088C4219">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（2）资信证明文件：根据交易文件第四部分评标标准提供。</w:t>
            </w:r>
          </w:p>
        </w:tc>
      </w:tr>
      <w:tr w14:paraId="3691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B5052F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22" w:type="pct"/>
            <w:vAlign w:val="center"/>
          </w:tcPr>
          <w:p w14:paraId="5993233C">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节能产品、环境标志产品</w:t>
            </w:r>
          </w:p>
        </w:tc>
        <w:tc>
          <w:tcPr>
            <w:tcW w:w="3867" w:type="pct"/>
            <w:vAlign w:val="center"/>
          </w:tcPr>
          <w:p w14:paraId="7B40A1C6">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0F4D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579AB02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22" w:type="pct"/>
            <w:vAlign w:val="center"/>
          </w:tcPr>
          <w:p w14:paraId="764870D1">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报价要求</w:t>
            </w:r>
          </w:p>
        </w:tc>
        <w:tc>
          <w:tcPr>
            <w:tcW w:w="3867" w:type="pct"/>
            <w:vAlign w:val="center"/>
          </w:tcPr>
          <w:p w14:paraId="2636CCF1">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有关本项目实施所需的所有费用（含税费）均计入报价。</w:t>
            </w:r>
            <w:r>
              <w:rPr>
                <w:rFonts w:hint="eastAsia"/>
                <w:bCs/>
                <w:color w:val="000000" w:themeColor="text1"/>
                <w:sz w:val="22"/>
                <w14:textFill>
                  <w14:solidFill>
                    <w14:schemeClr w14:val="tx1"/>
                  </w14:solidFill>
                </w14:textFill>
              </w:rPr>
              <w:t>开标一览表（报价表）是报价的唯一载体</w:t>
            </w:r>
            <w:r>
              <w:rPr>
                <w:rFonts w:hint="eastAsia"/>
                <w:bCs/>
                <w:color w:val="000000" w:themeColor="text1"/>
                <w:sz w:val="22"/>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14:paraId="51CCC73B">
            <w:pPr>
              <w:spacing w:line="360" w:lineRule="auto"/>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投标报价出现下列情形的，投标无效：</w:t>
            </w:r>
          </w:p>
          <w:p w14:paraId="5DF017DE">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响应文件出现不是唯一的、有选择性投标报价的；</w:t>
            </w:r>
          </w:p>
          <w:p w14:paraId="28A5ABDC">
            <w:pPr>
              <w:spacing w:line="360" w:lineRule="auto"/>
              <w:ind w:firstLine="440" w:firstLineChars="200"/>
              <w:rPr>
                <w:bCs/>
                <w:color w:val="000000" w:themeColor="text1"/>
                <w:sz w:val="22"/>
                <w:lang w:val="zh-CN"/>
                <w14:textFill>
                  <w14:solidFill>
                    <w14:schemeClr w14:val="tx1"/>
                  </w14:solidFill>
                </w14:textFill>
              </w:rPr>
            </w:pPr>
            <w:r>
              <w:rPr>
                <w:rFonts w:hint="eastAsia"/>
                <w:bCs/>
                <w:color w:val="000000" w:themeColor="text1"/>
                <w:sz w:val="22"/>
                <w:lang w:val="zh-CN"/>
                <w14:textFill>
                  <w14:solidFill>
                    <w14:schemeClr w14:val="tx1"/>
                  </w14:solidFill>
                </w14:textFill>
              </w:rPr>
              <w:t>投标报价超过交易文件中规定的预算金额或者最高限价的;</w:t>
            </w:r>
          </w:p>
          <w:p w14:paraId="616A499B">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2B59945F">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供应商对根据修正原则修正后的报价不确认的。</w:t>
            </w:r>
          </w:p>
          <w:p w14:paraId="26FBA2B3">
            <w:pPr>
              <w:spacing w:line="360" w:lineRule="auto"/>
              <w:ind w:firstLine="440" w:firstLineChars="200"/>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资格文件、商务技术文件与报价文件未分开制作。</w:t>
            </w:r>
          </w:p>
          <w:p w14:paraId="269B13B5">
            <w:pPr>
              <w:rPr>
                <w:color w:val="000000" w:themeColor="text1"/>
                <w14:textFill>
                  <w14:solidFill>
                    <w14:schemeClr w14:val="tx1"/>
                  </w14:solidFill>
                </w14:textFill>
              </w:rPr>
            </w:pPr>
          </w:p>
        </w:tc>
      </w:tr>
      <w:tr w14:paraId="6863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982E78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22" w:type="pct"/>
            <w:vAlign w:val="center"/>
          </w:tcPr>
          <w:p w14:paraId="3D9106F4">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中小企业信用融资</w:t>
            </w:r>
          </w:p>
        </w:tc>
        <w:tc>
          <w:tcPr>
            <w:tcW w:w="3867" w:type="pct"/>
            <w:vAlign w:val="center"/>
          </w:tcPr>
          <w:p w14:paraId="46C24D29">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783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3246D36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22" w:type="pct"/>
            <w:vAlign w:val="center"/>
          </w:tcPr>
          <w:p w14:paraId="1D8FFE39">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备份响应文件</w:t>
            </w:r>
          </w:p>
        </w:tc>
        <w:tc>
          <w:tcPr>
            <w:tcW w:w="3867" w:type="pct"/>
            <w:vAlign w:val="center"/>
          </w:tcPr>
          <w:p w14:paraId="13E00165">
            <w:pPr>
              <w:pStyle w:val="17"/>
              <w:spacing w:line="360" w:lineRule="auto"/>
              <w:rPr>
                <w:rFonts w:hAnsi="宋体" w:cs="宋体"/>
                <w:color w:val="000000" w:themeColor="text1"/>
                <w:kern w:val="28"/>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备份文件是否收取：可提交备份</w:t>
            </w:r>
          </w:p>
          <w:p w14:paraId="169C42F2">
            <w:pPr>
              <w:pStyle w:val="17"/>
              <w:spacing w:line="360" w:lineRule="auto"/>
              <w:ind w:left="880" w:hanging="880" w:hangingChars="400"/>
              <w:rPr>
                <w:rFonts w:hAnsi="宋体" w:cs="宋体"/>
                <w:color w:val="000000" w:themeColor="text1"/>
                <w:kern w:val="28"/>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备份响应文件送达地点：</w:t>
            </w:r>
            <w:r>
              <w:rPr>
                <w:rFonts w:hint="eastAsia" w:hAnsi="宋体" w:cs="宋体"/>
                <w:color w:val="000000" w:themeColor="text1"/>
                <w:kern w:val="0"/>
                <w:sz w:val="24"/>
                <w:lang w:eastAsia="zh-CN"/>
                <w14:textFill>
                  <w14:solidFill>
                    <w14:schemeClr w14:val="tx1"/>
                  </w14:solidFill>
                </w14:textFill>
              </w:rPr>
              <w:t>萧山区旺角城金座1幢2604</w:t>
            </w:r>
            <w:r>
              <w:rPr>
                <w:rFonts w:hint="eastAsia" w:hAnsi="宋体" w:cs="宋体"/>
                <w:color w:val="000000" w:themeColor="text1"/>
                <w:sz w:val="22"/>
                <w:u w:val="single"/>
                <w14:textFill>
                  <w14:solidFill>
                    <w14:schemeClr w14:val="tx1"/>
                  </w14:solidFill>
                </w14:textFill>
              </w:rPr>
              <w:t xml:space="preserve"> </w:t>
            </w:r>
            <w:r>
              <w:rPr>
                <w:rFonts w:hint="eastAsia" w:hAnsi="宋体" w:cs="宋体"/>
                <w:color w:val="000000" w:themeColor="text1"/>
                <w:kern w:val="28"/>
                <w:sz w:val="22"/>
                <w:szCs w:val="24"/>
                <w14:textFill>
                  <w14:solidFill>
                    <w14:schemeClr w14:val="tx1"/>
                  </w14:solidFill>
                </w14:textFill>
              </w:rPr>
              <w:t>；</w:t>
            </w:r>
          </w:p>
          <w:p w14:paraId="1D0318D4">
            <w:pPr>
              <w:pStyle w:val="17"/>
              <w:spacing w:line="360" w:lineRule="auto"/>
              <w:ind w:left="880" w:hanging="880" w:hangingChars="400"/>
              <w:rPr>
                <w:rFonts w:hAnsi="宋体" w:cs="宋体"/>
                <w:color w:val="000000" w:themeColor="text1"/>
                <w:sz w:val="22"/>
                <w:szCs w:val="24"/>
                <w14:textFill>
                  <w14:solidFill>
                    <w14:schemeClr w14:val="tx1"/>
                  </w14:solidFill>
                </w14:textFill>
              </w:rPr>
            </w:pPr>
            <w:r>
              <w:rPr>
                <w:rFonts w:hint="eastAsia" w:hAnsi="宋体" w:cs="宋体"/>
                <w:color w:val="000000" w:themeColor="text1"/>
                <w:kern w:val="28"/>
                <w:sz w:val="22"/>
                <w:szCs w:val="24"/>
                <w14:textFill>
                  <w14:solidFill>
                    <w14:schemeClr w14:val="tx1"/>
                  </w14:solidFill>
                </w14:textFill>
              </w:rPr>
              <w:t>备份响应文件签收人员联系电话：陆先生</w:t>
            </w:r>
            <w:r>
              <w:rPr>
                <w:rFonts w:hint="eastAsia" w:cs="宋体"/>
                <w:color w:val="000000" w:themeColor="text1"/>
                <w:sz w:val="24"/>
                <w14:textFill>
                  <w14:solidFill>
                    <w14:schemeClr w14:val="tx1"/>
                  </w14:solidFill>
                </w14:textFill>
              </w:rPr>
              <w:t>15356114982</w:t>
            </w:r>
            <w:r>
              <w:rPr>
                <w:rFonts w:hint="eastAsia" w:hAnsi="宋体" w:cs="宋体"/>
                <w:color w:val="000000" w:themeColor="text1"/>
                <w:sz w:val="22"/>
                <w14:textFill>
                  <w14:solidFill>
                    <w14:schemeClr w14:val="tx1"/>
                  </w14:solidFill>
                </w14:textFill>
              </w:rPr>
              <w:t xml:space="preserve"> </w:t>
            </w:r>
            <w:r>
              <w:rPr>
                <w:rFonts w:hint="eastAsia" w:hAnsi="宋体" w:cs="宋体"/>
                <w:color w:val="000000" w:themeColor="text1"/>
                <w:sz w:val="22"/>
                <w:szCs w:val="24"/>
                <w14:textFill>
                  <w14:solidFill>
                    <w14:schemeClr w14:val="tx1"/>
                  </w14:solidFill>
                </w14:textFill>
              </w:rPr>
              <w:t>。</w:t>
            </w:r>
          </w:p>
          <w:p w14:paraId="7B4DC1E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7DF4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311" w:type="pct"/>
            <w:vAlign w:val="center"/>
          </w:tcPr>
          <w:p w14:paraId="53B6340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2" w:type="pct"/>
            <w:vAlign w:val="center"/>
          </w:tcPr>
          <w:p w14:paraId="62376036">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采购机构代理费用</w:t>
            </w:r>
          </w:p>
        </w:tc>
        <w:tc>
          <w:tcPr>
            <w:tcW w:w="3867" w:type="pct"/>
            <w:vAlign w:val="center"/>
          </w:tcPr>
          <w:p w14:paraId="067CD0AA">
            <w:pPr>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本项目</w:t>
            </w:r>
            <w:r>
              <w:rPr>
                <w:rFonts w:hint="eastAsia"/>
                <w:color w:val="000000" w:themeColor="text1"/>
                <w:sz w:val="22"/>
                <w14:textFill>
                  <w14:solidFill>
                    <w14:schemeClr w14:val="tx1"/>
                  </w14:solidFill>
                </w14:textFill>
              </w:rPr>
              <w:t>的</w:t>
            </w:r>
            <w:r>
              <w:rPr>
                <w:rFonts w:hint="eastAsia"/>
                <w:color w:val="000000" w:themeColor="text1"/>
                <w:sz w:val="22"/>
                <w:lang w:val="zh-CN"/>
                <w14:textFill>
                  <w14:solidFill>
                    <w14:schemeClr w14:val="tx1"/>
                  </w14:solidFill>
                </w14:textFill>
              </w:rPr>
              <w:t>专家评审费和招标代理服务费由中标人支付。其中专家评审费</w:t>
            </w:r>
            <w:r>
              <w:rPr>
                <w:rFonts w:hint="eastAsia"/>
                <w:color w:val="000000" w:themeColor="text1"/>
                <w:sz w:val="22"/>
                <w14:textFill>
                  <w14:solidFill>
                    <w14:schemeClr w14:val="tx1"/>
                  </w14:solidFill>
                </w14:textFill>
              </w:rPr>
              <w:t>根据</w:t>
            </w:r>
            <w:r>
              <w:rPr>
                <w:rFonts w:hint="eastAsia"/>
                <w:color w:val="000000" w:themeColor="text1"/>
                <w:sz w:val="22"/>
                <w:lang w:val="zh-CN"/>
                <w14:textFill>
                  <w14:solidFill>
                    <w14:schemeClr w14:val="tx1"/>
                  </w14:solidFill>
                </w14:textFill>
              </w:rPr>
              <w:t>专家评审费</w:t>
            </w:r>
            <w:r>
              <w:rPr>
                <w:rFonts w:hint="eastAsia"/>
                <w:color w:val="000000" w:themeColor="text1"/>
                <w:sz w:val="22"/>
                <w14:textFill>
                  <w14:solidFill>
                    <w14:schemeClr w14:val="tx1"/>
                  </w14:solidFill>
                </w14:textFill>
              </w:rPr>
              <w:t>领取表合计金额</w:t>
            </w:r>
            <w:r>
              <w:rPr>
                <w:rFonts w:hint="eastAsia"/>
                <w:color w:val="000000" w:themeColor="text1"/>
                <w:sz w:val="22"/>
                <w:lang w:val="zh-CN"/>
                <w14:textFill>
                  <w14:solidFill>
                    <w14:schemeClr w14:val="tx1"/>
                  </w14:solidFill>
                </w14:textFill>
              </w:rPr>
              <w:t>计取（专家评审费</w:t>
            </w:r>
            <w:r>
              <w:rPr>
                <w:rFonts w:hint="eastAsia"/>
                <w:color w:val="000000" w:themeColor="text1"/>
                <w:sz w:val="22"/>
                <w14:textFill>
                  <w14:solidFill>
                    <w14:schemeClr w14:val="tx1"/>
                  </w14:solidFill>
                </w14:textFill>
              </w:rPr>
              <w:t>不提供发票，只提供</w:t>
            </w:r>
            <w:r>
              <w:rPr>
                <w:rFonts w:hint="eastAsia"/>
                <w:color w:val="000000" w:themeColor="text1"/>
                <w:sz w:val="22"/>
                <w:lang w:val="zh-CN"/>
                <w14:textFill>
                  <w14:solidFill>
                    <w14:schemeClr w14:val="tx1"/>
                  </w14:solidFill>
                </w14:textFill>
              </w:rPr>
              <w:t>专家评审费</w:t>
            </w:r>
            <w:r>
              <w:rPr>
                <w:rFonts w:hint="eastAsia"/>
                <w:color w:val="000000" w:themeColor="text1"/>
                <w:sz w:val="22"/>
                <w14:textFill>
                  <w14:solidFill>
                    <w14:schemeClr w14:val="tx1"/>
                  </w14:solidFill>
                </w14:textFill>
              </w:rPr>
              <w:t>领取表</w:t>
            </w:r>
            <w:r>
              <w:rPr>
                <w:rFonts w:hint="eastAsia"/>
                <w:color w:val="000000" w:themeColor="text1"/>
                <w:sz w:val="22"/>
                <w:lang w:val="zh-CN"/>
                <w14:textFill>
                  <w14:solidFill>
                    <w14:schemeClr w14:val="tx1"/>
                  </w14:solidFill>
                </w14:textFill>
              </w:rPr>
              <w:t>）；招标代理服务费计费标准：以中标（成交）金额为计费基准，按计价格[2002]1980号文</w:t>
            </w:r>
            <w:r>
              <w:rPr>
                <w:rFonts w:hint="eastAsia"/>
                <w:color w:val="000000" w:themeColor="text1"/>
                <w:sz w:val="22"/>
                <w14:textFill>
                  <w14:solidFill>
                    <w14:schemeClr w14:val="tx1"/>
                  </w14:solidFill>
                </w14:textFill>
              </w:rPr>
              <w:t>及</w:t>
            </w:r>
            <w:r>
              <w:rPr>
                <w:rFonts w:hint="eastAsia"/>
                <w:color w:val="000000" w:themeColor="text1"/>
                <w:sz w:val="22"/>
                <w:lang w:val="zh-CN"/>
                <w14:textFill>
                  <w14:solidFill>
                    <w14:schemeClr w14:val="tx1"/>
                  </w14:solidFill>
                </w14:textFill>
              </w:rPr>
              <w:t>发改办价格［2003］857号</w:t>
            </w:r>
            <w:r>
              <w:rPr>
                <w:rFonts w:hint="eastAsia"/>
                <w:color w:val="000000" w:themeColor="text1"/>
                <w:sz w:val="22"/>
                <w14:textFill>
                  <w14:solidFill>
                    <w14:schemeClr w14:val="tx1"/>
                  </w14:solidFill>
                </w14:textFill>
              </w:rPr>
              <w:t>文</w:t>
            </w:r>
            <w:r>
              <w:rPr>
                <w:rFonts w:hint="eastAsia"/>
                <w:color w:val="000000" w:themeColor="text1"/>
                <w:sz w:val="22"/>
                <w:lang w:val="zh-CN"/>
                <w14:textFill>
                  <w14:solidFill>
                    <w14:schemeClr w14:val="tx1"/>
                  </w14:solidFill>
                </w14:textFill>
              </w:rPr>
              <w:t>规定的收费标准计取。结算方式及时间为：中标人在领取中标通知书</w:t>
            </w:r>
            <w:r>
              <w:rPr>
                <w:rFonts w:hint="eastAsia"/>
                <w:color w:val="000000" w:themeColor="text1"/>
                <w:sz w:val="22"/>
                <w14:textFill>
                  <w14:solidFill>
                    <w14:schemeClr w14:val="tx1"/>
                  </w14:solidFill>
                </w14:textFill>
              </w:rPr>
              <w:t>前</w:t>
            </w:r>
            <w:r>
              <w:rPr>
                <w:rFonts w:hint="eastAsia"/>
                <w:color w:val="000000" w:themeColor="text1"/>
                <w:sz w:val="22"/>
                <w:lang w:val="zh-CN"/>
                <w14:textFill>
                  <w14:solidFill>
                    <w14:schemeClr w14:val="tx1"/>
                  </w14:solidFill>
                </w14:textFill>
              </w:rPr>
              <w:t>向采购代理机构支付专家评审费和招标代理服务费。</w:t>
            </w:r>
          </w:p>
          <w:p w14:paraId="6BC6B782">
            <w:pPr>
              <w:rPr>
                <w:color w:val="000000" w:themeColor="text1"/>
                <w14:textFill>
                  <w14:solidFill>
                    <w14:schemeClr w14:val="tx1"/>
                  </w14:solidFill>
                </w14:textFill>
              </w:rPr>
            </w:pPr>
            <w:r>
              <w:rPr>
                <w:rFonts w:hint="eastAsia"/>
                <w:color w:val="000000" w:themeColor="text1"/>
                <w14:textFill>
                  <w14:solidFill>
                    <w14:schemeClr w14:val="tx1"/>
                  </w14:solidFill>
                </w14:textFill>
              </w:rPr>
              <w:t>公司名称：浙江越锋项目管理有限公司萧山分公司</w:t>
            </w:r>
          </w:p>
          <w:p w14:paraId="58D2FFE4">
            <w:pPr>
              <w:rPr>
                <w:color w:val="000000" w:themeColor="text1"/>
                <w14:textFill>
                  <w14:solidFill>
                    <w14:schemeClr w14:val="tx1"/>
                  </w14:solidFill>
                </w14:textFill>
              </w:rPr>
            </w:pPr>
            <w:r>
              <w:rPr>
                <w:rFonts w:hint="eastAsia"/>
                <w:color w:val="000000" w:themeColor="text1"/>
                <w14:textFill>
                  <w14:solidFill>
                    <w14:schemeClr w14:val="tx1"/>
                  </w14:solidFill>
                </w14:textFill>
              </w:rPr>
              <w:t>开户行及账号：杭州银行萧山支行3301040160009331375</w:t>
            </w:r>
          </w:p>
        </w:tc>
      </w:tr>
      <w:tr w14:paraId="7420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32287E6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22" w:type="pct"/>
            <w:vAlign w:val="center"/>
          </w:tcPr>
          <w:p w14:paraId="2E28C760">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履约保证金</w:t>
            </w:r>
          </w:p>
        </w:tc>
        <w:tc>
          <w:tcPr>
            <w:tcW w:w="3867" w:type="pct"/>
            <w:vAlign w:val="center"/>
          </w:tcPr>
          <w:p w14:paraId="57E48D5C">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w:t>
            </w:r>
          </w:p>
        </w:tc>
      </w:tr>
      <w:tr w14:paraId="5FD9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14FB8D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22" w:type="pct"/>
            <w:vAlign w:val="center"/>
          </w:tcPr>
          <w:p w14:paraId="12261593">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资格审查和信用信息审查</w:t>
            </w:r>
          </w:p>
        </w:tc>
        <w:tc>
          <w:tcPr>
            <w:tcW w:w="3867" w:type="pct"/>
            <w:vAlign w:val="center"/>
          </w:tcPr>
          <w:p w14:paraId="10137E51">
            <w:pP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本项目由采购机构进行资格文件及信用信息查询。</w:t>
            </w:r>
          </w:p>
        </w:tc>
      </w:tr>
      <w:tr w14:paraId="1DAD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7CA93A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22" w:type="pct"/>
            <w:vAlign w:val="center"/>
          </w:tcPr>
          <w:p w14:paraId="39AEFE43">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质疑接收人及答复</w:t>
            </w:r>
          </w:p>
        </w:tc>
        <w:tc>
          <w:tcPr>
            <w:tcW w:w="3867" w:type="pct"/>
            <w:vAlign w:val="center"/>
          </w:tcPr>
          <w:p w14:paraId="663D9869">
            <w:pPr>
              <w:snapToGrid w:val="0"/>
              <w:spacing w:line="360" w:lineRule="auto"/>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采购人、采购机构质疑接收人、联系方式：详见公告。</w:t>
            </w:r>
          </w:p>
        </w:tc>
      </w:tr>
      <w:tr w14:paraId="0907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41BB71E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822" w:type="pct"/>
            <w:vAlign w:val="center"/>
          </w:tcPr>
          <w:p w14:paraId="76D47005">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特别说明</w:t>
            </w:r>
          </w:p>
        </w:tc>
        <w:tc>
          <w:tcPr>
            <w:tcW w:w="3867" w:type="pct"/>
            <w:vAlign w:val="center"/>
          </w:tcPr>
          <w:p w14:paraId="3B48A741">
            <w:pPr>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本项目通用总则条款与前附表等专用特别规定有冲突之处，以专用条款（特别规定）为准</w:t>
            </w:r>
          </w:p>
        </w:tc>
      </w:tr>
    </w:tbl>
    <w:p w14:paraId="537A7B36">
      <w:pPr>
        <w:rPr>
          <w:color w:val="000000" w:themeColor="text1"/>
          <w14:textFill>
            <w14:solidFill>
              <w14:schemeClr w14:val="tx1"/>
            </w14:solidFill>
          </w14:textFill>
        </w:rPr>
      </w:pPr>
    </w:p>
    <w:p w14:paraId="46AA22EB">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F709D9F">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6AE91C0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4B7BA4F4">
      <w:pPr>
        <w:rPr>
          <w:color w:val="000000" w:themeColor="text1"/>
          <w14:textFill>
            <w14:solidFill>
              <w14:schemeClr w14:val="tx1"/>
            </w14:solidFill>
          </w14:textFill>
        </w:rPr>
      </w:pPr>
      <w:r>
        <w:rPr>
          <w:rFonts w:hint="eastAsia"/>
          <w:color w:val="000000" w:themeColor="text1"/>
          <w14:textFill>
            <w14:solidFill>
              <w14:schemeClr w14:val="tx1"/>
            </w14:solidFill>
          </w14:textFill>
        </w:rPr>
        <w:t>本交易文件适用于该项目的招标、投标、开标、资格审查及信用信息查询、评标、定标、合同、验收等行为（法律、法规另有规定的，从其规定）。</w:t>
      </w:r>
    </w:p>
    <w:p w14:paraId="6BF5294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19F23AAA">
      <w:pPr>
        <w:rPr>
          <w:color w:val="000000" w:themeColor="text1"/>
          <w14:textFill>
            <w14:solidFill>
              <w14:schemeClr w14:val="tx1"/>
            </w14:solidFill>
          </w14:textFill>
        </w:rPr>
      </w:pPr>
      <w:r>
        <w:rPr>
          <w:rFonts w:hint="eastAsia"/>
          <w:color w:val="000000" w:themeColor="text1"/>
          <w14:textFill>
            <w14:solidFill>
              <w14:schemeClr w14:val="tx1"/>
            </w14:solidFill>
          </w14:textFill>
        </w:rPr>
        <w:t>2.1 “采购人”系指交易公告中载明的本项目的采购人。</w:t>
      </w:r>
    </w:p>
    <w:p w14:paraId="36FBA616">
      <w:pPr>
        <w:rPr>
          <w:color w:val="000000" w:themeColor="text1"/>
          <w14:textFill>
            <w14:solidFill>
              <w14:schemeClr w14:val="tx1"/>
            </w14:solidFill>
          </w14:textFill>
        </w:rPr>
      </w:pPr>
      <w:r>
        <w:rPr>
          <w:rFonts w:hint="eastAsia"/>
          <w:color w:val="000000" w:themeColor="text1"/>
          <w14:textFill>
            <w14:solidFill>
              <w14:schemeClr w14:val="tx1"/>
            </w14:solidFill>
          </w14:textFill>
        </w:rPr>
        <w:t>2.2 “采购机构”系指交易公告中载明的本项目的采购机构。</w:t>
      </w:r>
    </w:p>
    <w:p w14:paraId="38331094">
      <w:pPr>
        <w:rPr>
          <w:color w:val="000000" w:themeColor="text1"/>
          <w14:textFill>
            <w14:solidFill>
              <w14:schemeClr w14:val="tx1"/>
            </w14:solidFill>
          </w14:textFill>
        </w:rPr>
      </w:pPr>
      <w:r>
        <w:rPr>
          <w:rFonts w:hint="eastAsia"/>
          <w:color w:val="000000" w:themeColor="text1"/>
          <w14:textFill>
            <w14:solidFill>
              <w14:schemeClr w14:val="tx1"/>
            </w14:solidFill>
          </w14:textFill>
        </w:rPr>
        <w:t>2.3 “供应商”系指是指响应招标、参加投标竞争的法人、其他组织或者自然人。</w:t>
      </w:r>
    </w:p>
    <w:p w14:paraId="3A6CC468">
      <w:pPr>
        <w:rPr>
          <w:color w:val="000000" w:themeColor="text1"/>
          <w14:textFill>
            <w14:solidFill>
              <w14:schemeClr w14:val="tx1"/>
            </w14:solidFill>
          </w14:textFill>
        </w:rPr>
      </w:pPr>
      <w:r>
        <w:rPr>
          <w:rFonts w:hint="eastAsia"/>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2DA72D70">
      <w:pPr>
        <w:rPr>
          <w:color w:val="000000" w:themeColor="text1"/>
          <w14:textFill>
            <w14:solidFill>
              <w14:schemeClr w14:val="tx1"/>
            </w14:solidFill>
          </w14:textFill>
        </w:rPr>
      </w:pPr>
      <w:r>
        <w:rPr>
          <w:rFonts w:hint="eastAsia"/>
          <w:color w:val="000000" w:themeColor="text1"/>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72817A6E">
      <w:pPr>
        <w:rPr>
          <w:color w:val="000000" w:themeColor="text1"/>
          <w14:textFill>
            <w14:solidFill>
              <w14:schemeClr w14:val="tx1"/>
            </w14:solidFill>
          </w14:textFill>
        </w:rPr>
      </w:pPr>
      <w:r>
        <w:rPr>
          <w:rFonts w:hint="eastAsia"/>
          <w:color w:val="000000" w:themeColor="text1"/>
          <w14:textFill>
            <w14:solidFill>
              <w14:schemeClr w14:val="tx1"/>
            </w14:solidFill>
          </w14:textFill>
        </w:rPr>
        <w:t>2.6“电子交易平台”是指本项目政府采购活动所依托的政府采购云平台（https://</w:t>
      </w:r>
      <w:r>
        <w:rPr>
          <w:rFonts w:hint="eastAsia"/>
          <w:color w:val="000000" w:themeColor="text1"/>
          <w:lang w:eastAsia="zh-CN"/>
          <w14:textFill>
            <w14:solidFill>
              <w14:schemeClr w14:val="tx1"/>
            </w14:solidFill>
          </w14:textFill>
        </w:rPr>
        <w:t>www.lecaiyun.com</w:t>
      </w:r>
      <w:r>
        <w:rPr>
          <w:rFonts w:hint="eastAsia"/>
          <w:color w:val="000000" w:themeColor="text1"/>
          <w14:textFill>
            <w14:solidFill>
              <w14:schemeClr w14:val="tx1"/>
            </w14:solidFill>
          </w14:textFill>
        </w:rPr>
        <w:t>/）。</w:t>
      </w:r>
    </w:p>
    <w:p w14:paraId="46C0A15D">
      <w:pPr>
        <w:rPr>
          <w:color w:val="000000" w:themeColor="text1"/>
          <w14:textFill>
            <w14:solidFill>
              <w14:schemeClr w14:val="tx1"/>
            </w14:solidFill>
          </w14:textFill>
        </w:rPr>
      </w:pPr>
      <w:r>
        <w:rPr>
          <w:rFonts w:hint="eastAsia"/>
          <w:color w:val="000000" w:themeColor="text1"/>
          <w14:textFill>
            <w14:solidFill>
              <w14:schemeClr w14:val="tx1"/>
            </w14:solidFill>
          </w14:textFill>
        </w:rPr>
        <w:t>2.7 “▲” 系指实质性要求条款，“（√）” 系指适用本项目的要求，“（  ）”系指不适用本项目的要求。</w:t>
      </w:r>
    </w:p>
    <w:p w14:paraId="3664C0C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59CCCFFA">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无 </w:t>
      </w:r>
    </w:p>
    <w:p w14:paraId="03BA092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74EE7014">
      <w:pPr>
        <w:rPr>
          <w:color w:val="000000" w:themeColor="text1"/>
          <w14:textFill>
            <w14:solidFill>
              <w14:schemeClr w14:val="tx1"/>
            </w14:solidFill>
          </w14:textFill>
        </w:rPr>
      </w:pPr>
      <w:r>
        <w:rPr>
          <w:rFonts w:hint="eastAsia"/>
          <w:color w:val="000000" w:themeColor="text1"/>
          <w14:textFill>
            <w14:solidFill>
              <w14:schemeClr w14:val="tx1"/>
            </w14:solidFill>
          </w14:textFill>
        </w:rPr>
        <w:t>4.1供应商询问</w:t>
      </w:r>
    </w:p>
    <w:p w14:paraId="146D14D8">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9D6214">
      <w:pPr>
        <w:rPr>
          <w:color w:val="000000" w:themeColor="text1"/>
          <w14:textFill>
            <w14:solidFill>
              <w14:schemeClr w14:val="tx1"/>
            </w14:solidFill>
          </w14:textFill>
        </w:rPr>
      </w:pPr>
      <w:r>
        <w:rPr>
          <w:rFonts w:hint="eastAsia"/>
          <w:color w:val="000000" w:themeColor="text1"/>
          <w14:textFill>
            <w14:solidFill>
              <w14:schemeClr w14:val="tx1"/>
            </w14:solidFill>
          </w14:textFill>
        </w:rPr>
        <w:t>4.2供应商质疑</w:t>
      </w:r>
    </w:p>
    <w:p w14:paraId="122C9FFA">
      <w:pPr>
        <w:rPr>
          <w:color w:val="000000" w:themeColor="text1"/>
          <w14:textFill>
            <w14:solidFill>
              <w14:schemeClr w14:val="tx1"/>
            </w14:solidFill>
          </w14:textFill>
        </w:rPr>
      </w:pPr>
      <w:r>
        <w:rPr>
          <w:rFonts w:hint="eastAsia"/>
          <w:color w:val="000000" w:themeColor="text1"/>
          <w14:textFill>
            <w14:solidFill>
              <w14:schemeClr w14:val="tx1"/>
            </w14:solidFill>
          </w14:textFill>
        </w:rPr>
        <w:t>4.2.1提出质疑的供应商应当是参与所质疑项目采购活动的供应商。潜在供应商已依法获取其可质疑的交易文件的，可以对该文件提出质疑。</w:t>
      </w:r>
    </w:p>
    <w:p w14:paraId="6234B6D5">
      <w:pPr>
        <w:rPr>
          <w:color w:val="000000" w:themeColor="text1"/>
          <w14:textFill>
            <w14:solidFill>
              <w14:schemeClr w14:val="tx1"/>
            </w14:solidFill>
          </w14:textFill>
        </w:rPr>
      </w:pPr>
      <w:r>
        <w:rPr>
          <w:rFonts w:hint="eastAsia"/>
          <w:color w:val="000000" w:themeColor="text1"/>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14:paraId="26109F89">
      <w:pPr>
        <w:rPr>
          <w:color w:val="000000" w:themeColor="text1"/>
          <w14:textFill>
            <w14:solidFill>
              <w14:schemeClr w14:val="tx1"/>
            </w14:solidFill>
          </w14:textFill>
        </w:rPr>
      </w:pPr>
      <w:r>
        <w:rPr>
          <w:rFonts w:hint="eastAsia"/>
          <w:color w:val="000000" w:themeColor="text1"/>
          <w14:textFill>
            <w14:solidFill>
              <w14:schemeClr w14:val="tx1"/>
            </w14:solidFill>
          </w14:textFill>
        </w:rPr>
        <w:t>4.2.2.1对交易文件提出质疑的，质疑期限为供应商获得交易文件之日或者交易文件公告期限届满之日起计算。</w:t>
      </w:r>
    </w:p>
    <w:p w14:paraId="1F856760">
      <w:pPr>
        <w:rPr>
          <w:color w:val="000000" w:themeColor="text1"/>
          <w14:textFill>
            <w14:solidFill>
              <w14:schemeClr w14:val="tx1"/>
            </w14:solidFill>
          </w14:textFill>
        </w:rPr>
      </w:pPr>
      <w:r>
        <w:rPr>
          <w:rFonts w:hint="eastAsia"/>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24382BBD">
      <w:pPr>
        <w:rPr>
          <w:color w:val="000000" w:themeColor="text1"/>
          <w14:textFill>
            <w14:solidFill>
              <w14:schemeClr w14:val="tx1"/>
            </w14:solidFill>
          </w14:textFill>
        </w:rPr>
      </w:pPr>
      <w:r>
        <w:rPr>
          <w:rFonts w:hint="eastAsia"/>
          <w:color w:val="000000" w:themeColor="text1"/>
          <w14:textFill>
            <w14:solidFill>
              <w14:schemeClr w14:val="tx1"/>
            </w14:solidFill>
          </w14:textFill>
        </w:rPr>
        <w:t>4.2.2.3对采购结果提出质疑的，质疑期限自采购结果公告期限届满之日起计算。</w:t>
      </w:r>
    </w:p>
    <w:p w14:paraId="6CF14DDA">
      <w:pPr>
        <w:rPr>
          <w:color w:val="000000" w:themeColor="text1"/>
          <w14:textFill>
            <w14:solidFill>
              <w14:schemeClr w14:val="tx1"/>
            </w14:solidFill>
          </w14:textFill>
        </w:rPr>
      </w:pPr>
      <w:r>
        <w:rPr>
          <w:rFonts w:hint="eastAsia"/>
          <w:color w:val="000000" w:themeColor="text1"/>
          <w14:textFill>
            <w14:solidFill>
              <w14:schemeClr w14:val="tx1"/>
            </w14:solidFill>
          </w14:textFill>
        </w:rPr>
        <w:t>4.2.3供应商提出质疑应当提交质疑函和必要的证明材料。质疑函应当包括下列内容：</w:t>
      </w:r>
    </w:p>
    <w:p w14:paraId="7FDC3ABF">
      <w:pPr>
        <w:rPr>
          <w:color w:val="000000" w:themeColor="text1"/>
          <w14:textFill>
            <w14:solidFill>
              <w14:schemeClr w14:val="tx1"/>
            </w14:solidFill>
          </w14:textFill>
        </w:rPr>
      </w:pPr>
      <w:r>
        <w:rPr>
          <w:rFonts w:hint="eastAsia"/>
          <w:color w:val="000000" w:themeColor="text1"/>
          <w14:textFill>
            <w14:solidFill>
              <w14:schemeClr w14:val="tx1"/>
            </w14:solidFill>
          </w14:textFill>
        </w:rPr>
        <w:t>　　4.2.3.1供应商的姓名或者名称、地址、邮编、联系人及联系电话；</w:t>
      </w:r>
    </w:p>
    <w:p w14:paraId="027C1EA6">
      <w:pPr>
        <w:rPr>
          <w:color w:val="000000" w:themeColor="text1"/>
          <w14:textFill>
            <w14:solidFill>
              <w14:schemeClr w14:val="tx1"/>
            </w14:solidFill>
          </w14:textFill>
        </w:rPr>
      </w:pPr>
      <w:r>
        <w:rPr>
          <w:rFonts w:hint="eastAsia"/>
          <w:color w:val="000000" w:themeColor="text1"/>
          <w14:textFill>
            <w14:solidFill>
              <w14:schemeClr w14:val="tx1"/>
            </w14:solidFill>
          </w14:textFill>
        </w:rPr>
        <w:t>　　4.2.3.2质疑项目的名称、编号；</w:t>
      </w:r>
    </w:p>
    <w:p w14:paraId="42D37C5D">
      <w:pPr>
        <w:rPr>
          <w:color w:val="000000" w:themeColor="text1"/>
          <w14:textFill>
            <w14:solidFill>
              <w14:schemeClr w14:val="tx1"/>
            </w14:solidFill>
          </w14:textFill>
        </w:rPr>
      </w:pPr>
      <w:r>
        <w:rPr>
          <w:rFonts w:hint="eastAsia"/>
          <w:color w:val="000000" w:themeColor="text1"/>
          <w14:textFill>
            <w14:solidFill>
              <w14:schemeClr w14:val="tx1"/>
            </w14:solidFill>
          </w14:textFill>
        </w:rPr>
        <w:t>　　4.2.3.3具体、明确的质疑事项和与质疑事项相关的请求；</w:t>
      </w:r>
    </w:p>
    <w:p w14:paraId="5C7EBC57">
      <w:pPr>
        <w:rPr>
          <w:color w:val="000000" w:themeColor="text1"/>
          <w14:textFill>
            <w14:solidFill>
              <w14:schemeClr w14:val="tx1"/>
            </w14:solidFill>
          </w14:textFill>
        </w:rPr>
      </w:pPr>
      <w:r>
        <w:rPr>
          <w:rFonts w:hint="eastAsia"/>
          <w:color w:val="000000" w:themeColor="text1"/>
          <w14:textFill>
            <w14:solidFill>
              <w14:schemeClr w14:val="tx1"/>
            </w14:solidFill>
          </w14:textFill>
        </w:rPr>
        <w:t>　　4.2.3.4事实依据；</w:t>
      </w:r>
    </w:p>
    <w:p w14:paraId="53A12516">
      <w:pPr>
        <w:rPr>
          <w:color w:val="000000" w:themeColor="text1"/>
          <w14:textFill>
            <w14:solidFill>
              <w14:schemeClr w14:val="tx1"/>
            </w14:solidFill>
          </w14:textFill>
        </w:rPr>
      </w:pPr>
      <w:r>
        <w:rPr>
          <w:rFonts w:hint="eastAsia"/>
          <w:color w:val="000000" w:themeColor="text1"/>
          <w14:textFill>
            <w14:solidFill>
              <w14:schemeClr w14:val="tx1"/>
            </w14:solidFill>
          </w14:textFill>
        </w:rPr>
        <w:t>　　4.2.3.5必要的法律依据；</w:t>
      </w:r>
    </w:p>
    <w:p w14:paraId="48D0DFF7">
      <w:pPr>
        <w:rPr>
          <w:color w:val="000000" w:themeColor="text1"/>
          <w14:textFill>
            <w14:solidFill>
              <w14:schemeClr w14:val="tx1"/>
            </w14:solidFill>
          </w14:textFill>
        </w:rPr>
      </w:pPr>
      <w:r>
        <w:rPr>
          <w:rFonts w:hint="eastAsia"/>
          <w:color w:val="000000" w:themeColor="text1"/>
          <w14:textFill>
            <w14:solidFill>
              <w14:schemeClr w14:val="tx1"/>
            </w14:solidFill>
          </w14:textFill>
        </w:rPr>
        <w:t>4.2.3.6提出质疑的日期。</w:t>
      </w:r>
    </w:p>
    <w:p w14:paraId="158DC9CD">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77B2841">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4FEF1BA8">
      <w:pPr>
        <w:rPr>
          <w:color w:val="000000" w:themeColor="text1"/>
          <w14:textFill>
            <w14:solidFill>
              <w14:schemeClr w14:val="tx1"/>
            </w14:solidFill>
          </w14:textFill>
        </w:rPr>
      </w:pPr>
      <w:r>
        <w:rPr>
          <w:rFonts w:hint="eastAsia"/>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138DA254">
      <w:pPr>
        <w:rPr>
          <w:color w:val="000000" w:themeColor="text1"/>
          <w14:textFill>
            <w14:solidFill>
              <w14:schemeClr w14:val="tx1"/>
            </w14:solidFill>
          </w14:textFill>
        </w:rPr>
      </w:pPr>
      <w:r>
        <w:rPr>
          <w:rFonts w:hint="eastAsia"/>
          <w:color w:val="000000" w:themeColor="text1"/>
          <w14:textFill>
            <w14:solidFill>
              <w14:schemeClr w14:val="tx1"/>
            </w14:solidFill>
          </w14:textFill>
        </w:rPr>
        <w:t>4.2.5询问或者质疑事项可能影响采购结果的，采购人应当暂停签订合同，已经签订合同的，应当中止履行合同。</w:t>
      </w:r>
    </w:p>
    <w:p w14:paraId="625687A7">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二、交易文件的构成、澄清、修改</w:t>
      </w:r>
    </w:p>
    <w:p w14:paraId="63A62AF1">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5．交易文件的构成</w:t>
      </w:r>
    </w:p>
    <w:p w14:paraId="0F7B8836">
      <w:pPr>
        <w:rPr>
          <w:color w:val="000000" w:themeColor="text1"/>
          <w14:textFill>
            <w14:solidFill>
              <w14:schemeClr w14:val="tx1"/>
            </w14:solidFill>
          </w14:textFill>
        </w:rPr>
      </w:pPr>
      <w:r>
        <w:rPr>
          <w:rFonts w:hint="eastAsia"/>
          <w:color w:val="000000" w:themeColor="text1"/>
          <w14:textFill>
            <w14:solidFill>
              <w14:schemeClr w14:val="tx1"/>
            </w14:solidFill>
          </w14:textFill>
        </w:rPr>
        <w:t>5.1 交易文件包括下列文件及附件：</w:t>
      </w:r>
    </w:p>
    <w:p w14:paraId="56448595">
      <w:pPr>
        <w:rPr>
          <w:color w:val="000000" w:themeColor="text1"/>
          <w14:textFill>
            <w14:solidFill>
              <w14:schemeClr w14:val="tx1"/>
            </w14:solidFill>
          </w14:textFill>
        </w:rPr>
      </w:pPr>
      <w:r>
        <w:rPr>
          <w:rFonts w:hint="eastAsia"/>
          <w:color w:val="000000" w:themeColor="text1"/>
          <w14:textFill>
            <w14:solidFill>
              <w14:schemeClr w14:val="tx1"/>
            </w14:solidFill>
          </w14:textFill>
        </w:rPr>
        <w:t>5.1.1交易公告；</w:t>
      </w:r>
    </w:p>
    <w:p w14:paraId="42C0F389">
      <w:pPr>
        <w:rPr>
          <w:color w:val="000000" w:themeColor="text1"/>
          <w14:textFill>
            <w14:solidFill>
              <w14:schemeClr w14:val="tx1"/>
            </w14:solidFill>
          </w14:textFill>
        </w:rPr>
      </w:pPr>
      <w:r>
        <w:rPr>
          <w:rFonts w:hint="eastAsia"/>
          <w:color w:val="000000" w:themeColor="text1"/>
          <w14:textFill>
            <w14:solidFill>
              <w14:schemeClr w14:val="tx1"/>
            </w14:solidFill>
          </w14:textFill>
        </w:rPr>
        <w:t>5.1.2供应商须知；</w:t>
      </w:r>
    </w:p>
    <w:p w14:paraId="73B8E673">
      <w:pPr>
        <w:rPr>
          <w:color w:val="000000" w:themeColor="text1"/>
          <w14:textFill>
            <w14:solidFill>
              <w14:schemeClr w14:val="tx1"/>
            </w14:solidFill>
          </w14:textFill>
        </w:rPr>
      </w:pPr>
      <w:r>
        <w:rPr>
          <w:rFonts w:hint="eastAsia"/>
          <w:color w:val="000000" w:themeColor="text1"/>
          <w14:textFill>
            <w14:solidFill>
              <w14:schemeClr w14:val="tx1"/>
            </w14:solidFill>
          </w14:textFill>
        </w:rPr>
        <w:t>5.1.3采购需求；</w:t>
      </w:r>
    </w:p>
    <w:p w14:paraId="1B711D67">
      <w:pPr>
        <w:rPr>
          <w:color w:val="000000" w:themeColor="text1"/>
          <w14:textFill>
            <w14:solidFill>
              <w14:schemeClr w14:val="tx1"/>
            </w14:solidFill>
          </w14:textFill>
        </w:rPr>
      </w:pPr>
      <w:r>
        <w:rPr>
          <w:rFonts w:hint="eastAsia"/>
          <w:color w:val="000000" w:themeColor="text1"/>
          <w14:textFill>
            <w14:solidFill>
              <w14:schemeClr w14:val="tx1"/>
            </w14:solidFill>
          </w14:textFill>
        </w:rPr>
        <w:t>5.1.4评标办法；</w:t>
      </w:r>
    </w:p>
    <w:p w14:paraId="39D4E673">
      <w:pPr>
        <w:rPr>
          <w:color w:val="000000" w:themeColor="text1"/>
          <w14:textFill>
            <w14:solidFill>
              <w14:schemeClr w14:val="tx1"/>
            </w14:solidFill>
          </w14:textFill>
        </w:rPr>
      </w:pPr>
      <w:r>
        <w:rPr>
          <w:rFonts w:hint="eastAsia"/>
          <w:color w:val="000000" w:themeColor="text1"/>
          <w14:textFill>
            <w14:solidFill>
              <w14:schemeClr w14:val="tx1"/>
            </w14:solidFill>
          </w14:textFill>
        </w:rPr>
        <w:t>5.1.5拟签订的合同文本；</w:t>
      </w:r>
    </w:p>
    <w:p w14:paraId="6FC7E87B">
      <w:pPr>
        <w:rPr>
          <w:color w:val="000000" w:themeColor="text1"/>
          <w14:textFill>
            <w14:solidFill>
              <w14:schemeClr w14:val="tx1"/>
            </w14:solidFill>
          </w14:textFill>
        </w:rPr>
      </w:pPr>
      <w:r>
        <w:rPr>
          <w:rFonts w:hint="eastAsia"/>
          <w:color w:val="000000" w:themeColor="text1"/>
          <w14:textFill>
            <w14:solidFill>
              <w14:schemeClr w14:val="tx1"/>
            </w14:solidFill>
          </w14:textFill>
        </w:rPr>
        <w:t>5.1.6应提交的有关格式范例。</w:t>
      </w:r>
    </w:p>
    <w:p w14:paraId="71330FFB">
      <w:pPr>
        <w:rPr>
          <w:color w:val="000000" w:themeColor="text1"/>
          <w14:textFill>
            <w14:solidFill>
              <w14:schemeClr w14:val="tx1"/>
            </w14:solidFill>
          </w14:textFill>
        </w:rPr>
      </w:pPr>
      <w:r>
        <w:rPr>
          <w:rFonts w:hint="eastAsia"/>
          <w:color w:val="000000" w:themeColor="text1"/>
          <w14:textFill>
            <w14:solidFill>
              <w14:schemeClr w14:val="tx1"/>
            </w14:solidFill>
          </w14:textFill>
        </w:rPr>
        <w:t>5.2与本项目有关的澄清或者修改的内容为交易文件的组成部分。</w:t>
      </w:r>
    </w:p>
    <w:p w14:paraId="1A889380">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交易文件的澄清、修改</w:t>
      </w:r>
    </w:p>
    <w:p w14:paraId="7F20F463">
      <w:pPr>
        <w:rPr>
          <w:color w:val="000000" w:themeColor="text1"/>
          <w14:textFill>
            <w14:solidFill>
              <w14:schemeClr w14:val="tx1"/>
            </w14:solidFill>
          </w14:textFill>
        </w:rPr>
      </w:pPr>
      <w:r>
        <w:rPr>
          <w:rFonts w:hint="eastAsia"/>
          <w:color w:val="000000" w:themeColor="text1"/>
          <w14:textFill>
            <w14:solidFill>
              <w14:schemeClr w14:val="tx1"/>
            </w14:solidFill>
          </w14:textFill>
        </w:rPr>
        <w:t>6.1已获取交易文件的潜在供应商，若有问题需要澄清，应于投标截止时间前，以书面形式向采购机构提出。</w:t>
      </w:r>
    </w:p>
    <w:p w14:paraId="24F3081F">
      <w:pPr>
        <w:rPr>
          <w:color w:val="000000" w:themeColor="text1"/>
          <w14:textFill>
            <w14:solidFill>
              <w14:schemeClr w14:val="tx1"/>
            </w14:solidFill>
          </w14:textFill>
        </w:rPr>
      </w:pPr>
      <w:r>
        <w:rPr>
          <w:rFonts w:hint="eastAsia"/>
          <w:color w:val="000000" w:themeColor="text1"/>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7F0CB891">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79D2EE0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交易文件的获取</w:t>
      </w:r>
    </w:p>
    <w:p w14:paraId="7A45E945">
      <w:pPr>
        <w:rPr>
          <w:color w:val="000000" w:themeColor="text1"/>
          <w14:textFill>
            <w14:solidFill>
              <w14:schemeClr w14:val="tx1"/>
            </w14:solidFill>
          </w14:textFill>
        </w:rPr>
      </w:pPr>
      <w:r>
        <w:rPr>
          <w:rFonts w:hint="eastAsia"/>
          <w:color w:val="000000" w:themeColor="text1"/>
          <w14:textFill>
            <w14:solidFill>
              <w14:schemeClr w14:val="tx1"/>
            </w14:solidFill>
          </w14:textFill>
        </w:rPr>
        <w:t>详见交易公告中获取交易文件的时间期限、地点、方式及交易文件售价。</w:t>
      </w:r>
    </w:p>
    <w:p w14:paraId="00BE830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3DDAC859">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3B9E788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68AA65B2">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本项目不需缴纳投标保证金。</w:t>
      </w:r>
    </w:p>
    <w:p w14:paraId="7EFF3FEA">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响应文件的语言</w:t>
      </w:r>
    </w:p>
    <w:p w14:paraId="579DA781">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响应文件及供应商与采购有关的来往通知、函件和文件均应使用中文。</w:t>
      </w:r>
    </w:p>
    <w:p w14:paraId="239CE86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响应文件的组成</w:t>
      </w:r>
    </w:p>
    <w:p w14:paraId="524A30CF">
      <w:pPr>
        <w:rPr>
          <w:color w:val="000000" w:themeColor="text1"/>
          <w14:textFill>
            <w14:solidFill>
              <w14:schemeClr w14:val="tx1"/>
            </w14:solidFill>
          </w14:textFill>
        </w:rPr>
      </w:pPr>
      <w:r>
        <w:rPr>
          <w:rFonts w:hint="eastAsia"/>
          <w:color w:val="000000" w:themeColor="text1"/>
          <w14:textFill>
            <w14:solidFill>
              <w14:schemeClr w14:val="tx1"/>
            </w14:solidFill>
          </w14:textFill>
        </w:rPr>
        <w:t>11.1资格文件：</w:t>
      </w:r>
    </w:p>
    <w:p w14:paraId="44C7BFBD">
      <w:pPr>
        <w:rPr>
          <w:color w:val="000000" w:themeColor="text1"/>
          <w14:textFill>
            <w14:solidFill>
              <w14:schemeClr w14:val="tx1"/>
            </w14:solidFill>
          </w14:textFill>
        </w:rPr>
      </w:pPr>
      <w:r>
        <w:rPr>
          <w:rFonts w:hint="eastAsia"/>
          <w:color w:val="000000" w:themeColor="text1"/>
          <w14:textFill>
            <w14:solidFill>
              <w14:schemeClr w14:val="tx1"/>
            </w14:solidFill>
          </w14:textFill>
        </w:rPr>
        <w:t>11.1.1符合参加政府采购活动应当具备的一般条件的承诺函；</w:t>
      </w:r>
    </w:p>
    <w:p w14:paraId="64D075F9">
      <w:pPr>
        <w:rPr>
          <w:color w:val="000000" w:themeColor="text1"/>
          <w14:textFill>
            <w14:solidFill>
              <w14:schemeClr w14:val="tx1"/>
            </w14:solidFill>
          </w14:textFill>
        </w:rPr>
      </w:pPr>
      <w:r>
        <w:rPr>
          <w:rFonts w:hint="eastAsia"/>
          <w:color w:val="000000" w:themeColor="text1"/>
          <w14:textFill>
            <w14:solidFill>
              <w14:schemeClr w14:val="tx1"/>
            </w14:solidFill>
          </w14:textFill>
        </w:rPr>
        <w:t>11.1.2落实政府采购政策需满足的资格要求；</w:t>
      </w:r>
    </w:p>
    <w:p w14:paraId="71105834">
      <w:pPr>
        <w:rPr>
          <w:color w:val="000000" w:themeColor="text1"/>
          <w14:textFill>
            <w14:solidFill>
              <w14:schemeClr w14:val="tx1"/>
            </w14:solidFill>
          </w14:textFill>
        </w:rPr>
      </w:pPr>
      <w:r>
        <w:rPr>
          <w:rFonts w:hint="eastAsia"/>
          <w:color w:val="000000" w:themeColor="text1"/>
          <w14:textFill>
            <w14:solidFill>
              <w14:schemeClr w14:val="tx1"/>
            </w14:solidFill>
          </w14:textFill>
        </w:rPr>
        <w:t>11.1.3本项目的特定资格要求。</w:t>
      </w:r>
    </w:p>
    <w:p w14:paraId="220080C5">
      <w:pPr>
        <w:rPr>
          <w:color w:val="000000" w:themeColor="text1"/>
          <w14:textFill>
            <w14:solidFill>
              <w14:schemeClr w14:val="tx1"/>
            </w14:solidFill>
          </w14:textFill>
        </w:rPr>
      </w:pPr>
      <w:r>
        <w:rPr>
          <w:rFonts w:hint="eastAsia"/>
          <w:color w:val="000000" w:themeColor="text1"/>
          <w14:textFill>
            <w14:solidFill>
              <w14:schemeClr w14:val="tx1"/>
            </w14:solidFill>
          </w14:textFill>
        </w:rPr>
        <w:t>11.2  商务技术文件：</w:t>
      </w:r>
    </w:p>
    <w:p w14:paraId="271C2CFA">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11.2.1投标函； </w:t>
      </w:r>
    </w:p>
    <w:p w14:paraId="591C0812">
      <w:pPr>
        <w:rPr>
          <w:color w:val="000000" w:themeColor="text1"/>
          <w14:textFill>
            <w14:solidFill>
              <w14:schemeClr w14:val="tx1"/>
            </w14:solidFill>
          </w14:textFill>
        </w:rPr>
      </w:pPr>
      <w:r>
        <w:rPr>
          <w:rFonts w:hint="eastAsia"/>
          <w:color w:val="000000" w:themeColor="text1"/>
          <w14:textFill>
            <w14:solidFill>
              <w14:schemeClr w14:val="tx1"/>
            </w14:solidFill>
          </w14:textFill>
        </w:rPr>
        <w:t>11.2.2授权委托书或法定代表人（单位负责人、自然人本人）身份证明；</w:t>
      </w:r>
    </w:p>
    <w:p w14:paraId="3DE0F0F8">
      <w:pPr>
        <w:rPr>
          <w:color w:val="000000" w:themeColor="text1"/>
          <w14:textFill>
            <w14:solidFill>
              <w14:schemeClr w14:val="tx1"/>
            </w14:solidFill>
          </w14:textFill>
        </w:rPr>
      </w:pPr>
      <w:r>
        <w:rPr>
          <w:rFonts w:hint="eastAsia"/>
          <w:color w:val="000000" w:themeColor="text1"/>
          <w14:textFill>
            <w14:solidFill>
              <w14:schemeClr w14:val="tx1"/>
            </w14:solidFill>
          </w14:textFill>
        </w:rPr>
        <w:t>11.2.3联合协议；</w:t>
      </w:r>
    </w:p>
    <w:p w14:paraId="6BF0C73A">
      <w:pPr>
        <w:rPr>
          <w:color w:val="000000" w:themeColor="text1"/>
          <w14:textFill>
            <w14:solidFill>
              <w14:schemeClr w14:val="tx1"/>
            </w14:solidFill>
          </w14:textFill>
        </w:rPr>
      </w:pPr>
      <w:r>
        <w:rPr>
          <w:rFonts w:hint="eastAsia"/>
          <w:color w:val="000000" w:themeColor="text1"/>
          <w14:textFill>
            <w14:solidFill>
              <w14:schemeClr w14:val="tx1"/>
            </w14:solidFill>
          </w14:textFill>
        </w:rPr>
        <w:t>11.2.4分包意向协议；</w:t>
      </w:r>
    </w:p>
    <w:p w14:paraId="48D6B1C8">
      <w:pPr>
        <w:rPr>
          <w:color w:val="000000" w:themeColor="text1"/>
          <w14:textFill>
            <w14:solidFill>
              <w14:schemeClr w14:val="tx1"/>
            </w14:solidFill>
          </w14:textFill>
        </w:rPr>
      </w:pPr>
      <w:r>
        <w:rPr>
          <w:rFonts w:hint="eastAsia"/>
          <w:color w:val="000000" w:themeColor="text1"/>
          <w14:textFill>
            <w14:solidFill>
              <w14:schemeClr w14:val="tx1"/>
            </w14:solidFill>
          </w14:textFill>
        </w:rPr>
        <w:t>11.2.5符合性审查资料；</w:t>
      </w:r>
    </w:p>
    <w:p w14:paraId="0FF6884B">
      <w:pPr>
        <w:rPr>
          <w:color w:val="000000" w:themeColor="text1"/>
          <w14:textFill>
            <w14:solidFill>
              <w14:schemeClr w14:val="tx1"/>
            </w14:solidFill>
          </w14:textFill>
        </w:rPr>
      </w:pPr>
      <w:r>
        <w:rPr>
          <w:rFonts w:hint="eastAsia"/>
          <w:color w:val="000000" w:themeColor="text1"/>
          <w14:textFill>
            <w14:solidFill>
              <w14:schemeClr w14:val="tx1"/>
            </w14:solidFill>
          </w14:textFill>
        </w:rPr>
        <w:t>11.2.6评标标准相应的商务技术资料；</w:t>
      </w:r>
    </w:p>
    <w:p w14:paraId="64222904">
      <w:pPr>
        <w:rPr>
          <w:color w:val="000000" w:themeColor="text1"/>
          <w14:textFill>
            <w14:solidFill>
              <w14:schemeClr w14:val="tx1"/>
            </w14:solidFill>
          </w14:textFill>
        </w:rPr>
      </w:pPr>
      <w:r>
        <w:rPr>
          <w:rFonts w:hint="eastAsia"/>
          <w:color w:val="000000" w:themeColor="text1"/>
          <w14:textFill>
            <w14:solidFill>
              <w14:schemeClr w14:val="tx1"/>
            </w14:solidFill>
          </w14:textFill>
        </w:rPr>
        <w:t>11.2.7投标标的清单；</w:t>
      </w:r>
    </w:p>
    <w:p w14:paraId="0C779CF7">
      <w:pPr>
        <w:rPr>
          <w:color w:val="000000" w:themeColor="text1"/>
          <w14:textFill>
            <w14:solidFill>
              <w14:schemeClr w14:val="tx1"/>
            </w14:solidFill>
          </w14:textFill>
        </w:rPr>
      </w:pPr>
      <w:r>
        <w:rPr>
          <w:rFonts w:hint="eastAsia"/>
          <w:color w:val="000000" w:themeColor="text1"/>
          <w14:textFill>
            <w14:solidFill>
              <w14:schemeClr w14:val="tx1"/>
            </w14:solidFill>
          </w14:textFill>
        </w:rPr>
        <w:t>11.2.8商务技术偏离表；</w:t>
      </w:r>
    </w:p>
    <w:p w14:paraId="5115BAAE">
      <w:pPr>
        <w:rPr>
          <w:color w:val="000000" w:themeColor="text1"/>
          <w14:textFill>
            <w14:solidFill>
              <w14:schemeClr w14:val="tx1"/>
            </w14:solidFill>
          </w14:textFill>
        </w:rPr>
      </w:pPr>
      <w:r>
        <w:rPr>
          <w:rFonts w:hint="eastAsia"/>
          <w:color w:val="000000" w:themeColor="text1"/>
          <w14:textFill>
            <w14:solidFill>
              <w14:schemeClr w14:val="tx1"/>
            </w14:solidFill>
          </w14:textFill>
        </w:rPr>
        <w:t>11.2.9政府采购供应商廉洁自律承诺书；</w:t>
      </w:r>
    </w:p>
    <w:p w14:paraId="78ED997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11.3报价文件： </w:t>
      </w:r>
    </w:p>
    <w:p w14:paraId="495AB568">
      <w:pPr>
        <w:rPr>
          <w:color w:val="000000" w:themeColor="text1"/>
          <w14:textFill>
            <w14:solidFill>
              <w14:schemeClr w14:val="tx1"/>
            </w14:solidFill>
          </w14:textFill>
        </w:rPr>
      </w:pPr>
      <w:r>
        <w:rPr>
          <w:rFonts w:hint="eastAsia"/>
          <w:color w:val="000000" w:themeColor="text1"/>
          <w14:textFill>
            <w14:solidFill>
              <w14:schemeClr w14:val="tx1"/>
            </w14:solidFill>
          </w14:textFill>
        </w:rPr>
        <w:t>11.3.1开标一览表（报价表）；</w:t>
      </w:r>
    </w:p>
    <w:p w14:paraId="3EBD1ADF">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响应文件含有采购人不能接受的附加条件的，投标无效；</w:t>
      </w:r>
    </w:p>
    <w:p w14:paraId="4CDC6C17">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供应商提供虚假材料投标的，投标无效。</w:t>
      </w:r>
    </w:p>
    <w:p w14:paraId="2FCA9D0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响应文件的编制</w:t>
      </w:r>
    </w:p>
    <w:p w14:paraId="5669CD59">
      <w:pPr>
        <w:rPr>
          <w:color w:val="000000" w:themeColor="text1"/>
          <w14:textFill>
            <w14:solidFill>
              <w14:schemeClr w14:val="tx1"/>
            </w14:solidFill>
          </w14:textFill>
        </w:rPr>
      </w:pPr>
      <w:r>
        <w:rPr>
          <w:rFonts w:hint="eastAsia"/>
          <w:color w:val="000000" w:themeColor="text1"/>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CA6BD2A">
      <w:pPr>
        <w:rPr>
          <w:color w:val="000000" w:themeColor="text1"/>
          <w14:textFill>
            <w14:solidFill>
              <w14:schemeClr w14:val="tx1"/>
            </w14:solidFill>
          </w14:textFill>
        </w:rPr>
      </w:pPr>
      <w:r>
        <w:rPr>
          <w:rFonts w:hint="eastAsia"/>
          <w:color w:val="000000" w:themeColor="text1"/>
          <w14:textFill>
            <w14:solidFill>
              <w14:schemeClr w14:val="tx1"/>
            </w14:solidFill>
          </w14:textFill>
        </w:rPr>
        <w:t>12.2供应商进行电子投标应安装客户端软件—“</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电子交易客户端”，并按照交易文件和电子交易平台的要求编制并加密响应文件。供应商未按规定加密的响应文件，电子交易平台将拒收并提示。</w:t>
      </w:r>
    </w:p>
    <w:p w14:paraId="04E22F30">
      <w:pPr>
        <w:rPr>
          <w:color w:val="000000" w:themeColor="text1"/>
          <w14:textFill>
            <w14:solidFill>
              <w14:schemeClr w14:val="tx1"/>
            </w14:solidFill>
          </w14:textFill>
        </w:rPr>
      </w:pPr>
      <w:r>
        <w:rPr>
          <w:rFonts w:hint="eastAsia"/>
          <w:color w:val="000000" w:themeColor="text1"/>
          <w14:textFill>
            <w14:solidFill>
              <w14:schemeClr w14:val="tx1"/>
            </w14:solidFill>
          </w14:textFill>
        </w:rPr>
        <w:t>12.3使用“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电子交易客户端”需要提前申领CA数字证书，申领流程请自行前往“浙江政府采购网-下载专区-电子交易客户端-CA驱动和申领流程”进行查阅。</w:t>
      </w:r>
    </w:p>
    <w:p w14:paraId="763D9EC1">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13.响应文件的签署、盖章</w:t>
      </w:r>
    </w:p>
    <w:p w14:paraId="6896C8A2">
      <w:pPr>
        <w:rPr>
          <w:color w:val="000000" w:themeColor="text1"/>
          <w14:textFill>
            <w14:solidFill>
              <w14:schemeClr w14:val="tx1"/>
            </w14:solidFill>
          </w14:textFill>
        </w:rPr>
      </w:pPr>
      <w:r>
        <w:rPr>
          <w:rFonts w:hint="eastAsia"/>
          <w:color w:val="000000" w:themeColor="text1"/>
          <w14:textFill>
            <w14:solidFill>
              <w14:schemeClr w14:val="tx1"/>
            </w14:solidFill>
          </w14:textFill>
        </w:rPr>
        <w:t>13.1响应文件按照交易文件第六部分格式要求进行签署、盖章。▲供应商的响应文件未按照交易文件要求签署、盖章的，其投标无效。</w:t>
      </w:r>
    </w:p>
    <w:p w14:paraId="26F0562F">
      <w:pPr>
        <w:rPr>
          <w:color w:val="000000" w:themeColor="text1"/>
          <w14:textFill>
            <w14:solidFill>
              <w14:schemeClr w14:val="tx1"/>
            </w14:solidFill>
          </w14:textFill>
        </w:rPr>
      </w:pPr>
      <w:r>
        <w:rPr>
          <w:rFonts w:hint="eastAsia"/>
          <w:color w:val="000000" w:themeColor="text1"/>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7A1881A1">
      <w:pPr>
        <w:rPr>
          <w:color w:val="000000" w:themeColor="text1"/>
          <w14:textFill>
            <w14:solidFill>
              <w14:schemeClr w14:val="tx1"/>
            </w14:solidFill>
          </w14:textFill>
        </w:rPr>
      </w:pPr>
      <w:r>
        <w:rPr>
          <w:rFonts w:hint="eastAsia"/>
          <w:color w:val="000000" w:themeColor="text1"/>
          <w14:textFill>
            <w14:solidFill>
              <w14:schemeClr w14:val="tx1"/>
            </w14:solidFill>
          </w14:textFill>
        </w:rPr>
        <w:t>13.3交易文件对响应文件签署、盖章的要求适用于电子签名。</w:t>
      </w:r>
    </w:p>
    <w:p w14:paraId="7DBC62D6">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响应文件的提交、补充、修改、撤回</w:t>
      </w:r>
    </w:p>
    <w:p w14:paraId="15484D8B">
      <w:pPr>
        <w:rPr>
          <w:color w:val="000000" w:themeColor="text1"/>
          <w14:textFill>
            <w14:solidFill>
              <w14:schemeClr w14:val="tx1"/>
            </w14:solidFill>
          </w14:textFill>
        </w:rPr>
      </w:pPr>
      <w:r>
        <w:rPr>
          <w:rFonts w:hint="eastAsia"/>
          <w:color w:val="000000" w:themeColor="text1"/>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6A36CD5C">
      <w:pPr>
        <w:rPr>
          <w:color w:val="000000" w:themeColor="text1"/>
          <w14:textFill>
            <w14:solidFill>
              <w14:schemeClr w14:val="tx1"/>
            </w14:solidFill>
          </w14:textFill>
        </w:rPr>
      </w:pPr>
      <w:r>
        <w:rPr>
          <w:rFonts w:hint="eastAsia"/>
          <w:color w:val="000000" w:themeColor="text1"/>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37FF9989">
      <w:pPr>
        <w:rPr>
          <w:color w:val="000000" w:themeColor="text1"/>
          <w14:textFill>
            <w14:solidFill>
              <w14:schemeClr w14:val="tx1"/>
            </w14:solidFill>
          </w14:textFill>
        </w:rPr>
      </w:pPr>
      <w:r>
        <w:rPr>
          <w:rFonts w:hint="eastAsia"/>
          <w:color w:val="000000" w:themeColor="text1"/>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14:paraId="6A7D9B1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15.备份响应文件</w:t>
      </w:r>
    </w:p>
    <w:p w14:paraId="663F36D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14:paraId="17D0BDE3">
      <w:pPr>
        <w:rPr>
          <w:color w:val="000000" w:themeColor="text1"/>
          <w14:textFill>
            <w14:solidFill>
              <w14:schemeClr w14:val="tx1"/>
            </w14:solidFill>
          </w14:textFill>
        </w:rPr>
      </w:pPr>
      <w:r>
        <w:rPr>
          <w:rFonts w:hint="eastAsia"/>
          <w:color w:val="000000" w:themeColor="text1"/>
          <w14:textFill>
            <w14:solidFill>
              <w14:schemeClr w14:val="tx1"/>
            </w14:solidFill>
          </w14:textFill>
        </w:rPr>
        <w:t>15.2备份响应文件须在“</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14:paraId="6BAD11FF">
      <w:pPr>
        <w:rPr>
          <w:color w:val="000000" w:themeColor="text1"/>
          <w14:textFill>
            <w14:solidFill>
              <w14:schemeClr w14:val="tx1"/>
            </w14:solidFill>
          </w14:textFill>
        </w:rPr>
      </w:pPr>
      <w:r>
        <w:rPr>
          <w:rFonts w:hint="eastAsia"/>
          <w:color w:val="000000" w:themeColor="text1"/>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14:paraId="577F387A">
      <w:pPr>
        <w:rPr>
          <w:color w:val="000000" w:themeColor="text1"/>
          <w14:textFill>
            <w14:solidFill>
              <w14:schemeClr w14:val="tx1"/>
            </w14:solidFill>
          </w14:textFill>
        </w:rPr>
      </w:pPr>
      <w:r>
        <w:rPr>
          <w:rFonts w:hint="eastAsia"/>
          <w:color w:val="000000" w:themeColor="text1"/>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1B74D97C">
      <w:pPr>
        <w:rPr>
          <w:color w:val="000000" w:themeColor="text1"/>
          <w14:textFill>
            <w14:solidFill>
              <w14:schemeClr w14:val="tx1"/>
            </w14:solidFill>
          </w14:textFill>
        </w:rPr>
      </w:pPr>
      <w:r>
        <w:rPr>
          <w:rFonts w:hint="eastAsia"/>
          <w:color w:val="000000" w:themeColor="text1"/>
          <w14:textFill>
            <w14:solidFill>
              <w14:schemeClr w14:val="tx1"/>
            </w14:solidFill>
          </w14:textFill>
        </w:rPr>
        <w:t>15.5供应商仅提交备份响应文件，未在电子交易平台传输递交响应文件的，投标无效。</w:t>
      </w:r>
    </w:p>
    <w:p w14:paraId="77130E3B">
      <w:pPr>
        <w:rPr>
          <w:color w:val="000000" w:themeColor="text1"/>
          <w14:textFill>
            <w14:solidFill>
              <w14:schemeClr w14:val="tx1"/>
            </w14:solidFill>
          </w14:textFill>
        </w:rPr>
      </w:pPr>
      <w:r>
        <w:rPr>
          <w:rFonts w:hint="eastAsia"/>
          <w:color w:val="000000" w:themeColor="text1"/>
          <w14:textFill>
            <w14:solidFill>
              <w14:schemeClr w14:val="tx1"/>
            </w14:solidFill>
          </w14:textFill>
        </w:rPr>
        <w:t>16.响应文件的无效处理</w:t>
      </w:r>
    </w:p>
    <w:p w14:paraId="5CBE5094">
      <w:pPr>
        <w:rPr>
          <w:color w:val="000000" w:themeColor="text1"/>
          <w14:textFill>
            <w14:solidFill>
              <w14:schemeClr w14:val="tx1"/>
            </w14:solidFill>
          </w14:textFill>
        </w:rPr>
      </w:pPr>
      <w:r>
        <w:rPr>
          <w:rFonts w:hint="eastAsia"/>
          <w:color w:val="000000" w:themeColor="text1"/>
          <w14:textFill>
            <w14:solidFill>
              <w14:schemeClr w14:val="tx1"/>
            </w14:solidFill>
          </w14:textFill>
        </w:rPr>
        <w:t>有交易文件第四部分4.2规定的情形之一的，投标无效：</w:t>
      </w:r>
    </w:p>
    <w:p w14:paraId="38796F3A">
      <w:pPr>
        <w:rPr>
          <w:color w:val="000000" w:themeColor="text1"/>
          <w14:textFill>
            <w14:solidFill>
              <w14:schemeClr w14:val="tx1"/>
            </w14:solidFill>
          </w14:textFill>
        </w:rPr>
      </w:pPr>
      <w:r>
        <w:rPr>
          <w:rFonts w:hint="eastAsia"/>
          <w:color w:val="000000" w:themeColor="text1"/>
          <w14:textFill>
            <w14:solidFill>
              <w14:schemeClr w14:val="tx1"/>
            </w14:solidFill>
          </w14:textFill>
        </w:rPr>
        <w:t>17.投标有效期</w:t>
      </w:r>
    </w:p>
    <w:p w14:paraId="19415C5B">
      <w:pPr>
        <w:rPr>
          <w:color w:val="000000" w:themeColor="text1"/>
          <w14:textFill>
            <w14:solidFill>
              <w14:schemeClr w14:val="tx1"/>
            </w14:solidFill>
          </w14:textFill>
        </w:rPr>
      </w:pPr>
      <w:r>
        <w:rPr>
          <w:rFonts w:hint="eastAsia"/>
          <w:color w:val="000000" w:themeColor="text1"/>
          <w14:textFill>
            <w14:solidFill>
              <w14:schemeClr w14:val="tx1"/>
            </w14:solidFill>
          </w14:textFill>
        </w:rPr>
        <w:t>17.1投标有效期为从提交响应文件的截止之日起90天。▲供应商的响应文件中承诺的投标有效期少于交易文件中载明的投标有效期的，投标无效。</w:t>
      </w:r>
    </w:p>
    <w:p w14:paraId="2B077A1B">
      <w:pPr>
        <w:rPr>
          <w:color w:val="000000" w:themeColor="text1"/>
          <w14:textFill>
            <w14:solidFill>
              <w14:schemeClr w14:val="tx1"/>
            </w14:solidFill>
          </w14:textFill>
        </w:rPr>
      </w:pPr>
      <w:r>
        <w:rPr>
          <w:rFonts w:hint="eastAsia"/>
          <w:color w:val="000000" w:themeColor="text1"/>
          <w14:textFill>
            <w14:solidFill>
              <w14:schemeClr w14:val="tx1"/>
            </w14:solidFill>
          </w14:textFill>
        </w:rPr>
        <w:t>17.2响应文件合格投递后，自投标截止日期起，在投标有效期内有效。</w:t>
      </w:r>
    </w:p>
    <w:p w14:paraId="19EBF4DA">
      <w:pPr>
        <w:rPr>
          <w:color w:val="000000" w:themeColor="text1"/>
          <w14:textFill>
            <w14:solidFill>
              <w14:schemeClr w14:val="tx1"/>
            </w14:solidFill>
          </w14:textFill>
        </w:rPr>
      </w:pPr>
      <w:r>
        <w:rPr>
          <w:rFonts w:hint="eastAsia"/>
          <w:color w:val="000000" w:themeColor="text1"/>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14:paraId="02B061A7">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344B4A5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7ED8B504">
      <w:pPr>
        <w:rPr>
          <w:color w:val="000000" w:themeColor="text1"/>
          <w14:textFill>
            <w14:solidFill>
              <w14:schemeClr w14:val="tx1"/>
            </w14:solidFill>
          </w14:textFill>
        </w:rPr>
      </w:pPr>
      <w:r>
        <w:rPr>
          <w:rFonts w:hint="eastAsia"/>
          <w:color w:val="000000" w:themeColor="text1"/>
          <w14:textFill>
            <w14:solidFill>
              <w14:schemeClr w14:val="tx1"/>
            </w14:solidFill>
          </w14:textFill>
        </w:rPr>
        <w:t>18.1采购机构按照交易文件规定的时间通过电子交易平台组织开标，所有供应商均应当准时在线参加。供应商不足3家的，不得开标。</w:t>
      </w:r>
    </w:p>
    <w:p w14:paraId="5820A086">
      <w:pPr>
        <w:rPr>
          <w:color w:val="000000" w:themeColor="text1"/>
          <w14:textFill>
            <w14:solidFill>
              <w14:schemeClr w14:val="tx1"/>
            </w14:solidFill>
          </w14:textFill>
        </w:rPr>
      </w:pPr>
      <w:r>
        <w:rPr>
          <w:rFonts w:hint="eastAsia"/>
          <w:color w:val="000000" w:themeColor="text1"/>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14:paraId="3808912B">
      <w:pPr>
        <w:rPr>
          <w:color w:val="000000" w:themeColor="text1"/>
          <w14:textFill>
            <w14:solidFill>
              <w14:schemeClr w14:val="tx1"/>
            </w14:solidFill>
          </w14:textFill>
        </w:rPr>
      </w:pPr>
      <w:r>
        <w:rPr>
          <w:rFonts w:hint="eastAsia"/>
          <w:color w:val="000000" w:themeColor="text1"/>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14:paraId="6D58478C">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258B47AD">
      <w:pPr>
        <w:rPr>
          <w:color w:val="000000" w:themeColor="text1"/>
          <w14:textFill>
            <w14:solidFill>
              <w14:schemeClr w14:val="tx1"/>
            </w14:solidFill>
          </w14:textFill>
        </w:rPr>
      </w:pPr>
      <w:r>
        <w:rPr>
          <w:rFonts w:hint="eastAsia"/>
          <w:color w:val="000000" w:themeColor="text1"/>
          <w14:textFill>
            <w14:solidFill>
              <w14:schemeClr w14:val="tx1"/>
            </w14:solidFill>
          </w14:textFill>
        </w:rPr>
        <w:t>19.1开标后，采购人或采购机构将依法对供应商的资格进行审查。</w:t>
      </w:r>
    </w:p>
    <w:p w14:paraId="579CF369">
      <w:pPr>
        <w:rPr>
          <w:color w:val="000000" w:themeColor="text1"/>
          <w14:textFill>
            <w14:solidFill>
              <w14:schemeClr w14:val="tx1"/>
            </w14:solidFill>
          </w14:textFill>
        </w:rPr>
      </w:pPr>
      <w:r>
        <w:rPr>
          <w:rFonts w:hint="eastAsia"/>
          <w:color w:val="000000" w:themeColor="text1"/>
          <w14:textFill>
            <w14:solidFill>
              <w14:schemeClr w14:val="tx1"/>
            </w14:solidFill>
          </w14:textFill>
        </w:rPr>
        <w:t>19.2采购人或采购机构依据法律法规和交易文件的规定，对供应商的基本资格条件、特定资格条件进行审查。</w:t>
      </w:r>
    </w:p>
    <w:p w14:paraId="51712386">
      <w:pPr>
        <w:rPr>
          <w:color w:val="000000" w:themeColor="text1"/>
          <w14:textFill>
            <w14:solidFill>
              <w14:schemeClr w14:val="tx1"/>
            </w14:solidFill>
          </w14:textFill>
        </w:rPr>
      </w:pPr>
      <w:r>
        <w:rPr>
          <w:rFonts w:hint="eastAsia"/>
          <w:color w:val="000000" w:themeColor="text1"/>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14:paraId="7E4FFE5D">
      <w:pPr>
        <w:rPr>
          <w:color w:val="000000" w:themeColor="text1"/>
          <w14:textFill>
            <w14:solidFill>
              <w14:schemeClr w14:val="tx1"/>
            </w14:solidFill>
          </w14:textFill>
        </w:rPr>
      </w:pPr>
      <w:r>
        <w:rPr>
          <w:rFonts w:hint="eastAsia"/>
          <w:color w:val="000000" w:themeColor="text1"/>
          <w14:textFill>
            <w14:solidFill>
              <w14:schemeClr w14:val="tx1"/>
            </w14:solidFill>
          </w14:textFill>
        </w:rPr>
        <w:t>19.4对未通过资格审查的供应商，采购人或采购机构告知其未通过的原因。</w:t>
      </w:r>
    </w:p>
    <w:p w14:paraId="20546756">
      <w:pPr>
        <w:rPr>
          <w:color w:val="000000" w:themeColor="text1"/>
          <w14:textFill>
            <w14:solidFill>
              <w14:schemeClr w14:val="tx1"/>
            </w14:solidFill>
          </w14:textFill>
        </w:rPr>
      </w:pPr>
      <w:r>
        <w:rPr>
          <w:rFonts w:hint="eastAsia"/>
          <w:color w:val="000000" w:themeColor="text1"/>
          <w14:textFill>
            <w14:solidFill>
              <w14:schemeClr w14:val="tx1"/>
            </w14:solidFill>
          </w14:textFill>
        </w:rPr>
        <w:t>19.5合格供应商不足3家的，不再评标。</w:t>
      </w:r>
    </w:p>
    <w:p w14:paraId="7E349167">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444DDB79">
      <w:pPr>
        <w:rPr>
          <w:color w:val="000000" w:themeColor="text1"/>
          <w14:textFill>
            <w14:solidFill>
              <w14:schemeClr w14:val="tx1"/>
            </w14:solidFill>
          </w14:textFill>
        </w:rPr>
      </w:pPr>
      <w:r>
        <w:rPr>
          <w:rFonts w:hint="eastAsia"/>
          <w:color w:val="000000" w:themeColor="text1"/>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14:paraId="516BE0C2">
      <w:pPr>
        <w:rPr>
          <w:color w:val="000000" w:themeColor="text1"/>
          <w14:textFill>
            <w14:solidFill>
              <w14:schemeClr w14:val="tx1"/>
            </w14:solidFill>
          </w14:textFill>
        </w:rPr>
      </w:pPr>
      <w:r>
        <w:rPr>
          <w:rFonts w:hint="eastAsia"/>
          <w:color w:val="000000" w:themeColor="text1"/>
          <w14:textFill>
            <w14:solidFill>
              <w14:schemeClr w14:val="tx1"/>
            </w14:solidFill>
          </w14:textFill>
        </w:rPr>
        <w:t>20.2信用信息查询记录和证据留存的具体方式：现场查询的供应商的信用记录、查询结果经确认后将与采购文件一起存档。</w:t>
      </w:r>
    </w:p>
    <w:p w14:paraId="2B95A28B">
      <w:pPr>
        <w:rPr>
          <w:color w:val="000000" w:themeColor="text1"/>
          <w14:textFill>
            <w14:solidFill>
              <w14:schemeClr w14:val="tx1"/>
            </w14:solidFill>
          </w14:textFill>
        </w:rPr>
      </w:pPr>
      <w:r>
        <w:rPr>
          <w:rFonts w:hint="eastAsia"/>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14:paraId="4C9A4D4D">
      <w:pPr>
        <w:rPr>
          <w:color w:val="000000" w:themeColor="text1"/>
          <w14:textFill>
            <w14:solidFill>
              <w14:schemeClr w14:val="tx1"/>
            </w14:solidFill>
          </w14:textFill>
        </w:rPr>
      </w:pPr>
      <w:r>
        <w:rPr>
          <w:rFonts w:hint="eastAsia"/>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DC06E5">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0BD1208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3D81FD57">
      <w:p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14:paraId="0A94D292">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2550F0D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60F15711">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43E32728">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3CD1CC75">
      <w:pPr>
        <w:rPr>
          <w:color w:val="000000" w:themeColor="text1"/>
          <w14:textFill>
            <w14:solidFill>
              <w14:schemeClr w14:val="tx1"/>
            </w14:solidFill>
          </w14:textFill>
        </w:rPr>
      </w:pPr>
      <w:r>
        <w:rPr>
          <w:rFonts w:hint="eastAsia"/>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2DF42A83">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p>
    <w:p w14:paraId="0F5AD429">
      <w:pPr>
        <w:rPr>
          <w:color w:val="000000" w:themeColor="text1"/>
          <w14:textFill>
            <w14:solidFill>
              <w14:schemeClr w14:val="tx1"/>
            </w14:solidFill>
          </w14:textFill>
        </w:rPr>
      </w:pPr>
      <w:r>
        <w:rPr>
          <w:rFonts w:hint="eastAsia"/>
          <w:color w:val="000000" w:themeColor="text1"/>
          <w14:textFill>
            <w14:solidFill>
              <w14:schemeClr w14:val="tx1"/>
            </w14:solidFill>
          </w14:textFill>
        </w:rPr>
        <w:t>23.3公告期限为1个工作日。</w:t>
      </w:r>
    </w:p>
    <w:p w14:paraId="4D3DC2A1">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4FBA66C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11FA146D">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3EDBF47B">
      <w:pPr>
        <w:rPr>
          <w:color w:val="000000" w:themeColor="text1"/>
          <w14:textFill>
            <w14:solidFill>
              <w14:schemeClr w14:val="tx1"/>
            </w14:solidFill>
          </w14:textFill>
        </w:rPr>
      </w:pPr>
      <w:r>
        <w:rPr>
          <w:rFonts w:hint="eastAsia"/>
          <w:color w:val="000000" w:themeColor="text1"/>
          <w14:textFill>
            <w14:solidFill>
              <w14:schemeClr w14:val="tx1"/>
            </w14:solidFill>
          </w14:textFill>
        </w:rPr>
        <w:t>25.1 采购人与中标人应当通过电子交易平台在中标通知书发出之日起三十日内，按照交易文件确定的事项签订政府采购合同。</w:t>
      </w:r>
    </w:p>
    <w:p w14:paraId="66BEC8AA">
      <w:pPr>
        <w:rPr>
          <w:color w:val="000000" w:themeColor="text1"/>
          <w14:textFill>
            <w14:solidFill>
              <w14:schemeClr w14:val="tx1"/>
            </w14:solidFill>
          </w14:textFill>
        </w:rPr>
      </w:pPr>
      <w:r>
        <w:rPr>
          <w:rFonts w:hint="eastAsia"/>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7955604">
      <w:pPr>
        <w:rPr>
          <w:color w:val="000000" w:themeColor="text1"/>
          <w14:textFill>
            <w14:solidFill>
              <w14:schemeClr w14:val="tx1"/>
            </w14:solidFill>
          </w14:textFill>
        </w:rPr>
      </w:pPr>
      <w:r>
        <w:rPr>
          <w:rFonts w:hint="eastAsia"/>
          <w:color w:val="000000" w:themeColor="text1"/>
          <w14:textFill>
            <w14:solidFill>
              <w14:schemeClr w14:val="tx1"/>
            </w14:solidFill>
          </w14:textFill>
        </w:rPr>
        <w:t>25.3如签订合同并生效后，供应商无故拒绝或延期，除按照合同条款处理外，列入不良行为记录一次，并给予通报。</w:t>
      </w:r>
    </w:p>
    <w:p w14:paraId="04CD96ED">
      <w:pPr>
        <w:rPr>
          <w:color w:val="000000" w:themeColor="text1"/>
          <w14:textFill>
            <w14:solidFill>
              <w14:schemeClr w14:val="tx1"/>
            </w14:solidFill>
          </w14:textFill>
        </w:rPr>
      </w:pPr>
      <w:r>
        <w:rPr>
          <w:rFonts w:hint="eastAsia"/>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B888CFD">
      <w:pPr>
        <w:rPr>
          <w:color w:val="000000" w:themeColor="text1"/>
          <w14:textFill>
            <w14:solidFill>
              <w14:schemeClr w14:val="tx1"/>
            </w14:solidFill>
          </w14:textFill>
        </w:rPr>
      </w:pPr>
    </w:p>
    <w:p w14:paraId="7F932191">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50B221A9">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电子交易活动的中止。</w:t>
      </w:r>
    </w:p>
    <w:p w14:paraId="2BBD9AA9">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15F0210E">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26.1电子交易平台发生故障而无法登录访问的； </w:t>
      </w:r>
    </w:p>
    <w:p w14:paraId="67D6D837">
      <w:pPr>
        <w:rPr>
          <w:color w:val="000000" w:themeColor="text1"/>
          <w14:textFill>
            <w14:solidFill>
              <w14:schemeClr w14:val="tx1"/>
            </w14:solidFill>
          </w14:textFill>
        </w:rPr>
      </w:pPr>
      <w:r>
        <w:rPr>
          <w:rFonts w:hint="eastAsia"/>
          <w:color w:val="000000" w:themeColor="text1"/>
          <w14:textFill>
            <w14:solidFill>
              <w14:schemeClr w14:val="tx1"/>
            </w14:solidFill>
          </w14:textFill>
        </w:rPr>
        <w:t>26.2电子交易平台应用或数据库出现错误，不能进行正常操作的；</w:t>
      </w:r>
    </w:p>
    <w:p w14:paraId="16B66180">
      <w:pPr>
        <w:rPr>
          <w:color w:val="000000" w:themeColor="text1"/>
          <w14:textFill>
            <w14:solidFill>
              <w14:schemeClr w14:val="tx1"/>
            </w14:solidFill>
          </w14:textFill>
        </w:rPr>
      </w:pPr>
      <w:r>
        <w:rPr>
          <w:rFonts w:hint="eastAsia"/>
          <w:color w:val="000000" w:themeColor="text1"/>
          <w14:textFill>
            <w14:solidFill>
              <w14:schemeClr w14:val="tx1"/>
            </w14:solidFill>
          </w14:textFill>
        </w:rPr>
        <w:t>26.3电子交易平台发现严重安全漏洞，有潜在泄密危险的；</w:t>
      </w:r>
    </w:p>
    <w:p w14:paraId="50F8011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26.4病毒发作导致不能进行正常操作的； </w:t>
      </w:r>
    </w:p>
    <w:p w14:paraId="2845EDF6">
      <w:pPr>
        <w:rPr>
          <w:color w:val="000000" w:themeColor="text1"/>
          <w14:textFill>
            <w14:solidFill>
              <w14:schemeClr w14:val="tx1"/>
            </w14:solidFill>
          </w14:textFill>
        </w:rPr>
      </w:pPr>
      <w:r>
        <w:rPr>
          <w:rFonts w:hint="eastAsia"/>
          <w:color w:val="000000" w:themeColor="text1"/>
          <w14:textFill>
            <w14:solidFill>
              <w14:schemeClr w14:val="tx1"/>
            </w14:solidFill>
          </w14:textFill>
        </w:rPr>
        <w:t>26.5其他无法保证电子交易的公平、公正和安全的情况。</w:t>
      </w:r>
    </w:p>
    <w:p w14:paraId="18B8D0D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55F60209">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1EEFA743">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28.验收</w:t>
      </w:r>
    </w:p>
    <w:p w14:paraId="1950A822">
      <w:pPr>
        <w:rPr>
          <w:color w:val="000000" w:themeColor="text1"/>
          <w14:textFill>
            <w14:solidFill>
              <w14:schemeClr w14:val="tx1"/>
            </w14:solidFill>
          </w14:textFill>
        </w:rPr>
      </w:pPr>
      <w:r>
        <w:rPr>
          <w:rFonts w:hint="eastAsia"/>
          <w:color w:val="000000" w:themeColor="text1"/>
          <w14:textFill>
            <w14:solidFill>
              <w14:schemeClr w14:val="tx1"/>
            </w14:solidFill>
          </w14:textFill>
        </w:rPr>
        <w:t>28.1采购人应当组织对供应商履约的验收。</w:t>
      </w:r>
    </w:p>
    <w:p w14:paraId="70898AB6">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9BF4C27">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14:paraId="7A3AABDF">
      <w:pPr>
        <w:snapToGrid w:val="0"/>
        <w:rPr>
          <w:rStyle w:val="54"/>
          <w:i w:val="0"/>
          <w:iCs w:val="0"/>
          <w:color w:val="000000" w:themeColor="text1"/>
          <w14:textFill>
            <w14:solidFill>
              <w14:schemeClr w14:val="tx1"/>
            </w14:solidFill>
          </w14:textFill>
        </w:rPr>
      </w:pPr>
      <w:r>
        <w:rPr>
          <w:rStyle w:val="54"/>
          <w:rFonts w:hint="eastAsia"/>
          <w:i w:val="0"/>
          <w:iCs w:val="0"/>
          <w:color w:val="000000" w:themeColor="text1"/>
          <w14:textFill>
            <w14:solidFill>
              <w14:schemeClr w14:val="tx1"/>
            </w14:solidFill>
          </w14:textFill>
        </w:rPr>
        <w:t>属于实质性要求条款的，请用符号“▲”标明，否则属于非实质性要求。</w:t>
      </w:r>
    </w:p>
    <w:p w14:paraId="7C59A2C1">
      <w:pPr>
        <w:snapToGrid w:val="0"/>
        <w:rPr>
          <w:rStyle w:val="54"/>
          <w:i w:val="0"/>
          <w:iCs w:val="0"/>
          <w:color w:val="000000" w:themeColor="text1"/>
          <w14:textFill>
            <w14:solidFill>
              <w14:schemeClr w14:val="tx1"/>
            </w14:solidFill>
          </w14:textFill>
        </w:rPr>
      </w:pPr>
      <w:r>
        <w:rPr>
          <w:rStyle w:val="54"/>
          <w:rFonts w:hint="eastAsia"/>
          <w:i w:val="0"/>
          <w:iCs w:val="0"/>
          <w:color w:val="000000" w:themeColor="text1"/>
          <w14:textFill>
            <w14:solidFill>
              <w14:schemeClr w14:val="tx1"/>
            </w14:solidFill>
          </w14:textFill>
        </w:rPr>
        <w:t>“★”系产品采购项目中单一产品或核心产品。</w:t>
      </w:r>
    </w:p>
    <w:p w14:paraId="4C22C634">
      <w:pPr>
        <w:numPr>
          <w:ilvl w:val="0"/>
          <w:numId w:val="2"/>
        </w:numPr>
        <w:spacing w:line="360" w:lineRule="auto"/>
        <w:ind w:left="360" w:hanging="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交易一览表</w:t>
      </w:r>
    </w:p>
    <w:p w14:paraId="2BE85E2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交易项：一</w:t>
      </w:r>
    </w:p>
    <w:tbl>
      <w:tblPr>
        <w:tblStyle w:val="2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0"/>
        <w:gridCol w:w="851"/>
        <w:gridCol w:w="1309"/>
        <w:gridCol w:w="2048"/>
      </w:tblGrid>
      <w:tr w14:paraId="312C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26DBBD17">
            <w:pPr>
              <w:jc w:val="center"/>
              <w:rPr>
                <w:b/>
                <w:color w:val="000000" w:themeColor="text1"/>
                <w14:textFill>
                  <w14:solidFill>
                    <w14:schemeClr w14:val="tx1"/>
                  </w14:solidFill>
                </w14:textFill>
              </w:rPr>
            </w:pPr>
            <w:bookmarkStart w:id="4" w:name="_二期网络工程项目改造需求"/>
            <w:bookmarkEnd w:id="4"/>
            <w:r>
              <w:rPr>
                <w:rFonts w:hint="eastAsia"/>
                <w:b/>
                <w:color w:val="000000" w:themeColor="text1"/>
                <w14:textFill>
                  <w14:solidFill>
                    <w14:schemeClr w14:val="tx1"/>
                  </w14:solidFill>
                </w14:textFill>
              </w:rPr>
              <w:t>交易项</w:t>
            </w:r>
          </w:p>
        </w:tc>
        <w:tc>
          <w:tcPr>
            <w:tcW w:w="2551" w:type="dxa"/>
            <w:vAlign w:val="center"/>
          </w:tcPr>
          <w:p w14:paraId="5A592D1F">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项目内容</w:t>
            </w:r>
          </w:p>
        </w:tc>
        <w:tc>
          <w:tcPr>
            <w:tcW w:w="850" w:type="dxa"/>
            <w:vAlign w:val="center"/>
          </w:tcPr>
          <w:p w14:paraId="50FF9162">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851" w:type="dxa"/>
            <w:vAlign w:val="center"/>
          </w:tcPr>
          <w:p w14:paraId="4931E70C">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309" w:type="dxa"/>
            <w:vAlign w:val="center"/>
          </w:tcPr>
          <w:p w14:paraId="5A98B926">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参考品牌</w:t>
            </w:r>
          </w:p>
        </w:tc>
        <w:tc>
          <w:tcPr>
            <w:tcW w:w="2048" w:type="dxa"/>
            <w:vAlign w:val="center"/>
          </w:tcPr>
          <w:p w14:paraId="4F5BCAA3">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是否为核心产品</w:t>
            </w:r>
          </w:p>
        </w:tc>
      </w:tr>
      <w:tr w14:paraId="30F2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272FA3C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51" w:type="dxa"/>
            <w:vAlign w:val="center"/>
          </w:tcPr>
          <w:p w14:paraId="6B0576DC">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浙江开放大学萧山学院信息设备管理平台</w:t>
            </w:r>
          </w:p>
        </w:tc>
        <w:tc>
          <w:tcPr>
            <w:tcW w:w="850" w:type="dxa"/>
            <w:vAlign w:val="center"/>
          </w:tcPr>
          <w:p w14:paraId="2C561E9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批</w:t>
            </w:r>
          </w:p>
        </w:tc>
        <w:tc>
          <w:tcPr>
            <w:tcW w:w="851" w:type="dxa"/>
            <w:vAlign w:val="center"/>
          </w:tcPr>
          <w:p w14:paraId="5018CD4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09" w:type="dxa"/>
            <w:vAlign w:val="center"/>
          </w:tcPr>
          <w:p w14:paraId="3189496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c>
          <w:tcPr>
            <w:tcW w:w="2048" w:type="dxa"/>
            <w:vAlign w:val="center"/>
          </w:tcPr>
          <w:p w14:paraId="06B4F463">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p>
        </w:tc>
      </w:tr>
    </w:tbl>
    <w:p w14:paraId="7843E6EC">
      <w:pPr>
        <w:rPr>
          <w:color w:val="000000" w:themeColor="text1"/>
          <w14:textFill>
            <w14:solidFill>
              <w14:schemeClr w14:val="tx1"/>
            </w14:solidFill>
          </w14:textFill>
        </w:rPr>
      </w:pPr>
    </w:p>
    <w:p w14:paraId="5CD1A5AE">
      <w:pPr>
        <w:widowControl w:val="0"/>
        <w:spacing w:line="36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二、招标需求</w:t>
      </w:r>
    </w:p>
    <w:p w14:paraId="333BC0C5">
      <w:pPr>
        <w:pStyle w:val="11"/>
      </w:pPr>
    </w:p>
    <w:tbl>
      <w:tblPr>
        <w:tblStyle w:val="26"/>
        <w:tblW w:w="22676"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294"/>
        <w:gridCol w:w="5062"/>
        <w:gridCol w:w="910"/>
        <w:gridCol w:w="938"/>
        <w:gridCol w:w="13609"/>
      </w:tblGrid>
      <w:tr w14:paraId="3258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19" w:type="dxa"/>
            <w:gridSpan w:val="3"/>
            <w:tcBorders>
              <w:top w:val="nil"/>
              <w:left w:val="nil"/>
              <w:bottom w:val="nil"/>
              <w:right w:val="nil"/>
            </w:tcBorders>
            <w:shd w:val="clear" w:color="auto" w:fill="auto"/>
            <w:noWrap/>
            <w:vAlign w:val="center"/>
          </w:tcPr>
          <w:p w14:paraId="103EA51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信息设备管理平台</w:t>
            </w:r>
          </w:p>
        </w:tc>
        <w:tc>
          <w:tcPr>
            <w:tcW w:w="15457" w:type="dxa"/>
            <w:gridSpan w:val="3"/>
            <w:tcBorders>
              <w:top w:val="nil"/>
              <w:left w:val="nil"/>
              <w:bottom w:val="nil"/>
              <w:right w:val="nil"/>
            </w:tcBorders>
            <w:shd w:val="clear" w:color="auto" w:fill="auto"/>
            <w:noWrap/>
            <w:vAlign w:val="center"/>
          </w:tcPr>
          <w:p w14:paraId="2746E2D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5504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330" w:hRule="atLeast"/>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5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w:t>
            </w:r>
          </w:p>
        </w:tc>
        <w:tc>
          <w:tcPr>
            <w:tcW w:w="5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A3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参数说明</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1017">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E6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r>
      <w:tr w14:paraId="0DD9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083"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1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基础监控</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0CA3E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0E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可从任何支持的设备、系统、应用程序上采集数据，支持从外部API端点采集数据</w:t>
            </w:r>
          </w:p>
          <w:p w14:paraId="1569F16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设备包括：网络设备，门禁、物联网传感器、监控、云服务、容器、虚拟机等；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系统、应用程序包括：操作系统级监控，日志文件，数据库，应用程序，服务，网页监控，HTTP/HTTPS端点监控；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BDA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81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3C4F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86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EBC">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4A98E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灵活的数据采集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支持自定义数据采集，支持数据采集的推拉方式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支持采集数据最小轮询间隔设置</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支持数据采集的时间安排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支持覆盖特定时间段的轮询间隔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支持采集任何类型的数据，包括数字、文本、结构化JSON、XML、CSV等数据格式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支持采集和筛选日志文件条目</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2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628D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69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B8DF">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2D7B2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监控代理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6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支持部署适用于Windows/Linux/MacOS操作系统和常见硬件平台的本地高性能监控代理：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支持推送或拉取形式获取数据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支持灵活的调度间隔配置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可向多个监控服务器报告冗余和高可用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支持用于通信的更强TLS或共享密钥加密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8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4727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69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40B5">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74726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无代理监控</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支持无代理的网络监控、SNMP轮巡、Java应用程序监控、IPMI、SSH/Telnet检查、ICMP和TCP检查、HTTP端点采集数据等</w:t>
            </w:r>
            <w:r>
              <w:rPr>
                <w:rFonts w:hint="eastAsia" w:ascii="宋体" w:hAnsi="宋体" w:cs="宋体"/>
                <w:i w:val="0"/>
                <w:iCs w:val="0"/>
                <w:color w:val="000000"/>
                <w:kern w:val="0"/>
                <w:sz w:val="20"/>
                <w:szCs w:val="20"/>
                <w:u w:val="none"/>
                <w:lang w:val="en-US" w:eastAsia="zh-CN" w:bidi="ar"/>
              </w:rPr>
              <w:t>，提供系统截图证明</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7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1C3C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63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5F29">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5638F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综合监控</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支持通过定义灵活的基于浏览器的多步骤场景来监控网站和Web应用程序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支持截取当前网站状态的屏幕快照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2.支持收集并可视化网站性能和可用性指标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支持从Web应用程序中提取并监控数据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支持分析收集到的数据，并接收与发现的问题相关的警报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4BBD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9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FE3B">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7C9B8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自定义数据采集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7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支持通过执行自定义数据采集方法来扩展监控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支持通过CLI实用程序来推送数据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支持以任何脚本语言编写的外部脚本来采集数据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支持针对复杂WEB和HTTP场景的综合监控</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F2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1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2CF1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210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2717">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1ED28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数据转换</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支持在存储数据之前对任何类型的数据进行规范和转换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带有修正、替换函数和正则表达式的非结构化文本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JSONPath、XPath表达式和CSV到JSON的转换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计算差值、数值计算、数字系统转换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验证数据并检查收到的值是否在指定的值范围内或是否包含错误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使用JavaScript执行自定义数据转换</w:t>
            </w:r>
            <w:r>
              <w:rPr>
                <w:rFonts w:hint="eastAsia" w:ascii="宋体" w:hAnsi="宋体" w:eastAsia="宋体" w:cs="宋体"/>
                <w:i w:val="0"/>
                <w:iCs w:val="0"/>
                <w:color w:val="000000"/>
                <w:kern w:val="0"/>
                <w:sz w:val="20"/>
                <w:szCs w:val="20"/>
                <w:u w:val="none"/>
                <w:lang w:val="en-US" w:eastAsia="zh-CN" w:bidi="ar"/>
              </w:rPr>
              <w:br w:type="textWrapping"/>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F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3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BF5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267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9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问题发现</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66BC9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阈值设置</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F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支持自定义灵活的问题阈值，自动检测问题状态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支持高性能问题检测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支持高度灵活的定义选项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支持独立的问题条件和解决条件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支持多个严重级别的定义</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支持标记问题为原因或症状事件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可以使用标签对检测到的问题进行分类，以便更智能地告警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实时将检测到的问题事件导出</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8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3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5C05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38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0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关键问题告警</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7AF9D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告警消息渠道</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C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支持使用多个消息传递渠道将环境中发生的各种事件通知负责人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支持电子邮件</w:t>
            </w:r>
            <w:r>
              <w:rPr>
                <w:rFonts w:hint="eastAsia" w:ascii="宋体" w:hAnsi="宋体" w:cs="宋体"/>
                <w:i w:val="0"/>
                <w:iCs w:val="0"/>
                <w:color w:val="000000"/>
                <w:kern w:val="0"/>
                <w:sz w:val="20"/>
                <w:szCs w:val="20"/>
                <w:u w:val="none"/>
                <w:lang w:val="en-US" w:eastAsia="zh-CN" w:bidi="ar"/>
              </w:rPr>
              <w:t>发送消息，提供系统截图证明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支持对接微信模板消息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支持对接短信发送网关</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14D7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30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C747">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6B84A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告警消息定制</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支持为不同的消息传递通道定义不同的消息。可以使用默认消息模板，也可以创建和自定义自己的消息模板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根据问题类型和收件人的角色自定义消息</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用任意运行时信息和资产信息来丰富消息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发送定时PDF报表，以便对数据进行深入洞察和长期分析</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6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F7D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210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6663">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2AF92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告警消息场景</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B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支持根据所需的工作流自定义不同复杂程度的通知方案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支持立即通知用户有新问题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支持主动执行远程脚本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支持在问题解决前持续重复通知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支持延迟通知和远程命令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支持将问题上报给其他用户组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支持向所有相关方发送恢复消息</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7A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1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08F4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29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8039">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189F8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自动修复</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7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支持执行修正脚本或命令来尝试并解决问题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支持重启服务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支持自动伸缩资源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支持执行任何其他自定义逻辑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C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3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87A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500"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A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数据可视化</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6C35B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可视化</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支持以多种方式显示采集到的数据，自定义基于构件的仪表盘显示相关信息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支持大量不同类型构件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方便拖拽和缩放的构件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每个构件都可以定制以满足需求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在仪表盘上显示指标、问题和基础设施</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3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3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5C40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238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91D1">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42C5C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图形分析</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支持用图形分析和关联指标，自定义图形或单击按钮访问堆叠图形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多种图形类型展示</w:t>
            </w:r>
            <w:r>
              <w:rPr>
                <w:rFonts w:hint="eastAsia" w:ascii="宋体" w:hAnsi="宋体" w:cs="宋体"/>
                <w:i w:val="0"/>
                <w:iCs w:val="0"/>
                <w:color w:val="000000"/>
                <w:kern w:val="0"/>
                <w:sz w:val="20"/>
                <w:szCs w:val="20"/>
                <w:u w:val="none"/>
                <w:lang w:val="en-US" w:eastAsia="zh-CN" w:bidi="ar"/>
              </w:rPr>
              <w:t>，如折线图、饼图、柱状图、阶梯图、散点图、蜂窝视图、表格视图等，提供系统截图证明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在图形上显示问题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灵活的时间导航器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点击按钮即可显示单个或多个指标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显示任何时间段的历史数据</w:t>
            </w:r>
            <w:r>
              <w:rPr>
                <w:rFonts w:hint="eastAsia" w:ascii="宋体" w:hAnsi="宋体" w:eastAsia="宋体" w:cs="宋体"/>
                <w:i w:val="0"/>
                <w:iCs w:val="0"/>
                <w:color w:val="000000"/>
                <w:kern w:val="0"/>
                <w:sz w:val="20"/>
                <w:szCs w:val="20"/>
                <w:u w:val="none"/>
                <w:lang w:val="en-US" w:eastAsia="zh-CN" w:bidi="ar"/>
              </w:rPr>
              <w:br w:type="textWrapping"/>
            </w:r>
            <w:r>
              <w:rPr>
                <w:rFonts w:hint="default"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将图形导出为图片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7C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35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BA8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454"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9765">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233D9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基础设施拓扑图</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8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支持在拓扑图上呈现基础设施的当前状态，展示元素状态及实时数据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能够在拓扑图上实时显示</w:t>
            </w:r>
            <w:r>
              <w:rPr>
                <w:rFonts w:hint="eastAsia" w:ascii="宋体" w:hAnsi="宋体" w:cs="宋体"/>
                <w:i w:val="0"/>
                <w:iCs w:val="0"/>
                <w:color w:val="000000"/>
                <w:kern w:val="0"/>
                <w:sz w:val="20"/>
                <w:szCs w:val="20"/>
                <w:u w:val="none"/>
                <w:lang w:val="en-US" w:eastAsia="zh-CN" w:bidi="ar"/>
              </w:rPr>
              <w:t>设定的监控</w:t>
            </w:r>
            <w:r>
              <w:rPr>
                <w:rFonts w:hint="eastAsia" w:ascii="宋体" w:hAnsi="宋体" w:eastAsia="宋体" w:cs="宋体"/>
                <w:i w:val="0"/>
                <w:iCs w:val="0"/>
                <w:color w:val="000000"/>
                <w:kern w:val="0"/>
                <w:sz w:val="20"/>
                <w:szCs w:val="20"/>
                <w:u w:val="none"/>
                <w:lang w:val="en-US" w:eastAsia="zh-CN" w:bidi="ar"/>
              </w:rPr>
              <w:t>数据</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通过拖放拓扑图元素轻松部署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克隆和修改现有拓扑图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使用子拓扑图创建多级拓扑图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与拓扑图元素基于上下文的交互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创建拓扑图元素之间的链接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9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4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4D21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15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DB69">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13022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定时报表</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6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支持接收有用统计信息的定时PDF报表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将报表直接发送到收件箱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可定期每日、每周或每月发送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将客户的基础架构健康状况通知给客户</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B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1C4C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675"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A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系统安全</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489A9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通信加密</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可选支持加密不同系统组件之间的任何通信流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可选支持证书和预共享密钥加密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D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32C8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51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89A7">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0B220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权限和角色</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支持灵活的用户权限模式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可定义读写、只读、拒绝，三个级别的权限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预置普通用户、管理员、超级管理员三个用户类型用于定义对管理功能的访问并指定默认权限。普通用户对采集的数据和事件具有只读权限，管理员可管理监控配置并读取采集的数据和事件，超级管理员还可以配置系统实例</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支持为环境中的不同类型的用户创建自己的自定义用户角色，并为其提供一套精细化的权限</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3C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370C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81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1E12">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03A0F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用户身份验证</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支持利用现有基础设施对用户进行身份验证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内部用户登录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HTTP身份验证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支持多因素身份验证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单点登录身份验证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支持定义密码复杂性</w:t>
            </w:r>
            <w:r>
              <w:rPr>
                <w:rFonts w:hint="eastAsia" w:ascii="宋体" w:hAnsi="宋体" w:cs="宋体"/>
                <w:i w:val="0"/>
                <w:iCs w:val="0"/>
                <w:color w:val="000000"/>
                <w:kern w:val="0"/>
                <w:sz w:val="20"/>
                <w:szCs w:val="20"/>
                <w:u w:val="none"/>
                <w:lang w:val="en-US" w:eastAsia="zh-CN" w:bidi="ar"/>
              </w:rPr>
              <w:t>，如字符类型、长度等，提供系统截图证明</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1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4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3A2C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39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4452">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2BBC6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配置更改跟踪</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B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支持利用审计日志跟踪环境中的更改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找出哪些用户对任何系统实体进行了更改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跟踪用户登录本系统的IP地址</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筛选审计日志并跟踪特定用户对特定资源所做的更改</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F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0E26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368"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6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可扩展与高可用</w:t>
            </w: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39EEC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资产信息</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5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支持自动采集和存储资产信息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将采集到的指标数据作为主机资产信息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根据资产信息对主机进行分组，获取总体资产概览信息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根据采集到的指标动态更新现有资产信息</w:t>
            </w:r>
            <w:r>
              <w:rPr>
                <w:rFonts w:hint="eastAsia" w:ascii="宋体" w:hAnsi="宋体" w:cs="宋体"/>
                <w:i w:val="0"/>
                <w:iCs w:val="0"/>
                <w:color w:val="000000"/>
                <w:kern w:val="0"/>
                <w:sz w:val="20"/>
                <w:szCs w:val="20"/>
                <w:u w:val="none"/>
                <w:lang w:val="en-US" w:eastAsia="zh-CN" w:bidi="ar"/>
              </w:rPr>
              <w:t>，提供系统截图证明</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2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1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5E4B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32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939">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2E750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开放API集成</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F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支持使用JSON RPC API创建自动化工作流并与其他系统集成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通过API自动管理监控系统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支持检索和管理配置和历史数据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创建具有有效日期的命名API令牌，以便安全访问API</w:t>
            </w:r>
            <w:r>
              <w:rPr>
                <w:rFonts w:hint="eastAsia" w:ascii="宋体" w:hAnsi="宋体" w:cs="宋体"/>
                <w:i w:val="0"/>
                <w:iCs w:val="0"/>
                <w:color w:val="000000"/>
                <w:kern w:val="0"/>
                <w:sz w:val="20"/>
                <w:szCs w:val="20"/>
                <w:u w:val="none"/>
                <w:lang w:val="en-US" w:eastAsia="zh-CN" w:bidi="ar"/>
              </w:rPr>
              <w:t>，提供系统截图证明</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40D0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360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BA7B">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6599A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自动发现</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8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支持自动发现网络上的设备和服务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发现具有多个网络接口的设备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指定网络扫描的IP地址范围</w:t>
            </w:r>
            <w:r>
              <w:rPr>
                <w:rFonts w:hint="eastAsia" w:ascii="宋体" w:hAnsi="宋体" w:cs="宋体"/>
                <w:i w:val="0"/>
                <w:iCs w:val="0"/>
                <w:color w:val="000000"/>
                <w:kern w:val="0"/>
                <w:sz w:val="20"/>
                <w:szCs w:val="20"/>
                <w:u w:val="none"/>
                <w:lang w:val="en-US" w:eastAsia="zh-CN" w:bidi="ar"/>
              </w:rPr>
              <w:t>，提供系统截图证明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支持自动发现监控端点上的指标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为主机上发现的元素自动创建监控项、触发器和图形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用资源发现根据接收到的数据自动创建监控目标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根据设备类型自定义设备运行/不运行工作流程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将主机分配给主机群组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关联对应的模板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通知管理员</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AF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0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2602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795"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28F7">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nil"/>
            </w:tcBorders>
            <w:shd w:val="clear" w:color="auto" w:fill="auto"/>
            <w:noWrap/>
            <w:vAlign w:val="center"/>
          </w:tcPr>
          <w:p w14:paraId="3FE83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高可用</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4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支持分布式部署，进而能够无缝执行操作系统级维护并部署最新的操作系统更新，而无需任何停机时间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支持部署多个系统前端以避免停机并改善用户体验</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3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0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2B8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510"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D74C">
            <w:pP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nil"/>
              <w:right w:val="nil"/>
            </w:tcBorders>
            <w:shd w:val="clear" w:color="auto" w:fill="auto"/>
            <w:noWrap/>
            <w:vAlign w:val="center"/>
          </w:tcPr>
          <w:p w14:paraId="7C32A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数据保存</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支持为不同的数据集定义灵活的存储周期，包括历史数据、每小时趋势数据、事件等</w:t>
            </w:r>
            <w:r>
              <w:rPr>
                <w:rFonts w:hint="eastAsia" w:ascii="宋体" w:hAnsi="宋体" w:cs="宋体"/>
                <w:i w:val="0"/>
                <w:iCs w:val="0"/>
                <w:color w:val="000000"/>
                <w:kern w:val="0"/>
                <w:sz w:val="20"/>
                <w:szCs w:val="20"/>
                <w:u w:val="none"/>
                <w:lang w:val="en-US" w:eastAsia="zh-CN" w:bidi="ar"/>
              </w:rPr>
              <w:t>，提供系统截图证明</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3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A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r w14:paraId="7251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09" w:type="dxa"/>
          <w:trHeight w:val="1095" w:hRule="atLeast"/>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5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FCBD">
            <w:pPr>
              <w:pStyle w:val="23"/>
              <w:keepNext w:val="0"/>
              <w:keepLines w:val="0"/>
              <w:widowControl/>
              <w:suppressLineNumbers w:val="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r>
              <w:rPr>
                <w:rFonts w:hint="eastAsia" w:ascii="宋体" w:hAnsi="宋体" w:eastAsia="宋体" w:cs="宋体"/>
              </w:rPr>
              <w:t>▲</w:t>
            </w:r>
            <w:r>
              <w:rPr>
                <w:rFonts w:hint="eastAsia" w:ascii="宋体" w:hAnsi="宋体" w:eastAsia="宋体" w:cs="宋体"/>
                <w:i w:val="0"/>
                <w:iCs w:val="0"/>
                <w:color w:val="000000"/>
                <w:kern w:val="0"/>
                <w:sz w:val="20"/>
                <w:szCs w:val="20"/>
                <w:u w:val="none"/>
                <w:lang w:val="en-US" w:eastAsia="zh-CN" w:bidi="ar"/>
              </w:rPr>
              <w:t>支持系统部署到本地环境。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支持协助维护主机、网络设备等加入到系统中以及相应的模板、告警、报告、可视化的配置实施和维护。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rPr>
              <w:t>▲</w:t>
            </w:r>
            <w:r>
              <w:rPr>
                <w:rFonts w:hint="eastAsia" w:ascii="宋体" w:hAnsi="宋体" w:eastAsia="宋体" w:cs="宋体"/>
                <w:i w:val="0"/>
                <w:iCs w:val="0"/>
                <w:color w:val="000000"/>
                <w:kern w:val="0"/>
                <w:sz w:val="20"/>
                <w:szCs w:val="20"/>
                <w:u w:val="none"/>
                <w:lang w:val="en-US" w:eastAsia="zh-CN" w:bidi="ar"/>
              </w:rPr>
              <w:t>支持与萧山数字开放大学现有系统的对接，实现信息设备管理数据的上报及预警及资产管理等，包括但不限于数字开大系统服务状态和数据库状态以及用户访问统计、统一消息中心服务状态和数据库状态和不同消息发送类别和模板的数量统计、学籍管理系统服务状态和数据库状态以及用户访问情况统计等及其他校内已本地部署的系统及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eastAsia="宋体" w:cs="宋体"/>
              </w:rPr>
              <w:t>▲</w:t>
            </w:r>
            <w:r>
              <w:rPr>
                <w:rFonts w:hint="eastAsia" w:ascii="宋体" w:hAnsi="宋体" w:eastAsia="宋体" w:cs="宋体"/>
                <w:i w:val="0"/>
                <w:iCs w:val="0"/>
                <w:color w:val="000000"/>
                <w:kern w:val="0"/>
                <w:sz w:val="20"/>
                <w:szCs w:val="20"/>
                <w:u w:val="none"/>
                <w:lang w:val="en-US" w:eastAsia="zh-CN" w:bidi="ar"/>
              </w:rPr>
              <w:t>系统部署到钉钉，相关人员通过学校钉钉工作台使用。</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9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1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bl>
    <w:p w14:paraId="2F372553">
      <w:pPr>
        <w:shd w:val="clea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商务需求：</w:t>
      </w:r>
    </w:p>
    <w:p w14:paraId="091792EC">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1.交货时间及地点：</w:t>
      </w:r>
    </w:p>
    <w:p w14:paraId="0DEE2F9B">
      <w:pPr>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1.1服务期限：合同签订后</w:t>
      </w:r>
      <w:r>
        <w:rPr>
          <w:rFonts w:hint="eastAsia" w:ascii="宋体" w:hAnsi="宋体" w:cs="宋体"/>
          <w:b/>
          <w:bCs/>
          <w:color w:val="auto"/>
          <w:sz w:val="24"/>
          <w:highlight w:val="none"/>
          <w:lang w:val="en-US" w:eastAsia="zh-CN"/>
        </w:rPr>
        <w:t>并具备部署调试条件下，2</w:t>
      </w:r>
      <w:r>
        <w:rPr>
          <w:rFonts w:hint="eastAsia" w:ascii="宋体" w:hAnsi="宋体" w:cs="宋体"/>
          <w:b/>
          <w:bCs/>
          <w:color w:val="auto"/>
          <w:sz w:val="24"/>
          <w:highlight w:val="none"/>
        </w:rPr>
        <w:t>0日历天内</w:t>
      </w:r>
      <w:r>
        <w:rPr>
          <w:rFonts w:hint="eastAsia" w:ascii="宋体" w:hAnsi="宋体" w:cs="宋体"/>
          <w:b/>
          <w:bCs/>
          <w:color w:val="auto"/>
          <w:sz w:val="24"/>
          <w:highlight w:val="none"/>
          <w:lang w:val="en-US" w:eastAsia="zh-CN"/>
        </w:rPr>
        <w:t>部署</w:t>
      </w:r>
      <w:r>
        <w:rPr>
          <w:rFonts w:hint="eastAsia" w:ascii="宋体" w:hAnsi="宋体" w:cs="宋体"/>
          <w:b/>
          <w:bCs/>
          <w:color w:val="auto"/>
          <w:sz w:val="24"/>
          <w:highlight w:val="none"/>
        </w:rPr>
        <w:t>、安装、调试完毕。</w:t>
      </w:r>
    </w:p>
    <w:p w14:paraId="3815D542">
      <w:pPr>
        <w:pStyle w:val="2"/>
        <w:tabs>
          <w:tab w:val="left" w:pos="432"/>
        </w:tabs>
        <w:spacing w:line="360" w:lineRule="auto"/>
        <w:ind w:left="0" w:firstLine="480" w:firstLineChars="200"/>
        <w:jc w:val="left"/>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1.2</w:t>
      </w:r>
      <w:r>
        <w:rPr>
          <w:rFonts w:hint="eastAsia" w:ascii="宋体" w:hAnsi="宋体" w:eastAsia="宋体" w:cs="宋体"/>
          <w:b w:val="0"/>
          <w:bCs w:val="0"/>
          <w:color w:val="auto"/>
          <w:sz w:val="24"/>
          <w:szCs w:val="24"/>
          <w:highlight w:val="none"/>
        </w:rPr>
        <w:t>本项目实行包干制，</w:t>
      </w:r>
      <w:r>
        <w:rPr>
          <w:rFonts w:hint="eastAsia" w:ascii="宋体" w:hAnsi="宋体" w:eastAsia="宋体" w:cs="宋体"/>
          <w:b w:val="0"/>
          <w:bCs w:val="0"/>
          <w:color w:val="auto"/>
          <w:sz w:val="24"/>
          <w:szCs w:val="24"/>
          <w:highlight w:val="none"/>
          <w:lang w:val="en-US" w:eastAsia="zh-CN"/>
        </w:rPr>
        <w:t>由学校提供部署环境，</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要承担项目实施、维护等全过程所有费用；</w:t>
      </w:r>
    </w:p>
    <w:p w14:paraId="02079D52">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1.3.交货地点：采购人指定地点。</w:t>
      </w:r>
    </w:p>
    <w:p w14:paraId="453356B0">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1.4中标人提供的中标物品，必须符合本采购文件要求、原包装送达采购单位；如有不符，采购人可以无条件退货，所造成的损失由中标人承担。</w:t>
      </w:r>
    </w:p>
    <w:p w14:paraId="79CABF39">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2.质保期及售后技术服务要求：</w:t>
      </w:r>
    </w:p>
    <w:p w14:paraId="0F4D8B66">
      <w:pPr>
        <w:adjustRightInd/>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▲2.1质保期：</w:t>
      </w:r>
      <w:r>
        <w:rPr>
          <w:rFonts w:hint="eastAsia" w:ascii="宋体" w:hAnsi="宋体" w:cs="宋体"/>
          <w:b/>
          <w:bCs/>
          <w:color w:val="auto"/>
          <w:sz w:val="24"/>
          <w:highlight w:val="none"/>
          <w:lang w:val="en-US" w:eastAsia="zh-CN"/>
        </w:rPr>
        <w:t>不少于1</w:t>
      </w:r>
      <w:r>
        <w:rPr>
          <w:rFonts w:hint="eastAsia" w:ascii="宋体" w:hAnsi="宋体" w:cs="宋体"/>
          <w:b/>
          <w:bCs/>
          <w:color w:val="auto"/>
          <w:sz w:val="24"/>
          <w:highlight w:val="none"/>
        </w:rPr>
        <w:t>年。</w:t>
      </w:r>
    </w:p>
    <w:p w14:paraId="43743E80">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2.2质量保证期内提供免费上门维护、升级服务，如设备出现故障，供货单位在接到电话后，</w:t>
      </w:r>
      <w:r>
        <w:rPr>
          <w:rFonts w:hint="eastAsia" w:ascii="宋体" w:hAnsi="宋体" w:cs="宋体"/>
          <w:color w:val="auto"/>
          <w:sz w:val="24"/>
          <w:highlight w:val="none"/>
          <w:lang w:val="en-US" w:eastAsia="zh-CN"/>
        </w:rPr>
        <w:t>立即</w:t>
      </w:r>
      <w:r>
        <w:rPr>
          <w:rFonts w:hint="eastAsia" w:ascii="宋体" w:hAnsi="宋体" w:cs="宋体"/>
          <w:color w:val="auto"/>
          <w:sz w:val="24"/>
          <w:highlight w:val="none"/>
        </w:rPr>
        <w:t>响应，</w:t>
      </w:r>
      <w:r>
        <w:rPr>
          <w:rFonts w:hint="eastAsia" w:ascii="宋体" w:hAnsi="宋体" w:cs="宋体"/>
          <w:color w:val="auto"/>
          <w:sz w:val="24"/>
          <w:highlight w:val="none"/>
          <w:lang w:val="en-US" w:eastAsia="zh-CN"/>
        </w:rPr>
        <w:t>半小时内到达现场，8</w:t>
      </w:r>
      <w:r>
        <w:rPr>
          <w:rFonts w:hint="eastAsia" w:ascii="宋体" w:hAnsi="宋体" w:cs="宋体"/>
          <w:color w:val="auto"/>
          <w:sz w:val="24"/>
          <w:highlight w:val="none"/>
        </w:rPr>
        <w:t>小时内修复。</w:t>
      </w:r>
    </w:p>
    <w:p w14:paraId="54134392">
      <w:pPr>
        <w:adjustRightInd/>
        <w:spacing w:line="360" w:lineRule="auto"/>
        <w:ind w:firstLine="482" w:firstLineChars="200"/>
        <w:jc w:val="lef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2.3系统实施及质保期内，提供不少于2人的中标单位人员在学校指定场所进行驻场服务。</w:t>
      </w:r>
    </w:p>
    <w:p w14:paraId="38FB0DF3">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w:t>
      </w:r>
      <w:r>
        <w:rPr>
          <w:rFonts w:hint="eastAsia" w:cs="宋体"/>
          <w:color w:val="auto"/>
          <w:sz w:val="24"/>
          <w:highlight w:val="none"/>
          <w:lang w:eastAsia="zh-CN"/>
        </w:rPr>
        <w:t>供应商</w:t>
      </w:r>
      <w:r>
        <w:rPr>
          <w:rFonts w:hint="eastAsia" w:ascii="宋体" w:hAnsi="宋体" w:cs="宋体"/>
          <w:color w:val="auto"/>
          <w:sz w:val="24"/>
          <w:highlight w:val="none"/>
        </w:rPr>
        <w:t>应提供技术支持方案，内容由</w:t>
      </w:r>
      <w:r>
        <w:rPr>
          <w:rFonts w:hint="eastAsia" w:cs="宋体"/>
          <w:color w:val="auto"/>
          <w:sz w:val="24"/>
          <w:highlight w:val="none"/>
          <w:lang w:eastAsia="zh-CN"/>
        </w:rPr>
        <w:t>供应商</w:t>
      </w:r>
      <w:r>
        <w:rPr>
          <w:rFonts w:hint="eastAsia" w:ascii="宋体" w:hAnsi="宋体" w:cs="宋体"/>
          <w:color w:val="auto"/>
          <w:sz w:val="24"/>
          <w:highlight w:val="none"/>
        </w:rPr>
        <w:t>根据实际选择以下要点：服务机构（维保点）的地址、人员状况、维修能力、联系方式、营业执照、公司资质材料、相关案例等。</w:t>
      </w:r>
    </w:p>
    <w:p w14:paraId="3E1D388E">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2.4完整准确地表述原厂家的标准售后服务承诺（范围、标准及期限等）、</w:t>
      </w:r>
      <w:r>
        <w:rPr>
          <w:rFonts w:hint="eastAsia" w:cs="宋体"/>
          <w:color w:val="auto"/>
          <w:sz w:val="24"/>
          <w:highlight w:val="none"/>
          <w:lang w:eastAsia="zh-CN"/>
        </w:rPr>
        <w:t>供应商</w:t>
      </w:r>
      <w:r>
        <w:rPr>
          <w:rFonts w:hint="eastAsia" w:ascii="宋体" w:hAnsi="宋体" w:cs="宋体"/>
          <w:color w:val="auto"/>
          <w:sz w:val="24"/>
          <w:highlight w:val="none"/>
        </w:rPr>
        <w:t>可能增加的服务承诺等。</w:t>
      </w:r>
    </w:p>
    <w:p w14:paraId="262AEF11">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2.5明示服务承诺可能涉及的前提设定和费用，否则将被认为是无条件和免费的。</w:t>
      </w:r>
    </w:p>
    <w:p w14:paraId="46917651">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3.项目实施计划</w:t>
      </w:r>
    </w:p>
    <w:p w14:paraId="117901D4">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项目实施的组织工作方案：工作时间进度表、工作程序或步骤、管理和协调方法、送货方案等。</w:t>
      </w:r>
    </w:p>
    <w:p w14:paraId="3C3DC4CE">
      <w:pPr>
        <w:adjustRightInd/>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.付款方式：</w:t>
      </w:r>
    </w:p>
    <w:p w14:paraId="3E60903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cs="宋体"/>
          <w:color w:val="auto"/>
          <w:sz w:val="24"/>
          <w:highlight w:val="none"/>
        </w:rPr>
        <w:t>合同签订后，采购人向中标人支付合同款的40%作为预付款</w:t>
      </w:r>
      <w:r>
        <w:rPr>
          <w:rFonts w:hint="eastAsia" w:ascii="宋体" w:hAnsi="宋体" w:cs="宋体"/>
          <w:color w:val="auto"/>
          <w:sz w:val="24"/>
          <w:highlight w:val="none"/>
          <w:lang w:eastAsia="zh-CN"/>
        </w:rPr>
        <w:t>；</w:t>
      </w:r>
      <w:r>
        <w:rPr>
          <w:rFonts w:hint="eastAsia" w:ascii="宋体" w:hAnsi="宋体" w:cs="宋体"/>
          <w:color w:val="auto"/>
          <w:sz w:val="24"/>
          <w:highlight w:val="none"/>
        </w:rPr>
        <w:t>验收合格完成后，采购人向中标人支付至合同款的100%。</w:t>
      </w:r>
    </w:p>
    <w:p w14:paraId="143A76E6">
      <w:pPr>
        <w:rPr>
          <w:color w:val="000000" w:themeColor="text1"/>
          <w14:textFill>
            <w14:solidFill>
              <w14:schemeClr w14:val="tx1"/>
            </w14:solidFill>
          </w14:textFill>
        </w:rPr>
      </w:pPr>
    </w:p>
    <w:p w14:paraId="1013DF55">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14:paraId="016E99A4">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1、除标注的参考品牌外，欢迎其它能满足本项目技术需求且性能与所注品牌相当的产品参与。</w:t>
      </w:r>
    </w:p>
    <w:p w14:paraId="17340992">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2、如有附图，仅作参考。</w:t>
      </w:r>
    </w:p>
    <w:p w14:paraId="43D214F6">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3、打▲内容为实质性要求，不允许有负偏离，否则将以涉及无效投标条款作无效投标。</w:t>
      </w:r>
    </w:p>
    <w:p w14:paraId="5A8A0C2F">
      <w:pPr>
        <w:spacing w:line="5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14:paraId="4C4CCE3D">
      <w:pPr>
        <w:rPr>
          <w:color w:val="000000" w:themeColor="text1"/>
          <w14:textFill>
            <w14:solidFill>
              <w14:schemeClr w14:val="tx1"/>
            </w14:solidFill>
          </w14:textFill>
        </w:rPr>
      </w:pPr>
    </w:p>
    <w:p w14:paraId="064F83EF">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DBE26F3">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4461"/>
      <w:bookmarkEnd w:id="5"/>
      <w:bookmarkStart w:id="6" w:name="_Toc184310286"/>
      <w:bookmarkEnd w:id="6"/>
      <w:bookmarkStart w:id="7" w:name="_Toc184312074"/>
      <w:bookmarkEnd w:id="7"/>
      <w:bookmarkStart w:id="8" w:name="_Toc184312108"/>
      <w:bookmarkEnd w:id="8"/>
      <w:bookmarkStart w:id="9" w:name="_Toc184312076"/>
      <w:bookmarkEnd w:id="9"/>
      <w:bookmarkStart w:id="10" w:name="_Toc184310293"/>
      <w:bookmarkEnd w:id="10"/>
      <w:bookmarkStart w:id="11" w:name="_Toc184308039"/>
      <w:bookmarkEnd w:id="11"/>
      <w:bookmarkStart w:id="12" w:name="_Toc184308089"/>
      <w:bookmarkEnd w:id="12"/>
      <w:bookmarkStart w:id="13" w:name="_Toc184308066"/>
      <w:bookmarkEnd w:id="13"/>
      <w:bookmarkStart w:id="14" w:name="_Toc184312100"/>
      <w:bookmarkEnd w:id="14"/>
      <w:bookmarkStart w:id="15" w:name="_Toc184310325"/>
      <w:bookmarkEnd w:id="15"/>
      <w:bookmarkStart w:id="16" w:name="_Toc184310319"/>
      <w:bookmarkEnd w:id="16"/>
      <w:bookmarkStart w:id="17" w:name="_Toc184308100"/>
      <w:bookmarkEnd w:id="17"/>
      <w:bookmarkStart w:id="18" w:name="_Toc184313283"/>
      <w:bookmarkEnd w:id="18"/>
      <w:bookmarkStart w:id="19" w:name="_Toc184313290"/>
      <w:bookmarkEnd w:id="19"/>
      <w:bookmarkStart w:id="20" w:name="_Toc184310315"/>
      <w:bookmarkEnd w:id="20"/>
      <w:bookmarkStart w:id="21" w:name="_Toc184308073"/>
      <w:bookmarkEnd w:id="21"/>
      <w:bookmarkStart w:id="22" w:name="_Toc184310338"/>
      <w:bookmarkEnd w:id="22"/>
      <w:bookmarkStart w:id="23" w:name="_Toc184308041"/>
      <w:bookmarkEnd w:id="23"/>
      <w:bookmarkStart w:id="24" w:name="_Toc184313308"/>
      <w:bookmarkEnd w:id="24"/>
      <w:bookmarkStart w:id="25" w:name="_Toc184313251"/>
      <w:bookmarkEnd w:id="25"/>
      <w:bookmarkStart w:id="26" w:name="_Toc184310340"/>
      <w:bookmarkEnd w:id="26"/>
      <w:bookmarkStart w:id="27" w:name="_Toc184312113"/>
      <w:bookmarkEnd w:id="27"/>
      <w:bookmarkStart w:id="28" w:name="_Toc184312139"/>
      <w:bookmarkEnd w:id="28"/>
      <w:bookmarkStart w:id="29" w:name="_Toc184312131"/>
      <w:bookmarkEnd w:id="29"/>
      <w:bookmarkStart w:id="30" w:name="_Toc184314440"/>
      <w:bookmarkEnd w:id="30"/>
      <w:bookmarkStart w:id="31" w:name="_Toc184313273"/>
      <w:bookmarkEnd w:id="31"/>
      <w:bookmarkStart w:id="32" w:name="_Toc184314428"/>
      <w:bookmarkEnd w:id="32"/>
      <w:bookmarkStart w:id="33" w:name="_Toc184314436"/>
      <w:bookmarkEnd w:id="33"/>
      <w:bookmarkStart w:id="34" w:name="_Toc184310294"/>
      <w:bookmarkEnd w:id="34"/>
      <w:bookmarkStart w:id="35" w:name="_Toc184314432"/>
      <w:bookmarkEnd w:id="35"/>
      <w:bookmarkStart w:id="36" w:name="_Toc184308107"/>
      <w:bookmarkEnd w:id="36"/>
      <w:bookmarkStart w:id="37" w:name="_Toc184313299"/>
      <w:bookmarkEnd w:id="37"/>
      <w:bookmarkStart w:id="38" w:name="_Toc184308053"/>
      <w:bookmarkEnd w:id="38"/>
      <w:bookmarkStart w:id="39" w:name="_Toc184308104"/>
      <w:bookmarkEnd w:id="39"/>
      <w:bookmarkStart w:id="40" w:name="_Toc184313241"/>
      <w:bookmarkEnd w:id="40"/>
      <w:bookmarkStart w:id="41" w:name="_Toc184313261"/>
      <w:bookmarkEnd w:id="41"/>
      <w:bookmarkStart w:id="42" w:name="_Toc184312138"/>
      <w:bookmarkEnd w:id="42"/>
      <w:bookmarkStart w:id="43" w:name="_Toc184314477"/>
      <w:bookmarkEnd w:id="43"/>
      <w:bookmarkStart w:id="44" w:name="_Toc184313244"/>
      <w:bookmarkEnd w:id="44"/>
      <w:bookmarkStart w:id="45" w:name="_Toc184313272"/>
      <w:bookmarkEnd w:id="45"/>
      <w:bookmarkStart w:id="46" w:name="_Toc184312099"/>
      <w:bookmarkEnd w:id="46"/>
      <w:bookmarkStart w:id="47" w:name="_Toc184308055"/>
      <w:bookmarkEnd w:id="47"/>
      <w:bookmarkStart w:id="48" w:name="_Toc184312125"/>
      <w:bookmarkEnd w:id="48"/>
      <w:bookmarkStart w:id="49" w:name="_Toc184308051"/>
      <w:bookmarkEnd w:id="49"/>
      <w:bookmarkStart w:id="50" w:name="_Toc184314415"/>
      <w:bookmarkEnd w:id="50"/>
      <w:bookmarkStart w:id="51" w:name="_Toc184312119"/>
      <w:bookmarkEnd w:id="51"/>
      <w:bookmarkStart w:id="52" w:name="_Toc184310289"/>
      <w:bookmarkEnd w:id="52"/>
      <w:bookmarkStart w:id="53" w:name="_Toc184310272"/>
      <w:bookmarkEnd w:id="53"/>
      <w:bookmarkStart w:id="54" w:name="_Toc184314472"/>
      <w:bookmarkEnd w:id="54"/>
      <w:bookmarkStart w:id="55" w:name="_Toc184313287"/>
      <w:bookmarkEnd w:id="55"/>
      <w:bookmarkStart w:id="56" w:name="_Toc184308061"/>
      <w:bookmarkEnd w:id="56"/>
      <w:bookmarkStart w:id="57" w:name="_Toc184312110"/>
      <w:bookmarkEnd w:id="57"/>
      <w:bookmarkStart w:id="58" w:name="_Toc184310308"/>
      <w:bookmarkEnd w:id="58"/>
      <w:bookmarkStart w:id="59" w:name="_Toc184310278"/>
      <w:bookmarkEnd w:id="59"/>
      <w:bookmarkStart w:id="60" w:name="_Toc184310306"/>
      <w:bookmarkEnd w:id="60"/>
      <w:bookmarkStart w:id="61" w:name="_Toc184313294"/>
      <w:bookmarkEnd w:id="61"/>
      <w:bookmarkStart w:id="62" w:name="_Toc184313259"/>
      <w:bookmarkEnd w:id="62"/>
      <w:bookmarkStart w:id="63" w:name="_Toc184308086"/>
      <w:bookmarkEnd w:id="63"/>
      <w:bookmarkStart w:id="64" w:name="_Toc184313240"/>
      <w:bookmarkEnd w:id="64"/>
      <w:bookmarkStart w:id="65" w:name="_Toc184308068"/>
      <w:bookmarkEnd w:id="65"/>
      <w:bookmarkStart w:id="66" w:name="_Toc184310305"/>
      <w:bookmarkEnd w:id="66"/>
      <w:bookmarkStart w:id="67" w:name="_Toc184312072"/>
      <w:bookmarkEnd w:id="67"/>
      <w:bookmarkStart w:id="68" w:name="_Toc184313307"/>
      <w:bookmarkEnd w:id="68"/>
      <w:bookmarkStart w:id="69" w:name="_Toc184308098"/>
      <w:bookmarkEnd w:id="69"/>
      <w:bookmarkStart w:id="70" w:name="_Toc184314475"/>
      <w:bookmarkEnd w:id="70"/>
      <w:bookmarkStart w:id="71" w:name="_Toc184313282"/>
      <w:bookmarkEnd w:id="71"/>
      <w:bookmarkStart w:id="72" w:name="_Toc184310287"/>
      <w:bookmarkEnd w:id="72"/>
      <w:bookmarkStart w:id="73" w:name="_Toc184314465"/>
      <w:bookmarkEnd w:id="73"/>
      <w:bookmarkStart w:id="74" w:name="_Toc184308072"/>
      <w:bookmarkEnd w:id="74"/>
      <w:bookmarkStart w:id="75" w:name="_Toc184308084"/>
      <w:bookmarkEnd w:id="75"/>
      <w:bookmarkStart w:id="76" w:name="_Toc184312106"/>
      <w:bookmarkEnd w:id="76"/>
      <w:bookmarkStart w:id="77" w:name="_Toc184314430"/>
      <w:bookmarkEnd w:id="77"/>
      <w:bookmarkStart w:id="78" w:name="_Toc184313247"/>
      <w:bookmarkEnd w:id="78"/>
      <w:bookmarkStart w:id="79" w:name="_Toc184310297"/>
      <w:bookmarkEnd w:id="79"/>
      <w:bookmarkStart w:id="80" w:name="_Toc184312116"/>
      <w:bookmarkEnd w:id="80"/>
      <w:bookmarkStart w:id="81" w:name="_Toc184308076"/>
      <w:bookmarkEnd w:id="81"/>
      <w:bookmarkStart w:id="82" w:name="_Toc184308040"/>
      <w:bookmarkEnd w:id="82"/>
      <w:bookmarkStart w:id="83" w:name="_Toc184310317"/>
      <w:bookmarkEnd w:id="83"/>
      <w:bookmarkStart w:id="84" w:name="_Toc184313265"/>
      <w:bookmarkEnd w:id="84"/>
      <w:bookmarkStart w:id="85" w:name="_Toc184310302"/>
      <w:bookmarkEnd w:id="85"/>
      <w:bookmarkStart w:id="86" w:name="_Toc184308093"/>
      <w:bookmarkEnd w:id="86"/>
      <w:bookmarkStart w:id="87" w:name="_Toc184314413"/>
      <w:bookmarkEnd w:id="87"/>
      <w:bookmarkStart w:id="88" w:name="_Toc184312134"/>
      <w:bookmarkEnd w:id="88"/>
      <w:bookmarkStart w:id="89" w:name="_Toc184308046"/>
      <w:bookmarkEnd w:id="89"/>
      <w:bookmarkStart w:id="90" w:name="_Toc184310285"/>
      <w:bookmarkEnd w:id="90"/>
      <w:bookmarkStart w:id="91" w:name="_Toc184310344"/>
      <w:bookmarkEnd w:id="91"/>
      <w:bookmarkStart w:id="92" w:name="_Toc184314422"/>
      <w:bookmarkEnd w:id="92"/>
      <w:bookmarkStart w:id="93" w:name="_Toc184310283"/>
      <w:bookmarkEnd w:id="93"/>
      <w:bookmarkStart w:id="94" w:name="_Toc184310298"/>
      <w:bookmarkEnd w:id="94"/>
      <w:bookmarkStart w:id="95" w:name="_Toc184312118"/>
      <w:bookmarkEnd w:id="95"/>
      <w:bookmarkStart w:id="96" w:name="_Toc184310334"/>
      <w:bookmarkEnd w:id="96"/>
      <w:bookmarkStart w:id="97" w:name="_Toc184310288"/>
      <w:bookmarkEnd w:id="97"/>
      <w:bookmarkStart w:id="98" w:name="_Toc184308054"/>
      <w:bookmarkEnd w:id="98"/>
      <w:bookmarkStart w:id="99" w:name="_Toc184313239"/>
      <w:bookmarkEnd w:id="99"/>
      <w:bookmarkStart w:id="100" w:name="_Toc184314463"/>
      <w:bookmarkEnd w:id="100"/>
      <w:bookmarkStart w:id="101" w:name="_Toc184308079"/>
      <w:bookmarkEnd w:id="101"/>
      <w:bookmarkStart w:id="102" w:name="_Toc184313263"/>
      <w:bookmarkEnd w:id="102"/>
      <w:bookmarkStart w:id="103" w:name="_Toc184308037"/>
      <w:bookmarkEnd w:id="103"/>
      <w:bookmarkStart w:id="104" w:name="_Toc184314431"/>
      <w:bookmarkEnd w:id="104"/>
      <w:bookmarkStart w:id="105" w:name="_Toc184308090"/>
      <w:bookmarkEnd w:id="105"/>
      <w:bookmarkStart w:id="106" w:name="_Toc184308050"/>
      <w:bookmarkEnd w:id="106"/>
      <w:bookmarkStart w:id="107" w:name="_Toc184312094"/>
      <w:bookmarkEnd w:id="107"/>
      <w:bookmarkStart w:id="108" w:name="_Toc184312132"/>
      <w:bookmarkEnd w:id="108"/>
      <w:bookmarkStart w:id="109" w:name="_Toc184313285"/>
      <w:bookmarkEnd w:id="109"/>
      <w:bookmarkStart w:id="110" w:name="_Toc184310310"/>
      <w:bookmarkEnd w:id="110"/>
      <w:bookmarkStart w:id="111" w:name="_Toc184312079"/>
      <w:bookmarkEnd w:id="111"/>
      <w:bookmarkStart w:id="112" w:name="_Toc184313310"/>
      <w:bookmarkEnd w:id="112"/>
      <w:bookmarkStart w:id="113" w:name="_Toc184308077"/>
      <w:bookmarkEnd w:id="113"/>
      <w:bookmarkStart w:id="114" w:name="_Toc184312084"/>
      <w:bookmarkEnd w:id="114"/>
      <w:bookmarkStart w:id="115" w:name="_Toc184310318"/>
      <w:bookmarkEnd w:id="115"/>
      <w:bookmarkStart w:id="116" w:name="_Toc184310328"/>
      <w:bookmarkEnd w:id="116"/>
      <w:bookmarkStart w:id="117" w:name="_Toc184312130"/>
      <w:bookmarkEnd w:id="117"/>
      <w:bookmarkStart w:id="118" w:name="_Toc184312095"/>
      <w:bookmarkEnd w:id="118"/>
      <w:bookmarkStart w:id="119" w:name="_Toc184313270"/>
      <w:bookmarkEnd w:id="119"/>
      <w:bookmarkStart w:id="120" w:name="_Toc184312086"/>
      <w:bookmarkEnd w:id="120"/>
      <w:bookmarkStart w:id="121" w:name="_Toc184310327"/>
      <w:bookmarkEnd w:id="121"/>
      <w:bookmarkStart w:id="122" w:name="_Toc184313284"/>
      <w:bookmarkEnd w:id="122"/>
      <w:bookmarkStart w:id="123" w:name="_Toc184310322"/>
      <w:bookmarkEnd w:id="123"/>
      <w:bookmarkStart w:id="124" w:name="_Toc184313260"/>
      <w:bookmarkEnd w:id="124"/>
      <w:bookmarkStart w:id="125" w:name="_Toc184313264"/>
      <w:bookmarkEnd w:id="125"/>
      <w:bookmarkStart w:id="126" w:name="_Toc184313262"/>
      <w:bookmarkEnd w:id="126"/>
      <w:bookmarkStart w:id="127" w:name="_Toc184314420"/>
      <w:bookmarkEnd w:id="127"/>
      <w:bookmarkStart w:id="128" w:name="_Toc184313253"/>
      <w:bookmarkEnd w:id="128"/>
      <w:bookmarkStart w:id="129" w:name="_Toc184313304"/>
      <w:bookmarkEnd w:id="129"/>
      <w:bookmarkStart w:id="130" w:name="_Toc184313255"/>
      <w:bookmarkEnd w:id="130"/>
      <w:bookmarkStart w:id="131" w:name="_Toc184312080"/>
      <w:bookmarkEnd w:id="131"/>
      <w:bookmarkStart w:id="132" w:name="_Toc184312103"/>
      <w:bookmarkEnd w:id="132"/>
      <w:bookmarkStart w:id="133" w:name="_Toc184312102"/>
      <w:bookmarkEnd w:id="133"/>
      <w:bookmarkStart w:id="134" w:name="_Toc184312096"/>
      <w:bookmarkEnd w:id="134"/>
      <w:bookmarkStart w:id="135" w:name="_Toc184312093"/>
      <w:bookmarkEnd w:id="135"/>
      <w:bookmarkStart w:id="136" w:name="_Toc184314417"/>
      <w:bookmarkEnd w:id="136"/>
      <w:bookmarkStart w:id="137" w:name="_Toc184310300"/>
      <w:bookmarkEnd w:id="137"/>
      <w:bookmarkStart w:id="138" w:name="_Toc184312120"/>
      <w:bookmarkEnd w:id="138"/>
      <w:bookmarkStart w:id="139" w:name="_Toc184310320"/>
      <w:bookmarkEnd w:id="139"/>
      <w:bookmarkStart w:id="140" w:name="_Toc184308081"/>
      <w:bookmarkEnd w:id="140"/>
      <w:bookmarkStart w:id="141" w:name="_Toc184308067"/>
      <w:bookmarkEnd w:id="141"/>
      <w:bookmarkStart w:id="142" w:name="_Toc184314447"/>
      <w:bookmarkEnd w:id="142"/>
      <w:bookmarkStart w:id="143" w:name="_Toc184310292"/>
      <w:bookmarkEnd w:id="143"/>
      <w:bookmarkStart w:id="144" w:name="_Toc184312089"/>
      <w:bookmarkEnd w:id="144"/>
      <w:bookmarkStart w:id="145" w:name="_Toc184312098"/>
      <w:bookmarkEnd w:id="145"/>
      <w:bookmarkStart w:id="146" w:name="_Toc184310316"/>
      <w:bookmarkEnd w:id="146"/>
      <w:bookmarkStart w:id="147" w:name="_Toc184314459"/>
      <w:bookmarkEnd w:id="147"/>
      <w:bookmarkStart w:id="148" w:name="_Toc184314421"/>
      <w:bookmarkEnd w:id="148"/>
      <w:bookmarkStart w:id="149" w:name="_Toc184313248"/>
      <w:bookmarkEnd w:id="149"/>
      <w:bookmarkStart w:id="150" w:name="_Toc184308063"/>
      <w:bookmarkEnd w:id="150"/>
      <w:bookmarkStart w:id="151" w:name="_Toc184314426"/>
      <w:bookmarkEnd w:id="151"/>
      <w:bookmarkStart w:id="152" w:name="_Toc184314467"/>
      <w:bookmarkEnd w:id="152"/>
      <w:bookmarkStart w:id="153" w:name="_Toc184314454"/>
      <w:bookmarkEnd w:id="153"/>
      <w:bookmarkStart w:id="154" w:name="_Toc184313257"/>
      <w:bookmarkEnd w:id="154"/>
      <w:bookmarkStart w:id="155" w:name="_Toc184314437"/>
      <w:bookmarkEnd w:id="155"/>
      <w:bookmarkStart w:id="156" w:name="_Toc184313300"/>
      <w:bookmarkEnd w:id="156"/>
      <w:bookmarkStart w:id="157" w:name="_Toc184312122"/>
      <w:bookmarkEnd w:id="157"/>
      <w:bookmarkStart w:id="158" w:name="_Toc184310314"/>
      <w:bookmarkEnd w:id="158"/>
      <w:bookmarkStart w:id="159" w:name="_Toc184313267"/>
      <w:bookmarkEnd w:id="159"/>
      <w:bookmarkStart w:id="160" w:name="_Toc184314479"/>
      <w:bookmarkEnd w:id="160"/>
      <w:bookmarkStart w:id="161" w:name="_Toc184310301"/>
      <w:bookmarkEnd w:id="161"/>
      <w:bookmarkStart w:id="162" w:name="_Toc184310277"/>
      <w:bookmarkEnd w:id="162"/>
      <w:bookmarkStart w:id="163" w:name="_Toc184310323"/>
      <w:bookmarkEnd w:id="163"/>
      <w:bookmarkStart w:id="164" w:name="_Toc184310341"/>
      <w:bookmarkEnd w:id="164"/>
      <w:bookmarkStart w:id="165" w:name="_Toc184313277"/>
      <w:bookmarkEnd w:id="165"/>
      <w:bookmarkStart w:id="166" w:name="_Toc184314433"/>
      <w:bookmarkEnd w:id="166"/>
      <w:bookmarkStart w:id="167" w:name="_Toc184313289"/>
      <w:bookmarkEnd w:id="167"/>
      <w:bookmarkStart w:id="168" w:name="_Toc184308074"/>
      <w:bookmarkEnd w:id="168"/>
      <w:bookmarkStart w:id="169" w:name="_Toc184314464"/>
      <w:bookmarkEnd w:id="169"/>
      <w:bookmarkStart w:id="170" w:name="_Toc184312133"/>
      <w:bookmarkEnd w:id="170"/>
      <w:bookmarkStart w:id="171" w:name="_Toc184308058"/>
      <w:bookmarkEnd w:id="171"/>
      <w:bookmarkStart w:id="172" w:name="_Toc184314482"/>
      <w:bookmarkEnd w:id="172"/>
      <w:bookmarkStart w:id="173" w:name="_Toc184310307"/>
      <w:bookmarkEnd w:id="173"/>
      <w:bookmarkStart w:id="174" w:name="_Toc184314443"/>
      <w:bookmarkEnd w:id="174"/>
      <w:bookmarkStart w:id="175" w:name="_Toc184313306"/>
      <w:bookmarkEnd w:id="175"/>
      <w:bookmarkStart w:id="176" w:name="_Toc184310281"/>
      <w:bookmarkEnd w:id="176"/>
      <w:bookmarkStart w:id="177" w:name="_Toc184314466"/>
      <w:bookmarkEnd w:id="177"/>
      <w:bookmarkStart w:id="178" w:name="_Toc184313243"/>
      <w:bookmarkEnd w:id="178"/>
      <w:bookmarkStart w:id="179" w:name="_Toc184310331"/>
      <w:bookmarkEnd w:id="179"/>
      <w:bookmarkStart w:id="180" w:name="_Toc184313278"/>
      <w:bookmarkEnd w:id="180"/>
      <w:bookmarkStart w:id="181" w:name="_Toc184310335"/>
      <w:bookmarkEnd w:id="181"/>
      <w:bookmarkStart w:id="182" w:name="_Toc184314427"/>
      <w:bookmarkEnd w:id="182"/>
      <w:bookmarkStart w:id="183" w:name="_Toc184314455"/>
      <w:bookmarkEnd w:id="183"/>
      <w:bookmarkStart w:id="184" w:name="_Toc184313303"/>
      <w:bookmarkEnd w:id="184"/>
      <w:bookmarkStart w:id="185" w:name="_Toc184312111"/>
      <w:bookmarkEnd w:id="185"/>
      <w:bookmarkStart w:id="186" w:name="_Toc184313250"/>
      <w:bookmarkEnd w:id="186"/>
      <w:bookmarkStart w:id="187" w:name="_Toc184312070"/>
      <w:bookmarkEnd w:id="187"/>
      <w:bookmarkStart w:id="188" w:name="_Toc184314414"/>
      <w:bookmarkEnd w:id="188"/>
      <w:bookmarkStart w:id="189" w:name="_Toc184314469"/>
      <w:bookmarkEnd w:id="189"/>
      <w:bookmarkStart w:id="190" w:name="_Toc184313246"/>
      <w:bookmarkEnd w:id="190"/>
      <w:bookmarkStart w:id="191" w:name="_Toc184312127"/>
      <w:bookmarkEnd w:id="191"/>
      <w:bookmarkStart w:id="192" w:name="_Toc184308075"/>
      <w:bookmarkEnd w:id="192"/>
      <w:bookmarkStart w:id="193" w:name="_Toc184313258"/>
      <w:bookmarkEnd w:id="193"/>
      <w:bookmarkStart w:id="194" w:name="_Toc184308108"/>
      <w:bookmarkEnd w:id="194"/>
      <w:bookmarkStart w:id="195" w:name="_Toc184313275"/>
      <w:bookmarkEnd w:id="195"/>
      <w:bookmarkStart w:id="196" w:name="_Toc184312137"/>
      <w:bookmarkEnd w:id="196"/>
      <w:bookmarkStart w:id="197" w:name="_Toc184313296"/>
      <w:bookmarkEnd w:id="197"/>
      <w:bookmarkStart w:id="198" w:name="_Toc184313281"/>
      <w:bookmarkEnd w:id="198"/>
      <w:bookmarkStart w:id="199" w:name="_Toc184313271"/>
      <w:bookmarkEnd w:id="199"/>
      <w:bookmarkStart w:id="200" w:name="_Toc184308106"/>
      <w:bookmarkEnd w:id="200"/>
      <w:bookmarkStart w:id="201" w:name="_Toc184308103"/>
      <w:bookmarkEnd w:id="201"/>
      <w:bookmarkStart w:id="202" w:name="_Toc184308045"/>
      <w:bookmarkEnd w:id="202"/>
      <w:bookmarkStart w:id="203" w:name="_Toc184313301"/>
      <w:bookmarkEnd w:id="203"/>
      <w:bookmarkStart w:id="204" w:name="_Toc184314439"/>
      <w:bookmarkEnd w:id="204"/>
      <w:bookmarkStart w:id="205" w:name="_Toc184313274"/>
      <w:bookmarkEnd w:id="205"/>
      <w:bookmarkStart w:id="206" w:name="_Toc184312128"/>
      <w:bookmarkEnd w:id="206"/>
      <w:bookmarkStart w:id="207" w:name="_Toc184310274"/>
      <w:bookmarkEnd w:id="207"/>
      <w:bookmarkStart w:id="208" w:name="_Toc184314453"/>
      <w:bookmarkEnd w:id="208"/>
      <w:bookmarkStart w:id="209" w:name="_Toc184308059"/>
      <w:bookmarkEnd w:id="209"/>
      <w:bookmarkStart w:id="210" w:name="_Toc184308064"/>
      <w:bookmarkEnd w:id="210"/>
      <w:bookmarkStart w:id="211" w:name="_Toc184313268"/>
      <w:bookmarkEnd w:id="211"/>
      <w:bookmarkStart w:id="212" w:name="_Toc184312105"/>
      <w:bookmarkEnd w:id="212"/>
      <w:bookmarkStart w:id="213" w:name="_Toc184308088"/>
      <w:bookmarkEnd w:id="213"/>
      <w:bookmarkStart w:id="214" w:name="_Toc184308036"/>
      <w:bookmarkEnd w:id="214"/>
      <w:bookmarkStart w:id="215" w:name="_Toc184314424"/>
      <w:bookmarkEnd w:id="215"/>
      <w:bookmarkStart w:id="216" w:name="_Toc184308101"/>
      <w:bookmarkEnd w:id="216"/>
      <w:bookmarkStart w:id="217" w:name="_Toc184312112"/>
      <w:bookmarkEnd w:id="217"/>
      <w:bookmarkStart w:id="218" w:name="_Toc184314418"/>
      <w:bookmarkEnd w:id="218"/>
      <w:bookmarkStart w:id="219" w:name="_Toc184314449"/>
      <w:bookmarkEnd w:id="219"/>
      <w:bookmarkStart w:id="220" w:name="_Toc184313238"/>
      <w:bookmarkEnd w:id="220"/>
      <w:bookmarkStart w:id="221" w:name="_Toc184314438"/>
      <w:bookmarkEnd w:id="221"/>
      <w:bookmarkStart w:id="222" w:name="_Toc184310337"/>
      <w:bookmarkEnd w:id="222"/>
      <w:bookmarkStart w:id="223" w:name="_Toc184310284"/>
      <w:bookmarkEnd w:id="223"/>
      <w:bookmarkStart w:id="224" w:name="_Toc184313242"/>
      <w:bookmarkEnd w:id="224"/>
      <w:bookmarkStart w:id="225" w:name="_Toc184310303"/>
      <w:bookmarkEnd w:id="225"/>
      <w:bookmarkStart w:id="226" w:name="_Toc184310279"/>
      <w:bookmarkEnd w:id="226"/>
      <w:bookmarkStart w:id="227" w:name="_Toc184310321"/>
      <w:bookmarkEnd w:id="227"/>
      <w:bookmarkStart w:id="228" w:name="_Toc184310296"/>
      <w:bookmarkEnd w:id="228"/>
      <w:bookmarkStart w:id="229" w:name="_Toc184313256"/>
      <w:bookmarkEnd w:id="229"/>
      <w:bookmarkStart w:id="230" w:name="_Toc184314462"/>
      <w:bookmarkEnd w:id="230"/>
      <w:bookmarkStart w:id="231" w:name="_Toc184308091"/>
      <w:bookmarkEnd w:id="231"/>
      <w:bookmarkStart w:id="232" w:name="_Toc184312114"/>
      <w:bookmarkEnd w:id="232"/>
      <w:bookmarkStart w:id="233" w:name="_Toc184308099"/>
      <w:bookmarkEnd w:id="233"/>
      <w:bookmarkStart w:id="234" w:name="_Toc184313254"/>
      <w:bookmarkEnd w:id="234"/>
      <w:bookmarkStart w:id="235" w:name="_Toc184314434"/>
      <w:bookmarkEnd w:id="235"/>
      <w:bookmarkStart w:id="236" w:name="_Toc184313292"/>
      <w:bookmarkEnd w:id="236"/>
      <w:bookmarkStart w:id="237" w:name="_Toc184312085"/>
      <w:bookmarkEnd w:id="237"/>
      <w:bookmarkStart w:id="238" w:name="_Toc184313295"/>
      <w:bookmarkEnd w:id="238"/>
      <w:bookmarkStart w:id="239" w:name="_Toc184313252"/>
      <w:bookmarkEnd w:id="239"/>
      <w:bookmarkStart w:id="240" w:name="_Toc184310282"/>
      <w:bookmarkEnd w:id="240"/>
      <w:bookmarkStart w:id="241" w:name="_Toc184312136"/>
      <w:bookmarkEnd w:id="241"/>
      <w:bookmarkStart w:id="242" w:name="_Toc184314419"/>
      <w:bookmarkEnd w:id="242"/>
      <w:bookmarkStart w:id="243" w:name="_Toc184308094"/>
      <w:bookmarkEnd w:id="243"/>
      <w:bookmarkStart w:id="244" w:name="_Toc184308042"/>
      <w:bookmarkEnd w:id="244"/>
      <w:bookmarkStart w:id="245" w:name="_Toc184312135"/>
      <w:bookmarkEnd w:id="245"/>
      <w:bookmarkStart w:id="246" w:name="_Toc184312082"/>
      <w:bookmarkEnd w:id="246"/>
      <w:bookmarkStart w:id="247" w:name="_Toc184312078"/>
      <w:bookmarkEnd w:id="247"/>
      <w:bookmarkStart w:id="248" w:name="_Toc184312081"/>
      <w:bookmarkEnd w:id="248"/>
      <w:bookmarkStart w:id="249" w:name="_Toc184312083"/>
      <w:bookmarkEnd w:id="249"/>
      <w:bookmarkStart w:id="250" w:name="_Toc184308105"/>
      <w:bookmarkEnd w:id="250"/>
      <w:bookmarkStart w:id="251" w:name="_Toc184314458"/>
      <w:bookmarkEnd w:id="251"/>
      <w:bookmarkStart w:id="252" w:name="_Toc184314456"/>
      <w:bookmarkEnd w:id="252"/>
      <w:bookmarkStart w:id="253" w:name="_Toc184314468"/>
      <w:bookmarkEnd w:id="253"/>
      <w:bookmarkStart w:id="254" w:name="_Toc184314481"/>
      <w:bookmarkEnd w:id="254"/>
      <w:bookmarkStart w:id="255" w:name="_Toc184313245"/>
      <w:bookmarkEnd w:id="255"/>
      <w:bookmarkStart w:id="256" w:name="_Toc184314474"/>
      <w:bookmarkEnd w:id="256"/>
      <w:bookmarkStart w:id="257" w:name="_Toc184314451"/>
      <w:bookmarkEnd w:id="257"/>
      <w:bookmarkStart w:id="258" w:name="_Toc184308047"/>
      <w:bookmarkEnd w:id="258"/>
      <w:bookmarkStart w:id="259" w:name="_Toc184312091"/>
      <w:bookmarkEnd w:id="259"/>
      <w:bookmarkStart w:id="260" w:name="_Toc184313249"/>
      <w:bookmarkEnd w:id="260"/>
      <w:bookmarkStart w:id="261" w:name="_Toc184313297"/>
      <w:bookmarkEnd w:id="261"/>
      <w:bookmarkStart w:id="262" w:name="_Toc184314442"/>
      <w:bookmarkEnd w:id="262"/>
      <w:bookmarkStart w:id="263" w:name="_Toc184314450"/>
      <w:bookmarkEnd w:id="263"/>
      <w:bookmarkStart w:id="264" w:name="_Toc184310336"/>
      <w:bookmarkEnd w:id="264"/>
      <w:bookmarkStart w:id="265" w:name="_Toc184308048"/>
      <w:bookmarkEnd w:id="265"/>
      <w:bookmarkStart w:id="266" w:name="_Toc184308056"/>
      <w:bookmarkEnd w:id="266"/>
      <w:bookmarkStart w:id="267" w:name="_Toc184313309"/>
      <w:bookmarkEnd w:id="267"/>
      <w:bookmarkStart w:id="268" w:name="_Toc184314452"/>
      <w:bookmarkEnd w:id="268"/>
      <w:bookmarkStart w:id="269" w:name="_Toc184313291"/>
      <w:bookmarkEnd w:id="269"/>
      <w:bookmarkStart w:id="270" w:name="_Toc184314457"/>
      <w:bookmarkEnd w:id="270"/>
      <w:bookmarkStart w:id="271" w:name="_Toc184310330"/>
      <w:bookmarkEnd w:id="271"/>
      <w:bookmarkStart w:id="272" w:name="_Toc184314473"/>
      <w:bookmarkEnd w:id="272"/>
      <w:bookmarkStart w:id="273" w:name="_Toc184313293"/>
      <w:bookmarkEnd w:id="273"/>
      <w:bookmarkStart w:id="274" w:name="_Toc184310280"/>
      <w:bookmarkEnd w:id="274"/>
      <w:bookmarkStart w:id="275" w:name="_Toc184308044"/>
      <w:bookmarkEnd w:id="275"/>
      <w:bookmarkStart w:id="276" w:name="_Toc184310304"/>
      <w:bookmarkEnd w:id="276"/>
      <w:bookmarkStart w:id="277" w:name="_Toc184310311"/>
      <w:bookmarkEnd w:id="277"/>
      <w:bookmarkStart w:id="278" w:name="_Toc184312067"/>
      <w:bookmarkEnd w:id="278"/>
      <w:bookmarkStart w:id="279" w:name="_Toc184312092"/>
      <w:bookmarkEnd w:id="279"/>
      <w:bookmarkStart w:id="280" w:name="_Toc184308052"/>
      <w:bookmarkEnd w:id="280"/>
      <w:bookmarkStart w:id="281" w:name="_Toc184313305"/>
      <w:bookmarkEnd w:id="281"/>
      <w:bookmarkStart w:id="282" w:name="_Toc184308060"/>
      <w:bookmarkEnd w:id="282"/>
      <w:bookmarkStart w:id="283" w:name="_Toc184314478"/>
      <w:bookmarkEnd w:id="283"/>
      <w:bookmarkStart w:id="284" w:name="_Toc184312109"/>
      <w:bookmarkEnd w:id="284"/>
      <w:bookmarkStart w:id="285" w:name="_Toc184308057"/>
      <w:bookmarkEnd w:id="285"/>
      <w:bookmarkStart w:id="286" w:name="_Toc184308038"/>
      <w:bookmarkEnd w:id="286"/>
      <w:bookmarkStart w:id="287" w:name="_Toc184312126"/>
      <w:bookmarkEnd w:id="287"/>
      <w:bookmarkStart w:id="288" w:name="_Toc184308082"/>
      <w:bookmarkEnd w:id="288"/>
      <w:bookmarkStart w:id="289" w:name="_Toc184312101"/>
      <w:bookmarkEnd w:id="289"/>
      <w:bookmarkStart w:id="290" w:name="_Toc184312104"/>
      <w:bookmarkEnd w:id="290"/>
      <w:bookmarkStart w:id="291" w:name="_Toc184313266"/>
      <w:bookmarkEnd w:id="291"/>
      <w:bookmarkStart w:id="292" w:name="_Toc184308102"/>
      <w:bookmarkEnd w:id="292"/>
      <w:bookmarkStart w:id="293" w:name="_Toc184314446"/>
      <w:bookmarkEnd w:id="293"/>
      <w:bookmarkStart w:id="294" w:name="_Toc184314411"/>
      <w:bookmarkEnd w:id="294"/>
      <w:bookmarkStart w:id="295" w:name="_Toc184312068"/>
      <w:bookmarkEnd w:id="295"/>
      <w:bookmarkStart w:id="296" w:name="_Toc184312071"/>
      <w:bookmarkEnd w:id="296"/>
      <w:bookmarkStart w:id="297" w:name="_Toc184312090"/>
      <w:bookmarkEnd w:id="297"/>
      <w:bookmarkStart w:id="298" w:name="_Toc184313288"/>
      <w:bookmarkEnd w:id="298"/>
      <w:bookmarkStart w:id="299" w:name="_Toc184314471"/>
      <w:bookmarkEnd w:id="299"/>
      <w:bookmarkStart w:id="300" w:name="_Toc184308049"/>
      <w:bookmarkEnd w:id="300"/>
      <w:bookmarkStart w:id="301" w:name="_Toc184308087"/>
      <w:bookmarkEnd w:id="301"/>
      <w:bookmarkStart w:id="302" w:name="_Toc184312117"/>
      <w:bookmarkEnd w:id="302"/>
      <w:bookmarkStart w:id="303" w:name="_Toc184310329"/>
      <w:bookmarkEnd w:id="303"/>
      <w:bookmarkStart w:id="304" w:name="_Toc184308095"/>
      <w:bookmarkEnd w:id="304"/>
      <w:bookmarkStart w:id="305" w:name="_Toc184310326"/>
      <w:bookmarkEnd w:id="305"/>
      <w:bookmarkStart w:id="306" w:name="_Toc184308096"/>
      <w:bookmarkEnd w:id="306"/>
      <w:bookmarkStart w:id="307" w:name="_Toc184308069"/>
      <w:bookmarkEnd w:id="307"/>
      <w:bookmarkStart w:id="308" w:name="_Toc184314429"/>
      <w:bookmarkEnd w:id="308"/>
      <w:bookmarkStart w:id="309" w:name="_Toc184310342"/>
      <w:bookmarkEnd w:id="309"/>
      <w:bookmarkStart w:id="310" w:name="_Toc184314448"/>
      <w:bookmarkEnd w:id="310"/>
      <w:bookmarkStart w:id="311" w:name="_Toc184313280"/>
      <w:bookmarkEnd w:id="311"/>
      <w:bookmarkStart w:id="312" w:name="_Toc184312088"/>
      <w:bookmarkEnd w:id="312"/>
      <w:bookmarkStart w:id="313" w:name="_Toc184314435"/>
      <w:bookmarkEnd w:id="313"/>
      <w:bookmarkStart w:id="314" w:name="_Toc184310313"/>
      <w:bookmarkEnd w:id="314"/>
      <w:bookmarkStart w:id="315" w:name="_Toc184308083"/>
      <w:bookmarkEnd w:id="315"/>
      <w:bookmarkStart w:id="316" w:name="_Toc184310324"/>
      <w:bookmarkEnd w:id="316"/>
      <w:bookmarkStart w:id="317" w:name="_Toc184310295"/>
      <w:bookmarkEnd w:id="317"/>
      <w:bookmarkStart w:id="318" w:name="_Toc184308071"/>
      <w:bookmarkEnd w:id="318"/>
      <w:bookmarkStart w:id="319" w:name="_Toc184312073"/>
      <w:bookmarkEnd w:id="319"/>
      <w:bookmarkStart w:id="320" w:name="_Toc184308092"/>
      <w:bookmarkEnd w:id="320"/>
      <w:bookmarkStart w:id="321" w:name="_Toc184314444"/>
      <w:bookmarkEnd w:id="321"/>
      <w:bookmarkStart w:id="322" w:name="_Toc184312075"/>
      <w:bookmarkEnd w:id="322"/>
      <w:bookmarkStart w:id="323" w:name="_Toc184313276"/>
      <w:bookmarkEnd w:id="323"/>
      <w:bookmarkStart w:id="324" w:name="_Toc184313286"/>
      <w:bookmarkEnd w:id="324"/>
      <w:bookmarkStart w:id="325" w:name="_Toc184312087"/>
      <w:bookmarkEnd w:id="325"/>
      <w:bookmarkStart w:id="326" w:name="_Toc184312115"/>
      <w:bookmarkEnd w:id="326"/>
      <w:bookmarkStart w:id="327" w:name="_Toc184310275"/>
      <w:bookmarkEnd w:id="327"/>
      <w:bookmarkStart w:id="328" w:name="_Toc184314441"/>
      <w:bookmarkEnd w:id="328"/>
      <w:bookmarkStart w:id="329" w:name="_Toc184310333"/>
      <w:bookmarkEnd w:id="329"/>
      <w:bookmarkStart w:id="330" w:name="_Toc184314425"/>
      <w:bookmarkEnd w:id="330"/>
      <w:bookmarkStart w:id="331" w:name="_Toc184310332"/>
      <w:bookmarkEnd w:id="331"/>
      <w:bookmarkStart w:id="332" w:name="_Toc184314423"/>
      <w:bookmarkEnd w:id="332"/>
      <w:bookmarkStart w:id="333" w:name="_Toc184308062"/>
      <w:bookmarkEnd w:id="333"/>
      <w:bookmarkStart w:id="334" w:name="_Toc184313302"/>
      <w:bookmarkEnd w:id="334"/>
      <w:bookmarkStart w:id="335" w:name="_Toc184314480"/>
      <w:bookmarkEnd w:id="335"/>
      <w:bookmarkStart w:id="336" w:name="_Toc184314445"/>
      <w:bookmarkEnd w:id="336"/>
      <w:bookmarkStart w:id="337" w:name="_Toc184314410"/>
      <w:bookmarkEnd w:id="337"/>
      <w:bookmarkStart w:id="338" w:name="_Toc184314416"/>
      <w:bookmarkEnd w:id="338"/>
      <w:bookmarkStart w:id="339" w:name="_Toc184310339"/>
      <w:bookmarkEnd w:id="339"/>
      <w:bookmarkStart w:id="340" w:name="_Toc184308078"/>
      <w:bookmarkEnd w:id="340"/>
      <w:bookmarkStart w:id="341" w:name="_Toc184312077"/>
      <w:bookmarkEnd w:id="341"/>
      <w:bookmarkStart w:id="342" w:name="_Toc184313269"/>
      <w:bookmarkEnd w:id="342"/>
      <w:bookmarkStart w:id="343" w:name="_Toc184310299"/>
      <w:bookmarkEnd w:id="343"/>
      <w:bookmarkStart w:id="344" w:name="_Toc184308070"/>
      <w:bookmarkEnd w:id="344"/>
      <w:bookmarkStart w:id="345" w:name="_Toc184312129"/>
      <w:bookmarkEnd w:id="345"/>
      <w:bookmarkStart w:id="346" w:name="_Toc184313298"/>
      <w:bookmarkEnd w:id="346"/>
      <w:bookmarkStart w:id="347" w:name="_Toc184312123"/>
      <w:bookmarkEnd w:id="347"/>
      <w:bookmarkStart w:id="348" w:name="_Toc184312124"/>
      <w:bookmarkEnd w:id="348"/>
      <w:bookmarkStart w:id="349" w:name="_Toc184312097"/>
      <w:bookmarkEnd w:id="349"/>
      <w:bookmarkStart w:id="350" w:name="_Toc184310273"/>
      <w:bookmarkEnd w:id="350"/>
      <w:bookmarkStart w:id="351" w:name="_Toc184314412"/>
      <w:bookmarkEnd w:id="351"/>
      <w:bookmarkStart w:id="352" w:name="_Toc184312121"/>
      <w:bookmarkEnd w:id="352"/>
      <w:bookmarkStart w:id="353" w:name="_Toc184310290"/>
      <w:bookmarkEnd w:id="353"/>
      <w:bookmarkStart w:id="354" w:name="_Toc184310312"/>
      <w:bookmarkEnd w:id="354"/>
      <w:bookmarkStart w:id="355" w:name="_Toc184308097"/>
      <w:bookmarkEnd w:id="355"/>
      <w:bookmarkStart w:id="356" w:name="_Toc184310343"/>
      <w:bookmarkEnd w:id="356"/>
      <w:bookmarkStart w:id="357" w:name="_Toc184312107"/>
      <w:bookmarkEnd w:id="357"/>
      <w:bookmarkStart w:id="358" w:name="_Toc184308065"/>
      <w:bookmarkEnd w:id="358"/>
      <w:bookmarkStart w:id="359" w:name="_Toc184308043"/>
      <w:bookmarkEnd w:id="359"/>
      <w:bookmarkStart w:id="360" w:name="_Toc184313279"/>
      <w:bookmarkEnd w:id="360"/>
      <w:bookmarkStart w:id="361" w:name="_Toc184314460"/>
      <w:bookmarkEnd w:id="361"/>
      <w:bookmarkStart w:id="362" w:name="_Toc184314470"/>
      <w:bookmarkEnd w:id="362"/>
      <w:bookmarkStart w:id="363" w:name="_Toc184310276"/>
      <w:bookmarkEnd w:id="363"/>
      <w:bookmarkStart w:id="364" w:name="_Toc184310309"/>
      <w:bookmarkEnd w:id="364"/>
      <w:bookmarkStart w:id="365" w:name="_Toc184312069"/>
      <w:bookmarkEnd w:id="365"/>
      <w:bookmarkStart w:id="366" w:name="_Toc184308085"/>
      <w:bookmarkEnd w:id="366"/>
      <w:bookmarkStart w:id="367" w:name="_Toc184314476"/>
      <w:bookmarkEnd w:id="367"/>
      <w:bookmarkStart w:id="368" w:name="_Toc184310291"/>
      <w:bookmarkEnd w:id="368"/>
      <w:bookmarkStart w:id="369" w:name="_Toc184308080"/>
      <w:bookmarkEnd w:id="369"/>
      <w:r>
        <w:rPr>
          <w:rFonts w:hint="eastAsia" w:ascii="宋体" w:hAnsi="宋体" w:eastAsia="宋体" w:cs="宋体"/>
          <w:color w:val="000000" w:themeColor="text1"/>
          <w14:textFill>
            <w14:solidFill>
              <w14:schemeClr w14:val="tx1"/>
            </w14:solidFill>
          </w14:textFill>
        </w:rPr>
        <w:t>评标办法</w:t>
      </w:r>
    </w:p>
    <w:p w14:paraId="21684644">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14:paraId="6EC97773">
      <w:pPr>
        <w:spacing w:line="360" w:lineRule="auto"/>
        <w:rPr>
          <w:rFonts w:hint="eastAsia"/>
          <w:b/>
          <w:color w:val="000000" w:themeColor="text1"/>
          <w14:textFill>
            <w14:solidFill>
              <w14:schemeClr w14:val="tx1"/>
            </w14:solidFill>
          </w14:textFill>
        </w:rPr>
      </w:pPr>
      <w:r>
        <w:rPr>
          <w:rFonts w:hint="eastAsia"/>
          <w:b/>
          <w:bCs/>
          <w:color w:val="000000" w:themeColor="text1"/>
          <w14:textFill>
            <w14:solidFill>
              <w14:schemeClr w14:val="tx1"/>
            </w14:solidFill>
          </w14:textFill>
        </w:rPr>
        <w:t>商务资信分（90分）</w:t>
      </w:r>
    </w:p>
    <w:tbl>
      <w:tblPr>
        <w:tblStyle w:val="26"/>
        <w:tblW w:w="99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93"/>
        <w:gridCol w:w="720"/>
        <w:gridCol w:w="6549"/>
        <w:gridCol w:w="787"/>
        <w:gridCol w:w="987"/>
      </w:tblGrid>
      <w:tr w14:paraId="739CB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88" w:hRule="atLeast"/>
          <w:jc w:val="center"/>
        </w:trPr>
        <w:tc>
          <w:tcPr>
            <w:tcW w:w="893" w:type="dxa"/>
            <w:shd w:val="clear" w:color="auto" w:fill="auto"/>
            <w:vAlign w:val="center"/>
          </w:tcPr>
          <w:p w14:paraId="6C43C3DA">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7269" w:type="dxa"/>
            <w:gridSpan w:val="2"/>
            <w:tcBorders>
              <w:tl2br w:val="nil"/>
              <w:tr2bl w:val="nil"/>
            </w:tcBorders>
            <w:shd w:val="clear" w:color="auto" w:fill="auto"/>
            <w:vAlign w:val="center"/>
          </w:tcPr>
          <w:p w14:paraId="4C28C7A5">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评分内容和标准</w:t>
            </w:r>
          </w:p>
        </w:tc>
        <w:tc>
          <w:tcPr>
            <w:tcW w:w="787" w:type="dxa"/>
            <w:tcBorders>
              <w:tl2br w:val="nil"/>
              <w:tr2bl w:val="nil"/>
            </w:tcBorders>
            <w:shd w:val="clear" w:color="auto" w:fill="auto"/>
            <w:vAlign w:val="center"/>
          </w:tcPr>
          <w:p w14:paraId="4BC4AAA4">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分值区间</w:t>
            </w:r>
          </w:p>
        </w:tc>
        <w:tc>
          <w:tcPr>
            <w:tcW w:w="987" w:type="dxa"/>
            <w:tcBorders>
              <w:tl2br w:val="nil"/>
              <w:tr2bl w:val="nil"/>
            </w:tcBorders>
            <w:shd w:val="clear" w:color="auto" w:fill="auto"/>
            <w:vAlign w:val="center"/>
          </w:tcPr>
          <w:p w14:paraId="4E45B249">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主/客观分</w:t>
            </w:r>
          </w:p>
        </w:tc>
      </w:tr>
      <w:tr w14:paraId="40615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shd w:val="clear" w:color="auto" w:fill="auto"/>
            <w:vAlign w:val="center"/>
          </w:tcPr>
          <w:p w14:paraId="4BB1607A">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商务资信部分</w:t>
            </w:r>
          </w:p>
        </w:tc>
        <w:tc>
          <w:tcPr>
            <w:tcW w:w="720" w:type="dxa"/>
            <w:tcBorders>
              <w:tl2br w:val="nil"/>
              <w:tr2bl w:val="nil"/>
            </w:tcBorders>
            <w:shd w:val="clear" w:color="auto" w:fill="auto"/>
            <w:vAlign w:val="center"/>
          </w:tcPr>
          <w:p w14:paraId="4DC2B3F1">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6549" w:type="dxa"/>
            <w:tcBorders>
              <w:tl2br w:val="nil"/>
              <w:tr2bl w:val="nil"/>
            </w:tcBorders>
            <w:shd w:val="clear" w:color="auto" w:fill="auto"/>
            <w:vAlign w:val="center"/>
          </w:tcPr>
          <w:p w14:paraId="2DBA8374">
            <w:pPr>
              <w:widowControl/>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自202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年1月1日以来所完成的</w:t>
            </w:r>
            <w:r>
              <w:rPr>
                <w:rFonts w:hint="eastAsia" w:ascii="宋体" w:hAnsi="宋体" w:eastAsia="宋体" w:cs="宋体"/>
                <w:color w:val="000000" w:themeColor="text1"/>
                <w:sz w:val="24"/>
                <w:highlight w:val="none"/>
                <w:lang w:val="en-US" w:eastAsia="zh-CN"/>
                <w14:textFill>
                  <w14:solidFill>
                    <w14:schemeClr w14:val="tx1"/>
                  </w14:solidFill>
                </w14:textFill>
              </w:rPr>
              <w:t>软件产品开发</w:t>
            </w:r>
            <w:r>
              <w:rPr>
                <w:rFonts w:hint="eastAsia" w:ascii="宋体" w:hAnsi="宋体" w:eastAsia="宋体" w:cs="宋体"/>
                <w:color w:val="000000" w:themeColor="text1"/>
                <w:sz w:val="24"/>
                <w:highlight w:val="none"/>
                <w14:textFill>
                  <w14:solidFill>
                    <w14:schemeClr w14:val="tx1"/>
                  </w14:solidFill>
                </w14:textFill>
              </w:rPr>
              <w:t>类业绩，每个业绩得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分，最高得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中提供合同复印件，以合同签订时间为准）</w:t>
            </w:r>
          </w:p>
        </w:tc>
        <w:tc>
          <w:tcPr>
            <w:tcW w:w="787" w:type="dxa"/>
            <w:tcBorders>
              <w:tl2br w:val="nil"/>
              <w:tr2bl w:val="nil"/>
            </w:tcBorders>
            <w:shd w:val="clear" w:color="auto" w:fill="auto"/>
            <w:vAlign w:val="center"/>
          </w:tcPr>
          <w:p w14:paraId="3F0F8A33">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987" w:type="dxa"/>
            <w:tcBorders>
              <w:tl2br w:val="nil"/>
              <w:tr2bl w:val="nil"/>
            </w:tcBorders>
            <w:shd w:val="clear" w:color="auto" w:fill="auto"/>
            <w:vAlign w:val="center"/>
          </w:tcPr>
          <w:p w14:paraId="6B372F0F">
            <w:pPr>
              <w:widowControl/>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r>
      <w:tr w14:paraId="2BDFE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14:paraId="5F207487">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p>
          <w:p w14:paraId="205A7D23">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和服</w:t>
            </w:r>
          </w:p>
          <w:p w14:paraId="5EA3B48E">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务方</w:t>
            </w:r>
          </w:p>
          <w:p w14:paraId="04B29C4F">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案部</w:t>
            </w:r>
          </w:p>
          <w:p w14:paraId="7D306C86">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w:t>
            </w:r>
          </w:p>
        </w:tc>
        <w:tc>
          <w:tcPr>
            <w:tcW w:w="720" w:type="dxa"/>
            <w:tcBorders>
              <w:tl2br w:val="nil"/>
              <w:tr2bl w:val="nil"/>
            </w:tcBorders>
            <w:shd w:val="clear" w:color="auto" w:fill="auto"/>
            <w:vAlign w:val="center"/>
          </w:tcPr>
          <w:p w14:paraId="6649F725">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w:t>
            </w:r>
          </w:p>
        </w:tc>
        <w:tc>
          <w:tcPr>
            <w:tcW w:w="6549" w:type="dxa"/>
            <w:tcBorders>
              <w:tl2br w:val="nil"/>
              <w:tr2bl w:val="nil"/>
            </w:tcBorders>
            <w:shd w:val="clear" w:color="auto" w:fill="auto"/>
            <w:vAlign w:val="center"/>
          </w:tcPr>
          <w:p w14:paraId="7336601F">
            <w:pPr>
              <w:widowControl/>
              <w:spacing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根据招标文件参数中以“</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”号标注的，为主要技术指标，每一条不满足扣</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分，其余一般性指标条款，每一条不满足扣</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分，扣完为止。</w:t>
            </w:r>
          </w:p>
        </w:tc>
        <w:tc>
          <w:tcPr>
            <w:tcW w:w="787" w:type="dxa"/>
            <w:tcBorders>
              <w:tl2br w:val="nil"/>
              <w:tr2bl w:val="nil"/>
            </w:tcBorders>
            <w:shd w:val="clear" w:color="auto" w:fill="auto"/>
            <w:vAlign w:val="center"/>
          </w:tcPr>
          <w:p w14:paraId="40EEA990">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w:t>
            </w:r>
            <w:r>
              <w:rPr>
                <w:rFonts w:hint="eastAsia" w:ascii="宋体" w:hAnsi="宋体" w:eastAsia="宋体" w:cs="宋体"/>
                <w:color w:val="000000" w:themeColor="text1"/>
                <w:sz w:val="24"/>
                <w:highlight w:val="none"/>
                <w:lang w:val="en-US" w:eastAsia="zh-CN"/>
                <w14:textFill>
                  <w14:solidFill>
                    <w14:schemeClr w14:val="tx1"/>
                  </w14:solidFill>
                </w14:textFill>
              </w:rPr>
              <w:t>0</w:t>
            </w:r>
          </w:p>
        </w:tc>
        <w:tc>
          <w:tcPr>
            <w:tcW w:w="987" w:type="dxa"/>
            <w:tcBorders>
              <w:tl2br w:val="nil"/>
              <w:tr2bl w:val="nil"/>
            </w:tcBorders>
            <w:shd w:val="clear" w:color="auto" w:fill="auto"/>
            <w:vAlign w:val="center"/>
          </w:tcPr>
          <w:p w14:paraId="76A090B3">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客观分</w:t>
            </w:r>
          </w:p>
        </w:tc>
      </w:tr>
      <w:tr w14:paraId="6F061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7E906E31">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2A1B6617">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3</w:t>
            </w:r>
          </w:p>
        </w:tc>
        <w:tc>
          <w:tcPr>
            <w:tcW w:w="6549" w:type="dxa"/>
            <w:tcBorders>
              <w:tl2br w:val="nil"/>
              <w:tr2bl w:val="nil"/>
            </w:tcBorders>
            <w:shd w:val="clear" w:color="auto" w:fill="auto"/>
            <w:vAlign w:val="center"/>
          </w:tcPr>
          <w:p w14:paraId="77065EAA">
            <w:pPr>
              <w:widowControl/>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对信息设备管理系统的</w:t>
            </w:r>
            <w:r>
              <w:rPr>
                <w:rFonts w:hint="eastAsia" w:ascii="宋体" w:hAnsi="宋体" w:eastAsia="宋体" w:cs="宋体"/>
                <w:color w:val="000000" w:themeColor="text1"/>
                <w:sz w:val="24"/>
                <w:highlight w:val="none"/>
                <w14:textFill>
                  <w14:solidFill>
                    <w14:schemeClr w14:val="tx1"/>
                  </w14:solidFill>
                </w14:textFill>
              </w:rPr>
              <w:t>建设需求理解</w:t>
            </w:r>
            <w:r>
              <w:rPr>
                <w:rFonts w:hint="eastAsia" w:ascii="宋体" w:hAnsi="宋体" w:eastAsia="宋体" w:cs="宋体"/>
                <w:color w:val="000000" w:themeColor="text1"/>
                <w:sz w:val="24"/>
                <w:highlight w:val="none"/>
                <w:lang w:val="en-US" w:eastAsia="zh-CN"/>
                <w14:textFill>
                  <w14:solidFill>
                    <w14:schemeClr w14:val="tx1"/>
                  </w14:solidFill>
                </w14:textFill>
              </w:rPr>
              <w:t>方面</w:t>
            </w:r>
            <w:r>
              <w:rPr>
                <w:rFonts w:hint="eastAsia" w:ascii="宋体" w:hAnsi="宋体" w:eastAsia="宋体" w:cs="宋体"/>
                <w:color w:val="000000" w:themeColor="text1"/>
                <w:sz w:val="24"/>
                <w:highlight w:val="none"/>
                <w14:textFill>
                  <w14:solidFill>
                    <w14:schemeClr w14:val="tx1"/>
                  </w14:solidFill>
                </w14:textFill>
              </w:rPr>
              <w:t>进行描述，</w:t>
            </w:r>
            <w:r>
              <w:rPr>
                <w:rFonts w:hint="eastAsia" w:ascii="宋体" w:hAnsi="宋体" w:eastAsia="宋体" w:cs="宋体"/>
                <w:color w:val="000000" w:themeColor="text1"/>
                <w:sz w:val="24"/>
                <w:highlight w:val="none"/>
                <w:lang w:val="en-US" w:eastAsia="zh-CN"/>
                <w14:textFill>
                  <w14:solidFill>
                    <w14:schemeClr w14:val="tx1"/>
                  </w14:solidFill>
                </w14:textFill>
              </w:rPr>
              <w:t>根据内容详细程度和对本项目的适配度进行打分</w:t>
            </w: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-4-2-0）</w:t>
            </w:r>
          </w:p>
        </w:tc>
        <w:tc>
          <w:tcPr>
            <w:tcW w:w="787" w:type="dxa"/>
            <w:tcBorders>
              <w:tl2br w:val="nil"/>
              <w:tr2bl w:val="nil"/>
            </w:tcBorders>
            <w:shd w:val="clear" w:color="auto" w:fill="auto"/>
            <w:vAlign w:val="center"/>
          </w:tcPr>
          <w:p w14:paraId="01E6C765">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987" w:type="dxa"/>
            <w:tcBorders>
              <w:tl2br w:val="nil"/>
              <w:tr2bl w:val="nil"/>
            </w:tcBorders>
            <w:shd w:val="clear" w:color="auto" w:fill="auto"/>
            <w:vAlign w:val="center"/>
          </w:tcPr>
          <w:p w14:paraId="2F3126E0">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7CFE0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7131EAA6">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7D3AF9D6">
            <w:pPr>
              <w:widowControl/>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4</w:t>
            </w:r>
          </w:p>
        </w:tc>
        <w:tc>
          <w:tcPr>
            <w:tcW w:w="6549" w:type="dxa"/>
            <w:tcBorders>
              <w:tl2br w:val="nil"/>
              <w:tr2bl w:val="nil"/>
            </w:tcBorders>
            <w:shd w:val="clear" w:color="auto" w:fill="auto"/>
            <w:vAlign w:val="center"/>
          </w:tcPr>
          <w:p w14:paraId="3B61E035">
            <w:pPr>
              <w:widowControl/>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对本项目的</w:t>
            </w:r>
            <w:r>
              <w:rPr>
                <w:rFonts w:hint="eastAsia" w:ascii="宋体" w:hAnsi="宋体" w:eastAsia="宋体" w:cs="宋体"/>
                <w:color w:val="000000" w:themeColor="text1"/>
                <w:sz w:val="24"/>
                <w:highlight w:val="none"/>
                <w14:textFill>
                  <w14:solidFill>
                    <w14:schemeClr w14:val="tx1"/>
                  </w14:solidFill>
                </w14:textFill>
              </w:rPr>
              <w:t>总体架构进行描述，提供项目总体集成方案。</w:t>
            </w:r>
            <w:r>
              <w:rPr>
                <w:rFonts w:hint="eastAsia" w:ascii="宋体" w:hAnsi="宋体" w:eastAsia="宋体" w:cs="宋体"/>
                <w:color w:val="000000" w:themeColor="text1"/>
                <w:sz w:val="24"/>
                <w:highlight w:val="none"/>
                <w:lang w:val="en-US" w:eastAsia="zh-CN"/>
                <w14:textFill>
                  <w14:solidFill>
                    <w14:schemeClr w14:val="tx1"/>
                  </w14:solidFill>
                </w14:textFill>
              </w:rPr>
              <w:t>根据方案完善程度和对本项目的适配度进行打分</w:t>
            </w: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-4-2-0）</w:t>
            </w:r>
          </w:p>
        </w:tc>
        <w:tc>
          <w:tcPr>
            <w:tcW w:w="787" w:type="dxa"/>
            <w:tcBorders>
              <w:tl2br w:val="nil"/>
              <w:tr2bl w:val="nil"/>
            </w:tcBorders>
            <w:shd w:val="clear" w:color="auto" w:fill="auto"/>
            <w:vAlign w:val="center"/>
          </w:tcPr>
          <w:p w14:paraId="02187F0B">
            <w:pPr>
              <w:widowControl/>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987" w:type="dxa"/>
            <w:tcBorders>
              <w:tl2br w:val="nil"/>
              <w:tr2bl w:val="nil"/>
            </w:tcBorders>
            <w:shd w:val="clear" w:color="auto" w:fill="auto"/>
            <w:vAlign w:val="center"/>
          </w:tcPr>
          <w:p w14:paraId="5D468A7D">
            <w:pPr>
              <w:widowControl/>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110A6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5C8DFD46">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09A276E8">
            <w:pPr>
              <w:widowControl/>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5</w:t>
            </w:r>
          </w:p>
        </w:tc>
        <w:tc>
          <w:tcPr>
            <w:tcW w:w="6549" w:type="dxa"/>
            <w:tcBorders>
              <w:tl2br w:val="nil"/>
              <w:tr2bl w:val="nil"/>
            </w:tcBorders>
            <w:shd w:val="clear" w:color="auto" w:fill="auto"/>
            <w:vAlign w:val="center"/>
          </w:tcPr>
          <w:p w14:paraId="3A4092BC">
            <w:pPr>
              <w:widowControl/>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对本项目的开发</w:t>
            </w:r>
            <w:r>
              <w:rPr>
                <w:rFonts w:hint="eastAsia" w:ascii="宋体" w:hAnsi="宋体" w:eastAsia="宋体" w:cs="宋体"/>
                <w:color w:val="000000" w:themeColor="text1"/>
                <w:sz w:val="24"/>
                <w:highlight w:val="none"/>
                <w14:textFill>
                  <w14:solidFill>
                    <w14:schemeClr w14:val="tx1"/>
                  </w14:solidFill>
                </w14:textFill>
              </w:rPr>
              <w:t>技术进行描述。</w:t>
            </w:r>
            <w:r>
              <w:rPr>
                <w:rFonts w:hint="eastAsia" w:ascii="宋体" w:hAnsi="宋体" w:eastAsia="宋体" w:cs="宋体"/>
                <w:color w:val="000000" w:themeColor="text1"/>
                <w:sz w:val="24"/>
                <w:highlight w:val="none"/>
                <w:lang w:val="en-US" w:eastAsia="zh-CN"/>
                <w14:textFill>
                  <w14:solidFill>
                    <w14:schemeClr w14:val="tx1"/>
                  </w14:solidFill>
                </w14:textFill>
              </w:rPr>
              <w:t>根据方案先进性、可行性和对本项目的适配度进行打分</w:t>
            </w: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-4-2-0）</w:t>
            </w:r>
          </w:p>
        </w:tc>
        <w:tc>
          <w:tcPr>
            <w:tcW w:w="787" w:type="dxa"/>
            <w:tcBorders>
              <w:tl2br w:val="nil"/>
              <w:tr2bl w:val="nil"/>
            </w:tcBorders>
            <w:shd w:val="clear" w:color="auto" w:fill="auto"/>
            <w:vAlign w:val="center"/>
          </w:tcPr>
          <w:p w14:paraId="7C2E97A3">
            <w:pPr>
              <w:widowControl/>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987" w:type="dxa"/>
            <w:tcBorders>
              <w:tl2br w:val="nil"/>
              <w:tr2bl w:val="nil"/>
            </w:tcBorders>
            <w:shd w:val="clear" w:color="auto" w:fill="auto"/>
            <w:vAlign w:val="center"/>
          </w:tcPr>
          <w:p w14:paraId="41E66E5B">
            <w:pPr>
              <w:widowControl/>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42528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40C1B8C5">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6515A118">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6</w:t>
            </w:r>
          </w:p>
        </w:tc>
        <w:tc>
          <w:tcPr>
            <w:tcW w:w="6549" w:type="dxa"/>
            <w:tcBorders>
              <w:tl2br w:val="nil"/>
              <w:tr2bl w:val="nil"/>
            </w:tcBorders>
            <w:shd w:val="clear" w:color="auto" w:fill="auto"/>
            <w:vAlign w:val="center"/>
          </w:tcPr>
          <w:p w14:paraId="3CD1354D">
            <w:pPr>
              <w:widowControl/>
              <w:spacing w:line="400" w:lineRule="exact"/>
              <w:jc w:val="left"/>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投标单位</w:t>
            </w:r>
            <w:r>
              <w:rPr>
                <w:rFonts w:hint="eastAsia" w:ascii="宋体" w:hAnsi="宋体" w:eastAsia="宋体" w:cs="宋体"/>
                <w:color w:val="000000" w:themeColor="text1"/>
                <w:sz w:val="24"/>
                <w:highlight w:val="none"/>
                <w:lang w:bidi="ar"/>
                <w14:textFill>
                  <w14:solidFill>
                    <w14:schemeClr w14:val="tx1"/>
                  </w14:solidFill>
                </w14:textFill>
              </w:rPr>
              <w:fldChar w:fldCharType="begin"/>
            </w:r>
            <w:r>
              <w:rPr>
                <w:rFonts w:hint="eastAsia" w:ascii="宋体" w:hAnsi="宋体" w:eastAsia="宋体" w:cs="宋体"/>
                <w:color w:val="000000" w:themeColor="text1"/>
                <w:sz w:val="24"/>
                <w:highlight w:val="none"/>
                <w:lang w:bidi="ar"/>
                <w14:textFill>
                  <w14:solidFill>
                    <w14:schemeClr w14:val="tx1"/>
                  </w14:solidFill>
                </w14:textFill>
              </w:rPr>
              <w:instrText xml:space="preserve"> = 1 \* GB3 </w:instrText>
            </w:r>
            <w:r>
              <w:rPr>
                <w:rFonts w:hint="eastAsia" w:ascii="宋体" w:hAnsi="宋体" w:eastAsia="宋体" w:cs="宋体"/>
                <w:color w:val="000000" w:themeColor="text1"/>
                <w:sz w:val="24"/>
                <w:highlight w:val="none"/>
                <w:lang w:bidi="ar"/>
                <w14:textFill>
                  <w14:solidFill>
                    <w14:schemeClr w14:val="tx1"/>
                  </w14:solidFill>
                </w14:textFill>
              </w:rPr>
              <w:fldChar w:fldCharType="separate"/>
            </w:r>
            <w:r>
              <w:rPr>
                <w:rFonts w:hint="eastAsia" w:ascii="宋体" w:hAnsi="宋体" w:eastAsia="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sz w:val="24"/>
                <w:highlight w:val="none"/>
                <w:lang w:bidi="ar"/>
                <w14:textFill>
                  <w14:solidFill>
                    <w14:schemeClr w14:val="tx1"/>
                  </w14:solidFill>
                </w14:textFill>
              </w:rPr>
              <w:fldChar w:fldCharType="end"/>
            </w:r>
            <w:r>
              <w:rPr>
                <w:rFonts w:hint="eastAsia" w:ascii="宋体" w:hAnsi="宋体" w:eastAsia="宋体" w:cs="宋体"/>
                <w:color w:val="000000" w:themeColor="text1"/>
                <w:sz w:val="24"/>
                <w:highlight w:val="none"/>
                <w:lang w:bidi="ar"/>
                <w14:textFill>
                  <w14:solidFill>
                    <w14:schemeClr w14:val="tx1"/>
                  </w14:solidFill>
                </w14:textFill>
              </w:rPr>
              <w:t>提供进度计划，要求安排合理，满足总体集成服务关键节点的要求，并有具体相应的有效保证进度的措施；同时提供针对本项目的</w:t>
            </w:r>
            <w:r>
              <w:rPr>
                <w:rFonts w:hint="eastAsia" w:ascii="宋体" w:hAnsi="宋体" w:eastAsia="宋体" w:cs="宋体"/>
                <w:color w:val="000000" w:themeColor="text1"/>
                <w:sz w:val="24"/>
                <w:highlight w:val="none"/>
                <w:lang w:bidi="ar"/>
                <w14:textFill>
                  <w14:solidFill>
                    <w14:schemeClr w14:val="tx1"/>
                  </w14:solidFill>
                </w14:textFill>
              </w:rPr>
              <w:fldChar w:fldCharType="begin"/>
            </w:r>
            <w:r>
              <w:rPr>
                <w:rFonts w:hint="eastAsia" w:ascii="宋体" w:hAnsi="宋体" w:eastAsia="宋体" w:cs="宋体"/>
                <w:color w:val="000000" w:themeColor="text1"/>
                <w:sz w:val="24"/>
                <w:highlight w:val="none"/>
                <w:lang w:bidi="ar"/>
                <w14:textFill>
                  <w14:solidFill>
                    <w14:schemeClr w14:val="tx1"/>
                  </w14:solidFill>
                </w14:textFill>
              </w:rPr>
              <w:instrText xml:space="preserve"> = 2 \* GB3 </w:instrText>
            </w:r>
            <w:r>
              <w:rPr>
                <w:rFonts w:hint="eastAsia" w:ascii="宋体" w:hAnsi="宋体" w:eastAsia="宋体" w:cs="宋体"/>
                <w:color w:val="000000" w:themeColor="text1"/>
                <w:sz w:val="24"/>
                <w:highlight w:val="none"/>
                <w:lang w:bidi="ar"/>
                <w14:textFill>
                  <w14:solidFill>
                    <w14:schemeClr w14:val="tx1"/>
                  </w14:solidFill>
                </w14:textFill>
              </w:rPr>
              <w:fldChar w:fldCharType="separate"/>
            </w:r>
            <w:r>
              <w:rPr>
                <w:rFonts w:hint="eastAsia" w:ascii="宋体" w:hAnsi="宋体" w:eastAsia="宋体" w:cs="宋体"/>
                <w:color w:val="000000" w:themeColor="text1"/>
                <w:sz w:val="24"/>
                <w:highlight w:val="none"/>
                <w:lang w:bidi="ar"/>
                <w14:textFill>
                  <w14:solidFill>
                    <w14:schemeClr w14:val="tx1"/>
                  </w14:solidFill>
                </w14:textFill>
              </w:rPr>
              <w:t>②</w:t>
            </w:r>
            <w:r>
              <w:rPr>
                <w:rFonts w:hint="eastAsia" w:ascii="宋体" w:hAnsi="宋体" w:eastAsia="宋体" w:cs="宋体"/>
                <w:color w:val="000000" w:themeColor="text1"/>
                <w:sz w:val="24"/>
                <w:highlight w:val="none"/>
                <w:lang w:bidi="ar"/>
                <w14:textFill>
                  <w14:solidFill>
                    <w14:schemeClr w14:val="tx1"/>
                  </w14:solidFill>
                </w14:textFill>
              </w:rPr>
              <w:fldChar w:fldCharType="end"/>
            </w:r>
            <w:r>
              <w:rPr>
                <w:rFonts w:hint="eastAsia" w:ascii="宋体" w:hAnsi="宋体" w:eastAsia="宋体" w:cs="宋体"/>
                <w:color w:val="000000" w:themeColor="text1"/>
                <w:sz w:val="24"/>
                <w:highlight w:val="none"/>
                <w:lang w:bidi="ar"/>
                <w14:textFill>
                  <w14:solidFill>
                    <w14:schemeClr w14:val="tx1"/>
                  </w14:solidFill>
                </w14:textFill>
              </w:rPr>
              <w:t>应急供货保证方案，包括但不限于应急机构的设置、</w:t>
            </w:r>
            <w:r>
              <w:rPr>
                <w:rFonts w:hint="eastAsia" w:ascii="宋体" w:hAnsi="宋体" w:eastAsia="宋体" w:cs="宋体"/>
                <w:color w:val="000000" w:themeColor="text1"/>
                <w:sz w:val="24"/>
                <w:highlight w:val="none"/>
                <w:lang w:bidi="ar"/>
                <w14:textFill>
                  <w14:solidFill>
                    <w14:schemeClr w14:val="tx1"/>
                  </w14:solidFill>
                </w14:textFill>
              </w:rPr>
              <w:fldChar w:fldCharType="begin"/>
            </w:r>
            <w:r>
              <w:rPr>
                <w:rFonts w:hint="eastAsia" w:ascii="宋体" w:hAnsi="宋体" w:eastAsia="宋体" w:cs="宋体"/>
                <w:color w:val="000000" w:themeColor="text1"/>
                <w:sz w:val="24"/>
                <w:highlight w:val="none"/>
                <w:lang w:bidi="ar"/>
                <w14:textFill>
                  <w14:solidFill>
                    <w14:schemeClr w14:val="tx1"/>
                  </w14:solidFill>
                </w14:textFill>
              </w:rPr>
              <w:instrText xml:space="preserve"> = 3 \* GB3 </w:instrText>
            </w:r>
            <w:r>
              <w:rPr>
                <w:rFonts w:hint="eastAsia" w:ascii="宋体" w:hAnsi="宋体" w:eastAsia="宋体" w:cs="宋体"/>
                <w:color w:val="000000" w:themeColor="text1"/>
                <w:sz w:val="24"/>
                <w:highlight w:val="none"/>
                <w:lang w:bidi="ar"/>
                <w14:textFill>
                  <w14:solidFill>
                    <w14:schemeClr w14:val="tx1"/>
                  </w14:solidFill>
                </w14:textFill>
              </w:rPr>
              <w:fldChar w:fldCharType="separate"/>
            </w:r>
            <w:r>
              <w:rPr>
                <w:rFonts w:hint="eastAsia" w:ascii="宋体" w:hAnsi="宋体" w:eastAsia="宋体" w:cs="宋体"/>
                <w:color w:val="000000" w:themeColor="text1"/>
                <w:sz w:val="24"/>
                <w:highlight w:val="none"/>
                <w:lang w:bidi="ar"/>
                <w14:textFill>
                  <w14:solidFill>
                    <w14:schemeClr w14:val="tx1"/>
                  </w14:solidFill>
                </w14:textFill>
              </w:rPr>
              <w:t>③</w:t>
            </w:r>
            <w:r>
              <w:rPr>
                <w:rFonts w:hint="eastAsia" w:ascii="宋体" w:hAnsi="宋体" w:eastAsia="宋体" w:cs="宋体"/>
                <w:color w:val="000000" w:themeColor="text1"/>
                <w:sz w:val="24"/>
                <w:highlight w:val="none"/>
                <w:lang w:bidi="ar"/>
                <w14:textFill>
                  <w14:solidFill>
                    <w14:schemeClr w14:val="tx1"/>
                  </w14:solidFill>
                </w14:textFill>
              </w:rPr>
              <w:fldChar w:fldCharType="end"/>
            </w:r>
            <w:r>
              <w:rPr>
                <w:rFonts w:hint="eastAsia" w:ascii="宋体" w:hAnsi="宋体" w:eastAsia="宋体" w:cs="宋体"/>
                <w:color w:val="000000" w:themeColor="text1"/>
                <w:sz w:val="24"/>
                <w:highlight w:val="none"/>
                <w:lang w:bidi="ar"/>
                <w14:textFill>
                  <w14:solidFill>
                    <w14:schemeClr w14:val="tx1"/>
                  </w14:solidFill>
                </w14:textFill>
              </w:rPr>
              <w:t>应急人员的保障计划等。</w:t>
            </w:r>
          </w:p>
          <w:p w14:paraId="239F936A">
            <w:pPr>
              <w:widowControl/>
              <w:spacing w:line="400" w:lineRule="exact"/>
              <w:jc w:val="left"/>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-3-1-0）</w:t>
            </w:r>
          </w:p>
        </w:tc>
        <w:tc>
          <w:tcPr>
            <w:tcW w:w="787" w:type="dxa"/>
            <w:tcBorders>
              <w:tl2br w:val="nil"/>
              <w:tr2bl w:val="nil"/>
            </w:tcBorders>
            <w:shd w:val="clear" w:color="auto" w:fill="auto"/>
            <w:vAlign w:val="center"/>
          </w:tcPr>
          <w:p w14:paraId="0E55CF39">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987" w:type="dxa"/>
            <w:tcBorders>
              <w:tl2br w:val="nil"/>
              <w:tr2bl w:val="nil"/>
            </w:tcBorders>
            <w:shd w:val="clear" w:color="auto" w:fill="auto"/>
            <w:vAlign w:val="center"/>
          </w:tcPr>
          <w:p w14:paraId="4A471DAF">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6F9A8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11EE3DD7">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1F6513CA">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7</w:t>
            </w:r>
          </w:p>
        </w:tc>
        <w:tc>
          <w:tcPr>
            <w:tcW w:w="6549" w:type="dxa"/>
            <w:tcBorders>
              <w:tl2br w:val="nil"/>
              <w:tr2bl w:val="nil"/>
            </w:tcBorders>
            <w:shd w:val="clear" w:color="auto" w:fill="auto"/>
            <w:vAlign w:val="center"/>
          </w:tcPr>
          <w:p w14:paraId="0A0C2933">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对投标单位所提供售后服务方案的科学性、合理性、具体性进行横向比较评审，包括但不限于售后响应、支撑、解决问题能力等：</w:t>
            </w:r>
          </w:p>
          <w:p w14:paraId="66CEF4F4">
            <w:pPr>
              <w:widowControl/>
              <w:spacing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-3-1-0）</w:t>
            </w:r>
          </w:p>
        </w:tc>
        <w:tc>
          <w:tcPr>
            <w:tcW w:w="787" w:type="dxa"/>
            <w:tcBorders>
              <w:tl2br w:val="nil"/>
              <w:tr2bl w:val="nil"/>
            </w:tcBorders>
            <w:shd w:val="clear" w:color="auto" w:fill="auto"/>
            <w:vAlign w:val="center"/>
          </w:tcPr>
          <w:p w14:paraId="54790C6E">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987" w:type="dxa"/>
            <w:tcBorders>
              <w:tl2br w:val="nil"/>
              <w:tr2bl w:val="nil"/>
            </w:tcBorders>
            <w:shd w:val="clear" w:color="auto" w:fill="auto"/>
            <w:vAlign w:val="center"/>
          </w:tcPr>
          <w:p w14:paraId="408123E5">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7B2B6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59D829BF">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00E6B8D7">
            <w:pPr>
              <w:widowControl/>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8</w:t>
            </w:r>
          </w:p>
        </w:tc>
        <w:tc>
          <w:tcPr>
            <w:tcW w:w="6549" w:type="dxa"/>
            <w:tcBorders>
              <w:tl2br w:val="nil"/>
              <w:tr2bl w:val="nil"/>
            </w:tcBorders>
            <w:shd w:val="clear" w:color="auto" w:fill="auto"/>
            <w:vAlign w:val="center"/>
          </w:tcPr>
          <w:p w14:paraId="681E8EB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对本项目服务内容熟悉程度、资料收集情况。</w:t>
            </w:r>
          </w:p>
          <w:p w14:paraId="36BC335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（本项分值设置为： </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-3-1-0）</w:t>
            </w:r>
          </w:p>
        </w:tc>
        <w:tc>
          <w:tcPr>
            <w:tcW w:w="787" w:type="dxa"/>
            <w:tcBorders>
              <w:tl2br w:val="nil"/>
              <w:tr2bl w:val="nil"/>
            </w:tcBorders>
            <w:shd w:val="clear" w:color="auto" w:fill="auto"/>
            <w:vAlign w:val="center"/>
          </w:tcPr>
          <w:p w14:paraId="7364DAF7">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987" w:type="dxa"/>
            <w:tcBorders>
              <w:tl2br w:val="nil"/>
              <w:tr2bl w:val="nil"/>
            </w:tcBorders>
            <w:shd w:val="clear" w:color="auto" w:fill="auto"/>
            <w:vAlign w:val="center"/>
          </w:tcPr>
          <w:p w14:paraId="6D614973">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515EA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01AB713C">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7C16694A">
            <w:pPr>
              <w:widowControl/>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9</w:t>
            </w:r>
          </w:p>
        </w:tc>
        <w:tc>
          <w:tcPr>
            <w:tcW w:w="6549" w:type="dxa"/>
            <w:tcBorders>
              <w:tl2br w:val="nil"/>
              <w:tr2bl w:val="nil"/>
            </w:tcBorders>
            <w:shd w:val="clear" w:color="auto" w:fill="auto"/>
            <w:vAlign w:val="center"/>
          </w:tcPr>
          <w:p w14:paraId="3E744CCD">
            <w:pPr>
              <w:widowControl/>
              <w:spacing w:line="400" w:lineRule="exact"/>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对本项目的合理化建议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提供一条有实施性的建议或意见的得1分，本项最高得3分。</w:t>
            </w:r>
          </w:p>
        </w:tc>
        <w:tc>
          <w:tcPr>
            <w:tcW w:w="787" w:type="dxa"/>
            <w:tcBorders>
              <w:tl2br w:val="nil"/>
              <w:tr2bl w:val="nil"/>
            </w:tcBorders>
            <w:shd w:val="clear" w:color="auto" w:fill="auto"/>
            <w:vAlign w:val="center"/>
          </w:tcPr>
          <w:p w14:paraId="749F9357">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w:t>
            </w:r>
          </w:p>
        </w:tc>
        <w:tc>
          <w:tcPr>
            <w:tcW w:w="987" w:type="dxa"/>
            <w:tcBorders>
              <w:tl2br w:val="nil"/>
              <w:tr2bl w:val="nil"/>
            </w:tcBorders>
            <w:shd w:val="clear" w:color="auto" w:fill="auto"/>
            <w:vAlign w:val="center"/>
          </w:tcPr>
          <w:p w14:paraId="4F022770">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r w14:paraId="018D1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14:paraId="4305C785">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tcBorders>
              <w:tl2br w:val="nil"/>
              <w:tr2bl w:val="nil"/>
            </w:tcBorders>
            <w:shd w:val="clear" w:color="auto" w:fill="auto"/>
            <w:vAlign w:val="center"/>
          </w:tcPr>
          <w:p w14:paraId="4178C99B">
            <w:pPr>
              <w:widowControl/>
              <w:spacing w:line="4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10</w:t>
            </w:r>
            <w:bookmarkStart w:id="526" w:name="_GoBack"/>
            <w:bookmarkEnd w:id="526"/>
          </w:p>
        </w:tc>
        <w:tc>
          <w:tcPr>
            <w:tcW w:w="6549" w:type="dxa"/>
            <w:tcBorders>
              <w:tl2br w:val="nil"/>
              <w:tr2bl w:val="nil"/>
            </w:tcBorders>
            <w:shd w:val="clear" w:color="auto" w:fill="auto"/>
            <w:vAlign w:val="center"/>
          </w:tcPr>
          <w:p w14:paraId="3817A99C">
            <w:pPr>
              <w:pStyle w:val="13"/>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需在投标现场进行功能演示，要求自备演示</w:t>
            </w:r>
            <w:r>
              <w:rPr>
                <w:rFonts w:hint="eastAsia" w:ascii="宋体" w:hAnsi="宋体" w:eastAsia="宋体" w:cs="宋体"/>
                <w:color w:val="000000" w:themeColor="text1"/>
                <w:sz w:val="24"/>
                <w:highlight w:val="none"/>
                <w:lang w:val="en-US" w:eastAsia="zh-CN"/>
                <w14:textFill>
                  <w14:solidFill>
                    <w14:schemeClr w14:val="tx1"/>
                  </w14:solidFill>
                </w14:textFill>
              </w:rPr>
              <w:t>系统及</w:t>
            </w:r>
            <w:r>
              <w:rPr>
                <w:rFonts w:hint="eastAsia" w:ascii="宋体" w:hAnsi="宋体" w:eastAsia="宋体" w:cs="宋体"/>
                <w:color w:val="000000" w:themeColor="text1"/>
                <w:sz w:val="24"/>
                <w:highlight w:val="none"/>
                <w14:textFill>
                  <w14:solidFill>
                    <w14:schemeClr w14:val="tx1"/>
                  </w14:solidFill>
                </w14:textFill>
              </w:rPr>
              <w:t>设备。每条功能成功演示得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分，最高不超过</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0分，不提供不得分。演示内容包含：</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(在评标时供应商需参与现场演示，采购人仅对供应商提供电源，其他演示所需设备由供应商自带，总体演示时间不超过20分钟。演示如果使用PPT、FLASH、视频或演示DEMO软件不得分。)</w:t>
            </w:r>
          </w:p>
          <w:p w14:paraId="36798B04">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基础监控</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0CDD593B">
            <w:pPr>
              <w:pStyle w:val="13"/>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灵活的数据采集</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支持采集数据最小轮询间隔设置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7E755EA3">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监控代理</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支持推送或拉取形式获取数据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4E0D831E">
            <w:pPr>
              <w:pStyle w:val="13"/>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问题发现</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00482FEB">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阈值设置 </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支持多个严重级别的定义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6FF1A872">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关键问题告警</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00D308DD">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告警消息定制 </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根据问题类型和收件人的角色自定义消息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7F91DEE5">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告警消息场景</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支持将问题上报给其他用户组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7C50D0AC">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数据可视化</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37832A7A">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图形分析</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点击按钮即可显示单个或多个指标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2B5E4E34">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显示任何时间段的历史数据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5F25079A">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将图形导出为图片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1A20E21A">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可扩展与高可用</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31AE5641">
            <w:pPr>
              <w:pStyle w:val="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资产信息 </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将采集到的指标数据作为主机资产信息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p w14:paraId="722C562F">
            <w:pPr>
              <w:pStyle w:val="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开放API集成 </w:t>
            </w:r>
            <w:r>
              <w:rPr>
                <w:rFonts w:hint="eastAsia"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创建具有有效日期的命名API令牌，以便安全访问API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满足得2分，不满足不得分。</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787" w:type="dxa"/>
            <w:tcBorders>
              <w:tl2br w:val="nil"/>
              <w:tr2bl w:val="nil"/>
            </w:tcBorders>
            <w:shd w:val="clear" w:color="auto" w:fill="auto"/>
            <w:vAlign w:val="center"/>
          </w:tcPr>
          <w:p w14:paraId="67E493E0">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0分</w:t>
            </w:r>
          </w:p>
        </w:tc>
        <w:tc>
          <w:tcPr>
            <w:tcW w:w="987" w:type="dxa"/>
            <w:tcBorders>
              <w:tl2br w:val="nil"/>
              <w:tr2bl w:val="nil"/>
            </w:tcBorders>
            <w:shd w:val="clear" w:color="auto" w:fill="auto"/>
            <w:vAlign w:val="center"/>
          </w:tcPr>
          <w:p w14:paraId="6CF7BA9F">
            <w:pPr>
              <w:widowControl/>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主观分</w:t>
            </w:r>
          </w:p>
        </w:tc>
      </w:tr>
    </w:tbl>
    <w:p w14:paraId="7B57CD6D">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价格分（10分）</w:t>
      </w:r>
    </w:p>
    <w:tbl>
      <w:tblPr>
        <w:tblStyle w:val="2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14:paraId="2527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0B5CFDAA">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价格分</w:t>
            </w:r>
          </w:p>
        </w:tc>
        <w:tc>
          <w:tcPr>
            <w:tcW w:w="553" w:type="dxa"/>
            <w:vAlign w:val="center"/>
          </w:tcPr>
          <w:p w14:paraId="35F7D624">
            <w:pPr>
              <w:pStyle w:val="49"/>
              <w:numPr>
                <w:ilvl w:val="0"/>
                <w:numId w:val="3"/>
              </w:numPr>
              <w:spacing w:after="0"/>
              <w:jc w:val="center"/>
              <w:rPr>
                <w:rFonts w:ascii="宋体" w:hAnsi="宋体" w:eastAsia="宋体" w:cs="宋体"/>
                <w:color w:val="000000" w:themeColor="text1"/>
                <w14:textFill>
                  <w14:solidFill>
                    <w14:schemeClr w14:val="tx1"/>
                  </w14:solidFill>
                </w14:textFill>
              </w:rPr>
            </w:pPr>
          </w:p>
        </w:tc>
        <w:tc>
          <w:tcPr>
            <w:tcW w:w="1937" w:type="dxa"/>
            <w:vAlign w:val="center"/>
          </w:tcPr>
          <w:p w14:paraId="71B84853">
            <w:pPr>
              <w:rPr>
                <w:color w:val="000000" w:themeColor="text1"/>
                <w14:textFill>
                  <w14:solidFill>
                    <w14:schemeClr w14:val="tx1"/>
                  </w14:solidFill>
                </w14:textFill>
              </w:rPr>
            </w:pPr>
            <w:r>
              <w:rPr>
                <w:rFonts w:hint="eastAsia"/>
                <w:color w:val="000000" w:themeColor="text1"/>
                <w14:textFill>
                  <w14:solidFill>
                    <w14:schemeClr w14:val="tx1"/>
                  </w14:solidFill>
                </w14:textFill>
              </w:rPr>
              <w:t>价格权值=0.10</w:t>
            </w:r>
          </w:p>
        </w:tc>
        <w:tc>
          <w:tcPr>
            <w:tcW w:w="6142" w:type="dxa"/>
          </w:tcPr>
          <w:p w14:paraId="1C05EF1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最低有效投标价格为评标基准价</w:t>
            </w:r>
          </w:p>
          <w:p w14:paraId="711B77A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投标报价得分=(评标基准价／投标报价)×价格权值×100 </w:t>
            </w:r>
          </w:p>
          <w:p w14:paraId="7AE969C7">
            <w:pPr>
              <w:rPr>
                <w:color w:val="000000" w:themeColor="text1"/>
                <w14:textFill>
                  <w14:solidFill>
                    <w14:schemeClr w14:val="tx1"/>
                  </w14:solidFill>
                </w14:textFill>
              </w:rPr>
            </w:pPr>
            <w:r>
              <w:rPr>
                <w:rFonts w:hint="eastAsia"/>
                <w:color w:val="000000" w:themeColor="text1"/>
                <w14:textFill>
                  <w14:solidFill>
                    <w14:schemeClr w14:val="tx1"/>
                  </w14:solidFill>
                </w14:textFill>
              </w:rPr>
              <w:t>（计算得分保留小数点后2位）</w:t>
            </w:r>
          </w:p>
        </w:tc>
      </w:tr>
    </w:tbl>
    <w:p w14:paraId="71BA407C">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r>
        <w:rPr>
          <w:rFonts w:hint="eastAsia"/>
          <w:color w:val="000000" w:themeColor="text1"/>
          <w14:textFill>
            <w14:solidFill>
              <w14:schemeClr w14:val="tx1"/>
            </w14:solidFill>
          </w14:textFill>
        </w:rPr>
        <w:t>1、评分条款中涉及的业绩、荣誉、人员、社保等分公司均有效。</w:t>
      </w:r>
    </w:p>
    <w:p w14:paraId="15BC44D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FD2E05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3、供应商编制响应文件（商务技术文件部分）时，建议按此目录（序号和内容）提供评标标准相应的商务技术资料。 </w:t>
      </w:r>
    </w:p>
    <w:p w14:paraId="16D7A0F9">
      <w:pPr>
        <w:rPr>
          <w:color w:val="000000" w:themeColor="text1"/>
          <w14:textFill>
            <w14:solidFill>
              <w14:schemeClr w14:val="tx1"/>
            </w14:solidFill>
          </w14:textFill>
        </w:rPr>
      </w:pPr>
    </w:p>
    <w:p w14:paraId="5F6EBE72">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3CE23CAC">
      <w:pPr>
        <w:spacing w:line="360" w:lineRule="auto"/>
        <w:ind w:firstLine="472" w:firstLineChars="196"/>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1.本项目采用综合评分法。</w:t>
      </w:r>
      <w:r>
        <w:rPr>
          <w:rFonts w:hint="eastAsia"/>
          <w:color w:val="000000" w:themeColor="text1"/>
          <w14:textFill>
            <w14:solidFill>
              <w14:schemeClr w14:val="tx1"/>
            </w14:solidFill>
          </w14:textFill>
        </w:rPr>
        <w:t>综合评分法，是指响应文件满足交易文件全部实质性要求，且按照评审因素的量化指标评审得分最高的供应商为中标候选人的评标方法。</w:t>
      </w:r>
    </w:p>
    <w:p w14:paraId="74587685">
      <w:pPr>
        <w:pStyle w:val="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1CD6803A">
      <w:pPr>
        <w:spacing w:line="360" w:lineRule="auto"/>
        <w:ind w:firstLine="472" w:firstLineChars="196"/>
        <w:rPr>
          <w:b/>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2. 评标标准：</w:t>
      </w:r>
      <w:r>
        <w:rPr>
          <w:rFonts w:hint="eastAsia"/>
          <w:color w:val="000000" w:themeColor="text1"/>
          <w14:textFill>
            <w14:solidFill>
              <w14:schemeClr w14:val="tx1"/>
            </w14:solidFill>
          </w14:textFill>
        </w:rPr>
        <w:t>见评标办法前附表。</w:t>
      </w:r>
    </w:p>
    <w:p w14:paraId="1545E355">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09456FFA">
      <w:pPr>
        <w:spacing w:line="360" w:lineRule="auto"/>
        <w:ind w:firstLine="472" w:firstLineChars="196"/>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3.1符合性审查。</w:t>
      </w:r>
      <w:r>
        <w:rPr>
          <w:rFonts w:hint="eastAsia"/>
          <w:color w:val="000000" w:themeColor="text1"/>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14:paraId="568754AC">
      <w:pPr>
        <w:spacing w:line="360" w:lineRule="auto"/>
        <w:ind w:firstLine="472" w:firstLineChars="196"/>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3.2 比较与评价。</w:t>
      </w:r>
      <w:r>
        <w:rPr>
          <w:rFonts w:hint="eastAsia"/>
          <w:color w:val="000000" w:themeColor="text1"/>
          <w14:textFill>
            <w14:solidFill>
              <w14:schemeClr w14:val="tx1"/>
            </w14:solidFill>
          </w14:textFill>
        </w:rPr>
        <w:t>评标委员会应当按照交易文件中规定的评标方法和标准，对符合性审查合格的响应文件进行商务和技术评估，综合比较与评价。</w:t>
      </w:r>
    </w:p>
    <w:p w14:paraId="1128CB9E">
      <w:pPr>
        <w:spacing w:line="360" w:lineRule="auto"/>
        <w:ind w:firstLine="472" w:firstLineChars="196"/>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3.3汇总商务技术得分。</w:t>
      </w:r>
      <w:r>
        <w:rPr>
          <w:rFonts w:hint="eastAsia"/>
          <w:color w:val="000000" w:themeColor="text1"/>
          <w14:textFill>
            <w14:solidFill>
              <w14:schemeClr w14:val="tx1"/>
            </w14:solidFill>
          </w14:textFill>
        </w:rPr>
        <w:t>评标委员会各成员应当独立对每个供应商的商务和技术文件进行评价，并汇总商务技术得分情况。</w:t>
      </w:r>
    </w:p>
    <w:p w14:paraId="15B35826">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63D71DB9">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3.4.1响应文件报价出现前后不一致的，按照下列规定修正：</w:t>
      </w:r>
    </w:p>
    <w:p w14:paraId="1A219AE6">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3.4.1.1响应文件中开标一览表(报价表)内容与响应文件中相应内容不一致的，以开标一览表(报价表)为准;</w:t>
      </w:r>
    </w:p>
    <w:p w14:paraId="39416B91">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24F5E01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4330D56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3D2D5FE6">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6E9D8EC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3.4.2响应文件出现不是唯一的、有选择性投标报价的，投标无效。</w:t>
      </w:r>
    </w:p>
    <w:p w14:paraId="54BE126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3.4.3投标报价超过交易文件中规定的预算金额或者最高限价的，投标无效。</w:t>
      </w:r>
    </w:p>
    <w:p w14:paraId="42001869">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7B1BEB68">
      <w:pPr>
        <w:spacing w:line="360" w:lineRule="auto"/>
        <w:ind w:firstLine="482" w:firstLineChars="200"/>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3.5排序与推荐。</w:t>
      </w:r>
      <w:r>
        <w:rPr>
          <w:rFonts w:hint="eastAsia"/>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14:paraId="71B15290">
      <w:pPr>
        <w:spacing w:line="360" w:lineRule="auto"/>
        <w:rPr>
          <w:b/>
          <w:color w:val="000000" w:themeColor="text1"/>
          <w14:textFill>
            <w14:solidFill>
              <w14:schemeClr w14:val="tx1"/>
            </w14:solidFill>
          </w14:textFill>
        </w:rPr>
      </w:pPr>
      <w:r>
        <w:rPr>
          <w:rFonts w:hint="eastAsia"/>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11ADFE8B">
      <w:pPr>
        <w:spacing w:line="360" w:lineRule="auto"/>
        <w:ind w:firstLine="472" w:firstLineChars="196"/>
        <w:rPr>
          <w:color w:val="000000" w:themeColor="text1"/>
          <w14:textFill>
            <w14:solidFill>
              <w14:schemeClr w14:val="tx1"/>
            </w14:solidFill>
          </w14:textFill>
        </w:rPr>
      </w:pPr>
      <w:r>
        <w:rPr>
          <w:rStyle w:val="39"/>
          <w:rFonts w:hint="eastAsia" w:ascii="宋体" w:hAnsi="宋体" w:eastAsia="宋体"/>
          <w:color w:val="000000" w:themeColor="text1"/>
          <w14:textFill>
            <w14:solidFill>
              <w14:schemeClr w14:val="tx1"/>
            </w14:solidFill>
          </w14:textFill>
        </w:rPr>
        <w:t>3.6编写评标报告。</w:t>
      </w:r>
      <w:r>
        <w:rPr>
          <w:rFonts w:hint="eastAsia"/>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57DC8B">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74E3C22F">
      <w:pPr>
        <w:pStyle w:val="63"/>
        <w:rPr>
          <w:rFonts w:ascii="宋体" w:hAnsi="宋体" w:eastAsia="宋体" w:cs="宋体"/>
          <w:color w:val="000000" w:themeColor="text1"/>
          <w14:textFill>
            <w14:solidFill>
              <w14:schemeClr w14:val="tx1"/>
            </w14:solidFill>
          </w14:textFill>
        </w:rPr>
      </w:pPr>
      <w:r>
        <w:rPr>
          <w:rStyle w:val="39"/>
          <w:rFonts w:hint="eastAsia" w:ascii="宋体" w:hAnsi="宋体" w:eastAsia="宋体" w:cs="宋体"/>
          <w:color w:val="000000" w:themeColor="text1"/>
          <w14:textFill>
            <w14:solidFill>
              <w14:schemeClr w14:val="tx1"/>
            </w14:solidFill>
          </w14:textFill>
        </w:rPr>
        <w:t>4.1供应商澄清、说明或者补正。</w:t>
      </w:r>
      <w:r>
        <w:rPr>
          <w:rFonts w:hint="eastAsia" w:ascii="宋体" w:hAnsi="宋体" w:eastAsia="宋体" w:cs="宋体"/>
          <w:color w:val="000000" w:themeColor="text1"/>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C7BD6D1">
      <w:pPr>
        <w:pStyle w:val="16"/>
        <w:spacing w:line="360" w:lineRule="auto"/>
        <w:ind w:left="1021" w:leftChars="226" w:hanging="479" w:firstLineChars="0"/>
        <w:rPr>
          <w:rFonts w:cs="宋体"/>
          <w:color w:val="000000" w:themeColor="text1"/>
          <w:szCs w:val="21"/>
          <w14:textFill>
            <w14:solidFill>
              <w14:schemeClr w14:val="tx1"/>
            </w14:solidFill>
          </w14:textFill>
        </w:rPr>
      </w:pPr>
      <w:r>
        <w:rPr>
          <w:rStyle w:val="39"/>
          <w:rFonts w:hint="eastAsia" w:ascii="宋体" w:hAnsi="宋体" w:eastAsia="宋体" w:cs="宋体"/>
          <w:color w:val="000000" w:themeColor="text1"/>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7A4A1E8B">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4.2.1供应商不具备交易文件中规定的资格要求的（供应商未提供有效的资格文件的，视为供应商不具备交易文件中规定的资格要求）；</w:t>
      </w:r>
    </w:p>
    <w:p w14:paraId="1FB72FD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4.2.2响应文件未按照交易文件要求签署、盖章的；</w:t>
      </w:r>
    </w:p>
    <w:p w14:paraId="20360E9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1D6ECE3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4.2.4响应文件含有采购人不能接受的附加条件的；</w:t>
      </w:r>
    </w:p>
    <w:p w14:paraId="1F03715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4.2.5响应文件中承诺的投标有效期少于交易文件中载明的投标有效期的；</w:t>
      </w:r>
    </w:p>
    <w:p w14:paraId="0A8B4DA1">
      <w:pPr>
        <w:snapToGrid w:val="0"/>
        <w:spacing w:line="360" w:lineRule="auto"/>
        <w:ind w:firstLine="120"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4.2.6响应文件出现不是唯一的、有选择性投标报价的;</w:t>
      </w:r>
    </w:p>
    <w:p w14:paraId="7691DAE4">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4.2.7投标报价超过交易文件中规定的预算金额或者最高限价的;</w:t>
      </w:r>
    </w:p>
    <w:p w14:paraId="21A91E7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00C382AD">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4.2.9供应商对根据修正原则修正后的报价不确认的；</w:t>
      </w:r>
    </w:p>
    <w:p w14:paraId="6323DBB4">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4.2.10供应商提供虚假材料投标的；</w:t>
      </w:r>
    </w:p>
    <w:p w14:paraId="6CEE9E8D">
      <w:pPr>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4.2.11供应商有恶意串通、妨碍其他供应商的竞争行为、损害采购人或者其他供应商的合法权益情形的；</w:t>
      </w:r>
    </w:p>
    <w:p w14:paraId="2B81270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4.2.12供应商仅提交备份响应文件，未在电子交易平台传输递交响应文件的，投标无效；</w:t>
      </w:r>
    </w:p>
    <w:p w14:paraId="2E72DF31">
      <w:pPr>
        <w:ind w:firstLine="480" w:firstLineChars="200"/>
        <w:rPr>
          <w:b/>
          <w:bCs/>
          <w:color w:val="000000" w:themeColor="text1"/>
          <w14:textFill>
            <w14:solidFill>
              <w14:schemeClr w14:val="tx1"/>
            </w14:solidFill>
          </w14:textFill>
        </w:rPr>
      </w:pPr>
      <w:r>
        <w:rPr>
          <w:rFonts w:hint="eastAsia"/>
          <w:color w:val="000000" w:themeColor="text1"/>
          <w14:textFill>
            <w14:solidFill>
              <w14:schemeClr w14:val="tx1"/>
            </w14:solidFill>
          </w14:textFill>
        </w:rPr>
        <w:t>4.2.13 响应文件不满足交易文件的其它实质性要求的；</w:t>
      </w:r>
    </w:p>
    <w:p w14:paraId="55C792E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4.2.14法律、法规、规章（适用本市的）及省级以上规范性文件（适用本市的）规定的其他无效情形。</w:t>
      </w:r>
    </w:p>
    <w:p w14:paraId="64510105">
      <w:pPr>
        <w:pStyle w:val="16"/>
        <w:snapToGrid w:val="0"/>
        <w:spacing w:line="360" w:lineRule="auto"/>
        <w:ind w:firstLine="472" w:firstLineChars="196"/>
        <w:rPr>
          <w:rFonts w:cs="宋体"/>
          <w:color w:val="000000" w:themeColor="text1"/>
          <w14:textFill>
            <w14:solidFill>
              <w14:schemeClr w14:val="tx1"/>
            </w14:solidFill>
          </w14:textFill>
        </w:rPr>
      </w:pPr>
      <w:r>
        <w:rPr>
          <w:rStyle w:val="39"/>
          <w:rFonts w:hint="eastAsia" w:ascii="宋体" w:hAnsi="宋体" w:eastAsia="宋体" w:cs="宋体"/>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4F4753D9">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5.1符合专业条件的供应商或者对交易文件作实质响应的供应商不足3家的；</w:t>
      </w:r>
    </w:p>
    <w:p w14:paraId="2BCAB48F">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49D9D9C9">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5.3供应商的报价均超过了采购预算，采购人不能支付的；</w:t>
      </w:r>
    </w:p>
    <w:p w14:paraId="6811F01E">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3789593D">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废标后，采购机构应当将废标理由通知所有供应商。</w:t>
      </w:r>
    </w:p>
    <w:p w14:paraId="48A7258C">
      <w:pPr>
        <w:pStyle w:val="16"/>
        <w:snapToGrid w:val="0"/>
        <w:spacing w:line="360" w:lineRule="auto"/>
        <w:ind w:firstLine="590" w:firstLineChars="245"/>
        <w:rPr>
          <w:rFonts w:cs="宋体"/>
          <w:color w:val="000000" w:themeColor="text1"/>
          <w14:textFill>
            <w14:solidFill>
              <w14:schemeClr w14:val="tx1"/>
            </w14:solidFill>
          </w14:textFill>
        </w:rPr>
      </w:pPr>
      <w:r>
        <w:rPr>
          <w:rStyle w:val="39"/>
          <w:rFonts w:hint="eastAsia" w:ascii="宋体" w:hAnsi="宋体" w:eastAsia="宋体" w:cs="宋体"/>
          <w:color w:val="000000" w:themeColor="text1"/>
          <w14:textFill>
            <w14:solidFill>
              <w14:schemeClr w14:val="tx1"/>
            </w14:solidFill>
          </w14:textFill>
        </w:rPr>
        <w:t>6.修改交易文件，重新组织采购活动。</w:t>
      </w:r>
      <w:r>
        <w:rPr>
          <w:rFonts w:hint="eastAsia"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DB5AE19">
      <w:pPr>
        <w:pStyle w:val="16"/>
        <w:snapToGrid w:val="0"/>
        <w:spacing w:line="360" w:lineRule="auto"/>
        <w:ind w:firstLine="590" w:firstLineChars="245"/>
        <w:rPr>
          <w:rFonts w:cs="宋体"/>
          <w:color w:val="000000" w:themeColor="text1"/>
          <w14:textFill>
            <w14:solidFill>
              <w14:schemeClr w14:val="tx1"/>
            </w14:solidFill>
          </w14:textFill>
        </w:rPr>
      </w:pPr>
      <w:r>
        <w:rPr>
          <w:rStyle w:val="39"/>
          <w:rFonts w:hint="eastAsia" w:ascii="宋体" w:hAnsi="宋体" w:eastAsia="宋体" w:cs="宋体"/>
          <w:color w:val="000000" w:themeColor="text1"/>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705BE146">
      <w:pPr>
        <w:pStyle w:val="1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7.1未确定中标或者中标人的，终止本次政府采购活动，重新开展政府采购活动。</w:t>
      </w:r>
    </w:p>
    <w:p w14:paraId="40CE68CB">
      <w:pPr>
        <w:pStyle w:val="1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576DE5A7">
      <w:pPr>
        <w:pStyle w:val="16"/>
        <w:snapToGrid w:val="0"/>
        <w:spacing w:line="360"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3E1496B4">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2E82C37C">
      <w:pPr>
        <w:pStyle w:val="1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54F93403">
      <w:pPr>
        <w:spacing w:line="276" w:lineRule="auto"/>
        <w:rPr>
          <w:b/>
          <w:smallCaps/>
          <w:color w:val="000000" w:themeColor="text1"/>
          <w:spacing w:val="5"/>
          <w:sz w:val="36"/>
          <w:szCs w:val="36"/>
          <w14:textFill>
            <w14:solidFill>
              <w14:schemeClr w14:val="tx1"/>
            </w14:solidFill>
          </w14:textFill>
        </w:rPr>
      </w:pPr>
      <w:r>
        <w:rPr>
          <w:rFonts w:hint="eastAsia"/>
          <w:color w:val="000000" w:themeColor="text1"/>
          <w14:textFill>
            <w14:solidFill>
              <w14:schemeClr w14:val="tx1"/>
            </w14:solidFill>
          </w14:textFill>
        </w:rPr>
        <w:br w:type="page"/>
      </w:r>
    </w:p>
    <w:p w14:paraId="4E1644F4">
      <w:pPr>
        <w:pStyle w:val="3"/>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01E320EE">
      <w:pPr>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服务类合同建议可按照参考格式按照实际情况调整修改。</w:t>
      </w:r>
    </w:p>
    <w:p w14:paraId="1254C904">
      <w:pPr>
        <w:jc w:val="righ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合同编号：</w:t>
      </w:r>
      <w:r>
        <w:rPr>
          <w:rFonts w:hint="eastAsia"/>
          <w:color w:val="000000" w:themeColor="text1"/>
          <w:u w:val="single"/>
          <w14:textFill>
            <w14:solidFill>
              <w14:schemeClr w14:val="tx1"/>
            </w14:solidFill>
          </w14:textFill>
        </w:rPr>
        <w:t xml:space="preserve">           </w:t>
      </w:r>
    </w:p>
    <w:p w14:paraId="7FD88EDA">
      <w:pPr>
        <w:pStyle w:val="16"/>
        <w:snapToGrid w:val="0"/>
        <w:spacing w:line="360" w:lineRule="auto"/>
        <w:rPr>
          <w:rFonts w:cs="宋体"/>
          <w:color w:val="000000" w:themeColor="text1"/>
          <w14:textFill>
            <w14:solidFill>
              <w14:schemeClr w14:val="tx1"/>
            </w14:solidFill>
          </w14:textFill>
        </w:rPr>
      </w:pPr>
    </w:p>
    <w:p w14:paraId="6E2A8129">
      <w:pPr>
        <w:spacing w:line="48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合同参考范本</w:t>
      </w:r>
    </w:p>
    <w:p w14:paraId="4C80198B">
      <w:pPr>
        <w:pStyle w:val="74"/>
        <w:ind w:left="480" w:firstLine="723"/>
        <w:jc w:val="center"/>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4BC741E5">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14:paraId="26C48A5A">
      <w:pPr>
        <w:pStyle w:val="74"/>
        <w:ind w:left="480"/>
        <w:rPr>
          <w:rFonts w:ascii="宋体" w:hAnsi="宋体" w:cs="宋体"/>
          <w:color w:val="000000" w:themeColor="text1"/>
          <w:szCs w:val="24"/>
          <w14:textFill>
            <w14:solidFill>
              <w14:schemeClr w14:val="tx1"/>
            </w14:solidFill>
          </w14:textFill>
        </w:rPr>
      </w:pPr>
    </w:p>
    <w:p w14:paraId="773598A0">
      <w:pPr>
        <w:spacing w:before="120" w:line="22" w:lineRule="atLeast"/>
        <w:rPr>
          <w:color w:val="000000" w:themeColor="text1"/>
          <w14:textFill>
            <w14:solidFill>
              <w14:schemeClr w14:val="tx1"/>
            </w14:solidFill>
          </w14:textFill>
        </w:rPr>
      </w:pPr>
    </w:p>
    <w:p w14:paraId="24C1285E">
      <w:pPr>
        <w:spacing w:before="120" w:line="22" w:lineRule="atLeast"/>
        <w:ind w:left="96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p>
    <w:p w14:paraId="4D60D48A">
      <w:pPr>
        <w:pStyle w:val="73"/>
        <w:spacing w:before="120" w:line="22" w:lineRule="atLeast"/>
        <w:rPr>
          <w:rFonts w:ascii="宋体" w:hAnsi="宋体" w:eastAsia="宋体" w:cs="宋体"/>
          <w:color w:val="000000" w:themeColor="text1"/>
          <w:szCs w:val="24"/>
          <w14:textFill>
            <w14:solidFill>
              <w14:schemeClr w14:val="tx1"/>
            </w14:solidFill>
          </w14:textFill>
        </w:rPr>
      </w:pPr>
    </w:p>
    <w:p w14:paraId="7CB50F67">
      <w:pPr>
        <w:pStyle w:val="73"/>
        <w:spacing w:before="120" w:line="22" w:lineRule="atLeast"/>
        <w:rPr>
          <w:rFonts w:ascii="宋体" w:hAnsi="宋体" w:eastAsia="宋体" w:cs="宋体"/>
          <w:color w:val="000000" w:themeColor="text1"/>
          <w:szCs w:val="24"/>
          <w14:textFill>
            <w14:solidFill>
              <w14:schemeClr w14:val="tx1"/>
            </w14:solidFill>
          </w14:textFill>
        </w:rPr>
      </w:pPr>
    </w:p>
    <w:p w14:paraId="05F901DF">
      <w:pPr>
        <w:rPr>
          <w:color w:val="000000" w:themeColor="text1"/>
          <w14:textFill>
            <w14:solidFill>
              <w14:schemeClr w14:val="tx1"/>
            </w14:solidFill>
          </w14:textFill>
        </w:rPr>
      </w:pPr>
    </w:p>
    <w:p w14:paraId="2D8A8124">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p>
    <w:p w14:paraId="4F182326">
      <w:pPr>
        <w:spacing w:before="120" w:line="22" w:lineRule="atLeast"/>
        <w:rPr>
          <w:color w:val="000000" w:themeColor="text1"/>
          <w14:textFill>
            <w14:solidFill>
              <w14:schemeClr w14:val="tx1"/>
            </w14:solidFill>
          </w14:textFill>
        </w:rPr>
      </w:pPr>
    </w:p>
    <w:p w14:paraId="28F6CA1B">
      <w:pPr>
        <w:spacing w:before="120" w:line="22" w:lineRule="atLeast"/>
        <w:ind w:left="96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p>
    <w:p w14:paraId="4EEC2AD2">
      <w:pPr>
        <w:spacing w:before="120" w:line="22" w:lineRule="atLeast"/>
        <w:rPr>
          <w:color w:val="000000" w:themeColor="text1"/>
          <w14:textFill>
            <w14:solidFill>
              <w14:schemeClr w14:val="tx1"/>
            </w14:solidFill>
          </w14:textFill>
        </w:rPr>
      </w:pPr>
    </w:p>
    <w:p w14:paraId="3ECB466A">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签订地：</w:t>
      </w:r>
      <w:r>
        <w:rPr>
          <w:rFonts w:hint="eastAsia"/>
          <w:color w:val="000000" w:themeColor="text1"/>
          <w:u w:val="single"/>
          <w14:textFill>
            <w14:solidFill>
              <w14:schemeClr w14:val="tx1"/>
            </w14:solidFill>
          </w14:textFill>
        </w:rPr>
        <w:t xml:space="preserve">                                     </w:t>
      </w:r>
    </w:p>
    <w:p w14:paraId="39088970">
      <w:pPr>
        <w:spacing w:before="120" w:line="22" w:lineRule="atLeast"/>
        <w:rPr>
          <w:color w:val="000000" w:themeColor="text1"/>
          <w14:textFill>
            <w14:solidFill>
              <w14:schemeClr w14:val="tx1"/>
            </w14:solidFill>
          </w14:textFill>
        </w:rPr>
      </w:pPr>
    </w:p>
    <w:p w14:paraId="645C3CE3">
      <w:pPr>
        <w:spacing w:before="120" w:line="22" w:lineRule="atLeast"/>
        <w:ind w:firstLine="960" w:firstLineChars="4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签订日期：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585FB55B">
      <w:pPr>
        <w:rPr>
          <w:color w:val="000000" w:themeColor="text1"/>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14:paraId="6CC7CC55">
      <w:pPr>
        <w:spacing w:line="560" w:lineRule="exact"/>
        <w:ind w:firstLine="480" w:firstLineChars="200"/>
        <w:rPr>
          <w:color w:val="000000" w:themeColor="text1"/>
          <w14:textFill>
            <w14:solidFill>
              <w14:schemeClr w14:val="tx1"/>
            </w14:solidFill>
          </w14:textFill>
        </w:rPr>
      </w:pP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日</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（采购人）   </w:t>
      </w:r>
      <w:r>
        <w:rPr>
          <w:rFonts w:hint="eastAsia"/>
          <w:color w:val="000000" w:themeColor="text1"/>
          <w14:textFill>
            <w14:solidFill>
              <w14:schemeClr w14:val="tx1"/>
            </w14:solidFill>
          </w14:textFill>
        </w:rPr>
        <w:t>以</w:t>
      </w:r>
      <w:r>
        <w:rPr>
          <w:rFonts w:hint="eastAsia"/>
          <w:color w:val="000000" w:themeColor="text1"/>
          <w:u w:val="single"/>
          <w14:textFill>
            <w14:solidFill>
              <w14:schemeClr w14:val="tx1"/>
            </w14:solidFill>
          </w14:textFill>
        </w:rPr>
        <w:t xml:space="preserve">   （政府采购方式）  </w:t>
      </w:r>
      <w:r>
        <w:rPr>
          <w:rFonts w:hint="eastAsia"/>
          <w:color w:val="000000" w:themeColor="text1"/>
          <w14:textFill>
            <w14:solidFill>
              <w14:schemeClr w14:val="tx1"/>
            </w14:solidFill>
          </w14:textFill>
        </w:rPr>
        <w:t>对</w:t>
      </w:r>
      <w:r>
        <w:rPr>
          <w:rFonts w:hint="eastAsia"/>
          <w:color w:val="000000" w:themeColor="text1"/>
          <w:u w:val="single"/>
          <w14:textFill>
            <w14:solidFill>
              <w14:schemeClr w14:val="tx1"/>
            </w14:solidFill>
          </w14:textFill>
        </w:rPr>
        <w:t xml:space="preserve">   （同前页项目名称）   </w:t>
      </w:r>
      <w:r>
        <w:rPr>
          <w:rFonts w:hint="eastAsia"/>
          <w:color w:val="000000" w:themeColor="text1"/>
          <w14:textFill>
            <w14:solidFill>
              <w14:schemeClr w14:val="tx1"/>
            </w14:solidFill>
          </w14:textFill>
        </w:rPr>
        <w:t>项目进行了采购。经</w:t>
      </w:r>
      <w:r>
        <w:rPr>
          <w:rFonts w:hint="eastAsia"/>
          <w:color w:val="000000" w:themeColor="text1"/>
          <w:u w:val="single"/>
          <w14:textFill>
            <w14:solidFill>
              <w14:schemeClr w14:val="tx1"/>
            </w14:solidFill>
          </w14:textFill>
        </w:rPr>
        <w:t xml:space="preserve">   （相关评定主体名称）   </w:t>
      </w:r>
      <w:r>
        <w:rPr>
          <w:rFonts w:hint="eastAsia"/>
          <w:color w:val="000000" w:themeColor="text1"/>
          <w14:textFill>
            <w14:solidFill>
              <w14:schemeClr w14:val="tx1"/>
            </w14:solidFill>
          </w14:textFill>
        </w:rPr>
        <w:t>评定，</w:t>
      </w:r>
      <w:r>
        <w:rPr>
          <w:rFonts w:hint="eastAsia"/>
          <w:color w:val="000000" w:themeColor="text1"/>
          <w:u w:val="single"/>
          <w14:textFill>
            <w14:solidFill>
              <w14:schemeClr w14:val="tx1"/>
            </w14:solidFill>
          </w14:textFill>
        </w:rPr>
        <w:t xml:space="preserve">   （中标供应商名称）</w:t>
      </w:r>
      <w:r>
        <w:rPr>
          <w:rFonts w:hint="eastAsia"/>
          <w:color w:val="000000" w:themeColor="text1"/>
          <w14:textFill>
            <w14:solidFill>
              <w14:schemeClr w14:val="tx1"/>
            </w14:solidFill>
          </w14:textFill>
        </w:rPr>
        <w:t>为该项目中标供应商。现于中标通知书发出之日起三十日内，按照采购文件确定的事项签订本合同。</w:t>
      </w:r>
    </w:p>
    <w:p w14:paraId="21C2EAF2">
      <w:pPr>
        <w:spacing w:line="560" w:lineRule="exact"/>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color w:val="000000" w:themeColor="text1"/>
          <w:u w:val="single"/>
          <w14:textFill>
            <w14:solidFill>
              <w14:schemeClr w14:val="tx1"/>
            </w14:solidFill>
          </w14:textFill>
        </w:rPr>
        <w:t xml:space="preserve">   （采购人）   </w:t>
      </w:r>
      <w:r>
        <w:rPr>
          <w:rFonts w:hint="eastAsia"/>
          <w:color w:val="000000" w:themeColor="text1"/>
          <w:lang w:val="zh-CN"/>
          <w14:textFill>
            <w14:solidFill>
              <w14:schemeClr w14:val="tx1"/>
            </w14:solidFill>
          </w14:textFill>
        </w:rPr>
        <w:t>(以下简称：甲方)和</w:t>
      </w:r>
      <w:r>
        <w:rPr>
          <w:rFonts w:hint="eastAsia"/>
          <w:color w:val="000000" w:themeColor="text1"/>
          <w:u w:val="single"/>
          <w14:textFill>
            <w14:solidFill>
              <w14:schemeClr w14:val="tx1"/>
            </w14:solidFill>
          </w14:textFill>
        </w:rPr>
        <w:t xml:space="preserve">   （中标供应商名称）   </w:t>
      </w:r>
      <w:r>
        <w:rPr>
          <w:rFonts w:hint="eastAsia"/>
          <w:color w:val="000000" w:themeColor="text1"/>
          <w:lang w:val="zh-CN"/>
          <w14:textFill>
            <w14:solidFill>
              <w14:schemeClr w14:val="tx1"/>
            </w14:solidFill>
          </w14:textFill>
        </w:rPr>
        <w:t>(以下简称：乙方)协商一致，约定以下合同</w:t>
      </w:r>
      <w:r>
        <w:rPr>
          <w:rFonts w:hint="eastAsia"/>
          <w:color w:val="000000" w:themeColor="text1"/>
          <w14:textFill>
            <w14:solidFill>
              <w14:schemeClr w14:val="tx1"/>
            </w14:solidFill>
          </w14:textFill>
        </w:rPr>
        <w:t>条款，以兹共同遵守、全面履行。</w:t>
      </w:r>
    </w:p>
    <w:p w14:paraId="05001979">
      <w:pPr>
        <w:pStyle w:val="4"/>
        <w:rPr>
          <w:rFonts w:ascii="宋体" w:hAnsi="宋体" w:eastAsia="宋体" w:cs="宋体"/>
          <w:color w:val="000000" w:themeColor="text1"/>
          <w14:textFill>
            <w14:solidFill>
              <w14:schemeClr w14:val="tx1"/>
            </w14:solidFill>
          </w14:textFill>
        </w:rPr>
      </w:pPr>
      <w:bookmarkStart w:id="370" w:name="_Toc3029"/>
      <w:bookmarkStart w:id="371" w:name="_Toc2232"/>
      <w:bookmarkStart w:id="372" w:name="_Toc24059"/>
      <w:r>
        <w:rPr>
          <w:rFonts w:hint="eastAsia" w:ascii="宋体" w:hAnsi="宋体" w:eastAsia="宋体" w:cs="宋体"/>
          <w:color w:val="000000" w:themeColor="text1"/>
          <w14:textFill>
            <w14:solidFill>
              <w14:schemeClr w14:val="tx1"/>
            </w14:solidFill>
          </w14:textFill>
        </w:rPr>
        <w:t>1.1 合同组成部分</w:t>
      </w:r>
      <w:bookmarkEnd w:id="370"/>
      <w:bookmarkEnd w:id="371"/>
      <w:bookmarkEnd w:id="372"/>
    </w:p>
    <w:p w14:paraId="5C6F34B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031BD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1.1.1 本合同及其补充合同、变更协议；</w:t>
      </w:r>
    </w:p>
    <w:p w14:paraId="73BC21D5">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 中标通知书；</w:t>
      </w:r>
    </w:p>
    <w:p w14:paraId="7149C94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 响应文件（含澄清或者说明文件）；</w:t>
      </w:r>
    </w:p>
    <w:p w14:paraId="3CCE85C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1.1.4 交易文件（含澄清或者修改文件）；</w:t>
      </w:r>
    </w:p>
    <w:p w14:paraId="4BA7157B">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1.1.5 其他相关采购文件。</w:t>
      </w:r>
    </w:p>
    <w:p w14:paraId="0E5C871B">
      <w:pPr>
        <w:pStyle w:val="4"/>
        <w:rPr>
          <w:rFonts w:ascii="宋体" w:hAnsi="宋体" w:eastAsia="宋体" w:cs="宋体"/>
          <w:color w:val="000000" w:themeColor="text1"/>
          <w14:textFill>
            <w14:solidFill>
              <w14:schemeClr w14:val="tx1"/>
            </w14:solidFill>
          </w14:textFill>
        </w:rPr>
      </w:pPr>
      <w:bookmarkStart w:id="373" w:name="_Toc24300"/>
      <w:bookmarkStart w:id="374" w:name="_Toc27126"/>
      <w:bookmarkStart w:id="375" w:name="_Toc21295"/>
      <w:r>
        <w:rPr>
          <w:rFonts w:hint="eastAsia" w:ascii="宋体" w:hAnsi="宋体" w:eastAsia="宋体" w:cs="宋体"/>
          <w:color w:val="000000" w:themeColor="text1"/>
          <w14:textFill>
            <w14:solidFill>
              <w14:schemeClr w14:val="tx1"/>
            </w14:solidFill>
          </w14:textFill>
        </w:rPr>
        <w:t>1.2 货物</w:t>
      </w:r>
      <w:bookmarkEnd w:id="373"/>
      <w:bookmarkEnd w:id="374"/>
      <w:bookmarkEnd w:id="375"/>
    </w:p>
    <w:p w14:paraId="6683B036">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1.2.1 货物名称：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105CF7B9">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1.2.2 货物数量：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63BCDD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 货物质量：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412978B">
      <w:pPr>
        <w:pStyle w:val="4"/>
        <w:rPr>
          <w:rFonts w:ascii="宋体" w:hAnsi="宋体" w:eastAsia="宋体" w:cs="宋体"/>
          <w:color w:val="000000" w:themeColor="text1"/>
          <w14:textFill>
            <w14:solidFill>
              <w14:schemeClr w14:val="tx1"/>
            </w14:solidFill>
          </w14:textFill>
        </w:rPr>
      </w:pPr>
      <w:bookmarkStart w:id="376" w:name="_Toc23292"/>
      <w:bookmarkStart w:id="377" w:name="_Toc21551"/>
      <w:bookmarkStart w:id="378" w:name="_Toc21631"/>
      <w:r>
        <w:rPr>
          <w:rFonts w:hint="eastAsia" w:ascii="宋体" w:hAnsi="宋体" w:eastAsia="宋体" w:cs="宋体"/>
          <w:color w:val="000000" w:themeColor="text1"/>
          <w14:textFill>
            <w14:solidFill>
              <w14:schemeClr w14:val="tx1"/>
            </w14:solidFill>
          </w14:textFill>
        </w:rPr>
        <w:t>1.3 价款</w:t>
      </w:r>
      <w:bookmarkEnd w:id="376"/>
      <w:bookmarkEnd w:id="377"/>
      <w:bookmarkEnd w:id="378"/>
    </w:p>
    <w:p w14:paraId="749780A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本合同总价为：￥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元（大写：</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元人民币）。</w:t>
      </w:r>
    </w:p>
    <w:p w14:paraId="63B38178">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D8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30D621">
            <w:pPr>
              <w:pStyle w:val="70"/>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1A47FF5">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0D0C703">
            <w:pPr>
              <w:pStyle w:val="70"/>
              <w:spacing w:line="560" w:lineRule="exact"/>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分项价格</w:t>
            </w:r>
          </w:p>
        </w:tc>
      </w:tr>
      <w:tr w14:paraId="7987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EC0C98">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ABC0868">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E7C3948">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084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66A845">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A6E6510">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4BA3617">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0D3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1AC9AE">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7007489">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59A24F3">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0A7A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4DE3E1">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010B7194">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F631F3">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r w14:paraId="626E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261F9AA">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6E5F33F">
            <w:pPr>
              <w:pStyle w:val="70"/>
              <w:spacing w:line="560" w:lineRule="exact"/>
              <w:ind w:firstLine="200"/>
              <w:jc w:val="center"/>
              <w:rPr>
                <w:rFonts w:hAnsi="宋体" w:eastAsia="宋体" w:cs="宋体"/>
                <w:color w:val="000000" w:themeColor="text1"/>
                <w:sz w:val="24"/>
                <w:szCs w:val="24"/>
                <w14:textFill>
                  <w14:solidFill>
                    <w14:schemeClr w14:val="tx1"/>
                  </w14:solidFill>
                </w14:textFill>
              </w:rPr>
            </w:pPr>
          </w:p>
        </w:tc>
      </w:tr>
    </w:tbl>
    <w:p w14:paraId="44D772F4">
      <w:pPr>
        <w:pStyle w:val="4"/>
        <w:rPr>
          <w:rFonts w:ascii="宋体" w:hAnsi="宋体" w:eastAsia="宋体" w:cs="宋体"/>
          <w:color w:val="000000" w:themeColor="text1"/>
          <w14:textFill>
            <w14:solidFill>
              <w14:schemeClr w14:val="tx1"/>
            </w14:solidFill>
          </w14:textFill>
        </w:rPr>
      </w:pPr>
      <w:bookmarkStart w:id="379" w:name="_Toc22618"/>
      <w:bookmarkStart w:id="380" w:name="_Toc1814"/>
      <w:bookmarkStart w:id="381" w:name="_Toc10340"/>
      <w:r>
        <w:rPr>
          <w:rFonts w:hint="eastAsia" w:ascii="宋体" w:hAnsi="宋体" w:eastAsia="宋体" w:cs="宋体"/>
          <w:color w:val="000000" w:themeColor="text1"/>
          <w14:textFill>
            <w14:solidFill>
              <w14:schemeClr w14:val="tx1"/>
            </w14:solidFill>
          </w14:textFill>
        </w:rPr>
        <w:t>1.4 付款</w:t>
      </w:r>
      <w:bookmarkEnd w:id="379"/>
      <w:bookmarkEnd w:id="380"/>
      <w:bookmarkEnd w:id="381"/>
      <w:r>
        <w:rPr>
          <w:rFonts w:hint="eastAsia" w:ascii="宋体" w:hAnsi="宋体" w:eastAsia="宋体" w:cs="宋体"/>
          <w:color w:val="000000" w:themeColor="text1"/>
          <w14:textFill>
            <w14:solidFill>
              <w14:schemeClr w14:val="tx1"/>
            </w14:solidFill>
          </w14:textFill>
        </w:rPr>
        <w:t>方式、时间和条件</w:t>
      </w:r>
    </w:p>
    <w:p w14:paraId="4B05F1F0">
      <w:pPr>
        <w:pStyle w:val="75"/>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958DF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前台大厅选择金融服务 - 【保函保险服务】出具预付款保函，具体步骤：选择产品—填写供应商信息—选择中标项目—确认信息—等待保险/保函受理—确认保单—支付保费—成功出单。</w:t>
      </w:r>
      <w:r>
        <w:rPr>
          <w:rFonts w:hint="eastAsia"/>
          <w:color w:val="000000" w:themeColor="text1"/>
          <w:lang w:eastAsia="zh-CN"/>
          <w14:textFill>
            <w14:solidFill>
              <w14:schemeClr w14:val="tx1"/>
            </w14:solidFill>
          </w14:textFill>
        </w:rPr>
        <w:t>乐采云</w:t>
      </w:r>
      <w:r>
        <w:rPr>
          <w:rFonts w:hint="eastAsia"/>
          <w:color w:val="000000" w:themeColor="text1"/>
          <w14:textFill>
            <w14:solidFill>
              <w14:schemeClr w14:val="tx1"/>
            </w14:solidFill>
          </w14:textFill>
        </w:rPr>
        <w:t>金融专线400-903-9583。</w:t>
      </w:r>
    </w:p>
    <w:p w14:paraId="018B358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B08E7E2">
      <w:pPr>
        <w:rPr>
          <w:color w:val="000000" w:themeColor="text1"/>
          <w14:textFill>
            <w14:solidFill>
              <w14:schemeClr w14:val="tx1"/>
            </w14:solidFill>
          </w14:textFill>
        </w:rPr>
      </w:pPr>
      <w:r>
        <w:rPr>
          <w:rFonts w:hint="eastAsia"/>
          <w:color w:val="000000" w:themeColor="text1"/>
          <w14:textFill>
            <w14:solidFill>
              <w14:schemeClr w14:val="tx1"/>
            </w14:solidFill>
          </w14:textFill>
        </w:rPr>
        <w:t>1.4.4资金支付的方式、时间和条件详见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1B56877F">
      <w:pPr>
        <w:rPr>
          <w:color w:val="000000" w:themeColor="text1"/>
          <w14:textFill>
            <w14:solidFill>
              <w14:schemeClr w14:val="tx1"/>
            </w14:solidFill>
          </w14:textFill>
        </w:rPr>
      </w:pPr>
      <w:r>
        <w:rPr>
          <w:rFonts w:hint="eastAsia"/>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78CA456">
      <w:pPr>
        <w:pStyle w:val="4"/>
        <w:rPr>
          <w:rFonts w:ascii="宋体" w:hAnsi="宋体" w:eastAsia="宋体" w:cs="宋体"/>
          <w:color w:val="000000" w:themeColor="text1"/>
          <w14:textFill>
            <w14:solidFill>
              <w14:schemeClr w14:val="tx1"/>
            </w14:solidFill>
          </w14:textFill>
        </w:rPr>
      </w:pPr>
      <w:bookmarkStart w:id="382" w:name="_Toc32071"/>
      <w:bookmarkStart w:id="383" w:name="_Toc2846"/>
      <w:bookmarkStart w:id="384" w:name="_Toc19304"/>
      <w:r>
        <w:rPr>
          <w:rFonts w:hint="eastAsia" w:ascii="宋体" w:hAnsi="宋体" w:eastAsia="宋体" w:cs="宋体"/>
          <w:color w:val="000000" w:themeColor="text1"/>
          <w14:textFill>
            <w14:solidFill>
              <w14:schemeClr w14:val="tx1"/>
            </w14:solidFill>
          </w14:textFill>
        </w:rPr>
        <w:t>1.5 货物交付期限、地点和方式</w:t>
      </w:r>
      <w:bookmarkEnd w:id="382"/>
      <w:bookmarkEnd w:id="383"/>
      <w:bookmarkEnd w:id="384"/>
    </w:p>
    <w:p w14:paraId="78F0C23C">
      <w:pPr>
        <w:spacing w:line="560" w:lineRule="exact"/>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1.5.1 交付期限：详见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3C8318F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交付地点：</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5F64648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1.5.3 交付方式：</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5B97782F">
      <w:pPr>
        <w:pStyle w:val="4"/>
        <w:rPr>
          <w:rFonts w:ascii="宋体" w:hAnsi="宋体" w:eastAsia="宋体" w:cs="宋体"/>
          <w:color w:val="000000" w:themeColor="text1"/>
          <w14:textFill>
            <w14:solidFill>
              <w14:schemeClr w14:val="tx1"/>
            </w14:solidFill>
          </w14:textFill>
        </w:rPr>
      </w:pPr>
      <w:bookmarkStart w:id="385" w:name="_Toc21423"/>
      <w:bookmarkStart w:id="386" w:name="_Toc27250"/>
      <w:bookmarkStart w:id="387" w:name="_Toc19554"/>
      <w:r>
        <w:rPr>
          <w:rFonts w:hint="eastAsia" w:ascii="宋体" w:hAnsi="宋体" w:eastAsia="宋体" w:cs="宋体"/>
          <w:color w:val="000000" w:themeColor="text1"/>
          <w14:textFill>
            <w14:solidFill>
              <w14:schemeClr w14:val="tx1"/>
            </w14:solidFill>
          </w14:textFill>
        </w:rPr>
        <w:t>1.6 违约责任</w:t>
      </w:r>
      <w:bookmarkEnd w:id="385"/>
      <w:bookmarkEnd w:id="386"/>
      <w:bookmarkEnd w:id="387"/>
    </w:p>
    <w:p w14:paraId="5D50DC5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5BF6A93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color w:val="000000" w:themeColor="text1"/>
          <w:u w:val="single"/>
          <w14:textFill>
            <w14:solidFill>
              <w14:schemeClr w14:val="tx1"/>
            </w14:solidFill>
          </w14:textFill>
        </w:rPr>
        <w:t xml:space="preserve">  0.05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14:paraId="41C2FF3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287F0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5DBAE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51C88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0933B765">
      <w:pPr>
        <w:spacing w:line="560" w:lineRule="exact"/>
        <w:ind w:left="-480" w:leftChars="-200" w:right="-480" w:rightChars="-200" w:firstLine="96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1.6.7违约责任</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另有约定的，从其约定。</w:t>
      </w:r>
    </w:p>
    <w:p w14:paraId="561712C5">
      <w:pPr>
        <w:pStyle w:val="4"/>
        <w:rPr>
          <w:rFonts w:ascii="宋体" w:hAnsi="宋体" w:eastAsia="宋体" w:cs="宋体"/>
          <w:color w:val="000000" w:themeColor="text1"/>
          <w14:textFill>
            <w14:solidFill>
              <w14:schemeClr w14:val="tx1"/>
            </w14:solidFill>
          </w14:textFill>
        </w:rPr>
      </w:pPr>
      <w:bookmarkStart w:id="388" w:name="_Toc15583"/>
      <w:bookmarkStart w:id="389" w:name="_Toc16021"/>
      <w:bookmarkStart w:id="390" w:name="_Toc28375"/>
      <w:r>
        <w:rPr>
          <w:rFonts w:hint="eastAsia" w:ascii="宋体" w:hAnsi="宋体" w:eastAsia="宋体" w:cs="宋体"/>
          <w:color w:val="000000" w:themeColor="text1"/>
          <w14:textFill>
            <w14:solidFill>
              <w14:schemeClr w14:val="tx1"/>
            </w14:solidFill>
          </w14:textFill>
        </w:rPr>
        <w:t>1.7 合同争议的解决</w:t>
      </w:r>
      <w:bookmarkEnd w:id="388"/>
      <w:bookmarkEnd w:id="389"/>
      <w:bookmarkEnd w:id="390"/>
    </w:p>
    <w:p w14:paraId="777791E1">
      <w:pPr>
        <w:spacing w:line="560" w:lineRule="exact"/>
        <w:ind w:left="-70" w:leftChars="-29" w:right="-480" w:rightChars="-200"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b/>
          <w:i/>
          <w:color w:val="000000" w:themeColor="text1"/>
          <w:u w:val="single"/>
          <w14:textFill>
            <w14:solidFill>
              <w14:schemeClr w14:val="tx1"/>
            </w14:solidFill>
          </w14:textFill>
        </w:rPr>
        <w:t xml:space="preserve"> 合同专用条款  </w:t>
      </w:r>
      <w:r>
        <w:rPr>
          <w:rFonts w:hint="eastAsia"/>
          <w:color w:val="000000" w:themeColor="text1"/>
          <w14:textFill>
            <w14:solidFill>
              <w14:schemeClr w14:val="tx1"/>
            </w14:solidFill>
          </w14:textFill>
        </w:rPr>
        <w:t>条款规定的方式解决：</w:t>
      </w:r>
    </w:p>
    <w:p w14:paraId="3E39337C">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1.7.1 将争议提交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仲裁委员会依申请仲裁时其现行有效的仲裁规则裁决；</w:t>
      </w:r>
    </w:p>
    <w:p w14:paraId="6AFE7A0F">
      <w:pPr>
        <w:spacing w:line="560" w:lineRule="exact"/>
        <w:ind w:left="-480" w:leftChars="-200" w:right="-480" w:rightChars="-200" w:firstLine="600"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1.7.2 向</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人民法院起诉。</w:t>
      </w:r>
    </w:p>
    <w:p w14:paraId="12F15F85">
      <w:pPr>
        <w:pStyle w:val="4"/>
        <w:rPr>
          <w:rFonts w:ascii="宋体" w:hAnsi="宋体" w:eastAsia="宋体" w:cs="宋体"/>
          <w:color w:val="000000" w:themeColor="text1"/>
          <w14:textFill>
            <w14:solidFill>
              <w14:schemeClr w14:val="tx1"/>
            </w14:solidFill>
          </w14:textFill>
        </w:rPr>
      </w:pPr>
      <w:bookmarkStart w:id="391" w:name="_Toc15322"/>
      <w:bookmarkStart w:id="392" w:name="_Toc7245"/>
      <w:bookmarkStart w:id="393" w:name="_Toc11173"/>
      <w:r>
        <w:rPr>
          <w:rFonts w:hint="eastAsia" w:ascii="宋体" w:hAnsi="宋体" w:eastAsia="宋体" w:cs="宋体"/>
          <w:color w:val="000000" w:themeColor="text1"/>
          <w14:textFill>
            <w14:solidFill>
              <w14:schemeClr w14:val="tx1"/>
            </w14:solidFill>
          </w14:textFill>
        </w:rPr>
        <w:t>1.8 合同生效</w:t>
      </w:r>
      <w:bookmarkEnd w:id="391"/>
      <w:bookmarkEnd w:id="392"/>
      <w:bookmarkEnd w:id="393"/>
    </w:p>
    <w:p w14:paraId="3A2E701A">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本合同自双方当事人盖章或者签字时生效。</w:t>
      </w:r>
    </w:p>
    <w:p w14:paraId="091C4020">
      <w:pPr>
        <w:autoSpaceDE w:val="0"/>
        <w:autoSpaceDN w:val="0"/>
        <w:spacing w:line="560" w:lineRule="exact"/>
        <w:rPr>
          <w:color w:val="000000" w:themeColor="text1"/>
          <w:lang w:val="zh-CN"/>
          <w14:textFill>
            <w14:solidFill>
              <w14:schemeClr w14:val="tx1"/>
            </w14:solidFill>
          </w14:textFill>
        </w:rPr>
      </w:pPr>
    </w:p>
    <w:p w14:paraId="3D878AAE">
      <w:pPr>
        <w:autoSpaceDE w:val="0"/>
        <w:autoSpaceDN w:val="0"/>
        <w:spacing w:line="560" w:lineRule="exact"/>
        <w:rPr>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甲方</w:t>
      </w:r>
      <w:r>
        <w:rPr>
          <w:rFonts w:hint="eastAsia"/>
          <w:color w:val="000000" w:themeColor="text1"/>
          <w:lang w:val="zh-CN"/>
          <w14:textFill>
            <w14:solidFill>
              <w14:schemeClr w14:val="tx1"/>
            </w14:solidFill>
          </w14:textFill>
        </w:rPr>
        <w:t xml:space="preserve">：                             </w:t>
      </w:r>
      <w:r>
        <w:rPr>
          <w:rFonts w:hint="eastAsia"/>
          <w:b/>
          <w:color w:val="000000" w:themeColor="text1"/>
          <w:lang w:val="zh-CN"/>
          <w14:textFill>
            <w14:solidFill>
              <w14:schemeClr w14:val="tx1"/>
            </w14:solidFill>
          </w14:textFill>
        </w:rPr>
        <w:t xml:space="preserve">      乙方</w:t>
      </w:r>
      <w:r>
        <w:rPr>
          <w:rFonts w:hint="eastAsia"/>
          <w:color w:val="000000" w:themeColor="text1"/>
          <w:lang w:val="zh-CN"/>
          <w14:textFill>
            <w14:solidFill>
              <w14:schemeClr w14:val="tx1"/>
            </w14:solidFill>
          </w14:textFill>
        </w:rPr>
        <w:t>：</w:t>
      </w:r>
    </w:p>
    <w:p w14:paraId="6240F048">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统一社会信用代码：                        统一社会信用代码或身份证号码：</w:t>
      </w:r>
    </w:p>
    <w:p w14:paraId="50E9AF4C">
      <w:pPr>
        <w:autoSpaceDE w:val="0"/>
        <w:autoSpaceDN w:val="0"/>
        <w:spacing w:line="560" w:lineRule="exact"/>
        <w:rPr>
          <w:color w:val="000000" w:themeColor="text1"/>
          <w:lang w:val="zh-CN"/>
          <w14:textFill>
            <w14:solidFill>
              <w14:schemeClr w14:val="tx1"/>
            </w14:solidFill>
          </w14:textFill>
        </w:rPr>
      </w:pPr>
    </w:p>
    <w:p w14:paraId="4326096C">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住所：                                   住所：</w:t>
      </w:r>
    </w:p>
    <w:p w14:paraId="2497B3E7">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法定代表人或                             法定代表人</w:t>
      </w:r>
    </w:p>
    <w:p w14:paraId="31594BDB">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授权代表（签字）：                        或授权代表（签字）: </w:t>
      </w:r>
    </w:p>
    <w:p w14:paraId="7A3809CC">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联系人：                                 联系人：</w:t>
      </w:r>
    </w:p>
    <w:p w14:paraId="1C2F5301">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约定送达地址：                           约定送达地址：</w:t>
      </w:r>
    </w:p>
    <w:p w14:paraId="7B3D403D">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邮政编码：                               邮政编码：</w:t>
      </w:r>
    </w:p>
    <w:p w14:paraId="59CCDBF3">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电话:                                    电话: </w:t>
      </w:r>
    </w:p>
    <w:p w14:paraId="71FF8B48">
      <w:pPr>
        <w:autoSpaceDE w:val="0"/>
        <w:autoSpaceDN w:val="0"/>
        <w:spacing w:line="56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传真:                                    传真:</w:t>
      </w:r>
    </w:p>
    <w:p w14:paraId="6E9CD675">
      <w:pPr>
        <w:autoSpaceDE w:val="0"/>
        <w:autoSpaceDN w:val="0"/>
        <w:spacing w:line="560" w:lineRule="exac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电子邮箱：                               电子邮箱：</w:t>
      </w:r>
    </w:p>
    <w:p w14:paraId="00224F67">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开户银行： </w:t>
      </w:r>
    </w:p>
    <w:p w14:paraId="1487C729">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开户名称：                               开户名称： </w:t>
      </w:r>
    </w:p>
    <w:p w14:paraId="24B66736">
      <w:pPr>
        <w:autoSpaceDE w:val="0"/>
        <w:autoSpaceDN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开户账号：</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开户账号：</w:t>
      </w:r>
    </w:p>
    <w:p w14:paraId="2C8AB6C0">
      <w:pPr>
        <w:spacing w:line="560" w:lineRule="exact"/>
        <w:rPr>
          <w:b/>
          <w:color w:val="000000" w:themeColor="text1"/>
          <w14:textFill>
            <w14:solidFill>
              <w14:schemeClr w14:val="tx1"/>
            </w14:solidFill>
          </w14:textFill>
        </w:rPr>
      </w:pPr>
      <w:bookmarkStart w:id="394" w:name="_Toc331685783"/>
    </w:p>
    <w:p w14:paraId="78976436">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394"/>
    </w:p>
    <w:p w14:paraId="3071ED61">
      <w:pPr>
        <w:pStyle w:val="4"/>
        <w:rPr>
          <w:rFonts w:ascii="宋体" w:hAnsi="宋体" w:eastAsia="宋体" w:cs="宋体"/>
          <w:color w:val="000000" w:themeColor="text1"/>
          <w14:textFill>
            <w14:solidFill>
              <w14:schemeClr w14:val="tx1"/>
            </w14:solidFill>
          </w14:textFill>
        </w:rPr>
      </w:pPr>
      <w:bookmarkStart w:id="395" w:name="_Ref467379109"/>
      <w:bookmarkStart w:id="396" w:name="_Ref467379101"/>
      <w:bookmarkStart w:id="397" w:name="_Ref467379214"/>
      <w:bookmarkStart w:id="398" w:name="_Toc16917"/>
      <w:bookmarkStart w:id="399" w:name="_Toc28763"/>
      <w:bookmarkStart w:id="400" w:name="_Ref467379225"/>
      <w:bookmarkStart w:id="401" w:name="_Toc279701240"/>
      <w:bookmarkStart w:id="402" w:name="_Ref467378463"/>
      <w:bookmarkStart w:id="403" w:name="_Toc487900349"/>
      <w:bookmarkStart w:id="404" w:name="_Toc259093669"/>
      <w:bookmarkStart w:id="405" w:name="_Ref467379205"/>
      <w:bookmarkStart w:id="406" w:name="_Ref467378404"/>
      <w:bookmarkStart w:id="407" w:name="_Ref467378499"/>
      <w:bookmarkStart w:id="408" w:name="_Ref467379094"/>
      <w:bookmarkStart w:id="409" w:name="_Toc19614"/>
      <w:bookmarkStart w:id="410" w:name="_Ref467379195"/>
      <w:r>
        <w:rPr>
          <w:rFonts w:hint="eastAsia" w:ascii="宋体" w:hAnsi="宋体" w:eastAsia="宋体" w:cs="宋体"/>
          <w:color w:val="000000" w:themeColor="text1"/>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23BF88E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本合同中的下列词语应按以下内容进行解释：</w:t>
      </w:r>
    </w:p>
    <w:p w14:paraId="77E3E70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49EDD9F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“合同价”系指根据合同约定，中标供应商在完全履行合同义务后，采购人应支付给中标供应商的价格。</w:t>
      </w:r>
    </w:p>
    <w:p w14:paraId="32429A1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096F1688">
      <w:pPr>
        <w:spacing w:line="560" w:lineRule="exact"/>
        <w:ind w:firstLine="480" w:firstLineChars="200"/>
        <w:rPr>
          <w:color w:val="000000" w:themeColor="text1"/>
          <w14:textFill>
            <w14:solidFill>
              <w14:schemeClr w14:val="tx1"/>
            </w14:solidFill>
          </w14:textFill>
        </w:rPr>
      </w:pPr>
      <w:bookmarkStart w:id="411" w:name="_Ref467378840"/>
      <w:r>
        <w:rPr>
          <w:rFonts w:hint="eastAsia"/>
          <w:color w:val="000000" w:themeColor="text1"/>
          <w14:textFill>
            <w14:solidFill>
              <w14:schemeClr w14:val="tx1"/>
            </w14:solidFill>
          </w14:textFill>
        </w:rPr>
        <w:t>2.1.4 “甲方”系指与中标供应商签署合同的采购人</w:t>
      </w:r>
      <w:bookmarkEnd w:id="411"/>
      <w:r>
        <w:rPr>
          <w:rFonts w:hint="eastAsia"/>
          <w:color w:val="000000" w:themeColor="text1"/>
          <w14:textFill>
            <w14:solidFill>
              <w14:schemeClr w14:val="tx1"/>
            </w14:solidFill>
          </w14:textFill>
        </w:rPr>
        <w:t>；采购人委托采购代理机构代表其与乙方签订合同的，采购人的授权委托书作为合同附件。</w:t>
      </w:r>
    </w:p>
    <w:p w14:paraId="76878EF5">
      <w:pPr>
        <w:spacing w:line="560" w:lineRule="exact"/>
        <w:ind w:firstLine="480" w:firstLineChars="200"/>
        <w:rPr>
          <w:color w:val="000000" w:themeColor="text1"/>
          <w14:textFill>
            <w14:solidFill>
              <w14:schemeClr w14:val="tx1"/>
            </w14:solidFill>
          </w14:textFill>
        </w:rPr>
      </w:pPr>
      <w:bookmarkStart w:id="412" w:name="_Ref467379400"/>
      <w:r>
        <w:rPr>
          <w:rFonts w:hint="eastAsia"/>
          <w:color w:val="000000" w:themeColor="text1"/>
          <w14:textFill>
            <w14:solidFill>
              <w14:schemeClr w14:val="tx1"/>
            </w14:solidFill>
          </w14:textFill>
        </w:rPr>
        <w:t>2.1.5 “乙方”系指根据合同约定交付货物的中标供应商</w:t>
      </w:r>
      <w:bookmarkEnd w:id="412"/>
      <w:r>
        <w:rPr>
          <w:rFonts w:hint="eastAsia"/>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5D11AD">
      <w:pPr>
        <w:spacing w:line="560" w:lineRule="exact"/>
        <w:ind w:firstLine="480" w:firstLineChars="200"/>
        <w:rPr>
          <w:color w:val="000000" w:themeColor="text1"/>
          <w14:textFill>
            <w14:solidFill>
              <w14:schemeClr w14:val="tx1"/>
            </w14:solidFill>
          </w14:textFill>
        </w:rPr>
      </w:pPr>
      <w:bookmarkStart w:id="413" w:name="_Ref467379436"/>
      <w:r>
        <w:rPr>
          <w:rFonts w:hint="eastAsia"/>
          <w:color w:val="000000" w:themeColor="text1"/>
          <w14:textFill>
            <w14:solidFill>
              <w14:schemeClr w14:val="tx1"/>
            </w14:solidFill>
          </w14:textFill>
        </w:rPr>
        <w:t>2.1.6 “现场”系指合同约定货物将要运至或者安装的地点。</w:t>
      </w:r>
      <w:bookmarkEnd w:id="413"/>
    </w:p>
    <w:p w14:paraId="247464DE">
      <w:pPr>
        <w:pStyle w:val="4"/>
        <w:rPr>
          <w:rFonts w:ascii="宋体" w:hAnsi="宋体" w:eastAsia="宋体" w:cs="宋体"/>
          <w:color w:val="000000" w:themeColor="text1"/>
          <w14:textFill>
            <w14:solidFill>
              <w14:schemeClr w14:val="tx1"/>
            </w14:solidFill>
          </w14:textFill>
        </w:rPr>
      </w:pPr>
      <w:bookmarkStart w:id="414" w:name="_Toc279701241"/>
      <w:bookmarkStart w:id="415" w:name="_Toc13336"/>
      <w:bookmarkStart w:id="416" w:name="_Toc32504"/>
      <w:bookmarkStart w:id="417" w:name="_Toc27635"/>
      <w:bookmarkStart w:id="418" w:name="_Toc487900350"/>
      <w:bookmarkStart w:id="419" w:name="_Toc259093670"/>
      <w:r>
        <w:rPr>
          <w:rFonts w:hint="eastAsia" w:ascii="宋体" w:hAnsi="宋体" w:eastAsia="宋体" w:cs="宋体"/>
          <w:color w:val="000000" w:themeColor="text1"/>
          <w14:textFill>
            <w14:solidFill>
              <w14:schemeClr w14:val="tx1"/>
            </w14:solidFill>
          </w14:textFill>
        </w:rPr>
        <w:t>2.2 技术规范</w:t>
      </w:r>
      <w:bookmarkEnd w:id="414"/>
      <w:bookmarkEnd w:id="415"/>
      <w:bookmarkEnd w:id="416"/>
      <w:bookmarkEnd w:id="417"/>
      <w:bookmarkEnd w:id="418"/>
      <w:bookmarkEnd w:id="419"/>
    </w:p>
    <w:p w14:paraId="35D4E0D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9FA277">
      <w:pPr>
        <w:pStyle w:val="4"/>
        <w:rPr>
          <w:rFonts w:ascii="宋体" w:hAnsi="宋体" w:eastAsia="宋体" w:cs="宋体"/>
          <w:color w:val="000000" w:themeColor="text1"/>
          <w14:textFill>
            <w14:solidFill>
              <w14:schemeClr w14:val="tx1"/>
            </w14:solidFill>
          </w14:textFill>
        </w:rPr>
      </w:pPr>
      <w:bookmarkStart w:id="420" w:name="_Toc9829"/>
      <w:bookmarkStart w:id="421" w:name="_Toc487900351"/>
      <w:bookmarkStart w:id="422" w:name="_Toc31634"/>
      <w:bookmarkStart w:id="423" w:name="_Toc279701242"/>
      <w:bookmarkStart w:id="424" w:name="_Toc259093671"/>
      <w:bookmarkStart w:id="425" w:name="_Toc27853"/>
      <w:r>
        <w:rPr>
          <w:rFonts w:hint="eastAsia" w:ascii="宋体" w:hAnsi="宋体" w:eastAsia="宋体" w:cs="宋体"/>
          <w:color w:val="000000" w:themeColor="text1"/>
          <w14:textFill>
            <w14:solidFill>
              <w14:schemeClr w14:val="tx1"/>
            </w14:solidFill>
          </w14:textFill>
        </w:rPr>
        <w:t>2.3 知识产权</w:t>
      </w:r>
      <w:bookmarkEnd w:id="420"/>
      <w:bookmarkEnd w:id="421"/>
      <w:bookmarkEnd w:id="422"/>
      <w:bookmarkEnd w:id="423"/>
      <w:bookmarkEnd w:id="424"/>
      <w:bookmarkEnd w:id="425"/>
    </w:p>
    <w:p w14:paraId="613FE91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DBC881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2.3.2具有知识产权的计算机软件等货物的知识产权归属，详见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0AF91E2D">
      <w:pPr>
        <w:pStyle w:val="4"/>
        <w:rPr>
          <w:rFonts w:ascii="宋体" w:hAnsi="宋体" w:eastAsia="宋体" w:cs="宋体"/>
          <w:color w:val="000000" w:themeColor="text1"/>
          <w14:textFill>
            <w14:solidFill>
              <w14:schemeClr w14:val="tx1"/>
            </w14:solidFill>
          </w14:textFill>
        </w:rPr>
      </w:pPr>
      <w:bookmarkStart w:id="426" w:name="_Toc4194"/>
      <w:bookmarkStart w:id="427" w:name="_Toc29149"/>
      <w:bookmarkStart w:id="428" w:name="_Toc11932"/>
      <w:r>
        <w:rPr>
          <w:rFonts w:hint="eastAsia" w:ascii="宋体" w:hAnsi="宋体" w:eastAsia="宋体" w:cs="宋体"/>
          <w:color w:val="000000" w:themeColor="text1"/>
          <w14:textFill>
            <w14:solidFill>
              <w14:schemeClr w14:val="tx1"/>
            </w14:solidFill>
          </w14:textFill>
        </w:rPr>
        <w:t>2.4 包装和装运</w:t>
      </w:r>
      <w:bookmarkEnd w:id="426"/>
      <w:bookmarkEnd w:id="427"/>
      <w:bookmarkEnd w:id="428"/>
    </w:p>
    <w:p w14:paraId="15784B9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2.4.1除</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4F1ECA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891CD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2.4.2 装运货物的要求和通知，详见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777721A0">
      <w:pPr>
        <w:pStyle w:val="4"/>
        <w:rPr>
          <w:rFonts w:ascii="宋体" w:hAnsi="宋体" w:eastAsia="宋体" w:cs="宋体"/>
          <w:color w:val="000000" w:themeColor="text1"/>
          <w14:textFill>
            <w14:solidFill>
              <w14:schemeClr w14:val="tx1"/>
            </w14:solidFill>
          </w14:textFill>
        </w:rPr>
      </w:pPr>
      <w:bookmarkStart w:id="429" w:name="_Ref467379536"/>
      <w:bookmarkStart w:id="430" w:name="_Toc259093674"/>
      <w:bookmarkStart w:id="431" w:name="_Toc487900354"/>
      <w:bookmarkStart w:id="432" w:name="_Ref467378591"/>
      <w:bookmarkStart w:id="433" w:name="_Toc279701245"/>
      <w:bookmarkStart w:id="434" w:name="_Ref467378541"/>
      <w:bookmarkStart w:id="435" w:name="_Ref467379527"/>
      <w:bookmarkStart w:id="436" w:name="_Ref467379542"/>
      <w:bookmarkStart w:id="437" w:name="_Toc19074"/>
      <w:bookmarkStart w:id="438" w:name="_Toc26182"/>
      <w:bookmarkStart w:id="439" w:name="_Toc30272"/>
      <w:r>
        <w:rPr>
          <w:rFonts w:hint="eastAsia" w:ascii="宋体" w:hAnsi="宋体" w:eastAsia="宋体" w:cs="宋体"/>
          <w:color w:val="000000" w:themeColor="text1"/>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14:textFill>
            <w14:solidFill>
              <w14:schemeClr w14:val="tx1"/>
            </w14:solidFill>
          </w14:textFill>
        </w:rPr>
        <w:t>5 履约检查和问题反馈</w:t>
      </w:r>
      <w:bookmarkEnd w:id="437"/>
      <w:bookmarkEnd w:id="438"/>
      <w:bookmarkEnd w:id="439"/>
    </w:p>
    <w:p w14:paraId="67F7BF01">
      <w:pPr>
        <w:spacing w:line="560" w:lineRule="exact"/>
        <w:ind w:firstLine="480" w:firstLineChars="200"/>
        <w:rPr>
          <w:color w:val="000000" w:themeColor="text1"/>
          <w14:textFill>
            <w14:solidFill>
              <w14:schemeClr w14:val="tx1"/>
            </w14:solidFill>
          </w14:textFill>
        </w:rPr>
      </w:pPr>
      <w:bookmarkStart w:id="440" w:name="_Ref467379657"/>
      <w:r>
        <w:rPr>
          <w:rFonts w:hint="eastAsia"/>
          <w:color w:val="000000" w:themeColor="text1"/>
          <w14:textFill>
            <w14:solidFill>
              <w14:schemeClr w14:val="tx1"/>
            </w14:solidFill>
          </w14:textFill>
        </w:rPr>
        <w:t>2.5.1</w:t>
      </w:r>
      <w:bookmarkEnd w:id="440"/>
      <w:bookmarkStart w:id="441" w:name="_Toc186431854"/>
      <w:bookmarkStart w:id="442" w:name="_Ref467379793"/>
      <w:bookmarkStart w:id="443" w:name="_Ref467379807"/>
      <w:bookmarkStart w:id="444" w:name="_Toc487900357"/>
      <w:bookmarkStart w:id="445" w:name="_Toc259093676"/>
      <w:bookmarkStart w:id="446" w:name="_Toc279701247"/>
      <w:r>
        <w:rPr>
          <w:rFonts w:hint="eastAsia"/>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4719B91E">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color w:val="000000" w:themeColor="text1"/>
          <w14:textFill>
            <w14:solidFill>
              <w14:schemeClr w14:val="tx1"/>
            </w14:solidFill>
          </w14:textFill>
        </w:rPr>
        <w:t>。</w:t>
      </w:r>
    </w:p>
    <w:bookmarkEnd w:id="442"/>
    <w:bookmarkEnd w:id="443"/>
    <w:bookmarkEnd w:id="444"/>
    <w:bookmarkEnd w:id="445"/>
    <w:bookmarkEnd w:id="446"/>
    <w:bookmarkEnd w:id="447"/>
    <w:p w14:paraId="6341CEF6">
      <w:pPr>
        <w:pStyle w:val="4"/>
        <w:rPr>
          <w:rFonts w:ascii="宋体" w:hAnsi="宋体" w:eastAsia="宋体" w:cs="宋体"/>
          <w:color w:val="000000" w:themeColor="text1"/>
          <w14:textFill>
            <w14:solidFill>
              <w14:schemeClr w14:val="tx1"/>
            </w14:solidFill>
          </w14:textFill>
        </w:rPr>
      </w:pPr>
      <w:bookmarkStart w:id="448" w:name="_Ref467379863"/>
      <w:bookmarkStart w:id="449" w:name="_Ref467379852"/>
      <w:bookmarkStart w:id="450" w:name="_Toc487900358"/>
      <w:bookmarkStart w:id="451" w:name="_Toc279701248"/>
      <w:bookmarkStart w:id="452" w:name="_Toc259093677"/>
      <w:bookmarkStart w:id="453" w:name="_Ref467379923"/>
      <w:bookmarkStart w:id="454" w:name="_Toc16110"/>
      <w:bookmarkStart w:id="455" w:name="_Toc3225"/>
      <w:bookmarkStart w:id="456" w:name="_Toc774"/>
      <w:r>
        <w:rPr>
          <w:rFonts w:hint="eastAsia" w:ascii="宋体" w:hAnsi="宋体" w:eastAsia="宋体" w:cs="宋体"/>
          <w:color w:val="000000" w:themeColor="text1"/>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14:textFill>
            <w14:solidFill>
              <w14:schemeClr w14:val="tx1"/>
            </w14:solidFill>
          </w14:textFill>
        </w:rPr>
        <w:t>和保密义务</w:t>
      </w:r>
      <w:bookmarkEnd w:id="454"/>
      <w:bookmarkEnd w:id="455"/>
      <w:bookmarkEnd w:id="456"/>
    </w:p>
    <w:p w14:paraId="3093FC20">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2.6.1 乙方有权依据合同约定和项目需要，向甲方了解有关情况，调阅有关资料等，甲方应予积极配合；</w:t>
      </w:r>
    </w:p>
    <w:p w14:paraId="6B669308">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2.6.2 乙方有义务妥善保管和保护由甲方提供的前款信息和资料等；</w:t>
      </w:r>
    </w:p>
    <w:p w14:paraId="267D1E5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F10966">
      <w:pPr>
        <w:pStyle w:val="4"/>
        <w:rPr>
          <w:rFonts w:ascii="宋体" w:hAnsi="宋体" w:eastAsia="宋体" w:cs="宋体"/>
          <w:color w:val="000000" w:themeColor="text1"/>
          <w14:textFill>
            <w14:solidFill>
              <w14:schemeClr w14:val="tx1"/>
            </w14:solidFill>
          </w14:textFill>
        </w:rPr>
      </w:pPr>
      <w:bookmarkStart w:id="457" w:name="_Toc7860"/>
      <w:r>
        <w:rPr>
          <w:rFonts w:hint="eastAsia" w:ascii="宋体" w:hAnsi="宋体" w:eastAsia="宋体" w:cs="宋体"/>
          <w:color w:val="000000" w:themeColor="text1"/>
          <w14:textFill>
            <w14:solidFill>
              <w14:schemeClr w14:val="tx1"/>
            </w14:solidFill>
          </w14:textFill>
        </w:rPr>
        <w:t>2.7 质量保证</w:t>
      </w:r>
      <w:bookmarkEnd w:id="457"/>
    </w:p>
    <w:p w14:paraId="12682564">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2.7.1 乙方应建立和完善履行合同的内部质量保证体系，并提供相关内部规章制度给甲方，以便甲方进行监督检查；</w:t>
      </w:r>
    </w:p>
    <w:p w14:paraId="7C628A8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14:paraId="34772E90">
      <w:pPr>
        <w:pStyle w:val="4"/>
        <w:rPr>
          <w:rFonts w:ascii="宋体" w:hAnsi="宋体" w:eastAsia="宋体" w:cs="宋体"/>
          <w:color w:val="000000" w:themeColor="text1"/>
          <w14:textFill>
            <w14:solidFill>
              <w14:schemeClr w14:val="tx1"/>
            </w14:solidFill>
          </w14:textFill>
        </w:rPr>
      </w:pPr>
      <w:bookmarkStart w:id="458" w:name="_Toc17244"/>
      <w:bookmarkStart w:id="459" w:name="_Toc259093681"/>
      <w:bookmarkStart w:id="460" w:name="_Toc487900362"/>
      <w:bookmarkStart w:id="461" w:name="_Toc279701252"/>
      <w:r>
        <w:rPr>
          <w:rFonts w:hint="eastAsia" w:ascii="宋体" w:hAnsi="宋体" w:eastAsia="宋体" w:cs="宋体"/>
          <w:color w:val="000000" w:themeColor="text1"/>
          <w14:textFill>
            <w14:solidFill>
              <w14:schemeClr w14:val="tx1"/>
            </w14:solidFill>
          </w14:textFill>
        </w:rPr>
        <w:t>2.8 货物的风险负担</w:t>
      </w:r>
      <w:bookmarkEnd w:id="458"/>
    </w:p>
    <w:p w14:paraId="2A445D23">
      <w:pPr>
        <w:spacing w:line="560" w:lineRule="exact"/>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货物或者在途货物或者交付给第一承运人后的货物毁损、灭失的风险负担详见</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w:t>
      </w:r>
    </w:p>
    <w:p w14:paraId="19496732">
      <w:pPr>
        <w:pStyle w:val="4"/>
        <w:rPr>
          <w:rFonts w:ascii="宋体" w:hAnsi="宋体" w:eastAsia="宋体" w:cs="宋体"/>
          <w:color w:val="000000" w:themeColor="text1"/>
          <w14:textFill>
            <w14:solidFill>
              <w14:schemeClr w14:val="tx1"/>
            </w14:solidFill>
          </w14:textFill>
        </w:rPr>
      </w:pPr>
      <w:bookmarkStart w:id="462" w:name="_Toc14055"/>
      <w:r>
        <w:rPr>
          <w:rFonts w:hint="eastAsia" w:ascii="宋体" w:hAnsi="宋体" w:eastAsia="宋体" w:cs="宋体"/>
          <w:color w:val="000000" w:themeColor="text1"/>
          <w14:textFill>
            <w14:solidFill>
              <w14:schemeClr w14:val="tx1"/>
            </w14:solidFill>
          </w14:textFill>
        </w:rPr>
        <w:t>2.9 延迟交货</w:t>
      </w:r>
      <w:bookmarkEnd w:id="459"/>
      <w:bookmarkEnd w:id="460"/>
      <w:bookmarkEnd w:id="461"/>
      <w:bookmarkEnd w:id="462"/>
    </w:p>
    <w:p w14:paraId="09D9E81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A2277F3">
      <w:pPr>
        <w:pStyle w:val="4"/>
        <w:rPr>
          <w:rFonts w:ascii="宋体" w:hAnsi="宋体" w:eastAsia="宋体" w:cs="宋体"/>
          <w:color w:val="000000" w:themeColor="text1"/>
          <w14:textFill>
            <w14:solidFill>
              <w14:schemeClr w14:val="tx1"/>
            </w14:solidFill>
          </w14:textFill>
        </w:rPr>
      </w:pPr>
      <w:bookmarkStart w:id="463" w:name="_Toc7502"/>
      <w:bookmarkStart w:id="464" w:name="_Ref467378121"/>
      <w:bookmarkStart w:id="465" w:name="_Toc487900364"/>
      <w:bookmarkStart w:id="466" w:name="_Toc259093683"/>
      <w:bookmarkStart w:id="467" w:name="_Toc279701254"/>
      <w:r>
        <w:rPr>
          <w:rFonts w:hint="eastAsia" w:ascii="宋体" w:hAnsi="宋体" w:eastAsia="宋体" w:cs="宋体"/>
          <w:color w:val="000000" w:themeColor="text1"/>
          <w14:textFill>
            <w14:solidFill>
              <w14:schemeClr w14:val="tx1"/>
            </w14:solidFill>
          </w14:textFill>
        </w:rPr>
        <w:t>2.10 合同变更</w:t>
      </w:r>
      <w:bookmarkEnd w:id="463"/>
    </w:p>
    <w:p w14:paraId="094931E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79701259"/>
      <w:bookmarkStart w:id="469" w:name="_Toc487900369"/>
      <w:bookmarkStart w:id="470" w:name="_Toc259093688"/>
    </w:p>
    <w:p w14:paraId="4E39DF19">
      <w:pPr>
        <w:pStyle w:val="4"/>
        <w:rPr>
          <w:rFonts w:ascii="宋体" w:hAnsi="宋体" w:eastAsia="宋体" w:cs="宋体"/>
          <w:color w:val="000000" w:themeColor="text1"/>
          <w14:textFill>
            <w14:solidFill>
              <w14:schemeClr w14:val="tx1"/>
            </w14:solidFill>
          </w14:textFill>
        </w:rPr>
      </w:pPr>
      <w:bookmarkStart w:id="471" w:name="_Toc15237"/>
      <w:bookmarkStart w:id="472" w:name="_Toc22955"/>
      <w:bookmarkStart w:id="473" w:name="_Toc10366"/>
      <w:r>
        <w:rPr>
          <w:rFonts w:hint="eastAsia" w:ascii="宋体" w:hAnsi="宋体" w:eastAsia="宋体" w:cs="宋体"/>
          <w:color w:val="000000" w:themeColor="text1"/>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14:textFill>
            <w14:solidFill>
              <w14:schemeClr w14:val="tx1"/>
            </w14:solidFill>
          </w14:textFill>
        </w:rPr>
        <w:t>和分包</w:t>
      </w:r>
      <w:bookmarkEnd w:id="471"/>
      <w:bookmarkEnd w:id="472"/>
      <w:bookmarkEnd w:id="473"/>
    </w:p>
    <w:p w14:paraId="2F37107C">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0577AAF">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2.11.2乙方采取分包方式履行合同的，甲方可直接向分包供应商支付款项。</w:t>
      </w:r>
    </w:p>
    <w:p w14:paraId="1B5D97C4">
      <w:pPr>
        <w:pStyle w:val="4"/>
        <w:rPr>
          <w:rFonts w:ascii="宋体" w:hAnsi="宋体" w:eastAsia="宋体" w:cs="宋体"/>
          <w:color w:val="000000" w:themeColor="text1"/>
          <w14:textFill>
            <w14:solidFill>
              <w14:schemeClr w14:val="tx1"/>
            </w14:solidFill>
          </w14:textFill>
        </w:rPr>
      </w:pPr>
      <w:bookmarkStart w:id="474" w:name="_Toc14066"/>
      <w:bookmarkStart w:id="475" w:name="_Toc16508"/>
      <w:bookmarkStart w:id="476" w:name="_Toc13566"/>
      <w:r>
        <w:rPr>
          <w:rFonts w:hint="eastAsia" w:ascii="宋体" w:hAnsi="宋体" w:eastAsia="宋体" w:cs="宋体"/>
          <w:color w:val="000000" w:themeColor="text1"/>
          <w14:textFill>
            <w14:solidFill>
              <w14:schemeClr w14:val="tx1"/>
            </w14:solidFill>
          </w14:textFill>
        </w:rPr>
        <w:t>2.12 不可抗力</w:t>
      </w:r>
      <w:bookmarkEnd w:id="474"/>
      <w:bookmarkEnd w:id="475"/>
      <w:bookmarkEnd w:id="476"/>
    </w:p>
    <w:p w14:paraId="7C7721C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14:paraId="425C6733">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2.12.2 因不可抗力致使不能实现合同目的的，当事人可以解除合同；</w:t>
      </w:r>
    </w:p>
    <w:p w14:paraId="502019ED">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2.12.3 因不可抗力致使合同有变更必要的，双方当事人应在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约定时间内以书面形式变更合同；</w:t>
      </w:r>
    </w:p>
    <w:p w14:paraId="12B21269">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2.12.4受不可抗力影响的一方在不可抗力发生后，应在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约定时间内以书面形式通知对方当事人，并在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约定时间内，将有关部门出具的证明文件送达对方当事人。</w:t>
      </w:r>
    </w:p>
    <w:p w14:paraId="2C9CCAA7">
      <w:pPr>
        <w:pStyle w:val="4"/>
        <w:rPr>
          <w:rFonts w:ascii="宋体" w:hAnsi="宋体" w:eastAsia="宋体" w:cs="宋体"/>
          <w:color w:val="000000" w:themeColor="text1"/>
          <w14:textFill>
            <w14:solidFill>
              <w14:schemeClr w14:val="tx1"/>
            </w14:solidFill>
          </w14:textFill>
        </w:rPr>
      </w:pPr>
      <w:bookmarkStart w:id="477" w:name="_Toc30676"/>
      <w:bookmarkStart w:id="478" w:name="_Toc6969"/>
      <w:bookmarkStart w:id="479" w:name="_Toc279701255"/>
      <w:bookmarkStart w:id="480" w:name="_Toc487900365"/>
      <w:bookmarkStart w:id="481" w:name="_Toc689"/>
      <w:bookmarkStart w:id="482" w:name="_Toc259093684"/>
      <w:r>
        <w:rPr>
          <w:rFonts w:hint="eastAsia" w:ascii="宋体" w:hAnsi="宋体" w:eastAsia="宋体" w:cs="宋体"/>
          <w:color w:val="000000" w:themeColor="text1"/>
          <w14:textFill>
            <w14:solidFill>
              <w14:schemeClr w14:val="tx1"/>
            </w14:solidFill>
          </w14:textFill>
        </w:rPr>
        <w:t>2.13 税费</w:t>
      </w:r>
      <w:bookmarkEnd w:id="477"/>
      <w:bookmarkEnd w:id="478"/>
      <w:bookmarkEnd w:id="479"/>
      <w:bookmarkEnd w:id="480"/>
      <w:bookmarkEnd w:id="481"/>
      <w:bookmarkEnd w:id="482"/>
    </w:p>
    <w:p w14:paraId="137E613A">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与合同有关的一切税费，均按照中华人民共和国法律的相关规定。</w:t>
      </w:r>
    </w:p>
    <w:p w14:paraId="20AED424">
      <w:pPr>
        <w:pStyle w:val="4"/>
        <w:rPr>
          <w:rFonts w:ascii="宋体" w:hAnsi="宋体" w:eastAsia="宋体" w:cs="宋体"/>
          <w:color w:val="000000" w:themeColor="text1"/>
          <w14:textFill>
            <w14:solidFill>
              <w14:schemeClr w14:val="tx1"/>
            </w14:solidFill>
          </w14:textFill>
        </w:rPr>
      </w:pPr>
      <w:bookmarkStart w:id="483" w:name="_Toc279701258"/>
      <w:bookmarkStart w:id="484" w:name="_Toc7102"/>
      <w:bookmarkStart w:id="485" w:name="_Toc487900368"/>
      <w:bookmarkStart w:id="486" w:name="_Toc8298"/>
      <w:bookmarkStart w:id="487" w:name="_Toc16959"/>
      <w:bookmarkStart w:id="488" w:name="_Toc259093687"/>
      <w:r>
        <w:rPr>
          <w:rFonts w:hint="eastAsia" w:ascii="宋体" w:hAnsi="宋体" w:eastAsia="宋体" w:cs="宋体"/>
          <w:color w:val="000000" w:themeColor="text1"/>
          <w14:textFill>
            <w14:solidFill>
              <w14:schemeClr w14:val="tx1"/>
            </w14:solidFill>
          </w14:textFill>
        </w:rPr>
        <w:t>2.14乙方破产</w:t>
      </w:r>
      <w:bookmarkEnd w:id="483"/>
      <w:bookmarkEnd w:id="484"/>
      <w:bookmarkEnd w:id="485"/>
      <w:bookmarkEnd w:id="486"/>
      <w:bookmarkEnd w:id="487"/>
      <w:bookmarkEnd w:id="488"/>
    </w:p>
    <w:p w14:paraId="77A63960">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D736ED">
      <w:pPr>
        <w:pStyle w:val="4"/>
        <w:rPr>
          <w:rFonts w:ascii="宋体" w:hAnsi="宋体" w:eastAsia="宋体" w:cs="宋体"/>
          <w:color w:val="000000" w:themeColor="text1"/>
          <w14:textFill>
            <w14:solidFill>
              <w14:schemeClr w14:val="tx1"/>
            </w14:solidFill>
          </w14:textFill>
        </w:rPr>
      </w:pPr>
      <w:bookmarkStart w:id="489" w:name="_Toc15387"/>
      <w:bookmarkStart w:id="490" w:name="_Toc6134"/>
      <w:bookmarkStart w:id="491" w:name="_Toc29333"/>
      <w:r>
        <w:rPr>
          <w:rFonts w:hint="eastAsia" w:ascii="宋体" w:hAnsi="宋体" w:eastAsia="宋体" w:cs="宋体"/>
          <w:color w:val="000000" w:themeColor="text1"/>
          <w14:textFill>
            <w14:solidFill>
              <w14:schemeClr w14:val="tx1"/>
            </w14:solidFill>
          </w14:textFill>
        </w:rPr>
        <w:t>2.15 合同中止、终止</w:t>
      </w:r>
      <w:bookmarkEnd w:id="489"/>
      <w:bookmarkEnd w:id="490"/>
      <w:bookmarkEnd w:id="491"/>
    </w:p>
    <w:p w14:paraId="568C3916">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2.15.1 双方当事人不得擅自中止或者终止合同；</w:t>
      </w:r>
    </w:p>
    <w:p w14:paraId="50A9262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26FD472">
      <w:pPr>
        <w:pStyle w:val="4"/>
        <w:rPr>
          <w:rFonts w:ascii="宋体" w:hAnsi="宋体" w:eastAsia="宋体" w:cs="宋体"/>
          <w:color w:val="000000" w:themeColor="text1"/>
          <w14:textFill>
            <w14:solidFill>
              <w14:schemeClr w14:val="tx1"/>
            </w14:solidFill>
          </w14:textFill>
        </w:rPr>
      </w:pPr>
      <w:bookmarkStart w:id="492" w:name="_Toc6596"/>
      <w:bookmarkStart w:id="493" w:name="_Toc14563"/>
      <w:bookmarkStart w:id="494" w:name="_Toc1125"/>
      <w:r>
        <w:rPr>
          <w:rFonts w:hint="eastAsia" w:ascii="宋体" w:hAnsi="宋体" w:eastAsia="宋体" w:cs="宋体"/>
          <w:color w:val="000000" w:themeColor="text1"/>
          <w14:textFill>
            <w14:solidFill>
              <w14:schemeClr w14:val="tx1"/>
            </w14:solidFill>
          </w14:textFill>
        </w:rPr>
        <w:t>2.16检验和验收</w:t>
      </w:r>
      <w:bookmarkEnd w:id="492"/>
      <w:bookmarkEnd w:id="493"/>
      <w:bookmarkEnd w:id="494"/>
    </w:p>
    <w:p w14:paraId="0E528246">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约定时间内组织验收，并可依法邀请相关方参加，验收应出具验收书。</w:t>
      </w:r>
    </w:p>
    <w:p w14:paraId="2A6A3777">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2F022D">
      <w:pPr>
        <w:tabs>
          <w:tab w:val="left" w:pos="360"/>
          <w:tab w:val="left" w:pos="540"/>
          <w:tab w:val="left" w:pos="1080"/>
        </w:tabs>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2.16.3 检验和验收标准、程序等具体内容以及前述验收书的效力详见</w:t>
      </w:r>
      <w:r>
        <w:rPr>
          <w:rFonts w:hint="eastAsia"/>
          <w:b/>
          <w:i/>
          <w:color w:val="000000" w:themeColor="text1"/>
          <w:u w:val="single"/>
          <w14:textFill>
            <w14:solidFill>
              <w14:schemeClr w14:val="tx1"/>
            </w14:solidFill>
          </w14:textFill>
        </w:rPr>
        <w:t>合同专用条款</w:t>
      </w:r>
      <w:r>
        <w:rPr>
          <w:rFonts w:hint="eastAsia"/>
          <w:i/>
          <w:color w:val="000000" w:themeColor="text1"/>
          <w14:textFill>
            <w14:solidFill>
              <w14:schemeClr w14:val="tx1"/>
            </w14:solidFill>
          </w14:textFill>
        </w:rPr>
        <w:t>。</w:t>
      </w:r>
    </w:p>
    <w:bookmarkEnd w:id="464"/>
    <w:bookmarkEnd w:id="465"/>
    <w:bookmarkEnd w:id="466"/>
    <w:bookmarkEnd w:id="467"/>
    <w:p w14:paraId="7DBAB65A">
      <w:pPr>
        <w:pStyle w:val="4"/>
        <w:rPr>
          <w:rFonts w:ascii="宋体" w:hAnsi="宋体" w:eastAsia="宋体" w:cs="宋体"/>
          <w:color w:val="000000" w:themeColor="text1"/>
          <w14:textFill>
            <w14:solidFill>
              <w14:schemeClr w14:val="tx1"/>
            </w14:solidFill>
          </w14:textFill>
        </w:rPr>
      </w:pPr>
      <w:bookmarkStart w:id="495" w:name="_Toc259093690"/>
      <w:bookmarkStart w:id="496" w:name="_Toc487900371"/>
      <w:bookmarkStart w:id="497" w:name="_Toc279701261"/>
      <w:bookmarkStart w:id="498" w:name="_Toc11284"/>
      <w:bookmarkStart w:id="499" w:name="_Toc19604"/>
      <w:bookmarkStart w:id="500" w:name="_Toc25182"/>
      <w:r>
        <w:rPr>
          <w:rFonts w:hint="eastAsia" w:ascii="宋体" w:hAnsi="宋体" w:eastAsia="宋体" w:cs="宋体"/>
          <w:color w:val="000000" w:themeColor="text1"/>
          <w14:textFill>
            <w14:solidFill>
              <w14:schemeClr w14:val="tx1"/>
            </w14:solidFill>
          </w14:textFill>
        </w:rPr>
        <w:t>2.17 通知</w:t>
      </w:r>
      <w:bookmarkEnd w:id="495"/>
      <w:bookmarkEnd w:id="496"/>
      <w:bookmarkEnd w:id="497"/>
      <w:r>
        <w:rPr>
          <w:rFonts w:hint="eastAsia" w:ascii="宋体" w:hAnsi="宋体" w:eastAsia="宋体" w:cs="宋体"/>
          <w:color w:val="000000" w:themeColor="text1"/>
          <w14:textFill>
            <w14:solidFill>
              <w14:schemeClr w14:val="tx1"/>
            </w14:solidFill>
          </w14:textFill>
        </w:rPr>
        <w:t>和送达</w:t>
      </w:r>
      <w:bookmarkEnd w:id="498"/>
      <w:bookmarkEnd w:id="499"/>
      <w:bookmarkEnd w:id="500"/>
    </w:p>
    <w:p w14:paraId="231117F6">
      <w:pPr>
        <w:spacing w:line="560" w:lineRule="exact"/>
        <w:ind w:firstLine="480" w:firstLineChars="200"/>
        <w:rPr>
          <w:color w:val="000000" w:themeColor="text1"/>
          <w14:textFill>
            <w14:solidFill>
              <w14:schemeClr w14:val="tx1"/>
            </w14:solidFill>
          </w14:textFill>
        </w:rPr>
      </w:pPr>
      <w:bookmarkStart w:id="501" w:name="_Toc3135"/>
      <w:bookmarkStart w:id="502" w:name="_Toc6698"/>
      <w:bookmarkStart w:id="503" w:name="_Toc279701262"/>
      <w:bookmarkStart w:id="504" w:name="_Toc487900372"/>
      <w:bookmarkStart w:id="505" w:name="_Toc259093691"/>
      <w:r>
        <w:rPr>
          <w:rFonts w:hint="eastAsia"/>
          <w:color w:val="000000" w:themeColor="text1"/>
          <w14:textFill>
            <w14:solidFill>
              <w14:schemeClr w14:val="tx1"/>
            </w14:solidFill>
          </w14:textFill>
        </w:rPr>
        <w:t xml:space="preserve">2.17.1任何一方因履行合同而以合同第一部分尾部所列明的传真或电子邮件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发出的所有通知、文件、材料，均视为已向对方当事人送达；任何一方变更上述送达方式或者地址的，应于</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14:paraId="71F19D0F">
      <w:pPr>
        <w:spacing w:line="560" w:lineRule="exact"/>
        <w:ind w:firstLine="480" w:firstLineChars="200"/>
        <w:rPr>
          <w:color w:val="000000" w:themeColor="text1"/>
          <w14:textFill>
            <w14:solidFill>
              <w14:schemeClr w14:val="tx1"/>
            </w14:solidFill>
          </w14:textFill>
        </w:rPr>
      </w:pPr>
      <w:bookmarkStart w:id="506" w:name="_Toc23294"/>
      <w:bookmarkStart w:id="507" w:name="_Toc23128"/>
      <w:r>
        <w:rPr>
          <w:rFonts w:hint="eastAsia"/>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0A60F93B">
      <w:pPr>
        <w:pStyle w:val="4"/>
        <w:rPr>
          <w:rFonts w:ascii="宋体" w:hAnsi="宋体" w:eastAsia="宋体" w:cs="宋体"/>
          <w:color w:val="000000" w:themeColor="text1"/>
          <w14:textFill>
            <w14:solidFill>
              <w14:schemeClr w14:val="tx1"/>
            </w14:solidFill>
          </w14:textFill>
        </w:rPr>
      </w:pPr>
      <w:bookmarkStart w:id="508" w:name="_Toc18540"/>
      <w:bookmarkStart w:id="509" w:name="_Toc30599"/>
      <w:bookmarkStart w:id="510" w:name="_Toc4355"/>
      <w:r>
        <w:rPr>
          <w:rFonts w:hint="eastAsia" w:ascii="宋体" w:hAnsi="宋体" w:eastAsia="宋体" w:cs="宋体"/>
          <w:color w:val="000000" w:themeColor="text1"/>
          <w14:textFill>
            <w14:solidFill>
              <w14:schemeClr w14:val="tx1"/>
            </w14:solidFill>
          </w14:textFill>
        </w:rPr>
        <w:t>2.18 计量单位</w:t>
      </w:r>
      <w:bookmarkEnd w:id="503"/>
      <w:bookmarkEnd w:id="504"/>
      <w:bookmarkEnd w:id="505"/>
      <w:bookmarkEnd w:id="508"/>
      <w:bookmarkEnd w:id="509"/>
      <w:bookmarkEnd w:id="510"/>
    </w:p>
    <w:p w14:paraId="0B8E9DB7">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除技术规范中另有规定外,合同的计量单位均使用国家法定计量单位。</w:t>
      </w:r>
    </w:p>
    <w:p w14:paraId="43B7D8D6">
      <w:pPr>
        <w:pStyle w:val="4"/>
        <w:rPr>
          <w:rFonts w:ascii="宋体" w:hAnsi="宋体" w:eastAsia="宋体" w:cs="宋体"/>
          <w:color w:val="000000" w:themeColor="text1"/>
          <w14:textFill>
            <w14:solidFill>
              <w14:schemeClr w14:val="tx1"/>
            </w14:solidFill>
          </w14:textFill>
        </w:rPr>
      </w:pPr>
      <w:bookmarkStart w:id="511" w:name="_Toc259093692"/>
      <w:bookmarkStart w:id="512" w:name="_Toc279701263"/>
      <w:bookmarkStart w:id="513" w:name="_Toc12773"/>
      <w:bookmarkStart w:id="514" w:name="_Toc10330"/>
      <w:bookmarkStart w:id="515" w:name="_Toc487900373"/>
      <w:bookmarkStart w:id="516" w:name="_Toc18567"/>
      <w:r>
        <w:rPr>
          <w:rFonts w:hint="eastAsia" w:ascii="宋体" w:hAnsi="宋体" w:eastAsia="宋体" w:cs="宋体"/>
          <w:color w:val="000000" w:themeColor="text1"/>
          <w14:textFill>
            <w14:solidFill>
              <w14:schemeClr w14:val="tx1"/>
            </w14:solidFill>
          </w14:textFill>
        </w:rPr>
        <w:t>2.19 合同使用的文字和适用的法律</w:t>
      </w:r>
      <w:bookmarkEnd w:id="511"/>
      <w:bookmarkEnd w:id="512"/>
      <w:bookmarkEnd w:id="513"/>
      <w:bookmarkEnd w:id="514"/>
      <w:bookmarkEnd w:id="515"/>
      <w:bookmarkEnd w:id="516"/>
    </w:p>
    <w:p w14:paraId="0A528B03">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2.19.1 合同使用汉语书就、变更和解释；</w:t>
      </w:r>
    </w:p>
    <w:p w14:paraId="348358F2">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2.19.2 合同适用中华人民共和国法律。</w:t>
      </w:r>
    </w:p>
    <w:p w14:paraId="4E7F7853">
      <w:pPr>
        <w:pStyle w:val="4"/>
        <w:rPr>
          <w:rFonts w:ascii="宋体" w:hAnsi="宋体" w:eastAsia="宋体" w:cs="宋体"/>
          <w:color w:val="000000" w:themeColor="text1"/>
          <w14:textFill>
            <w14:solidFill>
              <w14:schemeClr w14:val="tx1"/>
            </w14:solidFill>
          </w14:textFill>
        </w:rPr>
      </w:pPr>
      <w:bookmarkStart w:id="517" w:name="_Toc3148"/>
      <w:bookmarkStart w:id="518" w:name="_Toc16673"/>
      <w:bookmarkStart w:id="519" w:name="_Toc279701264"/>
      <w:bookmarkStart w:id="520" w:name="_Toc259093693"/>
      <w:bookmarkStart w:id="521" w:name="_Toc12004"/>
      <w:bookmarkStart w:id="522" w:name="_Toc487900374"/>
      <w:r>
        <w:rPr>
          <w:rFonts w:hint="eastAsia" w:ascii="宋体" w:hAnsi="宋体" w:eastAsia="宋体" w:cs="宋体"/>
          <w:color w:val="000000" w:themeColor="text1"/>
          <w14:textFill>
            <w14:solidFill>
              <w14:schemeClr w14:val="tx1"/>
            </w14:solidFill>
          </w14:textFill>
        </w:rPr>
        <w:t>2.20 履约保证金</w:t>
      </w:r>
      <w:bookmarkEnd w:id="517"/>
      <w:bookmarkEnd w:id="518"/>
      <w:bookmarkEnd w:id="519"/>
      <w:bookmarkEnd w:id="520"/>
      <w:bookmarkEnd w:id="521"/>
      <w:r>
        <w:rPr>
          <w:rFonts w:hint="eastAsia" w:ascii="宋体" w:hAnsi="宋体" w:eastAsia="宋体" w:cs="宋体"/>
          <w:color w:val="000000" w:themeColor="text1"/>
          <w14:textFill>
            <w14:solidFill>
              <w14:schemeClr w14:val="tx1"/>
            </w14:solidFill>
          </w14:textFill>
        </w:rPr>
        <w:t>：无</w:t>
      </w:r>
    </w:p>
    <w:p w14:paraId="73D83802">
      <w:pPr>
        <w:pStyle w:val="4"/>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522"/>
    <w:p w14:paraId="1161D2A6">
      <w:pPr>
        <w:pStyle w:val="4"/>
        <w:rPr>
          <w:rFonts w:ascii="宋体" w:hAnsi="宋体" w:eastAsia="宋体" w:cs="宋体"/>
          <w:color w:val="000000" w:themeColor="text1"/>
          <w14:textFill>
            <w14:solidFill>
              <w14:schemeClr w14:val="tx1"/>
            </w14:solidFill>
          </w14:textFill>
        </w:rPr>
      </w:pPr>
      <w:bookmarkStart w:id="523" w:name="_Toc14001"/>
      <w:bookmarkStart w:id="524" w:name="_Toc19890"/>
      <w:bookmarkStart w:id="525" w:name="_Toc6885"/>
      <w:r>
        <w:rPr>
          <w:rFonts w:hint="eastAsia" w:ascii="宋体" w:hAnsi="宋体" w:eastAsia="宋体" w:cs="宋体"/>
          <w:color w:val="000000" w:themeColor="text1"/>
          <w14:textFill>
            <w14:solidFill>
              <w14:schemeClr w14:val="tx1"/>
            </w14:solidFill>
          </w14:textFill>
        </w:rPr>
        <w:t>2.22合同份数</w:t>
      </w:r>
      <w:bookmarkEnd w:id="523"/>
      <w:bookmarkEnd w:id="524"/>
      <w:bookmarkEnd w:id="525"/>
    </w:p>
    <w:p w14:paraId="41AEECD1">
      <w:pPr>
        <w:spacing w:line="5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合同份数按</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规定，每份均具有同等法律效力。</w:t>
      </w:r>
    </w:p>
    <w:p w14:paraId="1B316B9D">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14:paraId="38516A6E">
      <w:pPr>
        <w:spacing w:line="560" w:lineRule="exact"/>
        <w:ind w:left="-480" w:leftChars="-200" w:right="-480" w:rightChars="-20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519DC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14:paraId="4AB87D59">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条款号</w:t>
            </w:r>
          </w:p>
        </w:tc>
        <w:tc>
          <w:tcPr>
            <w:tcW w:w="4534" w:type="pct"/>
            <w:vAlign w:val="center"/>
          </w:tcPr>
          <w:p w14:paraId="6151ABB0">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约定内容</w:t>
            </w:r>
          </w:p>
        </w:tc>
      </w:tr>
      <w:tr w14:paraId="0EC32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C0943B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4534" w:type="pct"/>
            <w:vAlign w:val="center"/>
          </w:tcPr>
          <w:p w14:paraId="0D81F535">
            <w:pPr>
              <w:spacing w:line="360" w:lineRule="auto"/>
              <w:rPr>
                <w:color w:val="000000" w:themeColor="text1"/>
                <w14:textFill>
                  <w14:solidFill>
                    <w14:schemeClr w14:val="tx1"/>
                  </w14:solidFill>
                </w14:textFill>
              </w:rPr>
            </w:pPr>
          </w:p>
        </w:tc>
      </w:tr>
      <w:tr w14:paraId="77661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3769B9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1.5.1 </w:t>
            </w:r>
          </w:p>
        </w:tc>
        <w:tc>
          <w:tcPr>
            <w:tcW w:w="4534" w:type="pct"/>
            <w:vAlign w:val="center"/>
          </w:tcPr>
          <w:p w14:paraId="1A465771">
            <w:pPr>
              <w:spacing w:line="360" w:lineRule="auto"/>
              <w:rPr>
                <w:color w:val="000000" w:themeColor="text1"/>
                <w14:textFill>
                  <w14:solidFill>
                    <w14:schemeClr w14:val="tx1"/>
                  </w14:solidFill>
                </w14:textFill>
              </w:rPr>
            </w:pPr>
          </w:p>
        </w:tc>
      </w:tr>
      <w:tr w14:paraId="40634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A1914D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1.5.2</w:t>
            </w:r>
          </w:p>
        </w:tc>
        <w:tc>
          <w:tcPr>
            <w:tcW w:w="4534" w:type="pct"/>
            <w:vAlign w:val="center"/>
          </w:tcPr>
          <w:p w14:paraId="378AC45D">
            <w:pPr>
              <w:spacing w:line="360" w:lineRule="auto"/>
              <w:rPr>
                <w:color w:val="000000" w:themeColor="text1"/>
                <w14:textFill>
                  <w14:solidFill>
                    <w14:schemeClr w14:val="tx1"/>
                  </w14:solidFill>
                </w14:textFill>
              </w:rPr>
            </w:pPr>
          </w:p>
        </w:tc>
      </w:tr>
      <w:tr w14:paraId="3CCA8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87BF97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1.5.3 </w:t>
            </w:r>
          </w:p>
        </w:tc>
        <w:tc>
          <w:tcPr>
            <w:tcW w:w="4534" w:type="pct"/>
            <w:vAlign w:val="center"/>
          </w:tcPr>
          <w:p w14:paraId="46117B8E">
            <w:pPr>
              <w:spacing w:line="360" w:lineRule="auto"/>
              <w:rPr>
                <w:color w:val="000000" w:themeColor="text1"/>
                <w14:textFill>
                  <w14:solidFill>
                    <w14:schemeClr w14:val="tx1"/>
                  </w14:solidFill>
                </w14:textFill>
              </w:rPr>
            </w:pPr>
          </w:p>
        </w:tc>
      </w:tr>
      <w:tr w14:paraId="4195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5D2390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1.6.7</w:t>
            </w:r>
          </w:p>
        </w:tc>
        <w:tc>
          <w:tcPr>
            <w:tcW w:w="4534" w:type="pct"/>
            <w:vAlign w:val="center"/>
          </w:tcPr>
          <w:p w14:paraId="0B22EEE3">
            <w:pPr>
              <w:spacing w:line="360" w:lineRule="auto"/>
              <w:rPr>
                <w:color w:val="000000" w:themeColor="text1"/>
                <w14:textFill>
                  <w14:solidFill>
                    <w14:schemeClr w14:val="tx1"/>
                  </w14:solidFill>
                </w14:textFill>
              </w:rPr>
            </w:pPr>
          </w:p>
        </w:tc>
      </w:tr>
      <w:tr w14:paraId="1EC7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701DCF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4534" w:type="pct"/>
            <w:vAlign w:val="center"/>
          </w:tcPr>
          <w:p w14:paraId="2A05A555">
            <w:pPr>
              <w:spacing w:line="360" w:lineRule="auto"/>
              <w:rPr>
                <w:color w:val="000000" w:themeColor="text1"/>
                <w14:textFill>
                  <w14:solidFill>
                    <w14:schemeClr w14:val="tx1"/>
                  </w14:solidFill>
                </w14:textFill>
              </w:rPr>
            </w:pPr>
          </w:p>
        </w:tc>
      </w:tr>
      <w:tr w14:paraId="7B266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0FF839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1.7.1</w:t>
            </w:r>
          </w:p>
        </w:tc>
        <w:tc>
          <w:tcPr>
            <w:tcW w:w="4534" w:type="pct"/>
            <w:vAlign w:val="center"/>
          </w:tcPr>
          <w:p w14:paraId="58A50A62">
            <w:pPr>
              <w:spacing w:line="360" w:lineRule="auto"/>
              <w:rPr>
                <w:color w:val="000000" w:themeColor="text1"/>
                <w14:textFill>
                  <w14:solidFill>
                    <w14:schemeClr w14:val="tx1"/>
                  </w14:solidFill>
                </w14:textFill>
              </w:rPr>
            </w:pPr>
          </w:p>
        </w:tc>
      </w:tr>
      <w:tr w14:paraId="46CB7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27D873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1.7.2</w:t>
            </w:r>
          </w:p>
        </w:tc>
        <w:tc>
          <w:tcPr>
            <w:tcW w:w="4534" w:type="pct"/>
            <w:vAlign w:val="center"/>
          </w:tcPr>
          <w:p w14:paraId="4AF2AC31">
            <w:pPr>
              <w:spacing w:line="360" w:lineRule="auto"/>
              <w:rPr>
                <w:color w:val="000000" w:themeColor="text1"/>
                <w14:textFill>
                  <w14:solidFill>
                    <w14:schemeClr w14:val="tx1"/>
                  </w14:solidFill>
                </w14:textFill>
              </w:rPr>
            </w:pPr>
          </w:p>
        </w:tc>
      </w:tr>
      <w:tr w14:paraId="00DB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DB0D0A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2.3.2</w:t>
            </w:r>
          </w:p>
        </w:tc>
        <w:tc>
          <w:tcPr>
            <w:tcW w:w="4534" w:type="pct"/>
            <w:vAlign w:val="center"/>
          </w:tcPr>
          <w:p w14:paraId="2D6142EC">
            <w:pPr>
              <w:spacing w:line="360" w:lineRule="auto"/>
              <w:ind w:left="-480" w:leftChars="-200" w:right="-480" w:rightChars="-200" w:firstLine="480" w:firstLineChars="200"/>
              <w:rPr>
                <w:color w:val="000000" w:themeColor="text1"/>
                <w14:textFill>
                  <w14:solidFill>
                    <w14:schemeClr w14:val="tx1"/>
                  </w14:solidFill>
                </w14:textFill>
              </w:rPr>
            </w:pPr>
          </w:p>
        </w:tc>
      </w:tr>
      <w:tr w14:paraId="62720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24F1E6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2.4.1</w:t>
            </w:r>
          </w:p>
        </w:tc>
        <w:tc>
          <w:tcPr>
            <w:tcW w:w="4534" w:type="pct"/>
            <w:vAlign w:val="center"/>
          </w:tcPr>
          <w:p w14:paraId="5AED7EEC">
            <w:pPr>
              <w:spacing w:line="360" w:lineRule="auto"/>
              <w:ind w:left="-480" w:leftChars="-200" w:right="-480" w:rightChars="-200" w:firstLine="480" w:firstLineChars="200"/>
              <w:rPr>
                <w:color w:val="000000" w:themeColor="text1"/>
                <w14:textFill>
                  <w14:solidFill>
                    <w14:schemeClr w14:val="tx1"/>
                  </w14:solidFill>
                </w14:textFill>
              </w:rPr>
            </w:pPr>
          </w:p>
        </w:tc>
      </w:tr>
      <w:tr w14:paraId="623E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2C809C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2.4.2</w:t>
            </w:r>
          </w:p>
        </w:tc>
        <w:tc>
          <w:tcPr>
            <w:tcW w:w="4534" w:type="pct"/>
            <w:vAlign w:val="center"/>
          </w:tcPr>
          <w:p w14:paraId="70BA5CAC">
            <w:pPr>
              <w:spacing w:line="360" w:lineRule="auto"/>
              <w:rPr>
                <w:color w:val="000000" w:themeColor="text1"/>
                <w14:textFill>
                  <w14:solidFill>
                    <w14:schemeClr w14:val="tx1"/>
                  </w14:solidFill>
                </w14:textFill>
              </w:rPr>
            </w:pPr>
          </w:p>
        </w:tc>
      </w:tr>
      <w:tr w14:paraId="45D1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14:paraId="1138D88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2.8 </w:t>
            </w:r>
          </w:p>
        </w:tc>
        <w:tc>
          <w:tcPr>
            <w:tcW w:w="4534" w:type="pct"/>
          </w:tcPr>
          <w:p w14:paraId="45516F4A">
            <w:pPr>
              <w:spacing w:line="360" w:lineRule="auto"/>
              <w:rPr>
                <w:color w:val="000000" w:themeColor="text1"/>
                <w14:textFill>
                  <w14:solidFill>
                    <w14:schemeClr w14:val="tx1"/>
                  </w14:solidFill>
                </w14:textFill>
              </w:rPr>
            </w:pPr>
          </w:p>
        </w:tc>
      </w:tr>
      <w:tr w14:paraId="11B5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592AF5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2.12.3</w:t>
            </w:r>
          </w:p>
        </w:tc>
        <w:tc>
          <w:tcPr>
            <w:tcW w:w="4534" w:type="pct"/>
            <w:vAlign w:val="center"/>
          </w:tcPr>
          <w:p w14:paraId="48B08E2C">
            <w:pPr>
              <w:spacing w:line="360" w:lineRule="auto"/>
              <w:rPr>
                <w:color w:val="000000" w:themeColor="text1"/>
                <w14:textFill>
                  <w14:solidFill>
                    <w14:schemeClr w14:val="tx1"/>
                  </w14:solidFill>
                </w14:textFill>
              </w:rPr>
            </w:pPr>
          </w:p>
        </w:tc>
      </w:tr>
      <w:tr w14:paraId="1CDC5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D1C2B2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2.12.4</w:t>
            </w:r>
          </w:p>
        </w:tc>
        <w:tc>
          <w:tcPr>
            <w:tcW w:w="4534" w:type="pct"/>
            <w:vAlign w:val="center"/>
          </w:tcPr>
          <w:p w14:paraId="4377A162">
            <w:pPr>
              <w:spacing w:line="360" w:lineRule="auto"/>
              <w:rPr>
                <w:color w:val="000000" w:themeColor="text1"/>
                <w14:textFill>
                  <w14:solidFill>
                    <w14:schemeClr w14:val="tx1"/>
                  </w14:solidFill>
                </w14:textFill>
              </w:rPr>
            </w:pPr>
          </w:p>
        </w:tc>
      </w:tr>
      <w:tr w14:paraId="55E1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3F6FC7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2.16.1</w:t>
            </w:r>
          </w:p>
        </w:tc>
        <w:tc>
          <w:tcPr>
            <w:tcW w:w="4534" w:type="pct"/>
            <w:vAlign w:val="center"/>
          </w:tcPr>
          <w:p w14:paraId="26A59398">
            <w:pPr>
              <w:spacing w:line="360" w:lineRule="auto"/>
              <w:rPr>
                <w:color w:val="000000" w:themeColor="text1"/>
                <w14:textFill>
                  <w14:solidFill>
                    <w14:schemeClr w14:val="tx1"/>
                  </w14:solidFill>
                </w14:textFill>
              </w:rPr>
            </w:pPr>
          </w:p>
        </w:tc>
      </w:tr>
      <w:tr w14:paraId="32381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32F3591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2.16.3</w:t>
            </w:r>
          </w:p>
        </w:tc>
        <w:tc>
          <w:tcPr>
            <w:tcW w:w="4534" w:type="pct"/>
            <w:vAlign w:val="center"/>
          </w:tcPr>
          <w:p w14:paraId="57EF6B60">
            <w:pPr>
              <w:spacing w:line="360" w:lineRule="auto"/>
              <w:rPr>
                <w:color w:val="000000" w:themeColor="text1"/>
                <w14:textFill>
                  <w14:solidFill>
                    <w14:schemeClr w14:val="tx1"/>
                  </w14:solidFill>
                </w14:textFill>
              </w:rPr>
            </w:pPr>
          </w:p>
        </w:tc>
      </w:tr>
      <w:tr w14:paraId="1200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65CD180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2.20.1</w:t>
            </w:r>
          </w:p>
        </w:tc>
        <w:tc>
          <w:tcPr>
            <w:tcW w:w="4534" w:type="pct"/>
          </w:tcPr>
          <w:p w14:paraId="046339D1">
            <w:pPr>
              <w:spacing w:line="360" w:lineRule="auto"/>
              <w:rPr>
                <w:color w:val="000000" w:themeColor="text1"/>
                <w14:textFill>
                  <w14:solidFill>
                    <w14:schemeClr w14:val="tx1"/>
                  </w14:solidFill>
                </w14:textFill>
              </w:rPr>
            </w:pPr>
          </w:p>
        </w:tc>
      </w:tr>
      <w:tr w14:paraId="772F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5FAA323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2.20.2 </w:t>
            </w:r>
          </w:p>
        </w:tc>
        <w:tc>
          <w:tcPr>
            <w:tcW w:w="4534" w:type="pct"/>
            <w:vAlign w:val="center"/>
          </w:tcPr>
          <w:p w14:paraId="266AB60C">
            <w:pPr>
              <w:spacing w:line="360" w:lineRule="auto"/>
              <w:rPr>
                <w:color w:val="000000" w:themeColor="text1"/>
                <w14:textFill>
                  <w14:solidFill>
                    <w14:schemeClr w14:val="tx1"/>
                  </w14:solidFill>
                </w14:textFill>
              </w:rPr>
            </w:pPr>
          </w:p>
        </w:tc>
      </w:tr>
      <w:tr w14:paraId="43E9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1922153D">
            <w:pPr>
              <w:spacing w:line="360" w:lineRule="auto"/>
              <w:ind w:left="-480" w:leftChars="-200" w:right="-480" w:rightChars="-200" w:firstLine="480" w:firstLineChars="200"/>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2.22 </w:t>
            </w:r>
          </w:p>
        </w:tc>
        <w:tc>
          <w:tcPr>
            <w:tcW w:w="4534" w:type="pct"/>
            <w:vAlign w:val="center"/>
          </w:tcPr>
          <w:p w14:paraId="633063DE">
            <w:pPr>
              <w:spacing w:line="360" w:lineRule="auto"/>
              <w:rPr>
                <w:color w:val="000000" w:themeColor="text1"/>
                <w14:textFill>
                  <w14:solidFill>
                    <w14:schemeClr w14:val="tx1"/>
                  </w14:solidFill>
                </w14:textFill>
              </w:rPr>
            </w:pPr>
          </w:p>
        </w:tc>
      </w:tr>
    </w:tbl>
    <w:p w14:paraId="52B30C2F">
      <w:pPr>
        <w:rPr>
          <w:color w:val="000000" w:themeColor="text1"/>
          <w14:textFill>
            <w14:solidFill>
              <w14:schemeClr w14:val="tx1"/>
            </w14:solidFill>
          </w14:textFill>
        </w:rPr>
      </w:pPr>
    </w:p>
    <w:p w14:paraId="095B9553">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06E46844">
      <w:pPr>
        <w:pStyle w:val="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14:paraId="37BB060E">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4E4EEFBE">
      <w:pPr>
        <w:jc w:val="center"/>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目录</w:t>
      </w:r>
    </w:p>
    <w:p w14:paraId="3D5F514C">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（1）符合参加政府采购活动应当具备的一般条件的承诺函……………（页码）</w:t>
      </w:r>
    </w:p>
    <w:p w14:paraId="542CF1A0">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（2）落实政府采购政策需满足的资格要求………………………………（页码）</w:t>
      </w:r>
    </w:p>
    <w:p w14:paraId="2009E776">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（3）本项目的特定资格要求………………………………………………（页码）</w:t>
      </w:r>
    </w:p>
    <w:p w14:paraId="0860AB3C">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5C54C53">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5EF59165">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132379E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我方参与（项目名称）【招标编号：（采购编号）】政府采购活动，郑重承诺：</w:t>
      </w:r>
    </w:p>
    <w:p w14:paraId="4802B545">
      <w:pPr>
        <w:snapToGrid w:val="0"/>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（一）具备《中华人民共和国政府采购法》第二十二条第一款规定的条件：</w:t>
      </w:r>
    </w:p>
    <w:p w14:paraId="402FC05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69795A1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2、具有良好的商业信誉和健全的财务会计制度； </w:t>
      </w:r>
    </w:p>
    <w:p w14:paraId="27EACCD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323D68D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136E47C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1CB4525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6、具有法律、行政法规规定的其他条件。</w:t>
      </w:r>
    </w:p>
    <w:p w14:paraId="56F0C72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5F27C3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（三）不存在以下情况：</w:t>
      </w:r>
    </w:p>
    <w:p w14:paraId="1B1C99F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1、单位负责人为同一人或者存在直接控股、管理关系的不同供应商参加同一合同项下的政府采购活动的；</w:t>
      </w:r>
    </w:p>
    <w:p w14:paraId="46C0D7F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2、为采购项目提供整体设计、规范编制或者项目管理、监理、检测等服务后再参加该采购项目的其他采购活动的。</w:t>
      </w:r>
    </w:p>
    <w:p w14:paraId="29E5F670">
      <w:pPr>
        <w:snapToGrid w:val="0"/>
        <w:spacing w:line="360" w:lineRule="auto"/>
        <w:ind w:firstLine="5520" w:firstLineChars="23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供应商名称(电子签名)：</w:t>
      </w:r>
    </w:p>
    <w:p w14:paraId="6711C836">
      <w:pPr>
        <w:snapToGrid w:val="0"/>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 xml:space="preserve">：  年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w:t>
      </w:r>
    </w:p>
    <w:p w14:paraId="67ABB75E">
      <w:pPr>
        <w:snapToGrid w:val="0"/>
        <w:spacing w:line="360" w:lineRule="auto"/>
        <w:ind w:right="480"/>
        <w:jc w:val="center"/>
        <w:rPr>
          <w:b/>
          <w:color w:val="000000" w:themeColor="text1"/>
          <w:sz w:val="32"/>
          <w:szCs w:val="32"/>
          <w14:textFill>
            <w14:solidFill>
              <w14:schemeClr w14:val="tx1"/>
            </w14:solidFill>
          </w14:textFill>
        </w:rPr>
      </w:pPr>
    </w:p>
    <w:p w14:paraId="5CFE8934">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14:paraId="741E3991">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（根据交易公告落实政府采购政策需满足的资格要求选择提供相应的材料；未要求的，无需提供）</w:t>
      </w:r>
    </w:p>
    <w:p w14:paraId="4CB944AB">
      <w:pPr>
        <w:rPr>
          <w:color w:val="000000" w:themeColor="text1"/>
          <w14:textFill>
            <w14:solidFill>
              <w14:schemeClr w14:val="tx1"/>
            </w14:solidFill>
          </w14:textFill>
        </w:rPr>
      </w:pPr>
      <w:r>
        <w:rPr>
          <w:rFonts w:hint="eastAsia"/>
          <w:b/>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14:paraId="2CD49AFE">
      <w:pPr>
        <w:rPr>
          <w:color w:val="000000" w:themeColor="text1"/>
          <w14:textFill>
            <w14:solidFill>
              <w14:schemeClr w14:val="tx1"/>
            </w14:solidFill>
          </w14:textFill>
        </w:rPr>
      </w:pPr>
      <w:r>
        <w:rPr>
          <w:rFonts w:hint="eastAsia"/>
          <w:b/>
          <w:color w:val="000000" w:themeColor="text1"/>
          <w14:textFill>
            <w14:solidFill>
              <w14:schemeClr w14:val="tx1"/>
            </w14:solidFill>
          </w14:textFill>
        </w:rPr>
        <w:t>B.</w:t>
      </w:r>
      <w:r>
        <w:rPr>
          <w:rFonts w:hint="eastAsia"/>
          <w:color w:val="000000" w:themeColor="text1"/>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6695EC39">
      <w:pPr>
        <w:rPr>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color w:val="000000" w:themeColor="text1"/>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4A990ED3">
      <w:pPr>
        <w:jc w:val="center"/>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t>联合协议</w:t>
      </w:r>
    </w:p>
    <w:p w14:paraId="6559FC62">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17BD85B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6BD15A7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3904E1E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 xml:space="preserve"> ；……。</w:t>
      </w:r>
    </w:p>
    <w:p w14:paraId="61C5FE5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w:t>
      </w:r>
    </w:p>
    <w:p w14:paraId="21F3A5AE">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507DF9F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229F59F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1F6961D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5ECC325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0499566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0EEE89E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1FC0CA0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536DC024">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分包意向协议</w:t>
      </w:r>
    </w:p>
    <w:p w14:paraId="16E924B1">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color w:val="000000" w:themeColor="text1"/>
          <w14:textFill>
            <w14:solidFill>
              <w14:schemeClr w14:val="tx1"/>
            </w14:solidFill>
          </w14:textFill>
        </w:rPr>
        <w:t>）</w:t>
      </w:r>
    </w:p>
    <w:p w14:paraId="2F3311DB">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3041768E">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1595D5A1">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1086891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4DE87070">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1A3B350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36E50604">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23F451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3546ECAC">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0D0BE8E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3A4DFA0F">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917892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1706137A">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15B7AF7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77D6CB01">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%，小微企业合同金额达到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                                           供应商名称(电子签名)：</w:t>
      </w:r>
    </w:p>
    <w:p w14:paraId="7C435E4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46D9CE1D">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日期：  年  月   日</w:t>
      </w:r>
    </w:p>
    <w:p w14:paraId="004D5E27">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14:paraId="236EF35B">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（根据交易公告本项目的特定资格要求提供相应的材料；未要求的，无需提供）</w:t>
      </w:r>
    </w:p>
    <w:p w14:paraId="15FD3531">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B33432A">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4EA804FF">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60688D0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（1）投标函……………………………………………………………………（页码）</w:t>
      </w:r>
    </w:p>
    <w:p w14:paraId="6108DE7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（2）授权委托书或法定代表人（单位负责人、自然人本人）身份证明……（页码）</w:t>
      </w:r>
    </w:p>
    <w:p w14:paraId="21343C8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（3）联合协议……………………………………………………………………（页码）</w:t>
      </w:r>
    </w:p>
    <w:p w14:paraId="0D79BDD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（4）分包意向协议………………………………………………………………（页码）</w:t>
      </w:r>
    </w:p>
    <w:p w14:paraId="1DD489E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（5）符合性审查资料…………………………………………………………（页码）</w:t>
      </w:r>
    </w:p>
    <w:p w14:paraId="76265A0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评标标准相应的商务技术资料……………………………………………（页码）（7）投标标的清单………………………………………………………………（页码）（8）商务技术偏离表……………………………………………………………（页码）</w:t>
      </w:r>
    </w:p>
    <w:p w14:paraId="3AFEAD07">
      <w:pPr>
        <w:spacing w:line="360" w:lineRule="auto"/>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r>
        <w:rPr>
          <w:rFonts w:hint="eastAsia"/>
          <w:color w:val="000000" w:themeColor="text1"/>
          <w14:textFill>
            <w14:solidFill>
              <w14:schemeClr w14:val="tx1"/>
            </w14:solidFill>
          </w14:textFill>
        </w:rPr>
        <w:t>…………………………………………（页码）</w:t>
      </w:r>
    </w:p>
    <w:p w14:paraId="4D06C38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E0DBA5C">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50E70E9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14:paraId="69AF793C">
      <w:pPr>
        <w:rPr>
          <w:color w:val="000000" w:themeColor="text1"/>
          <w14:textFill>
            <w14:solidFill>
              <w14:schemeClr w14:val="tx1"/>
            </w14:solidFill>
          </w14:textFill>
        </w:rPr>
      </w:pPr>
      <w:r>
        <w:rPr>
          <w:rFonts w:hint="eastAsia"/>
          <w:color w:val="000000" w:themeColor="text1"/>
          <w14:textFill>
            <w14:solidFill>
              <w14:schemeClr w14:val="tx1"/>
            </w14:solidFill>
          </w14:textFill>
        </w:rPr>
        <w:t>我方参加你方组织的（项目名称）【招标编号：（采购编号）】招标的有关活动，并对此项目进行投标。为此：</w:t>
      </w:r>
    </w:p>
    <w:p w14:paraId="56525C61">
      <w:pPr>
        <w:rPr>
          <w:color w:val="000000" w:themeColor="text1"/>
          <w14:textFill>
            <w14:solidFill>
              <w14:schemeClr w14:val="tx1"/>
            </w14:solidFill>
          </w14:textFill>
        </w:rPr>
      </w:pPr>
      <w:r>
        <w:rPr>
          <w:rFonts w:hint="eastAsia"/>
          <w:color w:val="000000" w:themeColor="text1"/>
          <w14:textFill>
            <w14:solidFill>
              <w14:schemeClr w14:val="tx1"/>
            </w14:solidFill>
          </w14:textFill>
        </w:rPr>
        <w:t>1、我方承诺投标有效期从提交响应文件的截止之日起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天（不少于90天），本响应文件在投标有效期满之前均具有约束力。</w:t>
      </w:r>
    </w:p>
    <w:p w14:paraId="094B3671">
      <w:pPr>
        <w:rPr>
          <w:color w:val="000000" w:themeColor="text1"/>
          <w14:textFill>
            <w14:solidFill>
              <w14:schemeClr w14:val="tx1"/>
            </w14:solidFill>
          </w14:textFill>
        </w:rPr>
      </w:pPr>
      <w:r>
        <w:rPr>
          <w:rFonts w:hint="eastAsia"/>
          <w:color w:val="000000" w:themeColor="text1"/>
          <w14:textFill>
            <w14:solidFill>
              <w14:schemeClr w14:val="tx1"/>
            </w14:solidFill>
          </w14:textFill>
        </w:rPr>
        <w:t>2、我方的响应文件包括以下内容：</w:t>
      </w:r>
    </w:p>
    <w:p w14:paraId="6C6DF267">
      <w:pPr>
        <w:rPr>
          <w:color w:val="000000" w:themeColor="text1"/>
          <w14:textFill>
            <w14:solidFill>
              <w14:schemeClr w14:val="tx1"/>
            </w14:solidFill>
          </w14:textFill>
        </w:rPr>
      </w:pPr>
      <w:r>
        <w:rPr>
          <w:rFonts w:hint="eastAsia"/>
          <w:color w:val="000000" w:themeColor="text1"/>
          <w14:textFill>
            <w14:solidFill>
              <w14:schemeClr w14:val="tx1"/>
            </w14:solidFill>
          </w14:textFill>
        </w:rPr>
        <w:t>2.1资格文件：</w:t>
      </w:r>
    </w:p>
    <w:p w14:paraId="352DD295">
      <w:pPr>
        <w:rPr>
          <w:color w:val="000000" w:themeColor="text1"/>
          <w14:textFill>
            <w14:solidFill>
              <w14:schemeClr w14:val="tx1"/>
            </w14:solidFill>
          </w14:textFill>
        </w:rPr>
      </w:pPr>
      <w:r>
        <w:rPr>
          <w:rFonts w:hint="eastAsia"/>
          <w:color w:val="000000" w:themeColor="text1"/>
          <w14:textFill>
            <w14:solidFill>
              <w14:schemeClr w14:val="tx1"/>
            </w14:solidFill>
          </w14:textFill>
        </w:rPr>
        <w:t>2.1.1承诺函；</w:t>
      </w:r>
    </w:p>
    <w:p w14:paraId="6C7E35D9">
      <w:pPr>
        <w:rPr>
          <w:color w:val="000000" w:themeColor="text1"/>
          <w14:textFill>
            <w14:solidFill>
              <w14:schemeClr w14:val="tx1"/>
            </w14:solidFill>
          </w14:textFill>
        </w:rPr>
      </w:pPr>
      <w:r>
        <w:rPr>
          <w:rFonts w:hint="eastAsia"/>
          <w:color w:val="000000" w:themeColor="text1"/>
          <w14:textFill>
            <w14:solidFill>
              <w14:schemeClr w14:val="tx1"/>
            </w14:solidFill>
          </w14:textFill>
        </w:rPr>
        <w:t>2.1.2落实政府采购政策需满足的资格要求（如果有）；</w:t>
      </w:r>
    </w:p>
    <w:p w14:paraId="0B7990E9">
      <w:pPr>
        <w:rPr>
          <w:color w:val="000000" w:themeColor="text1"/>
          <w14:textFill>
            <w14:solidFill>
              <w14:schemeClr w14:val="tx1"/>
            </w14:solidFill>
          </w14:textFill>
        </w:rPr>
      </w:pPr>
      <w:r>
        <w:rPr>
          <w:rFonts w:hint="eastAsia"/>
          <w:color w:val="000000" w:themeColor="text1"/>
          <w14:textFill>
            <w14:solidFill>
              <w14:schemeClr w14:val="tx1"/>
            </w14:solidFill>
          </w14:textFill>
        </w:rPr>
        <w:t>2.1.3本项目的特定资格要求（如果有）。</w:t>
      </w:r>
    </w:p>
    <w:p w14:paraId="34759975">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商务技术</w:t>
      </w:r>
      <w:r>
        <w:rPr>
          <w:rFonts w:hint="eastAsia"/>
          <w:color w:val="000000" w:themeColor="text1"/>
          <w:lang w:val="zh-CN"/>
          <w14:textFill>
            <w14:solidFill>
              <w14:schemeClr w14:val="tx1"/>
            </w14:solidFill>
          </w14:textFill>
        </w:rPr>
        <w:t>文件：</w:t>
      </w:r>
    </w:p>
    <w:p w14:paraId="2D4EA598">
      <w:pPr>
        <w:rPr>
          <w:color w:val="000000" w:themeColor="text1"/>
          <w14:textFill>
            <w14:solidFill>
              <w14:schemeClr w14:val="tx1"/>
            </w14:solidFill>
          </w14:textFill>
        </w:rPr>
      </w:pPr>
      <w:r>
        <w:rPr>
          <w:rFonts w:hint="eastAsia"/>
          <w:color w:val="000000" w:themeColor="text1"/>
          <w14:textFill>
            <w14:solidFill>
              <w14:schemeClr w14:val="tx1"/>
            </w14:solidFill>
          </w14:textFill>
        </w:rPr>
        <w:t>2.2.1投标函；</w:t>
      </w:r>
      <w:r>
        <w:rPr>
          <w:rFonts w:hint="eastAsia"/>
          <w:color w:val="000000" w:themeColor="text1"/>
          <w:lang w:val="zh-CN"/>
          <w14:textFill>
            <w14:solidFill>
              <w14:schemeClr w14:val="tx1"/>
            </w14:solidFill>
          </w14:textFill>
        </w:rPr>
        <w:t xml:space="preserve"> </w:t>
      </w:r>
    </w:p>
    <w:p w14:paraId="5A109FAF">
      <w:pPr>
        <w:rPr>
          <w:color w:val="000000" w:themeColor="text1"/>
          <w14:textFill>
            <w14:solidFill>
              <w14:schemeClr w14:val="tx1"/>
            </w14:solidFill>
          </w14:textFill>
        </w:rPr>
      </w:pPr>
      <w:r>
        <w:rPr>
          <w:rFonts w:hint="eastAsia"/>
          <w:color w:val="000000" w:themeColor="text1"/>
          <w14:textFill>
            <w14:solidFill>
              <w14:schemeClr w14:val="tx1"/>
            </w14:solidFill>
          </w14:textFill>
        </w:rPr>
        <w:t>2.2.2授权委托书或法定代表人（单位负责人）身份证明；</w:t>
      </w:r>
    </w:p>
    <w:p w14:paraId="76DBBD47">
      <w:pPr>
        <w:rPr>
          <w:color w:val="000000" w:themeColor="text1"/>
          <w14:textFill>
            <w14:solidFill>
              <w14:schemeClr w14:val="tx1"/>
            </w14:solidFill>
          </w14:textFill>
        </w:rPr>
      </w:pPr>
      <w:r>
        <w:rPr>
          <w:rFonts w:hint="eastAsia"/>
          <w:color w:val="000000" w:themeColor="text1"/>
          <w14:textFill>
            <w14:solidFill>
              <w14:schemeClr w14:val="tx1"/>
            </w14:solidFill>
          </w14:textFill>
        </w:rPr>
        <w:t>2.2.3联合协议（如果有）；</w:t>
      </w:r>
    </w:p>
    <w:p w14:paraId="3783E45B">
      <w:pPr>
        <w:rPr>
          <w:color w:val="000000" w:themeColor="text1"/>
          <w14:textFill>
            <w14:solidFill>
              <w14:schemeClr w14:val="tx1"/>
            </w14:solidFill>
          </w14:textFill>
        </w:rPr>
      </w:pPr>
      <w:r>
        <w:rPr>
          <w:rFonts w:hint="eastAsia"/>
          <w:color w:val="000000" w:themeColor="text1"/>
          <w14:textFill>
            <w14:solidFill>
              <w14:schemeClr w14:val="tx1"/>
            </w14:solidFill>
          </w14:textFill>
        </w:rPr>
        <w:t>2.2.4分包意向协议（如果有）；</w:t>
      </w:r>
    </w:p>
    <w:p w14:paraId="2D03CE30">
      <w:pPr>
        <w:rPr>
          <w:color w:val="000000" w:themeColor="text1"/>
          <w14:textFill>
            <w14:solidFill>
              <w14:schemeClr w14:val="tx1"/>
            </w14:solidFill>
          </w14:textFill>
        </w:rPr>
      </w:pPr>
      <w:r>
        <w:rPr>
          <w:rFonts w:hint="eastAsia"/>
          <w:color w:val="000000" w:themeColor="text1"/>
          <w14:textFill>
            <w14:solidFill>
              <w14:schemeClr w14:val="tx1"/>
            </w14:solidFill>
          </w14:textFill>
        </w:rPr>
        <w:t>2.2.5符合性审查资料；</w:t>
      </w:r>
    </w:p>
    <w:p w14:paraId="2BB73C83">
      <w:pPr>
        <w:rPr>
          <w:color w:val="000000" w:themeColor="text1"/>
          <w14:textFill>
            <w14:solidFill>
              <w14:schemeClr w14:val="tx1"/>
            </w14:solidFill>
          </w14:textFill>
        </w:rPr>
      </w:pPr>
      <w:r>
        <w:rPr>
          <w:rFonts w:hint="eastAsia"/>
          <w:color w:val="000000" w:themeColor="text1"/>
          <w14:textFill>
            <w14:solidFill>
              <w14:schemeClr w14:val="tx1"/>
            </w14:solidFill>
          </w14:textFill>
        </w:rPr>
        <w:t>2.2.6评标标准相应的商务技术资料；</w:t>
      </w:r>
    </w:p>
    <w:p w14:paraId="46DA0E85">
      <w:pPr>
        <w:rPr>
          <w:color w:val="000000" w:themeColor="text1"/>
          <w14:textFill>
            <w14:solidFill>
              <w14:schemeClr w14:val="tx1"/>
            </w14:solidFill>
          </w14:textFill>
        </w:rPr>
      </w:pPr>
      <w:r>
        <w:rPr>
          <w:rFonts w:hint="eastAsia"/>
          <w:color w:val="000000" w:themeColor="text1"/>
          <w14:textFill>
            <w14:solidFill>
              <w14:schemeClr w14:val="tx1"/>
            </w14:solidFill>
          </w14:textFill>
        </w:rPr>
        <w:t>2.2.7投标标的清单；</w:t>
      </w:r>
    </w:p>
    <w:p w14:paraId="7CAA3A10">
      <w:pPr>
        <w:rPr>
          <w:color w:val="000000" w:themeColor="text1"/>
          <w14:textFill>
            <w14:solidFill>
              <w14:schemeClr w14:val="tx1"/>
            </w14:solidFill>
          </w14:textFill>
        </w:rPr>
      </w:pPr>
      <w:r>
        <w:rPr>
          <w:rFonts w:hint="eastAsia"/>
          <w:color w:val="000000" w:themeColor="text1"/>
          <w14:textFill>
            <w14:solidFill>
              <w14:schemeClr w14:val="tx1"/>
            </w14:solidFill>
          </w14:textFill>
        </w:rPr>
        <w:t>2.2.8商务技术偏离表；</w:t>
      </w:r>
    </w:p>
    <w:p w14:paraId="131CEE31">
      <w:pP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p>
    <w:p w14:paraId="1A192C71">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3报价文件</w:t>
      </w:r>
    </w:p>
    <w:p w14:paraId="3A9F252D">
      <w:pPr>
        <w:rPr>
          <w:color w:val="000000" w:themeColor="text1"/>
          <w14:textFill>
            <w14:solidFill>
              <w14:schemeClr w14:val="tx1"/>
            </w14:solidFill>
          </w14:textFill>
        </w:rPr>
      </w:pPr>
      <w:r>
        <w:rPr>
          <w:rFonts w:hint="eastAsia"/>
          <w:color w:val="000000" w:themeColor="text1"/>
          <w14:textFill>
            <w14:solidFill>
              <w14:schemeClr w14:val="tx1"/>
            </w14:solidFill>
          </w14:textFill>
        </w:rPr>
        <w:t>2.3.1开标一览表（报价表）；</w:t>
      </w:r>
    </w:p>
    <w:p w14:paraId="3851A8A8">
      <w:pPr>
        <w:rPr>
          <w:color w:val="000000" w:themeColor="text1"/>
          <w14:textFill>
            <w14:solidFill>
              <w14:schemeClr w14:val="tx1"/>
            </w14:solidFill>
          </w14:textFill>
        </w:rPr>
      </w:pPr>
      <w:r>
        <w:rPr>
          <w:rFonts w:hint="eastAsia"/>
          <w:color w:val="000000" w:themeColor="text1"/>
          <w14:textFill>
            <w14:solidFill>
              <w14:schemeClr w14:val="tx1"/>
            </w14:solidFill>
          </w14:textFill>
        </w:rPr>
        <w:t>2.3.2中小企业声明函（如果有）。</w:t>
      </w:r>
    </w:p>
    <w:p w14:paraId="77448650">
      <w:pPr>
        <w:rPr>
          <w:color w:val="000000" w:themeColor="text1"/>
          <w14:textFill>
            <w14:solidFill>
              <w14:schemeClr w14:val="tx1"/>
            </w14:solidFill>
          </w14:textFill>
        </w:rPr>
      </w:pPr>
      <w:r>
        <w:rPr>
          <w:rFonts w:hint="eastAsia"/>
          <w:color w:val="000000" w:themeColor="text1"/>
          <w14:textFill>
            <w14:solidFill>
              <w14:schemeClr w14:val="tx1"/>
            </w14:solidFill>
          </w14:textFill>
        </w:rPr>
        <w:t>3、我方承诺除商务技术偏离表列出的偏离外，我方响应交易文件的全部要求。</w:t>
      </w:r>
    </w:p>
    <w:p w14:paraId="75F00AEC">
      <w:pPr>
        <w:rPr>
          <w:color w:val="000000" w:themeColor="text1"/>
          <w14:textFill>
            <w14:solidFill>
              <w14:schemeClr w14:val="tx1"/>
            </w14:solidFill>
          </w14:textFill>
        </w:rPr>
      </w:pPr>
      <w:r>
        <w:rPr>
          <w:rFonts w:hint="eastAsia"/>
          <w:color w:val="000000" w:themeColor="text1"/>
          <w14:textFill>
            <w14:solidFill>
              <w14:schemeClr w14:val="tx1"/>
            </w14:solidFill>
          </w14:textFill>
        </w:rPr>
        <w:t>4、如我方中标，我方承诺：</w:t>
      </w:r>
    </w:p>
    <w:p w14:paraId="0D62D33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4.1在收到中标通知书后，在中标通知书规定的期限内与你方签订合同； </w:t>
      </w:r>
    </w:p>
    <w:p w14:paraId="503A9C89">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4.2在签订合同时不向你方提出附加条件； </w:t>
      </w:r>
    </w:p>
    <w:p w14:paraId="5EDC979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4.3按照交易文件要求提交履约保证金； </w:t>
      </w:r>
    </w:p>
    <w:p w14:paraId="585BFEB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4.4在合同约定的期限内完成合同规定的全部义务。 </w:t>
      </w:r>
    </w:p>
    <w:p w14:paraId="40256047">
      <w:pPr>
        <w:rPr>
          <w:color w:val="000000" w:themeColor="text1"/>
          <w14:textFill>
            <w14:solidFill>
              <w14:schemeClr w14:val="tx1"/>
            </w14:solidFill>
          </w14:textFill>
        </w:rPr>
      </w:pPr>
      <w:r>
        <w:rPr>
          <w:rFonts w:hint="eastAsia"/>
          <w:color w:val="000000" w:themeColor="text1"/>
          <w14:textFill>
            <w14:solidFill>
              <w14:schemeClr w14:val="tx1"/>
            </w14:solidFill>
          </w14:textFill>
        </w:rPr>
        <w:t>5、其他补充说明: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551B9882">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供应商名称（电子签名）：                          </w:t>
      </w:r>
    </w:p>
    <w:p w14:paraId="50CC81A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745A925D">
      <w:pPr>
        <w:rPr>
          <w:color w:val="000000" w:themeColor="text1"/>
          <w:u w:val="single"/>
          <w14:textFill>
            <w14:solidFill>
              <w14:schemeClr w14:val="tx1"/>
            </w14:solidFill>
          </w14:textFill>
        </w:rPr>
      </w:pPr>
    </w:p>
    <w:p w14:paraId="1E0D2737">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580D383C">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45A7A66">
      <w:pPr>
        <w:pStyle w:val="2"/>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178372C1">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68314428">
      <w:pPr>
        <w:snapToGrid w:val="0"/>
        <w:spacing w:line="360" w:lineRule="auto"/>
        <w:jc w:val="center"/>
        <w:rPr>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授权委托书（适用于非联合体投标）</w:t>
      </w:r>
    </w:p>
    <w:p w14:paraId="0C5E59D7">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2468175D">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15437AA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6485706E">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76493F5B">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7108ADB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签发日期：  年  月   日</w:t>
      </w:r>
    </w:p>
    <w:p w14:paraId="5F0967B2">
      <w:pPr>
        <w:jc w:val="center"/>
        <w:rPr>
          <w:b/>
          <w:color w:val="000000" w:themeColor="text1"/>
          <w:sz w:val="32"/>
          <w:szCs w:val="32"/>
          <w14:textFill>
            <w14:solidFill>
              <w14:schemeClr w14:val="tx1"/>
            </w14:solidFill>
          </w14:textFill>
        </w:rPr>
      </w:pPr>
      <w:r>
        <w:rPr>
          <w:rFonts w:hint="eastAsia"/>
          <w:b/>
          <w:color w:val="000000" w:themeColor="text1"/>
          <w:sz w:val="32"/>
          <w:szCs w:val="32"/>
          <w:lang w:val="zh-CN"/>
          <w14:textFill>
            <w14:solidFill>
              <w14:schemeClr w14:val="tx1"/>
            </w14:solidFill>
          </w14:textFill>
        </w:rPr>
        <w:t>授权委托书（适用于联合体投标）</w:t>
      </w:r>
    </w:p>
    <w:p w14:paraId="3200D45A">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78A5F84C">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rFonts w:hint="eastAsia"/>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14:paraId="46DCA06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14:paraId="3A7EB810">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14:paraId="60F50DE3">
      <w:pPr>
        <w:rPr>
          <w:color w:val="000000" w:themeColor="text1"/>
          <w14:textFill>
            <w14:solidFill>
              <w14:schemeClr w14:val="tx1"/>
            </w14:solidFill>
          </w14:textFill>
        </w:rPr>
      </w:pPr>
    </w:p>
    <w:p w14:paraId="491BAC90">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4DF871E4">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320ABF2F">
      <w:pPr>
        <w:snapToGrid w:val="0"/>
        <w:spacing w:line="360"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1A6CD6F6">
      <w:pPr>
        <w:spacing w:line="276" w:lineRule="auto"/>
        <w:rPr>
          <w:b/>
          <w:color w:val="000000" w:themeColor="text1"/>
          <w:sz w:val="32"/>
          <w:szCs w:val="32"/>
          <w:lang w:val="zh-CN"/>
          <w14:textFill>
            <w14:solidFill>
              <w14:schemeClr w14:val="tx1"/>
            </w14:solidFill>
          </w14:textFill>
        </w:rPr>
      </w:pPr>
      <w:r>
        <w:rPr>
          <w:rFonts w:hint="eastAsia"/>
          <w:b/>
          <w:color w:val="000000" w:themeColor="text1"/>
          <w:sz w:val="32"/>
          <w:szCs w:val="32"/>
          <w:lang w:val="zh-CN"/>
          <w14:textFill>
            <w14:solidFill>
              <w14:schemeClr w14:val="tx1"/>
            </w14:solidFill>
          </w14:textFill>
        </w:rPr>
        <w:br w:type="page"/>
      </w:r>
    </w:p>
    <w:p w14:paraId="02643A13">
      <w:pPr>
        <w:autoSpaceDE w:val="0"/>
        <w:autoSpaceDN w:val="0"/>
        <w:spacing w:line="360" w:lineRule="auto"/>
        <w:jc w:val="center"/>
        <w:rPr>
          <w:b/>
          <w:color w:val="000000" w:themeColor="text1"/>
          <w14:textFill>
            <w14:solidFill>
              <w14:schemeClr w14:val="tx1"/>
            </w14:solidFill>
          </w14:textFill>
        </w:rPr>
      </w:pPr>
      <w:r>
        <w:rPr>
          <w:rFonts w:hint="eastAsia"/>
          <w:b/>
          <w:color w:val="000000" w:themeColor="text1"/>
          <w:sz w:val="32"/>
          <w:szCs w:val="32"/>
          <w:lang w:val="zh-CN"/>
          <w14:textFill>
            <w14:solidFill>
              <w14:schemeClr w14:val="tx1"/>
            </w14:solidFill>
          </w14:textFill>
        </w:rPr>
        <w:t>法定代表人、单位负责人或自然人本人</w:t>
      </w:r>
      <w:r>
        <w:rPr>
          <w:rFonts w:hint="eastAsia"/>
          <w:b/>
          <w:color w:val="000000" w:themeColor="text1"/>
          <w:sz w:val="30"/>
          <w:szCs w:val="30"/>
          <w14:textFill>
            <w14:solidFill>
              <w14:schemeClr w14:val="tx1"/>
            </w14:solidFill>
          </w14:textFill>
        </w:rPr>
        <w:t>的身份证明（适用于法定代表人、单位负责人或者自然人本人代表供应商参加投标）</w:t>
      </w:r>
    </w:p>
    <w:p w14:paraId="0F247A6D">
      <w:pPr>
        <w:pStyle w:val="77"/>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身份证件扫描件：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F4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1A1AF9">
            <w:pPr>
              <w:pStyle w:val="77"/>
              <w:adjustRightInd w:val="0"/>
              <w:spacing w:line="360" w:lineRule="auto"/>
              <w:rPr>
                <w:rFonts w:hAnsi="宋体" w:eastAsia="宋体" w:cs="宋体"/>
                <w:bCs/>
                <w:color w:val="000000" w:themeColor="text1"/>
                <w:sz w:val="24"/>
                <w14:textFill>
                  <w14:solidFill>
                    <w14:schemeClr w14:val="tx1"/>
                  </w14:solidFill>
                </w14:textFill>
              </w:rPr>
            </w:pPr>
            <w:r>
              <w:rPr>
                <w:rFonts w:hint="eastAsia" w:hAnsi="宋体" w:eastAsia="宋体" w:cs="宋体"/>
                <w:bCs/>
                <w:color w:val="000000" w:themeColor="text1"/>
                <w:sz w:val="24"/>
                <w14:textFill>
                  <w14:solidFill>
                    <w14:schemeClr w14:val="tx1"/>
                  </w14:solidFill>
                </w14:textFill>
              </w:rPr>
              <w:t>正面：                                 反面：</w:t>
            </w:r>
          </w:p>
          <w:p w14:paraId="6968A72D">
            <w:pPr>
              <w:pStyle w:val="77"/>
              <w:adjustRightInd w:val="0"/>
              <w:spacing w:line="360" w:lineRule="auto"/>
              <w:rPr>
                <w:rFonts w:hAnsi="宋体" w:eastAsia="宋体" w:cs="宋体"/>
                <w:bCs/>
                <w:color w:val="000000" w:themeColor="text1"/>
                <w:sz w:val="24"/>
                <w14:textFill>
                  <w14:solidFill>
                    <w14:schemeClr w14:val="tx1"/>
                  </w14:solidFill>
                </w14:textFill>
              </w:rPr>
            </w:pPr>
          </w:p>
        </w:tc>
      </w:tr>
    </w:tbl>
    <w:p w14:paraId="58282EE4">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2D9BAF82">
      <w:pPr>
        <w:snapToGrid w:val="0"/>
        <w:spacing w:line="360" w:lineRule="auto"/>
        <w:ind w:firstLine="57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                              </w:t>
      </w:r>
    </w:p>
    <w:p w14:paraId="014EC2DC">
      <w:pPr>
        <w:spacing w:line="360"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01BF4B01">
      <w:pPr>
        <w:spacing w:line="276" w:lineRule="auto"/>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br w:type="page"/>
      </w:r>
    </w:p>
    <w:p w14:paraId="4D8319BF">
      <w:pPr>
        <w:pStyle w:val="2"/>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14:paraId="55BB45D9">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（以联合体形式投标的，提供联合协议；本项目不接受联合体投标或者供应商不以联合体形式投标的，则不需要提供）</w:t>
      </w:r>
    </w:p>
    <w:p w14:paraId="6BA0FCCE">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组成一个联合体，以一个供应商的身份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 xml:space="preserve">投标。 </w:t>
      </w:r>
    </w:p>
    <w:p w14:paraId="0620BD7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14:paraId="17D4E91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7F57013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rFonts w:hint="eastAsia"/>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p>
    <w:p w14:paraId="3FC756A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u w:val="single"/>
          <w14:textFill>
            <w14:solidFill>
              <w14:schemeClr w14:val="tx1"/>
            </w14:solidFill>
          </w14:textFill>
        </w:rPr>
        <w:t>（联合体其中一方成员名称）</w:t>
      </w:r>
      <w:r>
        <w:rPr>
          <w:rFonts w:hint="eastAsia"/>
          <w:color w:val="000000" w:themeColor="text1"/>
          <w14:textFill>
            <w14:solidFill>
              <w14:schemeClr w14:val="tx1"/>
            </w14:solidFill>
          </w14:textFill>
        </w:rPr>
        <w:t>提供的全部货物由小微企业制造，其合同份额占到合同总金额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6CED8D4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14:paraId="3A148D34">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14:paraId="3289674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1、联合体各方不再单独参加或者与其他供应商另外组成联合体参加同一合同项下的政府采购活动。</w:t>
      </w:r>
    </w:p>
    <w:p w14:paraId="255D3B4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52F50571">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3、本协议提交采购人、采购机构后，联合体各方不得以任何形式对上述内容进行修改或撤销。</w:t>
      </w:r>
    </w:p>
    <w:p w14:paraId="0D62EAC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联合体成员名称(电子签名/公章)：</w:t>
      </w:r>
    </w:p>
    <w:p w14:paraId="4B1FCBB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4285965A">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19C61D43">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E0E855B">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14:paraId="6362FA1E">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p>
    <w:p w14:paraId="1C2A7549">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（供应商名称）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 xml:space="preserve">。 </w:t>
      </w:r>
    </w:p>
    <w:p w14:paraId="5CB418AC">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14:paraId="6F166E6C">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（供应商名称）</w:t>
      </w:r>
      <w:r>
        <w:rPr>
          <w:rFonts w:hint="eastAsia"/>
          <w:color w:val="000000" w:themeColor="text1"/>
          <w:lang w:val="zh-CN"/>
          <w14:textFill>
            <w14:solidFill>
              <w14:schemeClr w14:val="tx1"/>
            </w14:solidFill>
          </w14:textFill>
        </w:rPr>
        <w:t>将</w:t>
      </w:r>
      <w:r>
        <w:rPr>
          <w:rFonts w:hint="eastAsia"/>
          <w:color w:val="000000" w:themeColor="text1"/>
          <w:u w:val="single"/>
          <w14:textFill>
            <w14:solidFill>
              <w14:schemeClr w14:val="tx1"/>
            </w14:solidFill>
          </w14:textFill>
        </w:rPr>
        <w:t xml:space="preserve">   XX工作内容   </w:t>
      </w:r>
      <w:r>
        <w:rPr>
          <w:rFonts w:hint="eastAsia"/>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rFonts w:hint="eastAsia"/>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14:paraId="49D4B3C0">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85F1EC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14:paraId="29934F4C">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0DC5231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14:paraId="7E6688F0">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F07E083">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14:paraId="24EA518D">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565E34CE">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14:paraId="5DC3FCB8">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7B125D6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14:paraId="1ADC1A97">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 xml:space="preserve">                                                                                  </w:t>
      </w:r>
    </w:p>
    <w:p w14:paraId="29BADE2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14:paraId="1EFEBBA9">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（分包供应商名称）提供的货物全部由小微企业制造，</w:t>
      </w:r>
      <w:r>
        <w:rPr>
          <w:rFonts w:hint="eastAsia"/>
          <w:color w:val="000000" w:themeColor="text1"/>
          <w14:textFill>
            <w14:solidFill>
              <w14:schemeClr w14:val="tx1"/>
            </w14:solidFill>
          </w14:textFill>
        </w:rPr>
        <w:t>其合同份额占到合同总金额</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19C6733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供应商名称(电子签名)：</w:t>
      </w:r>
    </w:p>
    <w:p w14:paraId="2ABA606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14:paraId="4C1510C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                                               日期：  年  月   日</w:t>
      </w:r>
    </w:p>
    <w:p w14:paraId="6AD7D5EA">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219B3233">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2ECD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005ACE">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40" w:type="dxa"/>
            <w:vAlign w:val="center"/>
          </w:tcPr>
          <w:p w14:paraId="24071158">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2410" w:type="dxa"/>
            <w:vAlign w:val="center"/>
          </w:tcPr>
          <w:p w14:paraId="45F472FA">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需要提供的符合性审查资料</w:t>
            </w:r>
          </w:p>
        </w:tc>
        <w:tc>
          <w:tcPr>
            <w:tcW w:w="1701" w:type="dxa"/>
            <w:vAlign w:val="center"/>
          </w:tcPr>
          <w:p w14:paraId="5654019A">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响应文件中的</w:t>
            </w:r>
          </w:p>
          <w:p w14:paraId="237D17F4">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页码位置</w:t>
            </w:r>
          </w:p>
        </w:tc>
      </w:tr>
      <w:tr w14:paraId="7B1E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F43721">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140" w:type="dxa"/>
          </w:tcPr>
          <w:p w14:paraId="74C51B7F">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响应文件按照交易文件要求签署、盖章。</w:t>
            </w:r>
          </w:p>
        </w:tc>
        <w:tc>
          <w:tcPr>
            <w:tcW w:w="2410" w:type="dxa"/>
            <w:vAlign w:val="center"/>
          </w:tcPr>
          <w:p w14:paraId="74EB6BBF">
            <w:pPr>
              <w:rPr>
                <w:color w:val="000000" w:themeColor="text1"/>
                <w14:textFill>
                  <w14:solidFill>
                    <w14:schemeClr w14:val="tx1"/>
                  </w14:solidFill>
                </w14:textFill>
              </w:rPr>
            </w:pPr>
            <w:r>
              <w:rPr>
                <w:rFonts w:hint="eastAsia"/>
                <w:color w:val="000000" w:themeColor="text1"/>
                <w14:textFill>
                  <w14:solidFill>
                    <w14:schemeClr w14:val="tx1"/>
                  </w14:solidFill>
                </w14:textFill>
              </w:rPr>
              <w:t>需要使用电子签名或者签字盖章的响应文件的组成部分</w:t>
            </w:r>
          </w:p>
        </w:tc>
        <w:tc>
          <w:tcPr>
            <w:tcW w:w="1701" w:type="dxa"/>
          </w:tcPr>
          <w:p w14:paraId="0C6D88C1">
            <w:pPr>
              <w:rPr>
                <w:color w:val="000000" w:themeColor="text1"/>
                <w14:textFill>
                  <w14:solidFill>
                    <w14:schemeClr w14:val="tx1"/>
                  </w14:solidFill>
                </w14:textFill>
              </w:rPr>
            </w:pPr>
          </w:p>
          <w:p w14:paraId="79F17194">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431E9AEB">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7057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616089">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140" w:type="dxa"/>
          </w:tcPr>
          <w:p w14:paraId="05AA791F">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2D4F885A">
            <w:pPr>
              <w:rPr>
                <w:color w:val="000000" w:themeColor="text1"/>
                <w14:textFill>
                  <w14:solidFill>
                    <w14:schemeClr w14:val="tx1"/>
                  </w14:solidFill>
                </w14:textFill>
              </w:rPr>
            </w:pPr>
            <w:r>
              <w:rPr>
                <w:rFonts w:hint="eastAsia"/>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14:paraId="1A6E6939">
            <w:pPr>
              <w:rPr>
                <w:color w:val="000000" w:themeColor="text1"/>
                <w14:textFill>
                  <w14:solidFill>
                    <w14:schemeClr w14:val="tx1"/>
                  </w14:solidFill>
                </w14:textFill>
              </w:rPr>
            </w:pPr>
          </w:p>
          <w:p w14:paraId="7B442B16">
            <w:pPr>
              <w:rPr>
                <w:color w:val="000000" w:themeColor="text1"/>
                <w14:textFill>
                  <w14:solidFill>
                    <w14:schemeClr w14:val="tx1"/>
                  </w14:solidFill>
                </w14:textFill>
              </w:rPr>
            </w:pPr>
          </w:p>
          <w:p w14:paraId="5C96306A">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w:t>
            </w:r>
          </w:p>
          <w:p w14:paraId="7BD7DAA1">
            <w:pPr>
              <w:rPr>
                <w:color w:val="000000" w:themeColor="text1"/>
                <w14:textFill>
                  <w14:solidFill>
                    <w14:schemeClr w14:val="tx1"/>
                  </w14:solidFill>
                </w14:textFill>
              </w:rPr>
            </w:pPr>
            <w:r>
              <w:rPr>
                <w:rFonts w:hint="eastAsia"/>
                <w:color w:val="000000" w:themeColor="text1"/>
                <w14:textFill>
                  <w14:solidFill>
                    <w14:schemeClr w14:val="tx1"/>
                  </w14:solidFill>
                </w14:textFill>
              </w:rPr>
              <w:t>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15C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29E56">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140" w:type="dxa"/>
          </w:tcPr>
          <w:p w14:paraId="3F14EE3F">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响应文件中承诺的投标有效期不少于交易文件中载明的投标有效期。</w:t>
            </w:r>
          </w:p>
        </w:tc>
        <w:tc>
          <w:tcPr>
            <w:tcW w:w="2410" w:type="dxa"/>
            <w:vAlign w:val="center"/>
          </w:tcPr>
          <w:p w14:paraId="3E0C4CD3">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tc>
        <w:tc>
          <w:tcPr>
            <w:tcW w:w="1701" w:type="dxa"/>
          </w:tcPr>
          <w:p w14:paraId="7BA19B09">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r w14:paraId="2362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EACB35">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140" w:type="dxa"/>
          </w:tcPr>
          <w:p w14:paraId="11E71584">
            <w:p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响应文件满足交易文件的其它实质性要求。</w:t>
            </w:r>
          </w:p>
        </w:tc>
        <w:tc>
          <w:tcPr>
            <w:tcW w:w="2410" w:type="dxa"/>
            <w:vAlign w:val="center"/>
          </w:tcPr>
          <w:p w14:paraId="7AF465A6">
            <w:pPr>
              <w:rPr>
                <w:color w:val="000000" w:themeColor="text1"/>
                <w14:textFill>
                  <w14:solidFill>
                    <w14:schemeClr w14:val="tx1"/>
                  </w14:solidFill>
                </w14:textFill>
              </w:rPr>
            </w:pPr>
            <w:r>
              <w:rPr>
                <w:rFonts w:hint="eastAsia"/>
                <w:color w:val="000000" w:themeColor="text1"/>
                <w14:textFill>
                  <w14:solidFill>
                    <w14:schemeClr w14:val="tx1"/>
                  </w14:solidFill>
                </w14:textFill>
              </w:rPr>
              <w:t>交易文件其它实质性要求相应的材料（“▲” 系指实质性要求条款，交易文件无其它实质性要求的，无需提供）</w:t>
            </w:r>
          </w:p>
        </w:tc>
        <w:tc>
          <w:tcPr>
            <w:tcW w:w="1701" w:type="dxa"/>
          </w:tcPr>
          <w:p w14:paraId="53C85143">
            <w:pPr>
              <w:rPr>
                <w:color w:val="000000" w:themeColor="text1"/>
                <w14:textFill>
                  <w14:solidFill>
                    <w14:schemeClr w14:val="tx1"/>
                  </w14:solidFill>
                </w14:textFill>
              </w:rPr>
            </w:pPr>
            <w:r>
              <w:rPr>
                <w:rFonts w:hint="eastAsia"/>
                <w:color w:val="000000" w:themeColor="text1"/>
                <w14:textFill>
                  <w14:solidFill>
                    <w14:schemeClr w14:val="tx1"/>
                  </w14:solidFill>
                </w14:textFill>
              </w:rPr>
              <w:t>见响应文件第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c>
      </w:tr>
    </w:tbl>
    <w:p w14:paraId="404D3B33">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434DD482">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4700C4E">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14:paraId="3399EE99">
      <w:pPr>
        <w:snapToGrid w:val="0"/>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（按交易文件第四部分评标办法前附表中“响应文件中评标标准相应的商务技术资料目录”提供资料。）</w:t>
      </w:r>
    </w:p>
    <w:p w14:paraId="2B401729">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3E1CCF34">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BDC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5AC0A9">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3A5420">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ACDDD27">
            <w:pPr>
              <w:rPr>
                <w:color w:val="000000" w:themeColor="text1"/>
                <w14:textFill>
                  <w14:solidFill>
                    <w14:schemeClr w14:val="tx1"/>
                  </w14:solidFill>
                </w14:textFill>
              </w:rPr>
            </w:pPr>
            <w:r>
              <w:rPr>
                <w:rFonts w:hint="eastAsia"/>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4886E1">
            <w:pPr>
              <w:rPr>
                <w:color w:val="000000" w:themeColor="text1"/>
                <w14:textFill>
                  <w14:solidFill>
                    <w14:schemeClr w14:val="tx1"/>
                  </w14:solidFill>
                </w14:textFill>
              </w:rPr>
            </w:pPr>
            <w:r>
              <w:rPr>
                <w:rFonts w:hint="eastAsia"/>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07B4F8BE">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9D974CE">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52AFA22">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3F4A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36ECCD">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6C4A27B0">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220F987">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B11B394">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4A8DD73">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6516041">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B05DF08">
            <w:pPr>
              <w:rPr>
                <w:color w:val="000000" w:themeColor="text1"/>
                <w14:textFill>
                  <w14:solidFill>
                    <w14:schemeClr w14:val="tx1"/>
                  </w14:solidFill>
                </w14:textFill>
              </w:rPr>
            </w:pPr>
          </w:p>
        </w:tc>
      </w:tr>
      <w:tr w14:paraId="45F2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BC498">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EA7452">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B57B7D3">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48E9D02">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E05371E">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2DB00B6">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D32588D">
            <w:pPr>
              <w:rPr>
                <w:color w:val="000000" w:themeColor="text1"/>
                <w14:textFill>
                  <w14:solidFill>
                    <w14:schemeClr w14:val="tx1"/>
                  </w14:solidFill>
                </w14:textFill>
              </w:rPr>
            </w:pPr>
          </w:p>
        </w:tc>
      </w:tr>
      <w:tr w14:paraId="2115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DB239B">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EEE922C">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F7F0EDC">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2993FA7">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3491B562">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6020BF5">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76217F1">
            <w:pPr>
              <w:rPr>
                <w:color w:val="000000" w:themeColor="text1"/>
                <w14:textFill>
                  <w14:solidFill>
                    <w14:schemeClr w14:val="tx1"/>
                  </w14:solidFill>
                </w14:textFill>
              </w:rPr>
            </w:pPr>
          </w:p>
        </w:tc>
      </w:tr>
    </w:tbl>
    <w:p w14:paraId="5D7D439F">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15499B92">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ABA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28C7E">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3683" w:type="dxa"/>
          </w:tcPr>
          <w:p w14:paraId="3227CCAC">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交易文件章节及具体内容</w:t>
            </w:r>
          </w:p>
        </w:tc>
        <w:tc>
          <w:tcPr>
            <w:tcW w:w="3546" w:type="dxa"/>
          </w:tcPr>
          <w:p w14:paraId="2458EA1F">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响应文件章节及具体内容</w:t>
            </w:r>
          </w:p>
        </w:tc>
        <w:tc>
          <w:tcPr>
            <w:tcW w:w="1276" w:type="dxa"/>
          </w:tcPr>
          <w:p w14:paraId="13C67E05">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偏离说明</w:t>
            </w:r>
          </w:p>
        </w:tc>
      </w:tr>
      <w:tr w14:paraId="4B0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59008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683" w:type="dxa"/>
          </w:tcPr>
          <w:p w14:paraId="3EE8F375">
            <w:pPr>
              <w:jc w:val="center"/>
              <w:rPr>
                <w:b/>
                <w:color w:val="000000" w:themeColor="text1"/>
                <w:sz w:val="32"/>
                <w:szCs w:val="32"/>
                <w14:textFill>
                  <w14:solidFill>
                    <w14:schemeClr w14:val="tx1"/>
                  </w14:solidFill>
                </w14:textFill>
              </w:rPr>
            </w:pPr>
          </w:p>
        </w:tc>
        <w:tc>
          <w:tcPr>
            <w:tcW w:w="3546" w:type="dxa"/>
          </w:tcPr>
          <w:p w14:paraId="24CE7143">
            <w:pPr>
              <w:jc w:val="center"/>
              <w:rPr>
                <w:b/>
                <w:color w:val="000000" w:themeColor="text1"/>
                <w:sz w:val="32"/>
                <w:szCs w:val="32"/>
                <w14:textFill>
                  <w14:solidFill>
                    <w14:schemeClr w14:val="tx1"/>
                  </w14:solidFill>
                </w14:textFill>
              </w:rPr>
            </w:pPr>
          </w:p>
        </w:tc>
        <w:tc>
          <w:tcPr>
            <w:tcW w:w="1276" w:type="dxa"/>
          </w:tcPr>
          <w:p w14:paraId="3E0435E6">
            <w:pPr>
              <w:jc w:val="center"/>
              <w:rPr>
                <w:b/>
                <w:color w:val="000000" w:themeColor="text1"/>
                <w:sz w:val="32"/>
                <w:szCs w:val="32"/>
                <w14:textFill>
                  <w14:solidFill>
                    <w14:schemeClr w14:val="tx1"/>
                  </w14:solidFill>
                </w14:textFill>
              </w:rPr>
            </w:pPr>
          </w:p>
        </w:tc>
      </w:tr>
      <w:tr w14:paraId="4B13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8899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3683" w:type="dxa"/>
          </w:tcPr>
          <w:p w14:paraId="16562C14">
            <w:pPr>
              <w:jc w:val="center"/>
              <w:rPr>
                <w:b/>
                <w:color w:val="000000" w:themeColor="text1"/>
                <w:sz w:val="32"/>
                <w:szCs w:val="32"/>
                <w14:textFill>
                  <w14:solidFill>
                    <w14:schemeClr w14:val="tx1"/>
                  </w14:solidFill>
                </w14:textFill>
              </w:rPr>
            </w:pPr>
          </w:p>
        </w:tc>
        <w:tc>
          <w:tcPr>
            <w:tcW w:w="3546" w:type="dxa"/>
          </w:tcPr>
          <w:p w14:paraId="256FD5DA">
            <w:pPr>
              <w:jc w:val="center"/>
              <w:rPr>
                <w:b/>
                <w:color w:val="000000" w:themeColor="text1"/>
                <w:sz w:val="32"/>
                <w:szCs w:val="32"/>
                <w14:textFill>
                  <w14:solidFill>
                    <w14:schemeClr w14:val="tx1"/>
                  </w14:solidFill>
                </w14:textFill>
              </w:rPr>
            </w:pPr>
          </w:p>
        </w:tc>
        <w:tc>
          <w:tcPr>
            <w:tcW w:w="1276" w:type="dxa"/>
          </w:tcPr>
          <w:p w14:paraId="3E63C532">
            <w:pPr>
              <w:jc w:val="center"/>
              <w:rPr>
                <w:b/>
                <w:color w:val="000000" w:themeColor="text1"/>
                <w:sz w:val="32"/>
                <w:szCs w:val="32"/>
                <w14:textFill>
                  <w14:solidFill>
                    <w14:schemeClr w14:val="tx1"/>
                  </w14:solidFill>
                </w14:textFill>
              </w:rPr>
            </w:pPr>
          </w:p>
        </w:tc>
      </w:tr>
      <w:tr w14:paraId="38E5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963C5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683" w:type="dxa"/>
          </w:tcPr>
          <w:p w14:paraId="7052EE36">
            <w:pPr>
              <w:jc w:val="center"/>
              <w:rPr>
                <w:b/>
                <w:color w:val="000000" w:themeColor="text1"/>
                <w:sz w:val="32"/>
                <w:szCs w:val="32"/>
                <w14:textFill>
                  <w14:solidFill>
                    <w14:schemeClr w14:val="tx1"/>
                  </w14:solidFill>
                </w14:textFill>
              </w:rPr>
            </w:pPr>
          </w:p>
        </w:tc>
        <w:tc>
          <w:tcPr>
            <w:tcW w:w="3546" w:type="dxa"/>
          </w:tcPr>
          <w:p w14:paraId="39473C5C">
            <w:pPr>
              <w:jc w:val="center"/>
              <w:rPr>
                <w:b/>
                <w:color w:val="000000" w:themeColor="text1"/>
                <w:sz w:val="32"/>
                <w:szCs w:val="32"/>
                <w14:textFill>
                  <w14:solidFill>
                    <w14:schemeClr w14:val="tx1"/>
                  </w14:solidFill>
                </w14:textFill>
              </w:rPr>
            </w:pPr>
          </w:p>
        </w:tc>
        <w:tc>
          <w:tcPr>
            <w:tcW w:w="1276" w:type="dxa"/>
          </w:tcPr>
          <w:p w14:paraId="01F7AED2">
            <w:pPr>
              <w:jc w:val="center"/>
              <w:rPr>
                <w:b/>
                <w:color w:val="000000" w:themeColor="text1"/>
                <w:sz w:val="32"/>
                <w:szCs w:val="32"/>
                <w14:textFill>
                  <w14:solidFill>
                    <w14:schemeClr w14:val="tx1"/>
                  </w14:solidFill>
                </w14:textFill>
              </w:rPr>
            </w:pPr>
          </w:p>
        </w:tc>
      </w:tr>
    </w:tbl>
    <w:p w14:paraId="2513BF89">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供应商保证：除商务技术偏离表列出的偏离外，供应商响应交易文件的全部要求</w:t>
      </w:r>
    </w:p>
    <w:p w14:paraId="321889CE">
      <w:pPr>
        <w:spacing w:line="360" w:lineRule="auto"/>
        <w:ind w:right="420"/>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1445B84C">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24BC84C6">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69C5266B">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0F844D37">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我单位响应你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项目招标要求参加投标。在这次投标过程中和中标后，我们将严格遵守国家法律法规要求，并郑重承诺：</w:t>
      </w:r>
    </w:p>
    <w:p w14:paraId="5561685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5B346BD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二、不为项目有关人员及部门报销应由你方单位或个人支付的费用； </w:t>
      </w:r>
    </w:p>
    <w:p w14:paraId="372BF88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三、不向项目有关人员及部门提供有可能影响公正的宴请和健身娱乐等活动； </w:t>
      </w:r>
    </w:p>
    <w:p w14:paraId="05A10C2A">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四、不为项目有关人员及部门出国（境）、旅游等提供方便；</w:t>
      </w:r>
    </w:p>
    <w:p w14:paraId="5414098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五、不为项目有关人员个人装修住房、婚丧嫁娶、配偶子女工作安排等提供</w:t>
      </w:r>
    </w:p>
    <w:p w14:paraId="2340F556">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好处；</w:t>
      </w:r>
    </w:p>
    <w:p w14:paraId="4291BEDD">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六、严格遵守《中华人民共和国政府采购法》《中华人民共和国招标投标</w:t>
      </w:r>
    </w:p>
    <w:p w14:paraId="735D3C65">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法》《中华人民共和国民法典》等法律法规，诚实守信，合法经营，坚决抵制各种违法违纪行为。 </w:t>
      </w:r>
    </w:p>
    <w:p w14:paraId="3918A40F">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如违反上述承诺，你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color w:val="000000" w:themeColor="text1"/>
          <w14:textFill>
            <w14:solidFill>
              <w14:schemeClr w14:val="tx1"/>
            </w14:solidFill>
          </w14:textFill>
        </w:rPr>
        <w:t>单位</w:t>
      </w:r>
      <w:r>
        <w:rPr>
          <w:rFonts w:hint="eastAsia"/>
          <w:color w:val="000000" w:themeColor="text1"/>
          <w:lang w:val="zh-CN"/>
          <w14:textFill>
            <w14:solidFill>
              <w14:schemeClr w14:val="tx1"/>
            </w14:solidFill>
          </w14:textFill>
        </w:rPr>
        <w:t>进行项目建设或其他经营活动，并通报市财政局。由此引起的相应损失均由我单位承担。</w:t>
      </w:r>
    </w:p>
    <w:p w14:paraId="00BDD446">
      <w:pPr>
        <w:rPr>
          <w:color w:val="000000" w:themeColor="text1"/>
          <w:lang w:val="zh-CN"/>
          <w14:textFill>
            <w14:solidFill>
              <w14:schemeClr w14:val="tx1"/>
            </w14:solidFill>
          </w14:textFill>
        </w:rPr>
      </w:pPr>
    </w:p>
    <w:p w14:paraId="3B31FA0F">
      <w:pPr>
        <w:rPr>
          <w:color w:val="000000" w:themeColor="text1"/>
          <w:lang w:val="zh-CN"/>
          <w14:textFill>
            <w14:solidFill>
              <w14:schemeClr w14:val="tx1"/>
            </w14:solidFill>
          </w14:textFill>
        </w:rPr>
      </w:pPr>
    </w:p>
    <w:p w14:paraId="49B0F342">
      <w:pPr>
        <w:jc w:val="righ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供应商名称（</w:t>
      </w:r>
      <w:r>
        <w:rPr>
          <w:rFonts w:hint="eastAsia"/>
          <w:color w:val="000000" w:themeColor="text1"/>
          <w14:textFill>
            <w14:solidFill>
              <w14:schemeClr w14:val="tx1"/>
            </w14:solidFill>
          </w14:textFill>
        </w:rPr>
        <w:t>电子签名</w:t>
      </w:r>
      <w:r>
        <w:rPr>
          <w:rFonts w:hint="eastAsia"/>
          <w:color w:val="000000" w:themeColor="text1"/>
          <w:lang w:val="zh-CN"/>
          <w14:textFill>
            <w14:solidFill>
              <w14:schemeClr w14:val="tx1"/>
            </w14:solidFill>
          </w14:textFill>
        </w:rPr>
        <w:t xml:space="preserve">）： </w:t>
      </w:r>
    </w:p>
    <w:p w14:paraId="43A645E6">
      <w:pPr>
        <w:jc w:val="right"/>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日期</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 xml:space="preserve">   年   月   日</w:t>
      </w:r>
    </w:p>
    <w:p w14:paraId="139EFA51">
      <w:pPr>
        <w:rPr>
          <w:b/>
          <w:bCs/>
          <w:color w:val="000000" w:themeColor="text1"/>
          <w14:textFill>
            <w14:solidFill>
              <w14:schemeClr w14:val="tx1"/>
            </w14:solidFill>
          </w14:textFill>
        </w:rPr>
      </w:pPr>
    </w:p>
    <w:p w14:paraId="51A318CD">
      <w:pPr>
        <w:rPr>
          <w:color w:val="000000" w:themeColor="text1"/>
          <w14:textFill>
            <w14:solidFill>
              <w14:schemeClr w14:val="tx1"/>
            </w14:solidFill>
          </w14:textFill>
        </w:rPr>
      </w:pPr>
      <w:r>
        <w:rPr>
          <w:rFonts w:hint="eastAsia"/>
          <w:color w:val="000000" w:themeColor="text1"/>
          <w14:textFill>
            <w14:solidFill>
              <w14:schemeClr w14:val="tx1"/>
            </w14:solidFill>
          </w14:textFill>
        </w:rPr>
        <w:t>注：按本格式和要求提供。</w:t>
      </w:r>
    </w:p>
    <w:p w14:paraId="229FCF5F">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1A58C3">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005CB6E8">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14:paraId="2B32C9FE">
      <w:pPr>
        <w:rPr>
          <w:color w:val="000000" w:themeColor="text1"/>
          <w14:textFill>
            <w14:solidFill>
              <w14:schemeClr w14:val="tx1"/>
            </w14:solidFill>
          </w14:textFill>
        </w:rPr>
      </w:pPr>
      <w:r>
        <w:rPr>
          <w:rFonts w:hint="eastAsia"/>
          <w:color w:val="000000" w:themeColor="text1"/>
          <w14:textFill>
            <w14:solidFill>
              <w14:schemeClr w14:val="tx1"/>
            </w14:solidFill>
          </w14:textFill>
        </w:rPr>
        <w:t>（1）开标一览表（报价表）…………………………………………………（页码）</w:t>
      </w:r>
    </w:p>
    <w:p w14:paraId="0654BD5A">
      <w:pPr>
        <w:snapToGrid w:val="0"/>
        <w:spacing w:line="360" w:lineRule="auto"/>
        <w:ind w:right="480"/>
        <w:jc w:val="center"/>
        <w:rPr>
          <w:b/>
          <w:color w:val="000000" w:themeColor="text1"/>
          <w:sz w:val="32"/>
          <w:szCs w:val="32"/>
          <w14:textFill>
            <w14:solidFill>
              <w14:schemeClr w14:val="tx1"/>
            </w14:solidFill>
          </w14:textFill>
        </w:rPr>
      </w:pPr>
    </w:p>
    <w:p w14:paraId="3E131FAA">
      <w:pPr>
        <w:pStyle w:val="78"/>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14:paraId="427F59DF">
      <w:pPr>
        <w:pStyle w:val="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750EBAF9">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14:paraId="066C26B2">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color w:val="000000" w:themeColor="text1"/>
          <w14:textFill>
            <w14:solidFill>
              <w14:schemeClr w14:val="tx1"/>
            </w14:solidFill>
          </w14:textFill>
        </w:rPr>
        <w:t>（项目名称）</w:t>
      </w:r>
      <w:r>
        <w:rPr>
          <w:rFonts w:hint="eastAsia"/>
          <w:color w:val="000000" w:themeColor="text1"/>
          <w:lang w:val="zh-CN"/>
          <w14:textFill>
            <w14:solidFill>
              <w14:schemeClr w14:val="tx1"/>
            </w14:solidFill>
          </w14:textFill>
        </w:rPr>
        <w:t>【招标编号：</w:t>
      </w:r>
      <w:r>
        <w:rPr>
          <w:rFonts w:hint="eastAsia"/>
          <w:color w:val="000000" w:themeColor="text1"/>
          <w14:textFill>
            <w14:solidFill>
              <w14:schemeClr w14:val="tx1"/>
            </w14:solidFill>
          </w14:textFill>
        </w:rPr>
        <w:t>（采购编号）】的实施</w:t>
      </w:r>
      <w:r>
        <w:rPr>
          <w:rFonts w:hint="eastAsia"/>
          <w:color w:val="000000" w:themeColor="text1"/>
          <w:lang w:val="zh-CN"/>
          <w14:textFill>
            <w14:solidFill>
              <w14:schemeClr w14:val="tx1"/>
            </w14:solidFill>
          </w14:textFill>
        </w:rPr>
        <w:t>。</w:t>
      </w:r>
    </w:p>
    <w:p w14:paraId="4A5958B4">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开标一览表（报价表）(单位均为人民币元)</w:t>
      </w:r>
    </w:p>
    <w:tbl>
      <w:tblPr>
        <w:tblStyle w:val="2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9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9B1A148">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1417" w:type="dxa"/>
            <w:vAlign w:val="center"/>
          </w:tcPr>
          <w:p w14:paraId="4841347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名称</w:t>
            </w:r>
          </w:p>
        </w:tc>
        <w:tc>
          <w:tcPr>
            <w:tcW w:w="1843" w:type="dxa"/>
          </w:tcPr>
          <w:p w14:paraId="68284C6D">
            <w:pPr>
              <w:rPr>
                <w:b/>
                <w:color w:val="000000" w:themeColor="text1"/>
                <w14:textFill>
                  <w14:solidFill>
                    <w14:schemeClr w14:val="tx1"/>
                  </w14:solidFill>
                </w14:textFill>
              </w:rPr>
            </w:pPr>
          </w:p>
          <w:p w14:paraId="7B596A40">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品牌（如果有）</w:t>
            </w:r>
          </w:p>
        </w:tc>
        <w:tc>
          <w:tcPr>
            <w:tcW w:w="3118" w:type="dxa"/>
            <w:vAlign w:val="center"/>
          </w:tcPr>
          <w:p w14:paraId="0955CFD3">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规格型号（或具体服务）</w:t>
            </w:r>
          </w:p>
        </w:tc>
        <w:tc>
          <w:tcPr>
            <w:tcW w:w="993" w:type="dxa"/>
            <w:vAlign w:val="center"/>
          </w:tcPr>
          <w:p w14:paraId="59E8077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559" w:type="dxa"/>
            <w:vAlign w:val="center"/>
          </w:tcPr>
          <w:p w14:paraId="25963CA4">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1984" w:type="dxa"/>
            <w:vAlign w:val="center"/>
          </w:tcPr>
          <w:p w14:paraId="47976AB4">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总价</w:t>
            </w:r>
          </w:p>
        </w:tc>
        <w:tc>
          <w:tcPr>
            <w:tcW w:w="3119" w:type="dxa"/>
            <w:vAlign w:val="center"/>
          </w:tcPr>
          <w:p w14:paraId="2AE05B00">
            <w:pPr>
              <w:rPr>
                <w:b/>
                <w:color w:val="000000" w:themeColor="text1"/>
                <w14:textFill>
                  <w14:solidFill>
                    <w14:schemeClr w14:val="tx1"/>
                  </w14:solidFill>
                </w14:textFill>
              </w:rPr>
            </w:pPr>
          </w:p>
          <w:p w14:paraId="2E21CA1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质保或服务年限</w:t>
            </w:r>
          </w:p>
          <w:p w14:paraId="09B73EA4">
            <w:pPr>
              <w:rPr>
                <w:b/>
                <w:color w:val="000000" w:themeColor="text1"/>
                <w14:textFill>
                  <w14:solidFill>
                    <w14:schemeClr w14:val="tx1"/>
                  </w14:solidFill>
                </w14:textFill>
              </w:rPr>
            </w:pPr>
          </w:p>
        </w:tc>
      </w:tr>
      <w:tr w14:paraId="1076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A9D477E">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17" w:type="dxa"/>
            <w:vAlign w:val="center"/>
          </w:tcPr>
          <w:p w14:paraId="2B94658C">
            <w:pPr>
              <w:rPr>
                <w:color w:val="000000" w:themeColor="text1"/>
                <w14:textFill>
                  <w14:solidFill>
                    <w14:schemeClr w14:val="tx1"/>
                  </w14:solidFill>
                </w14:textFill>
              </w:rPr>
            </w:pPr>
          </w:p>
        </w:tc>
        <w:tc>
          <w:tcPr>
            <w:tcW w:w="1843" w:type="dxa"/>
            <w:vAlign w:val="center"/>
          </w:tcPr>
          <w:p w14:paraId="50251F97">
            <w:pPr>
              <w:rPr>
                <w:color w:val="000000" w:themeColor="text1"/>
                <w14:textFill>
                  <w14:solidFill>
                    <w14:schemeClr w14:val="tx1"/>
                  </w14:solidFill>
                </w14:textFill>
              </w:rPr>
            </w:pPr>
          </w:p>
        </w:tc>
        <w:tc>
          <w:tcPr>
            <w:tcW w:w="3118" w:type="dxa"/>
            <w:vAlign w:val="center"/>
          </w:tcPr>
          <w:p w14:paraId="078D6A62">
            <w:pPr>
              <w:rPr>
                <w:color w:val="000000" w:themeColor="text1"/>
                <w14:textFill>
                  <w14:solidFill>
                    <w14:schemeClr w14:val="tx1"/>
                  </w14:solidFill>
                </w14:textFill>
              </w:rPr>
            </w:pPr>
          </w:p>
        </w:tc>
        <w:tc>
          <w:tcPr>
            <w:tcW w:w="993" w:type="dxa"/>
            <w:vAlign w:val="center"/>
          </w:tcPr>
          <w:p w14:paraId="0F47DF5D">
            <w:pPr>
              <w:rPr>
                <w:color w:val="000000" w:themeColor="text1"/>
                <w14:textFill>
                  <w14:solidFill>
                    <w14:schemeClr w14:val="tx1"/>
                  </w14:solidFill>
                </w14:textFill>
              </w:rPr>
            </w:pPr>
          </w:p>
        </w:tc>
        <w:tc>
          <w:tcPr>
            <w:tcW w:w="1559" w:type="dxa"/>
            <w:vAlign w:val="center"/>
          </w:tcPr>
          <w:p w14:paraId="6805CC99">
            <w:pPr>
              <w:rPr>
                <w:color w:val="000000" w:themeColor="text1"/>
                <w14:textFill>
                  <w14:solidFill>
                    <w14:schemeClr w14:val="tx1"/>
                  </w14:solidFill>
                </w14:textFill>
              </w:rPr>
            </w:pPr>
          </w:p>
        </w:tc>
        <w:tc>
          <w:tcPr>
            <w:tcW w:w="1984" w:type="dxa"/>
            <w:vAlign w:val="center"/>
          </w:tcPr>
          <w:p w14:paraId="2C912F98">
            <w:pPr>
              <w:rPr>
                <w:color w:val="000000" w:themeColor="text1"/>
                <w14:textFill>
                  <w14:solidFill>
                    <w14:schemeClr w14:val="tx1"/>
                  </w14:solidFill>
                </w14:textFill>
              </w:rPr>
            </w:pPr>
          </w:p>
        </w:tc>
        <w:tc>
          <w:tcPr>
            <w:tcW w:w="3119" w:type="dxa"/>
            <w:vAlign w:val="center"/>
          </w:tcPr>
          <w:p w14:paraId="047D393C">
            <w:pPr>
              <w:rPr>
                <w:color w:val="000000" w:themeColor="text1"/>
                <w14:textFill>
                  <w14:solidFill>
                    <w14:schemeClr w14:val="tx1"/>
                  </w14:solidFill>
                </w14:textFill>
              </w:rPr>
            </w:pPr>
          </w:p>
        </w:tc>
      </w:tr>
      <w:tr w14:paraId="35A3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3CC8E7">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7" w:type="dxa"/>
            <w:vAlign w:val="center"/>
          </w:tcPr>
          <w:p w14:paraId="54FE981F">
            <w:pPr>
              <w:rPr>
                <w:color w:val="000000" w:themeColor="text1"/>
                <w14:textFill>
                  <w14:solidFill>
                    <w14:schemeClr w14:val="tx1"/>
                  </w14:solidFill>
                </w14:textFill>
              </w:rPr>
            </w:pPr>
          </w:p>
        </w:tc>
        <w:tc>
          <w:tcPr>
            <w:tcW w:w="1843" w:type="dxa"/>
            <w:vAlign w:val="center"/>
          </w:tcPr>
          <w:p w14:paraId="553A710C">
            <w:pPr>
              <w:rPr>
                <w:color w:val="000000" w:themeColor="text1"/>
                <w14:textFill>
                  <w14:solidFill>
                    <w14:schemeClr w14:val="tx1"/>
                  </w14:solidFill>
                </w14:textFill>
              </w:rPr>
            </w:pPr>
          </w:p>
        </w:tc>
        <w:tc>
          <w:tcPr>
            <w:tcW w:w="3118" w:type="dxa"/>
            <w:vAlign w:val="center"/>
          </w:tcPr>
          <w:p w14:paraId="7B99A026">
            <w:pPr>
              <w:rPr>
                <w:color w:val="000000" w:themeColor="text1"/>
                <w14:textFill>
                  <w14:solidFill>
                    <w14:schemeClr w14:val="tx1"/>
                  </w14:solidFill>
                </w14:textFill>
              </w:rPr>
            </w:pPr>
          </w:p>
        </w:tc>
        <w:tc>
          <w:tcPr>
            <w:tcW w:w="993" w:type="dxa"/>
            <w:vAlign w:val="center"/>
          </w:tcPr>
          <w:p w14:paraId="6C73486E">
            <w:pPr>
              <w:rPr>
                <w:color w:val="000000" w:themeColor="text1"/>
                <w14:textFill>
                  <w14:solidFill>
                    <w14:schemeClr w14:val="tx1"/>
                  </w14:solidFill>
                </w14:textFill>
              </w:rPr>
            </w:pPr>
          </w:p>
        </w:tc>
        <w:tc>
          <w:tcPr>
            <w:tcW w:w="1559" w:type="dxa"/>
            <w:vAlign w:val="center"/>
          </w:tcPr>
          <w:p w14:paraId="0789B38A">
            <w:pPr>
              <w:rPr>
                <w:color w:val="000000" w:themeColor="text1"/>
                <w14:textFill>
                  <w14:solidFill>
                    <w14:schemeClr w14:val="tx1"/>
                  </w14:solidFill>
                </w14:textFill>
              </w:rPr>
            </w:pPr>
          </w:p>
        </w:tc>
        <w:tc>
          <w:tcPr>
            <w:tcW w:w="1984" w:type="dxa"/>
            <w:vAlign w:val="center"/>
          </w:tcPr>
          <w:p w14:paraId="331AD488">
            <w:pPr>
              <w:rPr>
                <w:color w:val="000000" w:themeColor="text1"/>
                <w14:textFill>
                  <w14:solidFill>
                    <w14:schemeClr w14:val="tx1"/>
                  </w14:solidFill>
                </w14:textFill>
              </w:rPr>
            </w:pPr>
          </w:p>
        </w:tc>
        <w:tc>
          <w:tcPr>
            <w:tcW w:w="3119" w:type="dxa"/>
            <w:vAlign w:val="center"/>
          </w:tcPr>
          <w:p w14:paraId="542B2005">
            <w:pPr>
              <w:rPr>
                <w:color w:val="000000" w:themeColor="text1"/>
                <w14:textFill>
                  <w14:solidFill>
                    <w14:schemeClr w14:val="tx1"/>
                  </w14:solidFill>
                </w14:textFill>
              </w:rPr>
            </w:pPr>
          </w:p>
        </w:tc>
      </w:tr>
      <w:tr w14:paraId="7214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7EB350">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17" w:type="dxa"/>
            <w:vAlign w:val="center"/>
          </w:tcPr>
          <w:p w14:paraId="1967B68A">
            <w:pPr>
              <w:rPr>
                <w:color w:val="000000" w:themeColor="text1"/>
                <w14:textFill>
                  <w14:solidFill>
                    <w14:schemeClr w14:val="tx1"/>
                  </w14:solidFill>
                </w14:textFill>
              </w:rPr>
            </w:pPr>
          </w:p>
        </w:tc>
        <w:tc>
          <w:tcPr>
            <w:tcW w:w="1843" w:type="dxa"/>
            <w:vAlign w:val="center"/>
          </w:tcPr>
          <w:p w14:paraId="669BEDD1">
            <w:pPr>
              <w:rPr>
                <w:color w:val="000000" w:themeColor="text1"/>
                <w14:textFill>
                  <w14:solidFill>
                    <w14:schemeClr w14:val="tx1"/>
                  </w14:solidFill>
                </w14:textFill>
              </w:rPr>
            </w:pPr>
          </w:p>
        </w:tc>
        <w:tc>
          <w:tcPr>
            <w:tcW w:w="3118" w:type="dxa"/>
            <w:vAlign w:val="center"/>
          </w:tcPr>
          <w:p w14:paraId="33818E57">
            <w:pPr>
              <w:rPr>
                <w:color w:val="000000" w:themeColor="text1"/>
                <w14:textFill>
                  <w14:solidFill>
                    <w14:schemeClr w14:val="tx1"/>
                  </w14:solidFill>
                </w14:textFill>
              </w:rPr>
            </w:pPr>
          </w:p>
        </w:tc>
        <w:tc>
          <w:tcPr>
            <w:tcW w:w="993" w:type="dxa"/>
            <w:vAlign w:val="center"/>
          </w:tcPr>
          <w:p w14:paraId="6AF2D8AE">
            <w:pPr>
              <w:rPr>
                <w:color w:val="000000" w:themeColor="text1"/>
                <w14:textFill>
                  <w14:solidFill>
                    <w14:schemeClr w14:val="tx1"/>
                  </w14:solidFill>
                </w14:textFill>
              </w:rPr>
            </w:pPr>
          </w:p>
        </w:tc>
        <w:tc>
          <w:tcPr>
            <w:tcW w:w="1559" w:type="dxa"/>
            <w:vAlign w:val="center"/>
          </w:tcPr>
          <w:p w14:paraId="22767F04">
            <w:pPr>
              <w:rPr>
                <w:color w:val="000000" w:themeColor="text1"/>
                <w14:textFill>
                  <w14:solidFill>
                    <w14:schemeClr w14:val="tx1"/>
                  </w14:solidFill>
                </w14:textFill>
              </w:rPr>
            </w:pPr>
          </w:p>
        </w:tc>
        <w:tc>
          <w:tcPr>
            <w:tcW w:w="1984" w:type="dxa"/>
            <w:vAlign w:val="center"/>
          </w:tcPr>
          <w:p w14:paraId="49DF4D56">
            <w:pPr>
              <w:rPr>
                <w:color w:val="000000" w:themeColor="text1"/>
                <w14:textFill>
                  <w14:solidFill>
                    <w14:schemeClr w14:val="tx1"/>
                  </w14:solidFill>
                </w14:textFill>
              </w:rPr>
            </w:pPr>
          </w:p>
        </w:tc>
        <w:tc>
          <w:tcPr>
            <w:tcW w:w="3119" w:type="dxa"/>
            <w:vAlign w:val="center"/>
          </w:tcPr>
          <w:p w14:paraId="46EE067D">
            <w:pPr>
              <w:rPr>
                <w:color w:val="000000" w:themeColor="text1"/>
                <w14:textFill>
                  <w14:solidFill>
                    <w14:schemeClr w14:val="tx1"/>
                  </w14:solidFill>
                </w14:textFill>
              </w:rPr>
            </w:pPr>
          </w:p>
        </w:tc>
      </w:tr>
      <w:tr w14:paraId="5773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8B01B0">
            <w:pPr>
              <w:rPr>
                <w:color w:val="000000" w:themeColor="text1"/>
                <w14:textFill>
                  <w14:solidFill>
                    <w14:schemeClr w14:val="tx1"/>
                  </w14:solidFill>
                </w14:textFill>
              </w:rPr>
            </w:pPr>
          </w:p>
        </w:tc>
        <w:tc>
          <w:tcPr>
            <w:tcW w:w="1417" w:type="dxa"/>
            <w:vAlign w:val="center"/>
          </w:tcPr>
          <w:p w14:paraId="12635DBF">
            <w:pPr>
              <w:rPr>
                <w:color w:val="000000" w:themeColor="text1"/>
                <w14:textFill>
                  <w14:solidFill>
                    <w14:schemeClr w14:val="tx1"/>
                  </w14:solidFill>
                </w14:textFill>
              </w:rPr>
            </w:pPr>
          </w:p>
        </w:tc>
        <w:tc>
          <w:tcPr>
            <w:tcW w:w="1843" w:type="dxa"/>
            <w:vAlign w:val="center"/>
          </w:tcPr>
          <w:p w14:paraId="228F39A3">
            <w:pPr>
              <w:rPr>
                <w:color w:val="000000" w:themeColor="text1"/>
                <w14:textFill>
                  <w14:solidFill>
                    <w14:schemeClr w14:val="tx1"/>
                  </w14:solidFill>
                </w14:textFill>
              </w:rPr>
            </w:pPr>
          </w:p>
        </w:tc>
        <w:tc>
          <w:tcPr>
            <w:tcW w:w="3118" w:type="dxa"/>
            <w:vAlign w:val="center"/>
          </w:tcPr>
          <w:p w14:paraId="77FE1B83">
            <w:pPr>
              <w:rPr>
                <w:color w:val="000000" w:themeColor="text1"/>
                <w14:textFill>
                  <w14:solidFill>
                    <w14:schemeClr w14:val="tx1"/>
                  </w14:solidFill>
                </w14:textFill>
              </w:rPr>
            </w:pPr>
          </w:p>
        </w:tc>
        <w:tc>
          <w:tcPr>
            <w:tcW w:w="993" w:type="dxa"/>
            <w:vAlign w:val="center"/>
          </w:tcPr>
          <w:p w14:paraId="5627CD5F">
            <w:pPr>
              <w:rPr>
                <w:color w:val="000000" w:themeColor="text1"/>
                <w14:textFill>
                  <w14:solidFill>
                    <w14:schemeClr w14:val="tx1"/>
                  </w14:solidFill>
                </w14:textFill>
              </w:rPr>
            </w:pPr>
          </w:p>
        </w:tc>
        <w:tc>
          <w:tcPr>
            <w:tcW w:w="1559" w:type="dxa"/>
            <w:vAlign w:val="center"/>
          </w:tcPr>
          <w:p w14:paraId="04EB0FDD">
            <w:pPr>
              <w:rPr>
                <w:color w:val="000000" w:themeColor="text1"/>
                <w14:textFill>
                  <w14:solidFill>
                    <w14:schemeClr w14:val="tx1"/>
                  </w14:solidFill>
                </w14:textFill>
              </w:rPr>
            </w:pPr>
          </w:p>
        </w:tc>
        <w:tc>
          <w:tcPr>
            <w:tcW w:w="1984" w:type="dxa"/>
            <w:vAlign w:val="center"/>
          </w:tcPr>
          <w:p w14:paraId="16CA16F9">
            <w:pPr>
              <w:rPr>
                <w:color w:val="000000" w:themeColor="text1"/>
                <w14:textFill>
                  <w14:solidFill>
                    <w14:schemeClr w14:val="tx1"/>
                  </w14:solidFill>
                </w14:textFill>
              </w:rPr>
            </w:pPr>
          </w:p>
        </w:tc>
        <w:tc>
          <w:tcPr>
            <w:tcW w:w="3119" w:type="dxa"/>
            <w:vAlign w:val="center"/>
          </w:tcPr>
          <w:p w14:paraId="5C0CC6B2">
            <w:pPr>
              <w:rPr>
                <w:color w:val="000000" w:themeColor="text1"/>
                <w14:textFill>
                  <w14:solidFill>
                    <w14:schemeClr w14:val="tx1"/>
                  </w14:solidFill>
                </w14:textFill>
              </w:rPr>
            </w:pPr>
          </w:p>
        </w:tc>
      </w:tr>
      <w:tr w14:paraId="1034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4972FD">
            <w:pPr>
              <w:rPr>
                <w:color w:val="000000" w:themeColor="text1"/>
                <w14:textFill>
                  <w14:solidFill>
                    <w14:schemeClr w14:val="tx1"/>
                  </w14:solidFill>
                </w14:textFill>
              </w:rPr>
            </w:pPr>
          </w:p>
        </w:tc>
        <w:tc>
          <w:tcPr>
            <w:tcW w:w="1417" w:type="dxa"/>
            <w:vAlign w:val="center"/>
          </w:tcPr>
          <w:p w14:paraId="7F737742">
            <w:pPr>
              <w:rPr>
                <w:color w:val="000000" w:themeColor="text1"/>
                <w14:textFill>
                  <w14:solidFill>
                    <w14:schemeClr w14:val="tx1"/>
                  </w14:solidFill>
                </w14:textFill>
              </w:rPr>
            </w:pPr>
          </w:p>
        </w:tc>
        <w:tc>
          <w:tcPr>
            <w:tcW w:w="1843" w:type="dxa"/>
            <w:vAlign w:val="center"/>
          </w:tcPr>
          <w:p w14:paraId="7CCA30C4">
            <w:pPr>
              <w:rPr>
                <w:color w:val="000000" w:themeColor="text1"/>
                <w14:textFill>
                  <w14:solidFill>
                    <w14:schemeClr w14:val="tx1"/>
                  </w14:solidFill>
                </w14:textFill>
              </w:rPr>
            </w:pPr>
          </w:p>
        </w:tc>
        <w:tc>
          <w:tcPr>
            <w:tcW w:w="3118" w:type="dxa"/>
            <w:vAlign w:val="center"/>
          </w:tcPr>
          <w:p w14:paraId="704C6BD1">
            <w:pPr>
              <w:rPr>
                <w:color w:val="000000" w:themeColor="text1"/>
                <w14:textFill>
                  <w14:solidFill>
                    <w14:schemeClr w14:val="tx1"/>
                  </w14:solidFill>
                </w14:textFill>
              </w:rPr>
            </w:pPr>
          </w:p>
        </w:tc>
        <w:tc>
          <w:tcPr>
            <w:tcW w:w="993" w:type="dxa"/>
            <w:vAlign w:val="center"/>
          </w:tcPr>
          <w:p w14:paraId="456D57E4">
            <w:pPr>
              <w:rPr>
                <w:color w:val="000000" w:themeColor="text1"/>
                <w14:textFill>
                  <w14:solidFill>
                    <w14:schemeClr w14:val="tx1"/>
                  </w14:solidFill>
                </w14:textFill>
              </w:rPr>
            </w:pPr>
          </w:p>
        </w:tc>
        <w:tc>
          <w:tcPr>
            <w:tcW w:w="1559" w:type="dxa"/>
            <w:vAlign w:val="center"/>
          </w:tcPr>
          <w:p w14:paraId="387CA008">
            <w:pPr>
              <w:rPr>
                <w:color w:val="000000" w:themeColor="text1"/>
                <w14:textFill>
                  <w14:solidFill>
                    <w14:schemeClr w14:val="tx1"/>
                  </w14:solidFill>
                </w14:textFill>
              </w:rPr>
            </w:pPr>
          </w:p>
        </w:tc>
        <w:tc>
          <w:tcPr>
            <w:tcW w:w="1984" w:type="dxa"/>
            <w:vAlign w:val="center"/>
          </w:tcPr>
          <w:p w14:paraId="636E5B9B">
            <w:pPr>
              <w:rPr>
                <w:color w:val="000000" w:themeColor="text1"/>
                <w14:textFill>
                  <w14:solidFill>
                    <w14:schemeClr w14:val="tx1"/>
                  </w14:solidFill>
                </w14:textFill>
              </w:rPr>
            </w:pPr>
          </w:p>
        </w:tc>
        <w:tc>
          <w:tcPr>
            <w:tcW w:w="3119" w:type="dxa"/>
            <w:vAlign w:val="center"/>
          </w:tcPr>
          <w:p w14:paraId="6E47B8A4">
            <w:pPr>
              <w:rPr>
                <w:color w:val="000000" w:themeColor="text1"/>
                <w14:textFill>
                  <w14:solidFill>
                    <w14:schemeClr w14:val="tx1"/>
                  </w14:solidFill>
                </w14:textFill>
              </w:rPr>
            </w:pPr>
          </w:p>
        </w:tc>
      </w:tr>
      <w:tr w14:paraId="69BC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9FD6EFF">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投标报价（小写）</w:t>
            </w:r>
          </w:p>
        </w:tc>
        <w:tc>
          <w:tcPr>
            <w:tcW w:w="7655" w:type="dxa"/>
            <w:gridSpan w:val="4"/>
            <w:vAlign w:val="center"/>
          </w:tcPr>
          <w:p w14:paraId="07047A9D">
            <w:pPr>
              <w:rPr>
                <w:color w:val="000000" w:themeColor="text1"/>
                <w14:textFill>
                  <w14:solidFill>
                    <w14:schemeClr w14:val="tx1"/>
                  </w14:solidFill>
                </w14:textFill>
              </w:rPr>
            </w:pPr>
          </w:p>
        </w:tc>
      </w:tr>
      <w:tr w14:paraId="6A0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6871302">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投标报价（大写）</w:t>
            </w:r>
          </w:p>
        </w:tc>
        <w:tc>
          <w:tcPr>
            <w:tcW w:w="7655" w:type="dxa"/>
            <w:gridSpan w:val="4"/>
            <w:vAlign w:val="center"/>
          </w:tcPr>
          <w:p w14:paraId="7097179D">
            <w:pPr>
              <w:rPr>
                <w:color w:val="000000" w:themeColor="text1"/>
                <w14:textFill>
                  <w14:solidFill>
                    <w14:schemeClr w14:val="tx1"/>
                  </w14:solidFill>
                </w14:textFill>
              </w:rPr>
            </w:pPr>
          </w:p>
        </w:tc>
      </w:tr>
    </w:tbl>
    <w:p w14:paraId="35179747">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w:t>
      </w:r>
    </w:p>
    <w:p w14:paraId="17B31060">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1、供应商需按本表格式填写，不得自行更改。</w:t>
      </w:r>
      <w:r>
        <w:rPr>
          <w:rFonts w:hint="eastAsia"/>
          <w:color w:val="000000" w:themeColor="text1"/>
          <w:lang w:val="zh-CN"/>
          <w14:textFill>
            <w14:solidFill>
              <w14:schemeClr w14:val="tx1"/>
            </w14:solidFill>
          </w14:textFill>
        </w:rPr>
        <w:tab/>
      </w:r>
    </w:p>
    <w:p w14:paraId="64401090">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2、有关本项目实施所涉及的一切费用均计入报价。</w:t>
      </w:r>
      <w:r>
        <w:rPr>
          <w:rFonts w:hint="eastAsia"/>
          <w:b/>
          <w:color w:val="000000" w:themeColor="text1"/>
          <w:lang w:val="zh-CN"/>
          <w14:textFill>
            <w14:solidFill>
              <w14:schemeClr w14:val="tx1"/>
            </w14:solidFill>
          </w14:textFill>
        </w:rPr>
        <w:t>采购人将以合同形式有偿取得货物或服务，不接受供应商给予的赠品、回扣或者与采购无关的其他商品、服务</w:t>
      </w:r>
      <w:r>
        <w:rPr>
          <w:rFonts w:hint="eastAsia"/>
          <w:color w:val="000000" w:themeColor="text1"/>
          <w:lang w:val="zh-CN"/>
          <w14:textFill>
            <w14:solidFill>
              <w14:schemeClr w14:val="tx1"/>
            </w14:solidFill>
          </w14:textFill>
        </w:rPr>
        <w:t>，</w:t>
      </w:r>
      <w:r>
        <w:rPr>
          <w:rFonts w:hint="eastAsia"/>
          <w:b/>
          <w:color w:val="000000" w:themeColor="text1"/>
          <w:lang w:val="zh-CN"/>
          <w14:textFill>
            <w14:solidFill>
              <w14:schemeClr w14:val="tx1"/>
            </w14:solidFill>
          </w14:textFill>
        </w:rPr>
        <w:t>不得出现“0元”“免费赠送”等形式的无偿报价，</w:t>
      </w:r>
      <w:r>
        <w:rPr>
          <w:rFonts w:hint="eastAsia"/>
          <w:b/>
          <w:color w:val="000000" w:themeColor="text1"/>
          <w14:textFill>
            <w14:solidFill>
              <w14:schemeClr w14:val="tx1"/>
            </w14:solidFill>
          </w14:textFill>
        </w:rPr>
        <w:t>否则视为响应文件含有采购人不能接受的附加条件的，投标无效</w:t>
      </w:r>
      <w:r>
        <w:rPr>
          <w:rFonts w:hint="eastAsia"/>
          <w:b/>
          <w:color w:val="000000" w:themeColor="text1"/>
          <w:lang w:val="zh-CN"/>
          <w14:textFill>
            <w14:solidFill>
              <w14:schemeClr w14:val="tx1"/>
            </w14:solidFill>
          </w14:textFill>
        </w:rPr>
        <w:t>；采购内容未包含在《开标一览表（报价表）》名称栏中，供应商不能作出合理解释的，</w:t>
      </w:r>
      <w:r>
        <w:rPr>
          <w:rFonts w:hint="eastAsia"/>
          <w:b/>
          <w:color w:val="000000" w:themeColor="text1"/>
          <w14:textFill>
            <w14:solidFill>
              <w14:schemeClr w14:val="tx1"/>
            </w14:solidFill>
          </w14:textFill>
        </w:rPr>
        <w:t>视为响应文件含有采购人不能接受的附加条件的，投标无效。</w:t>
      </w:r>
    </w:p>
    <w:p w14:paraId="24FC7EB9">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14:paraId="0F7708AB">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14:paraId="4126007E">
      <w:pPr>
        <w:rPr>
          <w:color w:val="000000" w:themeColor="text1"/>
          <w:lang w:val="zh-CN"/>
          <w14:textFill>
            <w14:solidFill>
              <w14:schemeClr w14:val="tx1"/>
            </w14:solidFill>
          </w14:textFill>
        </w:rPr>
      </w:pPr>
      <w:r>
        <w:rPr>
          <w:rFonts w:hint="eastAsia"/>
          <w:color w:val="000000" w:themeColor="text1"/>
          <w:szCs w:val="22"/>
          <w:lang w:val="zh-CN"/>
          <w14:textFill>
            <w14:solidFill>
              <w14:schemeClr w14:val="tx1"/>
            </w14:solidFill>
          </w14:textFill>
        </w:rPr>
        <w:t>5、</w:t>
      </w:r>
      <w:r>
        <w:rPr>
          <w:rFonts w:hint="eastAsia"/>
          <w:color w:val="000000" w:themeColor="text1"/>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A864AFF">
      <w:pPr>
        <w:spacing w:line="360" w:lineRule="auto"/>
        <w:ind w:firstLine="482" w:firstLineChars="200"/>
        <w:rPr>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36583F66">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附件2：质疑函范本及制作说明</w:t>
      </w:r>
    </w:p>
    <w:p w14:paraId="0D2DD2A6">
      <w:pPr>
        <w:spacing w:line="360" w:lineRule="auto"/>
        <w:jc w:val="center"/>
        <w:rPr>
          <w:b/>
          <w:color w:val="000000" w:themeColor="text1"/>
          <w:spacing w:val="6"/>
          <w:sz w:val="32"/>
          <w:szCs w:val="32"/>
          <w14:textFill>
            <w14:solidFill>
              <w14:schemeClr w14:val="tx1"/>
            </w14:solidFill>
          </w14:textFill>
        </w:rPr>
      </w:pPr>
      <w:r>
        <w:rPr>
          <w:rFonts w:hint="eastAsia"/>
          <w:b/>
          <w:color w:val="000000" w:themeColor="text1"/>
          <w:spacing w:val="6"/>
          <w:sz w:val="32"/>
          <w:szCs w:val="32"/>
          <w14:textFill>
            <w14:solidFill>
              <w14:schemeClr w14:val="tx1"/>
            </w14:solidFill>
          </w14:textFill>
        </w:rPr>
        <w:t>质疑函范本</w:t>
      </w:r>
    </w:p>
    <w:p w14:paraId="4D8DDB5D">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32F88B36">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14:paraId="7B4EBE30">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2083CC0D">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14:paraId="0C58E212">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14:paraId="2AD5E245">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0C3C17A9">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311852C3">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68EA2CE2">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14:paraId="36039BCE">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14:paraId="0A74DA85">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14:paraId="68257E6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14:paraId="6990C01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2136502E">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14:paraId="7A64FBB5">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14:paraId="1ABFF0E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62D755FE">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14:paraId="64B9FF6A">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66934E70">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284A3A6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16679DF6">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662C967A">
      <w:pPr>
        <w:pStyle w:val="63"/>
        <w:rPr>
          <w:rFonts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14:paraId="489E4F3A">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14:paraId="7F0261B8">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14:paraId="46A01478">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质疑函制作说明：</w:t>
      </w:r>
    </w:p>
    <w:p w14:paraId="741723ED">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2D1D4466">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6C582E">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65D20A2E">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2FEC3273">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6F2F578F">
      <w:pPr>
        <w:pStyle w:val="6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A8B05B4">
      <w:pPr>
        <w:spacing w:line="360" w:lineRule="auto"/>
        <w:ind w:firstLine="600" w:firstLineChars="200"/>
        <w:rPr>
          <w:color w:val="000000" w:themeColor="text1"/>
          <w:sz w:val="30"/>
          <w:szCs w:val="30"/>
          <w14:textFill>
            <w14:solidFill>
              <w14:schemeClr w14:val="tx1"/>
            </w14:solidFill>
          </w14:textFill>
        </w:rPr>
      </w:pPr>
    </w:p>
    <w:p w14:paraId="312120D1">
      <w:pPr>
        <w:spacing w:line="360" w:lineRule="auto"/>
        <w:jc w:val="center"/>
        <w:rPr>
          <w:b/>
          <w:color w:val="000000" w:themeColor="text1"/>
          <w:spacing w:val="6"/>
          <w:sz w:val="32"/>
          <w:szCs w:val="32"/>
          <w14:textFill>
            <w14:solidFill>
              <w14:schemeClr w14:val="tx1"/>
            </w14:solidFill>
          </w14:textFill>
        </w:rPr>
      </w:pPr>
    </w:p>
    <w:p w14:paraId="558A32A6">
      <w:pPr>
        <w:spacing w:line="360" w:lineRule="auto"/>
        <w:jc w:val="center"/>
        <w:rPr>
          <w:b/>
          <w:color w:val="000000" w:themeColor="text1"/>
          <w:spacing w:val="6"/>
          <w:sz w:val="32"/>
          <w:szCs w:val="32"/>
          <w14:textFill>
            <w14:solidFill>
              <w14:schemeClr w14:val="tx1"/>
            </w14:solidFill>
          </w14:textFill>
        </w:rPr>
      </w:pPr>
    </w:p>
    <w:p w14:paraId="29EC4E37">
      <w:pPr>
        <w:spacing w:line="276"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7179FD36">
      <w:pPr>
        <w:pStyle w:val="2"/>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0EEFF02E">
      <w:pPr>
        <w:spacing w:line="276" w:lineRule="auto"/>
        <w:jc w:val="center"/>
        <w:rPr>
          <w:b/>
          <w:smallCaps/>
          <w:color w:val="000000" w:themeColor="text1"/>
          <w:spacing w:val="6"/>
          <w:sz w:val="36"/>
          <w:szCs w:val="28"/>
          <w14:textFill>
            <w14:solidFill>
              <w14:schemeClr w14:val="tx1"/>
            </w14:solidFill>
          </w14:textFill>
        </w:rPr>
      </w:pPr>
      <w:r>
        <w:rPr>
          <w:rFonts w:hint="eastAsia"/>
          <w:b/>
          <w:color w:val="000000" w:themeColor="text1"/>
          <w:sz w:val="32"/>
          <w14:textFill>
            <w14:solidFill>
              <w14:schemeClr w14:val="tx1"/>
            </w14:solidFill>
          </w14:textFill>
        </w:rPr>
        <w:t>业务专用章使用说明函</w:t>
      </w:r>
    </w:p>
    <w:p w14:paraId="3FD5959F">
      <w:pPr>
        <w:spacing w:line="360" w:lineRule="auto"/>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（采购人）、（采购代理机构）</w:t>
      </w:r>
    </w:p>
    <w:p w14:paraId="5AED6773">
      <w:pPr>
        <w:spacing w:line="360" w:lineRule="auto"/>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我方</w:t>
      </w:r>
      <w:r>
        <w:rPr>
          <w:rFonts w:hint="eastAsia"/>
          <w:color w:val="000000" w:themeColor="text1"/>
          <w:u w:val="single"/>
          <w:lang w:val="zh-CN"/>
          <w14:textFill>
            <w14:solidFill>
              <w14:schemeClr w14:val="tx1"/>
            </w14:solidFill>
          </w14:textFill>
        </w:rPr>
        <w:t xml:space="preserve">                         </w:t>
      </w:r>
      <w:r>
        <w:rPr>
          <w:rFonts w:hint="eastAsia"/>
          <w:color w:val="000000" w:themeColor="text1"/>
          <w14:textFill>
            <w14:solidFill>
              <w14:schemeClr w14:val="tx1"/>
            </w14:solidFill>
          </w14:textFill>
        </w:rPr>
        <w:t>(供应商全称)是中华人民共和国依法登记注册的合法企业，</w:t>
      </w:r>
      <w:r>
        <w:rPr>
          <w:rFonts w:hint="eastAsia"/>
          <w:bCs/>
          <w:color w:val="000000" w:themeColor="text1"/>
          <w14:textFill>
            <w14:solidFill>
              <w14:schemeClr w14:val="tx1"/>
            </w14:solidFill>
          </w14:textFill>
        </w:rPr>
        <w:t>在参加</w:t>
      </w:r>
      <w:r>
        <w:rPr>
          <w:rFonts w:hint="eastAsia"/>
          <w:color w:val="000000" w:themeColor="text1"/>
          <w14:textFill>
            <w14:solidFill>
              <w14:schemeClr w14:val="tx1"/>
            </w14:solidFill>
          </w14:textFill>
        </w:rPr>
        <w:t>你方组织的（项目名称）项目【招标编号：（采购编号）】</w:t>
      </w:r>
      <w:r>
        <w:rPr>
          <w:rFonts w:hint="eastAsia"/>
          <w:bCs/>
          <w:color w:val="000000" w:themeColor="text1"/>
          <w14:textFill>
            <w14:solidFill>
              <w14:schemeClr w14:val="tx1"/>
            </w14:solidFill>
          </w14:textFill>
        </w:rPr>
        <w:t>投标活动中作如下说明：</w:t>
      </w:r>
      <w:r>
        <w:rPr>
          <w:rFonts w:hint="eastAsia"/>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7EBF54D3">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特此说明。</w:t>
      </w:r>
    </w:p>
    <w:p w14:paraId="2D87B890">
      <w:pPr>
        <w:spacing w:line="360" w:lineRule="auto"/>
        <w:ind w:firstLine="494"/>
        <w:rPr>
          <w:color w:val="000000" w:themeColor="text1"/>
          <w14:textFill>
            <w14:solidFill>
              <w14:schemeClr w14:val="tx1"/>
            </w14:solidFill>
          </w14:textFill>
        </w:rPr>
      </w:pPr>
    </w:p>
    <w:p w14:paraId="1D31B55C">
      <w:pPr>
        <w:spacing w:line="360" w:lineRule="auto"/>
        <w:ind w:right="480" w:firstLine="408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投标单位（法定名称章）：</w:t>
      </w:r>
    </w:p>
    <w:p w14:paraId="562F0804">
      <w:pPr>
        <w:ind w:right="1440" w:firstLine="49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14:paraId="1FDCDFAF">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附：</w:t>
      </w:r>
    </w:p>
    <w:p w14:paraId="45EF22DF">
      <w:pPr>
        <w:spacing w:line="360" w:lineRule="auto"/>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4C6842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4C68420">
                      <w:pPr>
                        <w:jc w:val="center"/>
                      </w:pPr>
                    </w:p>
                  </w:txbxContent>
                </v:textbox>
              </v:rect>
            </w:pict>
          </mc:Fallback>
        </mc:AlternateContent>
      </w:r>
      <w:r>
        <w:rPr>
          <w:rFonts w:hint="eastAsia"/>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40F299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40F299D">
                      <w:pPr>
                        <w:jc w:val="center"/>
                      </w:pPr>
                    </w:p>
                  </w:txbxContent>
                </v:textbox>
              </v:rect>
            </w:pict>
          </mc:Fallback>
        </mc:AlternateContent>
      </w:r>
      <w:r>
        <w:rPr>
          <w:rFonts w:hint="eastAsia"/>
          <w:color w:val="000000" w:themeColor="text1"/>
          <w14:textFill>
            <w14:solidFill>
              <w14:schemeClr w14:val="tx1"/>
            </w14:solidFill>
          </w14:textFill>
        </w:rPr>
        <w:t>投标单位法定名称章（印模）                投标单位“XX专用章”（印模）</w:t>
      </w:r>
    </w:p>
    <w:p w14:paraId="50235745">
      <w:pPr>
        <w:spacing w:line="276" w:lineRule="auto"/>
        <w:rPr>
          <w:b/>
          <w:color w:val="000000" w:themeColor="text1"/>
          <w:spacing w:val="6"/>
          <w:sz w:val="32"/>
          <w:szCs w:val="32"/>
          <w14:textFill>
            <w14:solidFill>
              <w14:schemeClr w14:val="tx1"/>
            </w14:solidFill>
          </w14:textFill>
        </w:rPr>
      </w:pPr>
    </w:p>
    <w:p w14:paraId="141626CD">
      <w:pPr>
        <w:spacing w:line="276" w:lineRule="auto"/>
        <w:rPr>
          <w:b/>
          <w:smallCaps/>
          <w:color w:val="000000" w:themeColor="text1"/>
          <w:spacing w:val="6"/>
          <w:sz w:val="28"/>
          <w:szCs w:val="28"/>
          <w14:textFill>
            <w14:solidFill>
              <w14:schemeClr w14:val="tx1"/>
            </w14:solidFill>
          </w14:textFill>
        </w:rPr>
      </w:pPr>
    </w:p>
    <w:p w14:paraId="41ED4E4E">
      <w:pPr>
        <w:spacing w:line="276" w:lineRule="auto"/>
        <w:rPr>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2753">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4A59">
    <w:pPr>
      <w:pStyle w:val="20"/>
      <w:pBdr>
        <w:bottom w:val="single" w:color="auto" w:sz="6" w:space="4"/>
      </w:pBdr>
      <w:jc w:val="right"/>
    </w:pPr>
    <w:r>
      <w:t></w:t>
    </w:r>
    <w:r>
      <w:rPr>
        <w:rFonts w:hint="eastAsia"/>
      </w:rPr>
      <w:t xml:space="preserve">            </w:t>
    </w:r>
  </w:p>
  <w:p w14:paraId="485DB916">
    <w:pPr>
      <w:pStyle w:val="24"/>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2D5D">
    <w:pPr>
      <w:pStyle w:val="2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59833E"/>
    <w:multiLevelType w:val="singleLevel"/>
    <w:tmpl w:val="5559833E"/>
    <w:lvl w:ilvl="0" w:tentative="0">
      <w:start w:val="1"/>
      <w:numFmt w:val="chineseCounting"/>
      <w:suff w:val="nothing"/>
      <w:lvlText w:val="%1、"/>
      <w:lvlJc w:val="left"/>
    </w:lvl>
  </w:abstractNum>
  <w:abstractNum w:abstractNumId="2">
    <w:nsid w:val="727662DE"/>
    <w:multiLevelType w:val="multilevel"/>
    <w:tmpl w:val="727662DE"/>
    <w:lvl w:ilvl="0" w:tentative="0">
      <w:start w:val="1"/>
      <w:numFmt w:val="decimal"/>
      <w:pStyle w:val="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3B6360"/>
    <w:rsid w:val="003E6CD2"/>
    <w:rsid w:val="003F7F5E"/>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C1814"/>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0002"/>
    <w:rsid w:val="008344A8"/>
    <w:rsid w:val="008344AD"/>
    <w:rsid w:val="00843A59"/>
    <w:rsid w:val="00852E70"/>
    <w:rsid w:val="00872DA1"/>
    <w:rsid w:val="00873B8A"/>
    <w:rsid w:val="008B1281"/>
    <w:rsid w:val="008C3320"/>
    <w:rsid w:val="008F3812"/>
    <w:rsid w:val="008F729B"/>
    <w:rsid w:val="009040D0"/>
    <w:rsid w:val="009064F4"/>
    <w:rsid w:val="00924C3A"/>
    <w:rsid w:val="00973138"/>
    <w:rsid w:val="009823B1"/>
    <w:rsid w:val="009843A3"/>
    <w:rsid w:val="009863A6"/>
    <w:rsid w:val="0098739B"/>
    <w:rsid w:val="009B7259"/>
    <w:rsid w:val="009E6B47"/>
    <w:rsid w:val="00A3503E"/>
    <w:rsid w:val="00A401F1"/>
    <w:rsid w:val="00A5394E"/>
    <w:rsid w:val="00A955FA"/>
    <w:rsid w:val="00AB3C03"/>
    <w:rsid w:val="00AC5A89"/>
    <w:rsid w:val="00AE0610"/>
    <w:rsid w:val="00B02E7E"/>
    <w:rsid w:val="00B34428"/>
    <w:rsid w:val="00B50722"/>
    <w:rsid w:val="00B638D9"/>
    <w:rsid w:val="00C13744"/>
    <w:rsid w:val="00C555C7"/>
    <w:rsid w:val="00CA5372"/>
    <w:rsid w:val="00CA5AB0"/>
    <w:rsid w:val="00CC2BA5"/>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C758F"/>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1286C5C"/>
    <w:rsid w:val="051F3E50"/>
    <w:rsid w:val="098C2B06"/>
    <w:rsid w:val="0D7B3BE2"/>
    <w:rsid w:val="0D8932D9"/>
    <w:rsid w:val="0E4660AC"/>
    <w:rsid w:val="0E4C09E5"/>
    <w:rsid w:val="0F811E95"/>
    <w:rsid w:val="1404500D"/>
    <w:rsid w:val="18573D64"/>
    <w:rsid w:val="1DD35264"/>
    <w:rsid w:val="1EDA35BF"/>
    <w:rsid w:val="1FED6637"/>
    <w:rsid w:val="201F5BA8"/>
    <w:rsid w:val="20873B99"/>
    <w:rsid w:val="215E49C8"/>
    <w:rsid w:val="21CC56A0"/>
    <w:rsid w:val="26AA5F44"/>
    <w:rsid w:val="26CB50A9"/>
    <w:rsid w:val="2B8D50C5"/>
    <w:rsid w:val="30247F34"/>
    <w:rsid w:val="328F5F4B"/>
    <w:rsid w:val="32EF63B7"/>
    <w:rsid w:val="35D62830"/>
    <w:rsid w:val="3E3D6882"/>
    <w:rsid w:val="3F3423F7"/>
    <w:rsid w:val="40A030D6"/>
    <w:rsid w:val="41EC0438"/>
    <w:rsid w:val="44A8751D"/>
    <w:rsid w:val="49B570B6"/>
    <w:rsid w:val="4A2263D0"/>
    <w:rsid w:val="4A777137"/>
    <w:rsid w:val="4B8D1A8F"/>
    <w:rsid w:val="4EB70F0D"/>
    <w:rsid w:val="4F367C3E"/>
    <w:rsid w:val="51785811"/>
    <w:rsid w:val="51DC67CC"/>
    <w:rsid w:val="53FF2B7C"/>
    <w:rsid w:val="544067AC"/>
    <w:rsid w:val="580975E3"/>
    <w:rsid w:val="59146B6E"/>
    <w:rsid w:val="5ABE7D87"/>
    <w:rsid w:val="5EB804F7"/>
    <w:rsid w:val="5EF75257"/>
    <w:rsid w:val="60255718"/>
    <w:rsid w:val="63276375"/>
    <w:rsid w:val="650869CE"/>
    <w:rsid w:val="6CE90B36"/>
    <w:rsid w:val="6E2031CA"/>
    <w:rsid w:val="704D384F"/>
    <w:rsid w:val="74380D70"/>
    <w:rsid w:val="74441D0D"/>
    <w:rsid w:val="7CB43536"/>
    <w:rsid w:val="7E094382"/>
    <w:rsid w:val="7E134A06"/>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7"/>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2">
    <w:name w:val="heading 2"/>
    <w:basedOn w:val="1"/>
    <w:next w:val="1"/>
    <w:link w:val="38"/>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4">
    <w:name w:val="heading 3"/>
    <w:basedOn w:val="1"/>
    <w:next w:val="1"/>
    <w:link w:val="39"/>
    <w:unhideWhenUsed/>
    <w:qFormat/>
    <w:uiPriority w:val="9"/>
    <w:pPr>
      <w:spacing w:after="200"/>
      <w:outlineLvl w:val="2"/>
    </w:pPr>
    <w:rPr>
      <w:rFonts w:ascii="仿宋" w:hAnsi="仿宋" w:eastAsia="仿宋" w:cstheme="majorBidi"/>
      <w:b/>
    </w:rPr>
  </w:style>
  <w:style w:type="paragraph" w:styleId="5">
    <w:name w:val="heading 4"/>
    <w:basedOn w:val="1"/>
    <w:next w:val="1"/>
    <w:link w:val="40"/>
    <w:unhideWhenUsed/>
    <w:qFormat/>
    <w:uiPriority w:val="9"/>
    <w:pPr>
      <w:spacing w:line="271" w:lineRule="auto"/>
      <w:outlineLvl w:val="3"/>
    </w:pPr>
    <w:rPr>
      <w:rFonts w:ascii="仿宋" w:hAnsi="仿宋" w:eastAsia="仿宋" w:cstheme="majorBidi"/>
      <w:b/>
      <w:bCs/>
      <w:spacing w:val="5"/>
    </w:rPr>
  </w:style>
  <w:style w:type="paragraph" w:styleId="6">
    <w:name w:val="heading 5"/>
    <w:basedOn w:val="1"/>
    <w:next w:val="1"/>
    <w:link w:val="41"/>
    <w:unhideWhenUsed/>
    <w:qFormat/>
    <w:uiPriority w:val="9"/>
    <w:pPr>
      <w:spacing w:line="271" w:lineRule="auto"/>
      <w:outlineLvl w:val="4"/>
    </w:pPr>
    <w:rPr>
      <w:rFonts w:ascii="仿宋" w:hAnsi="仿宋" w:eastAsia="仿宋" w:cstheme="majorBidi"/>
      <w:i/>
      <w:iCs/>
    </w:rPr>
  </w:style>
  <w:style w:type="paragraph" w:styleId="7">
    <w:name w:val="heading 6"/>
    <w:basedOn w:val="1"/>
    <w:next w:val="1"/>
    <w:link w:val="42"/>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3"/>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4"/>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5"/>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4"/>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qFormat/>
    <w:uiPriority w:val="99"/>
    <w:pPr>
      <w:jc w:val="left"/>
    </w:pPr>
  </w:style>
  <w:style w:type="paragraph" w:styleId="14">
    <w:name w:val="Body Text"/>
    <w:basedOn w:val="1"/>
    <w:next w:val="15"/>
    <w:link w:val="93"/>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5">
    <w:name w:val="Body Text First Indent"/>
    <w:basedOn w:val="14"/>
    <w:next w:val="1"/>
    <w:qFormat/>
    <w:uiPriority w:val="0"/>
    <w:pPr>
      <w:ind w:firstLine="420"/>
    </w:pPr>
    <w:rPr>
      <w:rFonts w:hAnsi="Calibri" w:cs="Times New Roman"/>
      <w:snapToGrid/>
      <w:szCs w:val="20"/>
    </w:rPr>
  </w:style>
  <w:style w:type="paragraph" w:styleId="16">
    <w:name w:val="Body Text Indent"/>
    <w:basedOn w:val="1"/>
    <w:next w:val="1"/>
    <w:link w:val="67"/>
    <w:qFormat/>
    <w:uiPriority w:val="0"/>
    <w:pPr>
      <w:widowControl w:val="0"/>
      <w:adjustRightInd w:val="0"/>
      <w:spacing w:line="480" w:lineRule="exact"/>
      <w:ind w:firstLine="480" w:firstLineChars="200"/>
      <w:jc w:val="both"/>
    </w:pPr>
    <w:rPr>
      <w:rFonts w:cs="Times New Roman"/>
      <w:kern w:val="2"/>
    </w:rPr>
  </w:style>
  <w:style w:type="paragraph" w:styleId="17">
    <w:name w:val="Plain Text"/>
    <w:basedOn w:val="1"/>
    <w:link w:val="65"/>
    <w:qFormat/>
    <w:uiPriority w:val="0"/>
    <w:pPr>
      <w:widowControl w:val="0"/>
      <w:adjustRightInd w:val="0"/>
      <w:jc w:val="both"/>
    </w:pPr>
    <w:rPr>
      <w:rFonts w:hAnsi="Courier New" w:cs="Arial"/>
      <w:snapToGrid w:val="0"/>
      <w:kern w:val="2"/>
      <w:sz w:val="21"/>
      <w:szCs w:val="21"/>
    </w:rPr>
  </w:style>
  <w:style w:type="paragraph" w:styleId="18">
    <w:name w:val="Balloon Text"/>
    <w:basedOn w:val="1"/>
    <w:link w:val="79"/>
    <w:semiHidden/>
    <w:unhideWhenUsed/>
    <w:qFormat/>
    <w:uiPriority w:val="99"/>
    <w:rPr>
      <w:sz w:val="18"/>
      <w:szCs w:val="18"/>
    </w:rPr>
  </w:style>
  <w:style w:type="paragraph" w:styleId="19">
    <w:name w:val="footer"/>
    <w:basedOn w:val="1"/>
    <w:link w:val="36"/>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1">
    <w:name w:val="toc 1"/>
    <w:basedOn w:val="1"/>
    <w:next w:val="1"/>
    <w:qFormat/>
    <w:uiPriority w:val="0"/>
    <w:pPr>
      <w:spacing w:after="200"/>
    </w:pPr>
    <w:rPr>
      <w:rFonts w:ascii="仿宋" w:hAnsi="仿宋" w:eastAsia="仿宋" w:cstheme="majorBidi"/>
    </w:rPr>
  </w:style>
  <w:style w:type="paragraph" w:styleId="22">
    <w:name w:val="Subtitle"/>
    <w:basedOn w:val="1"/>
    <w:next w:val="1"/>
    <w:link w:val="47"/>
    <w:qFormat/>
    <w:uiPriority w:val="11"/>
    <w:pPr>
      <w:spacing w:after="200"/>
    </w:pPr>
    <w:rPr>
      <w:rFonts w:ascii="仿宋" w:hAnsi="仿宋" w:eastAsia="仿宋" w:cstheme="majorBidi"/>
      <w:i/>
      <w:iCs/>
      <w:smallCaps/>
      <w:spacing w:val="10"/>
      <w:sz w:val="28"/>
      <w:szCs w:val="28"/>
    </w:rPr>
  </w:style>
  <w:style w:type="paragraph" w:styleId="23">
    <w:name w:val="Normal (Web)"/>
    <w:basedOn w:val="1"/>
    <w:qFormat/>
    <w:uiPriority w:val="99"/>
    <w:pPr>
      <w:spacing w:before="100" w:beforeAutospacing="1" w:after="100" w:afterAutospacing="1"/>
    </w:pPr>
    <w:rPr>
      <w:rFonts w:ascii="仿宋" w:hAnsi="仿宋" w:eastAsia="仿宋" w:cstheme="majorBidi"/>
    </w:rPr>
  </w:style>
  <w:style w:type="paragraph" w:styleId="24">
    <w:name w:val="Title"/>
    <w:basedOn w:val="1"/>
    <w:next w:val="1"/>
    <w:link w:val="46"/>
    <w:qFormat/>
    <w:uiPriority w:val="10"/>
    <w:pPr>
      <w:spacing w:after="300"/>
      <w:contextualSpacing/>
    </w:pPr>
    <w:rPr>
      <w:rFonts w:ascii="仿宋" w:hAnsi="仿宋" w:eastAsia="仿宋" w:cstheme="majorBidi"/>
      <w:smallCaps/>
      <w:sz w:val="52"/>
      <w:szCs w:val="52"/>
    </w:rPr>
  </w:style>
  <w:style w:type="paragraph" w:styleId="25">
    <w:name w:val="Body Text First Indent 2"/>
    <w:basedOn w:val="16"/>
    <w:semiHidden/>
    <w:unhideWhenUsed/>
    <w:qFormat/>
    <w:uiPriority w:val="99"/>
    <w:pPr>
      <w:ind w:firstLine="42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FollowedHyperlink"/>
    <w:basedOn w:val="28"/>
    <w:semiHidden/>
    <w:unhideWhenUsed/>
    <w:qFormat/>
    <w:uiPriority w:val="99"/>
    <w:rPr>
      <w:color w:val="954F72"/>
      <w:u w:val="single"/>
    </w:rPr>
  </w:style>
  <w:style w:type="character" w:styleId="31">
    <w:name w:val="Emphasis"/>
    <w:qFormat/>
    <w:uiPriority w:val="20"/>
    <w:rPr>
      <w:b/>
      <w:bCs/>
      <w:i/>
      <w:iCs/>
      <w:spacing w:val="10"/>
    </w:rPr>
  </w:style>
  <w:style w:type="character" w:styleId="32">
    <w:name w:val="Hyperlink"/>
    <w:qFormat/>
    <w:uiPriority w:val="99"/>
    <w:rPr>
      <w:rFonts w:ascii="Arial" w:hAnsi="Arial" w:eastAsia="黑体" w:cs="Arial"/>
      <w:snapToGrid w:val="0"/>
      <w:color w:val="000000"/>
      <w:kern w:val="0"/>
      <w:sz w:val="18"/>
      <w:szCs w:val="18"/>
      <w:u w:val="none"/>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正文文本首行缩进 21"/>
    <w:basedOn w:val="16"/>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5">
    <w:name w:val="页眉 字符"/>
    <w:basedOn w:val="28"/>
    <w:link w:val="20"/>
    <w:qFormat/>
    <w:uiPriority w:val="99"/>
    <w:rPr>
      <w:sz w:val="18"/>
      <w:szCs w:val="18"/>
    </w:rPr>
  </w:style>
  <w:style w:type="character" w:customStyle="1" w:styleId="36">
    <w:name w:val="页脚 字符"/>
    <w:basedOn w:val="28"/>
    <w:link w:val="19"/>
    <w:qFormat/>
    <w:uiPriority w:val="99"/>
    <w:rPr>
      <w:sz w:val="18"/>
      <w:szCs w:val="18"/>
    </w:rPr>
  </w:style>
  <w:style w:type="character" w:customStyle="1" w:styleId="37">
    <w:name w:val="标题 1 字符"/>
    <w:basedOn w:val="28"/>
    <w:link w:val="3"/>
    <w:qFormat/>
    <w:uiPriority w:val="9"/>
    <w:rPr>
      <w:rFonts w:ascii="仿宋_GB2312" w:hAnsi="仿宋" w:eastAsia="仿宋_GB2312"/>
      <w:b/>
      <w:smallCaps/>
      <w:spacing w:val="5"/>
      <w:sz w:val="36"/>
      <w:szCs w:val="36"/>
    </w:rPr>
  </w:style>
  <w:style w:type="character" w:customStyle="1" w:styleId="38">
    <w:name w:val="标题 2 字符"/>
    <w:basedOn w:val="28"/>
    <w:link w:val="2"/>
    <w:qFormat/>
    <w:uiPriority w:val="9"/>
    <w:rPr>
      <w:rFonts w:ascii="仿宋" w:hAnsi="仿宋" w:eastAsia="仿宋"/>
      <w:b/>
      <w:smallCaps/>
      <w:sz w:val="28"/>
      <w:szCs w:val="28"/>
    </w:rPr>
  </w:style>
  <w:style w:type="character" w:customStyle="1" w:styleId="39">
    <w:name w:val="标题 3 字符"/>
    <w:basedOn w:val="28"/>
    <w:link w:val="4"/>
    <w:qFormat/>
    <w:uiPriority w:val="9"/>
    <w:rPr>
      <w:rFonts w:ascii="仿宋" w:hAnsi="仿宋" w:eastAsia="仿宋"/>
      <w:b/>
      <w:sz w:val="24"/>
      <w:szCs w:val="24"/>
    </w:rPr>
  </w:style>
  <w:style w:type="character" w:customStyle="1" w:styleId="40">
    <w:name w:val="标题 4 字符"/>
    <w:basedOn w:val="28"/>
    <w:link w:val="5"/>
    <w:qFormat/>
    <w:uiPriority w:val="9"/>
    <w:rPr>
      <w:b/>
      <w:bCs/>
      <w:spacing w:val="5"/>
      <w:sz w:val="24"/>
      <w:szCs w:val="24"/>
    </w:rPr>
  </w:style>
  <w:style w:type="character" w:customStyle="1" w:styleId="41">
    <w:name w:val="标题 5 字符"/>
    <w:basedOn w:val="28"/>
    <w:link w:val="6"/>
    <w:qFormat/>
    <w:uiPriority w:val="9"/>
    <w:rPr>
      <w:i/>
      <w:iCs/>
      <w:sz w:val="24"/>
      <w:szCs w:val="24"/>
    </w:rPr>
  </w:style>
  <w:style w:type="character" w:customStyle="1" w:styleId="42">
    <w:name w:val="标题 6 字符"/>
    <w:basedOn w:val="28"/>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3">
    <w:name w:val="标题 7 字符"/>
    <w:basedOn w:val="28"/>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4">
    <w:name w:val="标题 8 字符"/>
    <w:basedOn w:val="28"/>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5">
    <w:name w:val="标题 9 字符"/>
    <w:basedOn w:val="28"/>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6">
    <w:name w:val="标题 字符"/>
    <w:basedOn w:val="28"/>
    <w:link w:val="24"/>
    <w:qFormat/>
    <w:uiPriority w:val="10"/>
    <w:rPr>
      <w:smallCaps/>
      <w:sz w:val="52"/>
      <w:szCs w:val="52"/>
    </w:rPr>
  </w:style>
  <w:style w:type="character" w:customStyle="1" w:styleId="47">
    <w:name w:val="副标题 字符"/>
    <w:basedOn w:val="28"/>
    <w:link w:val="22"/>
    <w:qFormat/>
    <w:uiPriority w:val="11"/>
    <w:rPr>
      <w:i/>
      <w:iCs/>
      <w:smallCaps/>
      <w:spacing w:val="10"/>
      <w:sz w:val="28"/>
      <w:szCs w:val="28"/>
    </w:rPr>
  </w:style>
  <w:style w:type="paragraph" w:styleId="48">
    <w:name w:val="No Spacing"/>
    <w:basedOn w:val="1"/>
    <w:link w:val="60"/>
    <w:qFormat/>
    <w:uiPriority w:val="1"/>
    <w:rPr>
      <w:rFonts w:ascii="仿宋" w:hAnsi="仿宋" w:eastAsia="仿宋" w:cstheme="majorBidi"/>
    </w:rPr>
  </w:style>
  <w:style w:type="paragraph" w:styleId="49">
    <w:name w:val="List Paragraph"/>
    <w:basedOn w:val="1"/>
    <w:qFormat/>
    <w:uiPriority w:val="34"/>
    <w:pPr>
      <w:spacing w:after="200"/>
      <w:ind w:left="720"/>
      <w:contextualSpacing/>
    </w:pPr>
    <w:rPr>
      <w:rFonts w:ascii="仿宋" w:hAnsi="仿宋" w:eastAsia="仿宋" w:cstheme="majorBidi"/>
    </w:rPr>
  </w:style>
  <w:style w:type="paragraph" w:styleId="50">
    <w:name w:val="Quote"/>
    <w:basedOn w:val="1"/>
    <w:next w:val="1"/>
    <w:link w:val="51"/>
    <w:qFormat/>
    <w:uiPriority w:val="29"/>
    <w:pPr>
      <w:spacing w:after="200"/>
    </w:pPr>
    <w:rPr>
      <w:rFonts w:ascii="仿宋" w:hAnsi="仿宋" w:eastAsia="仿宋" w:cstheme="majorBidi"/>
      <w:i/>
      <w:iCs/>
    </w:rPr>
  </w:style>
  <w:style w:type="character" w:customStyle="1" w:styleId="51">
    <w:name w:val="引用 字符"/>
    <w:basedOn w:val="28"/>
    <w:link w:val="50"/>
    <w:qFormat/>
    <w:uiPriority w:val="29"/>
    <w:rPr>
      <w:i/>
      <w:iCs/>
    </w:rPr>
  </w:style>
  <w:style w:type="paragraph" w:styleId="52">
    <w:name w:val="Intense Quote"/>
    <w:basedOn w:val="1"/>
    <w:next w:val="1"/>
    <w:link w:val="53"/>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3">
    <w:name w:val="明显引用 字符"/>
    <w:basedOn w:val="28"/>
    <w:link w:val="52"/>
    <w:qFormat/>
    <w:uiPriority w:val="30"/>
    <w:rPr>
      <w:i/>
      <w:iCs/>
    </w:rPr>
  </w:style>
  <w:style w:type="character" w:customStyle="1" w:styleId="54">
    <w:name w:val="不明显强调1"/>
    <w:qFormat/>
    <w:uiPriority w:val="19"/>
    <w:rPr>
      <w:i/>
      <w:iCs/>
    </w:rPr>
  </w:style>
  <w:style w:type="character" w:customStyle="1" w:styleId="55">
    <w:name w:val="明显强调1"/>
    <w:qFormat/>
    <w:uiPriority w:val="21"/>
    <w:rPr>
      <w:b/>
      <w:bCs/>
      <w:i/>
      <w:iCs/>
    </w:rPr>
  </w:style>
  <w:style w:type="character" w:customStyle="1" w:styleId="56">
    <w:name w:val="不明显参考1"/>
    <w:basedOn w:val="28"/>
    <w:qFormat/>
    <w:uiPriority w:val="31"/>
    <w:rPr>
      <w:smallCaps/>
    </w:rPr>
  </w:style>
  <w:style w:type="character" w:customStyle="1" w:styleId="57">
    <w:name w:val="明显参考1"/>
    <w:qFormat/>
    <w:uiPriority w:val="32"/>
    <w:rPr>
      <w:b/>
      <w:bCs/>
      <w:smallCaps/>
    </w:rPr>
  </w:style>
  <w:style w:type="character" w:customStyle="1" w:styleId="58">
    <w:name w:val="书籍标题1"/>
    <w:basedOn w:val="28"/>
    <w:qFormat/>
    <w:uiPriority w:val="33"/>
    <w:rPr>
      <w:i/>
      <w:iCs/>
      <w:smallCaps/>
      <w:spacing w:val="5"/>
    </w:rPr>
  </w:style>
  <w:style w:type="paragraph" w:customStyle="1" w:styleId="59">
    <w:name w:val="TOC 标题1"/>
    <w:basedOn w:val="3"/>
    <w:next w:val="1"/>
    <w:semiHidden/>
    <w:unhideWhenUsed/>
    <w:qFormat/>
    <w:uiPriority w:val="39"/>
    <w:pPr>
      <w:outlineLvl w:val="9"/>
    </w:pPr>
    <w:rPr>
      <w:lang w:bidi="en-US"/>
    </w:rPr>
  </w:style>
  <w:style w:type="character" w:customStyle="1" w:styleId="60">
    <w:name w:val="无间隔 字符"/>
    <w:basedOn w:val="28"/>
    <w:link w:val="48"/>
    <w:qFormat/>
    <w:uiPriority w:val="1"/>
  </w:style>
  <w:style w:type="paragraph" w:customStyle="1" w:styleId="61">
    <w:name w:val="Personal Name"/>
    <w:basedOn w:val="24"/>
    <w:qFormat/>
    <w:uiPriority w:val="0"/>
    <w:rPr>
      <w:b/>
      <w:caps/>
      <w:color w:val="000000"/>
      <w:sz w:val="28"/>
      <w:szCs w:val="28"/>
    </w:rPr>
  </w:style>
  <w:style w:type="character" w:customStyle="1" w:styleId="62">
    <w:name w:val="正文2 Char Char"/>
    <w:link w:val="63"/>
    <w:qFormat/>
    <w:uiPriority w:val="0"/>
    <w:rPr>
      <w:rFonts w:ascii="仿宋" w:hAnsi="仿宋" w:eastAsia="仿宋"/>
      <w:sz w:val="24"/>
      <w:szCs w:val="24"/>
    </w:rPr>
  </w:style>
  <w:style w:type="paragraph" w:customStyle="1" w:styleId="63">
    <w:name w:val="正文2"/>
    <w:basedOn w:val="1"/>
    <w:link w:val="62"/>
    <w:qFormat/>
    <w:uiPriority w:val="0"/>
    <w:pPr>
      <w:spacing w:after="200" w:line="360" w:lineRule="auto"/>
    </w:pPr>
    <w:rPr>
      <w:rFonts w:ascii="仿宋" w:hAnsi="仿宋" w:eastAsia="仿宋" w:cstheme="majorBidi"/>
    </w:rPr>
  </w:style>
  <w:style w:type="character" w:customStyle="1" w:styleId="64">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5">
    <w:name w:val="纯文本 字符"/>
    <w:basedOn w:val="28"/>
    <w:link w:val="17"/>
    <w:qFormat/>
    <w:uiPriority w:val="0"/>
    <w:rPr>
      <w:rFonts w:ascii="宋体" w:hAnsi="Courier New" w:eastAsia="宋体" w:cs="Arial"/>
      <w:snapToGrid w:val="0"/>
      <w:kern w:val="2"/>
      <w:sz w:val="21"/>
      <w:szCs w:val="21"/>
    </w:rPr>
  </w:style>
  <w:style w:type="character" w:customStyle="1" w:styleId="66">
    <w:name w:val="正文文本缩进 Char"/>
    <w:basedOn w:val="28"/>
    <w:semiHidden/>
    <w:qFormat/>
    <w:uiPriority w:val="99"/>
    <w:rPr>
      <w:rFonts w:ascii="仿宋" w:hAnsi="仿宋" w:eastAsia="仿宋"/>
      <w:sz w:val="24"/>
      <w:szCs w:val="24"/>
    </w:rPr>
  </w:style>
  <w:style w:type="character" w:customStyle="1" w:styleId="67">
    <w:name w:val="正文文本缩进 字符"/>
    <w:link w:val="16"/>
    <w:qFormat/>
    <w:uiPriority w:val="0"/>
    <w:rPr>
      <w:rFonts w:ascii="宋体" w:hAnsi="宋体" w:eastAsia="宋体" w:cs="Times New Roman"/>
      <w:kern w:val="2"/>
      <w:sz w:val="24"/>
      <w:szCs w:val="24"/>
    </w:rPr>
  </w:style>
  <w:style w:type="character" w:customStyle="1" w:styleId="68">
    <w:name w:val="标题 Char2"/>
    <w:qFormat/>
    <w:uiPriority w:val="10"/>
    <w:rPr>
      <w:b/>
      <w:sz w:val="24"/>
      <w:lang w:val="en-GB"/>
    </w:rPr>
  </w:style>
  <w:style w:type="character" w:customStyle="1" w:styleId="69">
    <w:name w:val="纯文本 Char1"/>
    <w:link w:val="70"/>
    <w:qFormat/>
    <w:uiPriority w:val="0"/>
    <w:rPr>
      <w:rFonts w:ascii="宋体" w:hAnsi="Courier New"/>
    </w:rPr>
  </w:style>
  <w:style w:type="paragraph" w:customStyle="1" w:styleId="70">
    <w:name w:val="纯文本1"/>
    <w:basedOn w:val="1"/>
    <w:link w:val="69"/>
    <w:qFormat/>
    <w:uiPriority w:val="0"/>
    <w:pPr>
      <w:widowControl w:val="0"/>
      <w:jc w:val="both"/>
    </w:pPr>
    <w:rPr>
      <w:rFonts w:hAnsi="Courier New" w:eastAsiaTheme="majorEastAsia" w:cstheme="majorBidi"/>
      <w:sz w:val="22"/>
      <w:szCs w:val="22"/>
    </w:rPr>
  </w:style>
  <w:style w:type="character" w:customStyle="1" w:styleId="71">
    <w:name w:val="页脚 Char2"/>
    <w:qFormat/>
    <w:locked/>
    <w:uiPriority w:val="99"/>
    <w:rPr>
      <w:kern w:val="2"/>
      <w:sz w:val="18"/>
      <w:szCs w:val="18"/>
    </w:rPr>
  </w:style>
  <w:style w:type="character" w:customStyle="1" w:styleId="72">
    <w:name w:val="页眉 Char2"/>
    <w:qFormat/>
    <w:uiPriority w:val="99"/>
    <w:rPr>
      <w:kern w:val="2"/>
      <w:sz w:val="18"/>
      <w:szCs w:val="18"/>
    </w:rPr>
  </w:style>
  <w:style w:type="paragraph" w:customStyle="1" w:styleId="73">
    <w:name w:val="索引 11"/>
    <w:basedOn w:val="1"/>
    <w:next w:val="1"/>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4">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5">
    <w:name w:val="text-tag"/>
    <w:basedOn w:val="1"/>
    <w:semiHidden/>
    <w:qFormat/>
    <w:uiPriority w:val="99"/>
    <w:pPr>
      <w:spacing w:before="100" w:beforeAutospacing="1" w:after="100" w:afterAutospacing="1"/>
    </w:pPr>
  </w:style>
  <w:style w:type="character" w:customStyle="1" w:styleId="76">
    <w:name w:val="纯文本 Char_0"/>
    <w:link w:val="77"/>
    <w:qFormat/>
    <w:uiPriority w:val="0"/>
    <w:rPr>
      <w:rFonts w:ascii="宋体" w:hAnsi="Courier New"/>
      <w:kern w:val="2"/>
      <w:sz w:val="21"/>
      <w:szCs w:val="21"/>
    </w:rPr>
  </w:style>
  <w:style w:type="paragraph" w:customStyle="1" w:styleId="77">
    <w:name w:val="纯文本_0_0"/>
    <w:basedOn w:val="1"/>
    <w:link w:val="76"/>
    <w:qFormat/>
    <w:uiPriority w:val="0"/>
    <w:pPr>
      <w:widowControl w:val="0"/>
      <w:jc w:val="both"/>
    </w:pPr>
    <w:rPr>
      <w:rFonts w:hAnsi="Courier New" w:eastAsiaTheme="majorEastAsia" w:cstheme="majorBidi"/>
      <w:kern w:val="2"/>
      <w:sz w:val="21"/>
      <w:szCs w:val="21"/>
    </w:rPr>
  </w:style>
  <w:style w:type="paragraph" w:customStyle="1" w:styleId="78">
    <w:name w:val="部分1"/>
    <w:basedOn w:val="1"/>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79">
    <w:name w:val="批注框文本 字符"/>
    <w:basedOn w:val="28"/>
    <w:link w:val="18"/>
    <w:semiHidden/>
    <w:qFormat/>
    <w:uiPriority w:val="99"/>
    <w:rPr>
      <w:rFonts w:ascii="仿宋" w:hAnsi="仿宋" w:eastAsia="仿宋"/>
      <w:sz w:val="18"/>
      <w:szCs w:val="18"/>
    </w:rPr>
  </w:style>
  <w:style w:type="paragraph" w:customStyle="1" w:styleId="80">
    <w:name w:val="3级"/>
    <w:basedOn w:val="1"/>
    <w:qFormat/>
    <w:uiPriority w:val="0"/>
    <w:pPr>
      <w:numPr>
        <w:ilvl w:val="0"/>
        <w:numId w:val="1"/>
      </w:numPr>
      <w:spacing w:after="200" w:line="360" w:lineRule="auto"/>
      <w:outlineLvl w:val="2"/>
    </w:pPr>
    <w:rPr>
      <w:rFonts w:ascii="仿宋" w:hAnsi="仿宋" w:eastAsia="仿宋" w:cstheme="majorBidi"/>
      <w:b/>
    </w:rPr>
  </w:style>
  <w:style w:type="paragraph" w:customStyle="1" w:styleId="81">
    <w:name w:val="zhengwen"/>
    <w:basedOn w:val="1"/>
    <w:qFormat/>
    <w:uiPriority w:val="0"/>
    <w:pPr>
      <w:spacing w:after="200" w:line="360" w:lineRule="auto"/>
      <w:ind w:left="-2" w:leftChars="-1" w:firstLine="425" w:firstLineChars="177"/>
    </w:pPr>
    <w:rPr>
      <w:rFonts w:ascii="仿宋" w:hAnsi="仿宋" w:eastAsia="仿宋" w:cstheme="majorBidi"/>
    </w:rPr>
  </w:style>
  <w:style w:type="paragraph" w:customStyle="1" w:styleId="82">
    <w:name w:val="文档正文"/>
    <w:basedOn w:val="1"/>
    <w:qFormat/>
    <w:uiPriority w:val="0"/>
    <w:pPr>
      <w:spacing w:after="200" w:line="480" w:lineRule="atLeast"/>
      <w:ind w:firstLine="567"/>
      <w:textAlignment w:val="baseline"/>
    </w:pPr>
    <w:rPr>
      <w:rFonts w:ascii="仿宋" w:hAnsi="仿宋" w:eastAsia="仿宋" w:cstheme="majorBidi"/>
      <w:szCs w:val="20"/>
    </w:rPr>
  </w:style>
  <w:style w:type="paragraph" w:customStyle="1" w:styleId="83">
    <w:name w:val="正常"/>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4">
    <w:name w:val="首行缩进"/>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5">
    <w:name w:val="一级条标题"/>
    <w:next w:val="86"/>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章标题"/>
    <w:next w:val="8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8">
    <w:name w:val="3级标题"/>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89">
    <w:name w:val="2级标题"/>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90">
    <w:name w:val="1级标题"/>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1">
    <w:name w:val="此正文"/>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2">
    <w:name w:val="样式 首行缩进:  0 字符"/>
    <w:basedOn w:val="1"/>
    <w:qFormat/>
    <w:uiPriority w:val="0"/>
    <w:pPr>
      <w:widowControl w:val="0"/>
      <w:spacing w:line="360" w:lineRule="auto"/>
      <w:ind w:firstLine="200" w:firstLineChars="200"/>
      <w:jc w:val="both"/>
    </w:pPr>
    <w:rPr>
      <w:rFonts w:ascii="Verdana" w:hAnsi="Verdana"/>
      <w:kern w:val="2"/>
      <w:szCs w:val="20"/>
    </w:rPr>
  </w:style>
  <w:style w:type="character" w:customStyle="1" w:styleId="93">
    <w:name w:val="正文文本 字符"/>
    <w:basedOn w:val="28"/>
    <w:link w:val="14"/>
    <w:qFormat/>
    <w:uiPriority w:val="99"/>
    <w:rPr>
      <w:rFonts w:ascii="宋体" w:hAnsi="Arial" w:eastAsia="仿宋" w:cs="Arial"/>
      <w:snapToGrid w:val="0"/>
      <w:sz w:val="24"/>
      <w:szCs w:val="21"/>
      <w:lang w:val="zh-CN"/>
    </w:rPr>
  </w:style>
  <w:style w:type="paragraph" w:customStyle="1" w:styleId="94">
    <w:name w:val="msonormal"/>
    <w:basedOn w:val="1"/>
    <w:qFormat/>
    <w:uiPriority w:val="0"/>
    <w:pPr>
      <w:spacing w:before="100" w:beforeAutospacing="1" w:after="100" w:afterAutospacing="1"/>
    </w:pPr>
  </w:style>
  <w:style w:type="paragraph" w:customStyle="1" w:styleId="95">
    <w:name w:val="font5"/>
    <w:basedOn w:val="1"/>
    <w:qFormat/>
    <w:uiPriority w:val="0"/>
    <w:pPr>
      <w:spacing w:before="100" w:beforeAutospacing="1" w:after="100" w:afterAutospacing="1"/>
    </w:pPr>
    <w:rPr>
      <w:rFonts w:ascii="等线" w:hAnsi="等线" w:eastAsia="等线"/>
      <w:sz w:val="18"/>
      <w:szCs w:val="18"/>
    </w:rPr>
  </w:style>
  <w:style w:type="paragraph" w:customStyle="1" w:styleId="96">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7">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8">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8">
    <w:name w:val="xl7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9">
    <w:name w:val="xl76"/>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7"/>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79"/>
    <w:basedOn w:val="1"/>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4">
    <w:name w:val="xl81"/>
    <w:basedOn w:val="1"/>
    <w:qFormat/>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5">
    <w:name w:val="xl82"/>
    <w:basedOn w:val="1"/>
    <w:qFormat/>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6">
    <w:name w:val="xl83"/>
    <w:basedOn w:val="1"/>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character" w:customStyle="1" w:styleId="117">
    <w:name w:val="font51"/>
    <w:basedOn w:val="2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2024</Words>
  <Characters>2397</Characters>
  <Lines>259</Lines>
  <Paragraphs>73</Paragraphs>
  <TotalTime>35</TotalTime>
  <ScaleCrop>false</ScaleCrop>
  <LinksUpToDate>false</LinksUpToDate>
  <CharactersWithSpaces>2520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2024-06-24T03:05:00Z</dcterms:created>
  <dc:creator>admin</dc:creator>
  <cp:lastModifiedBy>豐</cp:lastModifiedBy>
  <cp:lastPrinted>2022-06-10T09:02:00Z</cp:lastPrinted>
  <dcterms:modified xsi:type="dcterms:W3CDTF">2025-07-10T05:32:25Z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7C7FF7CB622B4EC489D80390DC7C3DAF</vt:lpwstr>
  </property>
  <property fmtid="{D5CDD505-2E9C-101B-9397-08002B2CF9AE}" pid="4" name="KSOTemplateDocerSaveRecord">
    <vt:lpwstr>eyJoZGlkIjoiNzMzY2I0OTFkMmI1YTkyNDVkODhhMGNkMTBiN2E2ZTMiLCJ1c2VySWQiOiI2MTIxMzA5NjYifQ==</vt:lpwstr>
  </property>
</Properties>
</file>