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84BFC">
      <w:pPr>
        <w:pStyle w:val="3"/>
        <w:jc w:val="both"/>
        <w:rPr>
          <w:rFonts w:hint="eastAsia" w:ascii="仿宋" w:hAnsi="仿宋" w:eastAsia="仿宋" w:cs="仿宋"/>
          <w:lang w:val="en-US" w:eastAsia="zh-CN"/>
        </w:rPr>
      </w:pPr>
    </w:p>
    <w:p w14:paraId="21BFA16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44"/>
          <w:szCs w:val="44"/>
          <w:highlight w:val="none"/>
          <w:lang w:val="en-US" w:eastAsia="zh-CN"/>
        </w:rPr>
      </w:pPr>
      <w:r>
        <w:rPr>
          <w:rFonts w:hint="eastAsia" w:cs="仿宋"/>
          <w:color w:val="auto"/>
          <w:sz w:val="44"/>
          <w:szCs w:val="44"/>
          <w:highlight w:val="none"/>
          <w:lang w:val="en-US" w:eastAsia="zh-CN"/>
        </w:rPr>
        <w:t>萧山区2025年度重污染天气应急减排清单编制采购项目</w:t>
      </w:r>
    </w:p>
    <w:p w14:paraId="0AF8FFF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44"/>
          <w:szCs w:val="44"/>
          <w:highlight w:val="none"/>
          <w:lang w:val="en-US" w:eastAsia="zh-CN"/>
        </w:rPr>
      </w:pPr>
    </w:p>
    <w:p w14:paraId="29714FD9">
      <w:pPr>
        <w:pStyle w:val="16"/>
        <w:rPr>
          <w:rFonts w:hint="eastAsia" w:ascii="仿宋" w:hAnsi="仿宋" w:eastAsia="仿宋" w:cs="仿宋"/>
          <w:color w:val="auto"/>
          <w:highlight w:val="none"/>
          <w:lang w:val="en-US" w:eastAsia="zh-CN"/>
        </w:rPr>
      </w:pPr>
    </w:p>
    <w:p w14:paraId="71539C1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color w:val="auto"/>
          <w:sz w:val="72"/>
          <w:szCs w:val="72"/>
          <w:highlight w:val="none"/>
          <w:lang w:val="en-US" w:eastAsia="zh-CN"/>
        </w:rPr>
      </w:pPr>
      <w:r>
        <w:rPr>
          <w:rFonts w:hint="eastAsia" w:ascii="仿宋" w:hAnsi="仿宋" w:eastAsia="仿宋" w:cs="仿宋"/>
          <w:b/>
          <w:bCs/>
          <w:color w:val="auto"/>
          <w:sz w:val="72"/>
          <w:szCs w:val="72"/>
          <w:highlight w:val="none"/>
          <w:lang w:val="en-US" w:eastAsia="zh-CN"/>
        </w:rPr>
        <w:t>交易文件</w:t>
      </w:r>
    </w:p>
    <w:p w14:paraId="25CBD85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lang w:val="en-US" w:eastAsia="zh-CN"/>
        </w:rPr>
        <w:t>项目编号:</w:t>
      </w:r>
      <w:r>
        <w:rPr>
          <w:rFonts w:hint="eastAsia" w:cs="仿宋"/>
          <w:sz w:val="30"/>
          <w:szCs w:val="30"/>
          <w:lang w:val="en-US" w:eastAsia="zh-CN"/>
        </w:rPr>
        <w:t>SCGKZB-2025-011</w:t>
      </w:r>
    </w:p>
    <w:p w14:paraId="6D4064D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36"/>
          <w:highlight w:val="none"/>
        </w:rPr>
      </w:pPr>
    </w:p>
    <w:p w14:paraId="34BD79A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36"/>
          <w:highlight w:val="none"/>
        </w:rPr>
      </w:pPr>
    </w:p>
    <w:p w14:paraId="27E6E84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36"/>
          <w:highlight w:val="none"/>
        </w:rPr>
      </w:pPr>
    </w:p>
    <w:p w14:paraId="64B3DF7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36"/>
          <w:highlight w:val="none"/>
        </w:rPr>
      </w:pPr>
    </w:p>
    <w:p w14:paraId="184C943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36"/>
          <w:highlight w:val="none"/>
        </w:rPr>
      </w:pPr>
    </w:p>
    <w:p w14:paraId="2131005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p>
    <w:p w14:paraId="633F505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highlight w:val="none"/>
        </w:rPr>
      </w:pPr>
    </w:p>
    <w:p w14:paraId="09AA0EF9">
      <w:pPr>
        <w:jc w:val="center"/>
        <w:rPr>
          <w:rFonts w:hint="eastAsia" w:ascii="仿宋" w:hAnsi="仿宋" w:eastAsia="仿宋" w:cs="仿宋"/>
          <w:sz w:val="36"/>
        </w:rPr>
      </w:pPr>
    </w:p>
    <w:p w14:paraId="4784780E">
      <w:pPr>
        <w:jc w:val="center"/>
        <w:rPr>
          <w:rFonts w:hint="eastAsia" w:ascii="仿宋" w:hAnsi="仿宋" w:eastAsia="仿宋" w:cs="仿宋"/>
          <w:sz w:val="36"/>
          <w:lang w:eastAsia="zh-CN"/>
        </w:rPr>
      </w:pPr>
      <w:r>
        <w:rPr>
          <w:rFonts w:hint="eastAsia" w:cs="仿宋"/>
          <w:sz w:val="36"/>
          <w:lang w:eastAsia="zh-CN"/>
        </w:rPr>
        <w:t>杭州市生态环境局萧山分局</w:t>
      </w:r>
    </w:p>
    <w:p w14:paraId="02EE053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杭州三才工程管理咨询有限公司</w:t>
      </w:r>
    </w:p>
    <w:p w14:paraId="5E6BD44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sz w:val="36"/>
          <w:highlight w:val="none"/>
          <w:lang w:val="en-US" w:eastAsia="zh-CN"/>
        </w:rPr>
        <w:t>2025</w:t>
      </w:r>
      <w:r>
        <w:rPr>
          <w:rFonts w:hint="eastAsia" w:ascii="仿宋" w:hAnsi="仿宋" w:eastAsia="仿宋" w:cs="仿宋"/>
          <w:color w:val="auto"/>
          <w:sz w:val="36"/>
          <w:highlight w:val="none"/>
        </w:rPr>
        <w:t>年</w:t>
      </w:r>
      <w:r>
        <w:rPr>
          <w:rFonts w:hint="eastAsia" w:cs="仿宋"/>
          <w:color w:val="auto"/>
          <w:sz w:val="36"/>
          <w:highlight w:val="none"/>
          <w:lang w:val="en-US" w:eastAsia="zh-CN"/>
        </w:rPr>
        <w:t>7</w:t>
      </w:r>
      <w:r>
        <w:rPr>
          <w:rFonts w:hint="eastAsia" w:ascii="仿宋" w:hAnsi="仿宋" w:eastAsia="仿宋" w:cs="仿宋"/>
          <w:color w:val="auto"/>
          <w:sz w:val="36"/>
          <w:highlight w:val="none"/>
        </w:rPr>
        <w:t>月</w:t>
      </w:r>
      <w:r>
        <w:rPr>
          <w:rFonts w:hint="eastAsia" w:cs="仿宋"/>
          <w:color w:val="auto"/>
          <w:sz w:val="36"/>
          <w:highlight w:val="none"/>
          <w:lang w:val="en-US" w:eastAsia="zh-CN"/>
        </w:rPr>
        <w:t>2</w:t>
      </w:r>
      <w:r>
        <w:rPr>
          <w:rFonts w:hint="eastAsia" w:ascii="仿宋" w:hAnsi="仿宋" w:eastAsia="仿宋" w:cs="仿宋"/>
          <w:color w:val="auto"/>
          <w:sz w:val="36"/>
          <w:highlight w:val="none"/>
        </w:rPr>
        <w:t>日</w:t>
      </w:r>
      <w:r>
        <w:rPr>
          <w:rFonts w:hint="eastAsia" w:ascii="仿宋" w:hAnsi="仿宋" w:eastAsia="仿宋" w:cs="仿宋"/>
          <w:color w:val="auto"/>
          <w:highlight w:val="none"/>
        </w:rPr>
        <w:br w:type="page"/>
      </w:r>
    </w:p>
    <w:p w14:paraId="4C69EDC2">
      <w:pPr>
        <w:pStyle w:val="3"/>
        <w:rPr>
          <w:rFonts w:hint="eastAsia" w:ascii="仿宋" w:hAnsi="仿宋" w:eastAsia="仿宋" w:cs="仿宋"/>
          <w:color w:val="auto"/>
          <w:highlight w:val="none"/>
        </w:rPr>
      </w:pPr>
      <w:r>
        <w:rPr>
          <w:rFonts w:hint="eastAsia" w:ascii="仿宋" w:hAnsi="仿宋" w:eastAsia="仿宋" w:cs="仿宋"/>
          <w:color w:val="auto"/>
          <w:highlight w:val="none"/>
        </w:rPr>
        <w:t>目  录</w:t>
      </w:r>
    </w:p>
    <w:p w14:paraId="3E9ADBC2">
      <w:pPr>
        <w:rPr>
          <w:rFonts w:hint="eastAsia" w:ascii="仿宋" w:hAnsi="仿宋" w:eastAsia="仿宋" w:cs="仿宋"/>
          <w:color w:val="auto"/>
          <w:highlight w:val="none"/>
        </w:rPr>
      </w:pPr>
    </w:p>
    <w:p w14:paraId="195EC41B">
      <w:pPr>
        <w:rPr>
          <w:rFonts w:hint="eastAsia" w:ascii="仿宋" w:hAnsi="仿宋" w:eastAsia="仿宋" w:cs="仿宋"/>
          <w:color w:val="auto"/>
          <w:highlight w:val="none"/>
        </w:rPr>
      </w:pPr>
    </w:p>
    <w:p w14:paraId="174F760E">
      <w:pP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 xml:space="preserve">第一部分      </w:t>
      </w:r>
      <w:r>
        <w:rPr>
          <w:rFonts w:hint="eastAsia" w:ascii="仿宋" w:hAnsi="仿宋" w:eastAsia="仿宋" w:cs="仿宋"/>
          <w:color w:val="auto"/>
          <w:sz w:val="32"/>
          <w:highlight w:val="none"/>
          <w:lang w:eastAsia="zh-CN"/>
        </w:rPr>
        <w:t>交易公告</w:t>
      </w:r>
    </w:p>
    <w:p w14:paraId="5EB79F94">
      <w:pP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 xml:space="preserve">第二部分      </w:t>
      </w:r>
      <w:r>
        <w:rPr>
          <w:rFonts w:hint="eastAsia" w:ascii="仿宋" w:hAnsi="仿宋" w:eastAsia="仿宋" w:cs="仿宋"/>
          <w:color w:val="auto"/>
          <w:sz w:val="32"/>
          <w:highlight w:val="none"/>
          <w:lang w:eastAsia="zh-CN"/>
        </w:rPr>
        <w:t>供应商须知</w:t>
      </w:r>
    </w:p>
    <w:p w14:paraId="1CE9B95D">
      <w:pPr>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第三部分      </w:t>
      </w:r>
      <w:r>
        <w:rPr>
          <w:rFonts w:hint="eastAsia" w:cs="仿宋"/>
          <w:color w:val="auto"/>
          <w:sz w:val="32"/>
          <w:highlight w:val="none"/>
          <w:lang w:val="en-US" w:eastAsia="zh-CN"/>
        </w:rPr>
        <w:t>交易</w:t>
      </w:r>
      <w:r>
        <w:rPr>
          <w:rFonts w:hint="eastAsia" w:ascii="仿宋" w:hAnsi="仿宋" w:eastAsia="仿宋" w:cs="仿宋"/>
          <w:color w:val="auto"/>
          <w:sz w:val="32"/>
          <w:highlight w:val="none"/>
        </w:rPr>
        <w:t>需求</w:t>
      </w:r>
    </w:p>
    <w:p w14:paraId="27B3D265">
      <w:pPr>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第四部分      </w:t>
      </w:r>
      <w:r>
        <w:rPr>
          <w:rFonts w:hint="eastAsia" w:ascii="仿宋" w:hAnsi="仿宋" w:eastAsia="仿宋" w:cs="仿宋"/>
          <w:color w:val="auto"/>
          <w:sz w:val="32"/>
          <w:highlight w:val="none"/>
          <w:lang w:eastAsia="zh-CN"/>
        </w:rPr>
        <w:t>评审</w:t>
      </w:r>
      <w:r>
        <w:rPr>
          <w:rFonts w:hint="eastAsia" w:ascii="仿宋" w:hAnsi="仿宋" w:eastAsia="仿宋" w:cs="仿宋"/>
          <w:color w:val="auto"/>
          <w:sz w:val="32"/>
          <w:highlight w:val="none"/>
        </w:rPr>
        <w:t>办法</w:t>
      </w:r>
    </w:p>
    <w:p w14:paraId="3192EC95">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14:paraId="6CEE1796">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14:paraId="2ECD04C9">
      <w:pPr>
        <w:spacing w:line="276" w:lineRule="auto"/>
        <w:rPr>
          <w:rFonts w:hint="eastAsia" w:ascii="仿宋" w:hAnsi="仿宋" w:eastAsia="仿宋" w:cs="仿宋"/>
          <w:color w:val="auto"/>
          <w:sz w:val="32"/>
          <w:highlight w:val="none"/>
        </w:rPr>
      </w:pPr>
    </w:p>
    <w:p w14:paraId="37D858B1">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14:paraId="79863585">
      <w:pPr>
        <w:pStyle w:val="3"/>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第一部分 </w:t>
      </w:r>
      <w:r>
        <w:rPr>
          <w:rFonts w:hint="eastAsia" w:ascii="仿宋" w:hAnsi="仿宋" w:eastAsia="仿宋" w:cs="仿宋"/>
          <w:color w:val="auto"/>
          <w:highlight w:val="none"/>
          <w:lang w:eastAsia="zh-CN"/>
        </w:rPr>
        <w:t>交易公告</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EA3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88BA0">
            <w:pPr>
              <w:spacing w:after="0"/>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66D866FF">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auto"/>
                <w:highlight w:val="none"/>
              </w:rPr>
            </w:pPr>
            <w:r>
              <w:rPr>
                <w:rFonts w:hint="eastAsia" w:cs="仿宋"/>
                <w:color w:val="auto"/>
                <w:highlight w:val="none"/>
                <w:u w:val="single"/>
                <w:lang w:val="en-US" w:eastAsia="zh-CN"/>
              </w:rPr>
              <w:t>萧山区2025年度重污染天气应急减排清单编制采购项目</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应在乐采云平台（https://www.lecaiyun.com/）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32"/>
                <w:rFonts w:hint="eastAsia" w:ascii="仿宋" w:hAnsi="仿宋" w:eastAsia="仿宋" w:cs="仿宋"/>
                <w:color w:val="auto"/>
                <w:kern w:val="2"/>
                <w:sz w:val="24"/>
                <w:szCs w:val="24"/>
                <w:highlight w:val="none"/>
              </w:rPr>
              <w:t>获取（下载）</w:t>
            </w:r>
            <w:r>
              <w:rPr>
                <w:rStyle w:val="32"/>
                <w:rFonts w:hint="eastAsia" w:ascii="仿宋" w:hAnsi="仿宋" w:eastAsia="仿宋" w:cs="仿宋"/>
                <w:color w:val="auto"/>
                <w:kern w:val="2"/>
                <w:sz w:val="24"/>
                <w:szCs w:val="24"/>
                <w:highlight w:val="none"/>
                <w:lang w:eastAsia="zh-CN"/>
              </w:rPr>
              <w:t>交易文件</w:t>
            </w:r>
            <w:r>
              <w:rPr>
                <w:rStyle w:val="32"/>
                <w:rFonts w:hint="eastAsia" w:ascii="仿宋" w:hAnsi="仿宋" w:eastAsia="仿宋" w:cs="仿宋"/>
                <w:color w:val="auto"/>
                <w:kern w:val="2"/>
                <w:sz w:val="24"/>
                <w:szCs w:val="24"/>
                <w:highlight w:val="none"/>
              </w:rPr>
              <w:t>，并于</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cs="仿宋"/>
                <w:color w:val="auto"/>
                <w:highlight w:val="none"/>
                <w:u w:val="single"/>
                <w:lang w:val="en-US" w:eastAsia="zh-CN"/>
              </w:rPr>
              <w:t>7</w:t>
            </w:r>
            <w:r>
              <w:rPr>
                <w:rFonts w:hint="eastAsia" w:ascii="仿宋" w:hAnsi="仿宋" w:eastAsia="仿宋" w:cs="仿宋"/>
                <w:color w:val="auto"/>
                <w:highlight w:val="none"/>
                <w:u w:val="single"/>
                <w:lang w:val="en-US" w:eastAsia="zh-CN"/>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u w:val="single"/>
                <w:lang w:val="en-US" w:eastAsia="zh-CN"/>
              </w:rPr>
              <w:t xml:space="preserve">09 </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bCs/>
                <w:color w:val="auto"/>
                <w:highlight w:val="none"/>
                <w:u w:val="single"/>
              </w:rPr>
              <w:t>00秒</w:t>
            </w:r>
            <w:r>
              <w:rPr>
                <w:rFonts w:hint="eastAsia" w:ascii="仿宋" w:hAnsi="仿宋" w:eastAsia="仿宋" w:cs="仿宋"/>
                <w:bCs/>
                <w:color w:val="auto"/>
                <w:highlight w:val="none"/>
                <w:u w:val="singl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tc>
      </w:tr>
    </w:tbl>
    <w:p w14:paraId="4B8C0D78">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一、项目基本情况  </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 xml:space="preserve">                                          </w:t>
      </w:r>
    </w:p>
    <w:p w14:paraId="3FEFC702">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w:t>
      </w:r>
      <w:r>
        <w:rPr>
          <w:rFonts w:hint="eastAsia" w:cs="仿宋"/>
          <w:color w:val="auto"/>
          <w:highlight w:val="none"/>
          <w:lang w:val="en-US" w:eastAsia="zh-CN"/>
        </w:rPr>
        <w:t>SCGKZB-2025-011</w:t>
      </w:r>
    </w:p>
    <w:p w14:paraId="764B988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项目名称：</w:t>
      </w:r>
      <w:r>
        <w:rPr>
          <w:rFonts w:hint="eastAsia" w:cs="仿宋"/>
          <w:color w:val="auto"/>
          <w:highlight w:val="none"/>
          <w:lang w:val="en-US" w:eastAsia="zh-CN"/>
        </w:rPr>
        <w:t>萧山区2025年度重污染天气应急减排清单编制采购项目</w:t>
      </w:r>
    </w:p>
    <w:p w14:paraId="27D334D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b w:val="0"/>
          <w:bCs/>
          <w:color w:val="auto"/>
          <w:sz w:val="24"/>
          <w:lang w:val="en-US" w:eastAsia="zh-CN"/>
        </w:rPr>
        <w:t>188100</w:t>
      </w:r>
      <w:r>
        <w:rPr>
          <w:rFonts w:hint="eastAsia" w:ascii="仿宋" w:hAnsi="仿宋" w:eastAsia="仿宋" w:cs="仿宋"/>
          <w:color w:val="auto"/>
          <w:highlight w:val="none"/>
          <w:lang w:val="en-US" w:eastAsia="zh-CN"/>
        </w:rPr>
        <w:t>元</w:t>
      </w:r>
    </w:p>
    <w:p w14:paraId="38D51EB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最高限价（元）：</w:t>
      </w:r>
      <w:r>
        <w:rPr>
          <w:rFonts w:hint="eastAsia" w:cs="仿宋"/>
          <w:b w:val="0"/>
          <w:bCs/>
          <w:color w:val="auto"/>
          <w:sz w:val="24"/>
          <w:lang w:val="en-US" w:eastAsia="zh-CN"/>
        </w:rPr>
        <w:t>188100</w:t>
      </w:r>
      <w:r>
        <w:rPr>
          <w:rFonts w:hint="eastAsia" w:ascii="仿宋" w:hAnsi="仿宋" w:eastAsia="仿宋" w:cs="仿宋"/>
          <w:color w:val="auto"/>
          <w:highlight w:val="none"/>
          <w:lang w:val="en-US" w:eastAsia="zh-CN"/>
        </w:rPr>
        <w:t>元</w:t>
      </w:r>
    </w:p>
    <w:p w14:paraId="11F2464A">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w:t>
      </w:r>
      <w:r>
        <w:rPr>
          <w:rFonts w:hint="eastAsia" w:cs="仿宋"/>
          <w:color w:val="auto"/>
          <w:highlight w:val="none"/>
          <w:lang w:val="en-US" w:eastAsia="zh-CN"/>
        </w:rPr>
        <w:t>萧山区2025年度重污染天气应急减排清单编制采购项目</w:t>
      </w:r>
      <w:r>
        <w:rPr>
          <w:rFonts w:hint="eastAsia" w:ascii="仿宋" w:hAnsi="仿宋" w:eastAsia="仿宋" w:cs="仿宋"/>
          <w:color w:val="auto"/>
          <w:highlight w:val="none"/>
        </w:rPr>
        <w:t>。详见</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第三部分采购需求。</w:t>
      </w:r>
    </w:p>
    <w:p w14:paraId="6834BB1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合同履约期限：</w:t>
      </w:r>
      <w:r>
        <w:rPr>
          <w:rFonts w:hint="eastAsia" w:ascii="仿宋" w:hAnsi="仿宋" w:eastAsia="仿宋" w:cs="仿宋"/>
          <w:color w:val="auto"/>
          <w:highlight w:val="none"/>
          <w:lang w:val="en-US" w:eastAsia="zh-CN"/>
        </w:rPr>
        <w:t>详见交易文件</w:t>
      </w:r>
    </w:p>
    <w:p w14:paraId="59B8F16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本项目接受联合体</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：（√）否 。</w:t>
      </w:r>
    </w:p>
    <w:p w14:paraId="6CB965F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b/>
          <w:color w:val="auto"/>
          <w:highlight w:val="none"/>
        </w:rPr>
        <w:t>二、申请人的资格要求</w:t>
      </w:r>
      <w:r>
        <w:rPr>
          <w:rFonts w:hint="eastAsia" w:ascii="仿宋" w:hAnsi="仿宋" w:eastAsia="仿宋" w:cs="仿宋"/>
          <w:color w:val="auto"/>
          <w:highlight w:val="none"/>
        </w:rPr>
        <w:t>：</w:t>
      </w:r>
    </w:p>
    <w:p w14:paraId="2AA64602">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1、具有独立承担民事责任的能力；</w:t>
      </w:r>
    </w:p>
    <w:p w14:paraId="7CF4B60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2、具有良好的商业信誉和健全的财务会计制度；</w:t>
      </w:r>
    </w:p>
    <w:p w14:paraId="09F6144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3、具有履行合同所必需的设备和专业技术能力；</w:t>
      </w:r>
    </w:p>
    <w:p w14:paraId="50BCC46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4、有依法缴纳税收和社会保障资金的良好记录；</w:t>
      </w:r>
    </w:p>
    <w:p w14:paraId="3BD1B49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5、参加采购活动前三年内，在经营活动中没有重大违法记录；</w:t>
      </w:r>
    </w:p>
    <w:p w14:paraId="366DD54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6、法律、行政法规规定的其他条件；</w:t>
      </w:r>
    </w:p>
    <w:p w14:paraId="71AEEF3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7、本项目的特定资格要求：无；</w:t>
      </w:r>
    </w:p>
    <w:p w14:paraId="5C284EB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8、落实采购政策需满足的资格要求：无；</w:t>
      </w:r>
    </w:p>
    <w:p w14:paraId="7262E1D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9、本项目不接受联合体参与（潜在供应商能独立完成本项目）；</w:t>
      </w:r>
    </w:p>
    <w:p w14:paraId="1E37F3FF">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10、单位负责人为同一人或者存在直接控股、管理关系的不同供应商，不得参加同一合同项下的交易活动；为项目提供整体设计、规范编制或者项目管理、监理、检测等服务后不得再参加该项目的其他活动。</w:t>
      </w:r>
    </w:p>
    <w:p w14:paraId="7662DEE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三、获取</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 xml:space="preserve"> </w:t>
      </w:r>
    </w:p>
    <w:p w14:paraId="2319B905">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时间：/至</w:t>
      </w:r>
      <w:r>
        <w:rPr>
          <w:rFonts w:hint="eastAsia" w:ascii="仿宋" w:hAnsi="仿宋" w:eastAsia="仿宋" w:cs="仿宋"/>
          <w:color w:val="auto"/>
          <w:highlight w:val="none"/>
          <w:lang w:eastAsia="zh-CN"/>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年</w:t>
      </w:r>
      <w:r>
        <w:rPr>
          <w:rFonts w:hint="eastAsia" w:cs="仿宋"/>
          <w:color w:val="auto"/>
          <w:highlight w:val="none"/>
          <w:lang w:val="en-US" w:eastAsia="zh-CN"/>
        </w:rPr>
        <w:t>7</w:t>
      </w:r>
      <w:r>
        <w:rPr>
          <w:rFonts w:hint="eastAsia" w:ascii="仿宋" w:hAnsi="仿宋" w:eastAsia="仿宋" w:cs="仿宋"/>
          <w:color w:val="auto"/>
          <w:highlight w:val="none"/>
          <w:lang w:eastAsia="zh-CN"/>
        </w:rPr>
        <w:t>月</w:t>
      </w:r>
      <w:r>
        <w:rPr>
          <w:rFonts w:hint="eastAsia" w:cs="仿宋"/>
          <w:color w:val="auto"/>
          <w:highlight w:val="none"/>
          <w:lang w:val="en-US" w:eastAsia="zh-CN"/>
        </w:rPr>
        <w:t>17</w:t>
      </w:r>
      <w:bookmarkStart w:id="369" w:name="_GoBack"/>
      <w:bookmarkEnd w:id="369"/>
      <w:r>
        <w:rPr>
          <w:rFonts w:hint="eastAsia" w:ascii="仿宋" w:hAnsi="仿宋" w:eastAsia="仿宋" w:cs="仿宋"/>
          <w:color w:val="auto"/>
          <w:highlight w:val="none"/>
          <w:lang w:eastAsia="zh-CN"/>
        </w:rPr>
        <w:t>日</w:t>
      </w:r>
      <w:r>
        <w:rPr>
          <w:rFonts w:hint="eastAsia" w:ascii="仿宋" w:hAnsi="仿宋" w:eastAsia="仿宋" w:cs="仿宋"/>
          <w:color w:val="auto"/>
          <w:highlight w:val="none"/>
        </w:rPr>
        <w:t>，每天上午00:00至12:00 ，下午12:00至23:59（北京时间，线上获取法定节假日均可，线下获取文件法定节假日除外）</w:t>
      </w:r>
    </w:p>
    <w:p w14:paraId="0713675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地点（网址）：乐采云平台（https://www.lecaiyun.com/） </w:t>
      </w:r>
    </w:p>
    <w:p w14:paraId="1DBC025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方式：供应商登录乐采云平台（https://www.lecaiyun.com/）在线申请获取采购文件（进入“项目采购”应用，在获取采购文件菜单中选择项目，申请获取采购文件）。 </w:t>
      </w:r>
    </w:p>
    <w:p w14:paraId="092E427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售价（元）：0 </w:t>
      </w:r>
      <w:r>
        <w:rPr>
          <w:rFonts w:hint="eastAsia" w:ascii="仿宋" w:hAnsi="仿宋" w:eastAsia="仿宋" w:cs="仿宋"/>
          <w:color w:val="auto"/>
          <w:highlight w:val="none"/>
        </w:rPr>
        <w:tab/>
      </w:r>
    </w:p>
    <w:p w14:paraId="1B4CA3C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四、提交</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截止时间、</w:t>
      </w:r>
      <w:r>
        <w:rPr>
          <w:rFonts w:hint="eastAsia" w:ascii="仿宋" w:hAnsi="仿宋" w:eastAsia="仿宋" w:cs="仿宋"/>
          <w:b/>
          <w:color w:val="auto"/>
          <w:highlight w:val="none"/>
          <w:lang w:val="en-US" w:eastAsia="zh-CN"/>
        </w:rPr>
        <w:t>交易</w:t>
      </w:r>
      <w:r>
        <w:rPr>
          <w:rFonts w:hint="eastAsia" w:ascii="仿宋" w:hAnsi="仿宋" w:eastAsia="仿宋" w:cs="仿宋"/>
          <w:b/>
          <w:color w:val="auto"/>
          <w:highlight w:val="none"/>
        </w:rPr>
        <w:t>时间和地点</w:t>
      </w:r>
    </w:p>
    <w:p w14:paraId="59D68BB5">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 xml:space="preserve">截止时间： </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cs="仿宋"/>
          <w:color w:val="auto"/>
          <w:highlight w:val="none"/>
          <w:u w:val="single"/>
          <w:lang w:val="en-US" w:eastAsia="zh-CN"/>
        </w:rPr>
        <w:t>7</w:t>
      </w:r>
      <w:r>
        <w:rPr>
          <w:rFonts w:hint="eastAsia" w:ascii="仿宋" w:hAnsi="仿宋" w:eastAsia="仿宋" w:cs="仿宋"/>
          <w:color w:val="auto"/>
          <w:highlight w:val="none"/>
          <w:u w:val="single"/>
          <w:lang w:eastAsia="zh-CN"/>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u w:val="single"/>
          <w:lang w:val="en-US" w:eastAsia="zh-CN"/>
        </w:rPr>
        <w:t xml:space="preserve"> 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 </w:t>
      </w:r>
      <w:r>
        <w:rPr>
          <w:rFonts w:hint="eastAsia" w:ascii="仿宋" w:hAnsi="仿宋" w:eastAsia="仿宋" w:cs="仿宋"/>
          <w:color w:val="auto"/>
          <w:highlight w:val="none"/>
          <w:u w:val="single"/>
        </w:rPr>
        <w:t>分</w:t>
      </w:r>
      <w:r>
        <w:rPr>
          <w:rFonts w:hint="eastAsia" w:ascii="仿宋" w:hAnsi="仿宋" w:eastAsia="仿宋" w:cs="仿宋"/>
          <w:color w:val="auto"/>
          <w:highlight w:val="none"/>
        </w:rPr>
        <w:t xml:space="preserve"> （北京时间）</w:t>
      </w:r>
    </w:p>
    <w:p w14:paraId="733C73B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 xml:space="preserve">地点（网址）：乐采云平台（https://www.lecaiyun.com/） </w:t>
      </w:r>
    </w:p>
    <w:p w14:paraId="3F18DC1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 xml:space="preserve">时间： </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cs="仿宋"/>
          <w:color w:val="auto"/>
          <w:highlight w:val="none"/>
          <w:u w:val="single"/>
          <w:lang w:val="en-US" w:eastAsia="zh-CN"/>
        </w:rPr>
        <w:t>7</w:t>
      </w:r>
      <w:r>
        <w:rPr>
          <w:rFonts w:hint="eastAsia" w:ascii="仿宋" w:hAnsi="仿宋" w:eastAsia="仿宋" w:cs="仿宋"/>
          <w:color w:val="auto"/>
          <w:highlight w:val="none"/>
          <w:u w:val="single"/>
          <w:lang w:eastAsia="zh-CN"/>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u w:val="single"/>
          <w:lang w:val="en-US" w:eastAsia="zh-CN"/>
        </w:rPr>
        <w:t xml:space="preserve"> 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 </w:t>
      </w:r>
      <w:r>
        <w:rPr>
          <w:rFonts w:hint="eastAsia" w:ascii="仿宋" w:hAnsi="仿宋" w:eastAsia="仿宋" w:cs="仿宋"/>
          <w:color w:val="auto"/>
          <w:highlight w:val="none"/>
          <w:u w:val="single"/>
        </w:rPr>
        <w:t>分</w:t>
      </w:r>
      <w:r>
        <w:rPr>
          <w:rFonts w:hint="eastAsia" w:ascii="仿宋" w:hAnsi="仿宋" w:eastAsia="仿宋" w:cs="仿宋"/>
          <w:color w:val="auto"/>
          <w:highlight w:val="none"/>
        </w:rPr>
        <w:t xml:space="preserve"> </w:t>
      </w:r>
    </w:p>
    <w:p w14:paraId="15DB9E1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地点（网址）：乐采云平台（https://www.lecaiyun.com/）。</w:t>
      </w:r>
    </w:p>
    <w:p w14:paraId="3C8732B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14:paraId="5A88F35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48FC15D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14:paraId="557A271E">
      <w:pPr>
        <w:shd w:val="clear" w:color="auto" w:fill="auto"/>
        <w:spacing w:line="360" w:lineRule="auto"/>
        <w:ind w:firstLine="480" w:firstLineChars="200"/>
        <w:rPr>
          <w:rFonts w:hint="eastAsia" w:ascii="仿宋" w:hAnsi="仿宋" w:eastAsia="仿宋" w:cs="仿宋"/>
          <w:sz w:val="24"/>
        </w:rPr>
      </w:pPr>
      <w:r>
        <w:rPr>
          <w:rFonts w:hint="eastAsia" w:ascii="仿宋" w:hAnsi="仿宋" w:eastAsia="仿宋" w:cs="仿宋"/>
          <w:sz w:val="24"/>
        </w:rPr>
        <w:t>1.响应人认为交易文件使自己的权益受到损害的，可以自采购公告期限届满之日起3个工作日内，以书面形式向采购人和代理代理机构提出质疑。质疑响应人对采购人、代理机构的答复不满意或者采购人、代理机构未在规定的时间内作出答复的，可以在答复期满后十五个工作日内向采购监督管理部门投诉。质疑函范本、投诉书范本请到浙江政府采购网下载专区下载。</w:t>
      </w:r>
    </w:p>
    <w:p w14:paraId="0E9DE232">
      <w:pPr>
        <w:shd w:val="clear" w:color="auto" w:fill="auto"/>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电子交易的说明：①电子交易：本项目以数据电文形式，依托“乐采云（www.lecaiyun.com）”进行交易活动，不接受纸质响应文件；②交易准备：注册账号--点击“商家入驻”，进行政府采购响应人资料填写；申领CA数字证书；安装“乐采云电子交易客户端”；③交易文件的获取：使用账号登录或者使用CA登录乐采云平台；进入“项目采购”应用，在获取交易文件菜单中选择项目，获取交易文件；④响应文件的制作：在“乐采云电子交易客户端”中完成“填写基本信息”、“导入响应文件”、“标书关联”、“标书检查”、“电子签名”、“生成电子标书”等操作；⑤采购人、代理机构将依托乐采云平台完成本项目的电子交易活动，平台不接受未按上述方式获取交易文件的响应人进行交易活动； ⑥对未按上述方式获取交易文件的响应人对该文件提出的质疑，采购人或代理机构将不予处理；⑦不提供交易文件纸质版；⑧响应文件的传输递交：响应人在交易截止时间前将加密的响应文件上传至乐采云，还可以在交易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乐采云”上传递交的响应文件无法按时解密，响应响应人递交了备份响应文件的，以备份响应文件为依据，否则视为响应文件撤回。通过“乐采云”上传递交的响应文件已按时解密的，备份响应文件自动失效。响应人仅提交备份响应文件，未在电子交易平台传输递交响应文件的，交易无效。</w:t>
      </w:r>
    </w:p>
    <w:p w14:paraId="51877AD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14:paraId="756C116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信息</w:t>
      </w:r>
    </w:p>
    <w:p w14:paraId="6E89BBC5">
      <w:pPr>
        <w:rPr>
          <w:rFonts w:hint="eastAsia" w:ascii="仿宋" w:hAnsi="仿宋" w:eastAsia="仿宋" w:cs="仿宋"/>
        </w:rPr>
      </w:pPr>
      <w:r>
        <w:rPr>
          <w:rFonts w:hint="eastAsia" w:ascii="仿宋" w:hAnsi="仿宋" w:eastAsia="仿宋" w:cs="仿宋"/>
          <w:color w:val="auto"/>
          <w:highlight w:val="none"/>
        </w:rPr>
        <w:t>名 称：</w:t>
      </w:r>
      <w:r>
        <w:rPr>
          <w:rFonts w:hint="eastAsia" w:cs="仿宋"/>
          <w:color w:val="auto"/>
          <w:highlight w:val="none"/>
          <w:lang w:eastAsia="zh-CN"/>
        </w:rPr>
        <w:t>杭州市生态环境局萧山分局</w:t>
      </w:r>
    </w:p>
    <w:p w14:paraId="48D593D2">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仿宋" w:hAnsi="仿宋" w:eastAsia="仿宋" w:cs="仿宋"/>
          <w:highlight w:val="none"/>
          <w:lang w:val="en-US" w:eastAsia="zh-CN"/>
        </w:rPr>
      </w:pPr>
      <w:r>
        <w:rPr>
          <w:rFonts w:hint="eastAsia" w:ascii="仿宋" w:hAnsi="仿宋" w:eastAsia="仿宋" w:cs="仿宋"/>
          <w:color w:val="auto"/>
          <w:highlight w:val="none"/>
        </w:rPr>
        <w:t>地址：杭州市萧山区育才北路508号</w:t>
      </w:r>
    </w:p>
    <w:p w14:paraId="157D955C">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项目联系人：</w:t>
      </w:r>
      <w:r>
        <w:rPr>
          <w:rFonts w:hint="eastAsia" w:cs="仿宋"/>
          <w:bCs/>
          <w:color w:val="auto"/>
          <w:sz w:val="22"/>
          <w:szCs w:val="22"/>
          <w:highlight w:val="none"/>
          <w:lang w:val="en-US" w:eastAsia="zh-CN"/>
        </w:rPr>
        <w:t>裘东升</w:t>
      </w:r>
    </w:p>
    <w:p w14:paraId="767F8E81">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项目联系方式：</w:t>
      </w:r>
      <w:bookmarkStart w:id="0" w:name="_Toc28359009"/>
      <w:bookmarkStart w:id="1" w:name="_Toc28359086"/>
      <w:r>
        <w:rPr>
          <w:rFonts w:hint="eastAsia" w:cs="仿宋"/>
          <w:bCs/>
          <w:color w:val="auto"/>
          <w:sz w:val="22"/>
          <w:szCs w:val="22"/>
          <w:highlight w:val="none"/>
          <w:lang w:val="en-US" w:eastAsia="zh-CN"/>
        </w:rPr>
        <w:t>0571-82305209</w:t>
      </w:r>
    </w:p>
    <w:p w14:paraId="6DB5733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bookmarkEnd w:id="0"/>
      <w:bookmarkEnd w:id="1"/>
    </w:p>
    <w:p w14:paraId="355A42C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杭州三才工程管理咨询有限公司</w:t>
      </w:r>
    </w:p>
    <w:p w14:paraId="131D90FF">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地址：</w:t>
      </w:r>
      <w:r>
        <w:rPr>
          <w:rFonts w:hint="eastAsia" w:ascii="仿宋" w:hAnsi="仿宋" w:eastAsia="仿宋" w:cs="仿宋"/>
          <w:color w:val="auto"/>
          <w:sz w:val="24"/>
          <w:highlight w:val="none"/>
        </w:rPr>
        <w:t>杭州市滨江区长河街道钱龙大厦五楼</w:t>
      </w:r>
    </w:p>
    <w:p w14:paraId="71D851B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w:t>
      </w:r>
      <w:r>
        <w:rPr>
          <w:rFonts w:hint="eastAsia" w:ascii="仿宋" w:hAnsi="仿宋" w:eastAsia="仿宋" w:cs="仿宋"/>
          <w:color w:val="auto"/>
          <w:sz w:val="24"/>
          <w:highlight w:val="none"/>
        </w:rPr>
        <w:t xml:space="preserve">王工 </w:t>
      </w:r>
    </w:p>
    <w:p w14:paraId="65728C97">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项目联系方式：</w:t>
      </w:r>
      <w:r>
        <w:rPr>
          <w:rFonts w:hint="eastAsia" w:ascii="仿宋" w:hAnsi="仿宋" w:eastAsia="仿宋" w:cs="仿宋"/>
          <w:color w:val="auto"/>
          <w:sz w:val="24"/>
          <w:highlight w:val="none"/>
        </w:rPr>
        <w:t>13958196794</w:t>
      </w:r>
    </w:p>
    <w:p w14:paraId="3D45D6E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乐采云(萧采云)（https://www.lecaiyun.com/），点击右侧咨询小采，获取采小蜜智能服务管家帮助，或拨打乐采云服务热线400-881-7190获取热线服务帮助。CA问题联系电话（人工）：汇信CA 400-888-4636；天谷CA 400-087-8198。</w:t>
      </w:r>
      <w:r>
        <w:rPr>
          <w:rFonts w:hint="eastAsia" w:ascii="仿宋" w:hAnsi="仿宋" w:eastAsia="仿宋" w:cs="仿宋"/>
          <w:color w:val="auto"/>
          <w:highlight w:val="none"/>
        </w:rPr>
        <w:br w:type="page"/>
      </w:r>
    </w:p>
    <w:p w14:paraId="6F2B18B4">
      <w:pPr>
        <w:pStyle w:val="3"/>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第二部分 </w:t>
      </w:r>
      <w:r>
        <w:rPr>
          <w:rFonts w:hint="eastAsia" w:ascii="仿宋" w:hAnsi="仿宋" w:eastAsia="仿宋" w:cs="仿宋"/>
          <w:color w:val="auto"/>
          <w:highlight w:val="none"/>
          <w:lang w:eastAsia="zh-CN"/>
        </w:rPr>
        <w:t>供应商须知</w:t>
      </w:r>
    </w:p>
    <w:p w14:paraId="73629A51">
      <w:pPr>
        <w:pStyle w:val="4"/>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28"/>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09"/>
        <w:gridCol w:w="6240"/>
      </w:tblGrid>
      <w:tr w14:paraId="66E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40" w:type="pct"/>
            <w:vAlign w:val="center"/>
          </w:tcPr>
          <w:p w14:paraId="4EFD60CE">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934" w:type="pct"/>
            <w:vAlign w:val="center"/>
          </w:tcPr>
          <w:p w14:paraId="719785F6">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事项</w:t>
            </w:r>
          </w:p>
        </w:tc>
        <w:tc>
          <w:tcPr>
            <w:tcW w:w="3624" w:type="pct"/>
            <w:vAlign w:val="center"/>
          </w:tcPr>
          <w:p w14:paraId="07971F43">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本项目特别规定</w:t>
            </w:r>
          </w:p>
        </w:tc>
      </w:tr>
      <w:tr w14:paraId="453C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0" w:type="pct"/>
            <w:vAlign w:val="center"/>
          </w:tcPr>
          <w:p w14:paraId="2CA6069E">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934" w:type="pct"/>
            <w:vAlign w:val="center"/>
          </w:tcPr>
          <w:p w14:paraId="5D774DFB">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项目属性与核心产品</w:t>
            </w:r>
          </w:p>
        </w:tc>
        <w:tc>
          <w:tcPr>
            <w:tcW w:w="3624" w:type="pct"/>
            <w:vAlign w:val="center"/>
          </w:tcPr>
          <w:p w14:paraId="0F060670">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b/>
                <w:color w:val="auto"/>
                <w:sz w:val="22"/>
                <w:szCs w:val="22"/>
                <w:highlight w:val="none"/>
                <w:lang w:val="en-US" w:eastAsia="zh-CN"/>
              </w:rPr>
              <w:t xml:space="preserve"> </w:t>
            </w:r>
            <w:r>
              <w:rPr>
                <w:rFonts w:hint="eastAsia" w:ascii="仿宋" w:hAnsi="仿宋" w:eastAsia="仿宋" w:cs="仿宋"/>
                <w:color w:val="auto"/>
                <w:sz w:val="22"/>
                <w:szCs w:val="22"/>
                <w:highlight w:val="none"/>
              </w:rPr>
              <w:t>)A货物类，单一产品或核心产品为：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w:t>
            </w:r>
          </w:p>
          <w:p w14:paraId="26BAF879">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b/>
                <w:color w:val="auto"/>
                <w:sz w:val="22"/>
                <w:szCs w:val="22"/>
                <w:highlight w:val="none"/>
              </w:rPr>
              <w:t>√</w:t>
            </w:r>
            <w:r>
              <w:rPr>
                <w:rFonts w:hint="eastAsia" w:ascii="仿宋" w:hAnsi="仿宋" w:eastAsia="仿宋" w:cs="仿宋"/>
                <w:color w:val="auto"/>
                <w:sz w:val="22"/>
                <w:szCs w:val="22"/>
                <w:highlight w:val="none"/>
              </w:rPr>
              <w:t>)B服务类。</w:t>
            </w:r>
          </w:p>
        </w:tc>
      </w:tr>
      <w:tr w14:paraId="05B5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68" w:type="dxa"/>
            <w:vAlign w:val="center"/>
          </w:tcPr>
          <w:p w14:paraId="40E3D204">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b/>
                <w:color w:val="auto"/>
                <w:sz w:val="24"/>
                <w:highlight w:val="none"/>
              </w:rPr>
              <w:t>2</w:t>
            </w:r>
          </w:p>
        </w:tc>
        <w:tc>
          <w:tcPr>
            <w:tcW w:w="1628" w:type="dxa"/>
            <w:vAlign w:val="center"/>
          </w:tcPr>
          <w:p w14:paraId="17CBED7C">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标的对应的中小企业划分标准所属行业</w:t>
            </w:r>
          </w:p>
        </w:tc>
        <w:tc>
          <w:tcPr>
            <w:tcW w:w="6314" w:type="dxa"/>
            <w:vAlign w:val="center"/>
          </w:tcPr>
          <w:p w14:paraId="1D98D5CA">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lang w:val="en-US" w:eastAsia="zh-CN"/>
              </w:rPr>
            </w:pPr>
            <w:r>
              <w:rPr>
                <w:rFonts w:hint="eastAsia" w:cs="仿宋"/>
                <w:color w:val="auto"/>
                <w:sz w:val="22"/>
                <w:szCs w:val="22"/>
                <w:highlight w:val="none"/>
                <w:lang w:val="en-US" w:eastAsia="zh-CN"/>
              </w:rPr>
              <w:t>不适用</w:t>
            </w:r>
          </w:p>
        </w:tc>
      </w:tr>
      <w:tr w14:paraId="214C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40" w:type="pct"/>
            <w:vAlign w:val="center"/>
          </w:tcPr>
          <w:p w14:paraId="4CF34348">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934" w:type="pct"/>
            <w:vAlign w:val="center"/>
          </w:tcPr>
          <w:p w14:paraId="01616D8D">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是否允许采购进口产品</w:t>
            </w:r>
          </w:p>
        </w:tc>
        <w:tc>
          <w:tcPr>
            <w:tcW w:w="3624" w:type="pct"/>
            <w:vAlign w:val="center"/>
          </w:tcPr>
          <w:p w14:paraId="2A041D5D">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val="en-US" w:eastAsia="zh-CN"/>
              </w:rPr>
              <w:t xml:space="preserve"> </w:t>
            </w:r>
            <w:r>
              <w:rPr>
                <w:rFonts w:hint="eastAsia" w:ascii="仿宋" w:hAnsi="仿宋" w:eastAsia="仿宋" w:cs="仿宋"/>
                <w:color w:val="auto"/>
                <w:sz w:val="22"/>
                <w:szCs w:val="22"/>
                <w:highlight w:val="none"/>
              </w:rPr>
              <w:t>)本项目不允许采购进口产品。</w:t>
            </w:r>
          </w:p>
          <w:p w14:paraId="7D7673E7">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)可以就</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采购进口产品。</w:t>
            </w:r>
          </w:p>
          <w:p w14:paraId="078F6777">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进口产品是指通过中国海关保关验放进入中国境内且产自境关外的产品。</w:t>
            </w:r>
          </w:p>
        </w:tc>
      </w:tr>
      <w:tr w14:paraId="4CE6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40" w:type="pct"/>
            <w:vAlign w:val="center"/>
          </w:tcPr>
          <w:p w14:paraId="5279AB31">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934" w:type="pct"/>
            <w:vAlign w:val="center"/>
          </w:tcPr>
          <w:p w14:paraId="0632C44C">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联合体和分包</w:t>
            </w:r>
          </w:p>
        </w:tc>
        <w:tc>
          <w:tcPr>
            <w:tcW w:w="3624" w:type="pct"/>
            <w:vAlign w:val="center"/>
          </w:tcPr>
          <w:p w14:paraId="2A0A5E1C">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w:t>
            </w:r>
            <w:r>
              <w:rPr>
                <w:rFonts w:hint="eastAsia" w:ascii="仿宋" w:hAnsi="仿宋" w:eastAsia="仿宋" w:cs="仿宋"/>
                <w:color w:val="auto"/>
                <w:sz w:val="22"/>
                <w:szCs w:val="22"/>
                <w:highlight w:val="none"/>
              </w:rPr>
              <w:t>B不同意分包。</w:t>
            </w:r>
          </w:p>
        </w:tc>
      </w:tr>
      <w:tr w14:paraId="04D2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0" w:type="pct"/>
            <w:vAlign w:val="center"/>
          </w:tcPr>
          <w:p w14:paraId="066E5B11">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934" w:type="pct"/>
            <w:vAlign w:val="center"/>
          </w:tcPr>
          <w:p w14:paraId="21A4D382">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开标前答疑会或现场考察</w:t>
            </w:r>
          </w:p>
        </w:tc>
        <w:tc>
          <w:tcPr>
            <w:tcW w:w="3624" w:type="pct"/>
            <w:vAlign w:val="center"/>
          </w:tcPr>
          <w:p w14:paraId="62EBE2F2">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w:t>
            </w:r>
            <w:r>
              <w:rPr>
                <w:rFonts w:hint="eastAsia" w:ascii="仿宋" w:hAnsi="仿宋" w:eastAsia="仿宋" w:cs="仿宋"/>
                <w:color w:val="auto"/>
                <w:sz w:val="22"/>
                <w:szCs w:val="22"/>
                <w:highlight w:val="none"/>
              </w:rPr>
              <w:t>A不组织。</w:t>
            </w:r>
          </w:p>
        </w:tc>
      </w:tr>
      <w:tr w14:paraId="022E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40" w:type="pct"/>
            <w:vAlign w:val="center"/>
          </w:tcPr>
          <w:p w14:paraId="3F23F74E">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934" w:type="pct"/>
            <w:vAlign w:val="center"/>
          </w:tcPr>
          <w:p w14:paraId="7C6D6846">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样品提供</w:t>
            </w:r>
          </w:p>
        </w:tc>
        <w:tc>
          <w:tcPr>
            <w:tcW w:w="3624" w:type="pct"/>
            <w:vAlign w:val="center"/>
          </w:tcPr>
          <w:p w14:paraId="031EAD5D">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rPr>
            </w:pPr>
            <w:r>
              <w:rPr>
                <w:rFonts w:hint="eastAsia" w:ascii="仿宋" w:hAnsi="仿宋" w:eastAsia="仿宋" w:cs="仿宋"/>
                <w:b/>
                <w:bCs w:val="0"/>
                <w:color w:val="auto"/>
                <w:sz w:val="22"/>
                <w:szCs w:val="22"/>
                <w:highlight w:val="none"/>
                <w:lang w:eastAsia="zh-CN"/>
              </w:rPr>
              <w:t>（</w:t>
            </w:r>
            <w:r>
              <w:rPr>
                <w:rFonts w:hint="eastAsia" w:ascii="仿宋" w:hAnsi="仿宋" w:eastAsia="仿宋" w:cs="仿宋"/>
                <w:b/>
                <w:bCs w:val="0"/>
                <w:color w:val="auto"/>
                <w:sz w:val="22"/>
                <w:szCs w:val="22"/>
                <w:highlight w:val="none"/>
              </w:rPr>
              <w:t>√）</w:t>
            </w:r>
            <w:r>
              <w:rPr>
                <w:rFonts w:hint="eastAsia" w:ascii="仿宋" w:hAnsi="仿宋" w:eastAsia="仿宋" w:cs="仿宋"/>
                <w:bCs/>
                <w:color w:val="auto"/>
                <w:sz w:val="22"/>
                <w:szCs w:val="22"/>
                <w:highlight w:val="none"/>
              </w:rPr>
              <w:t>A不要求提供。</w:t>
            </w:r>
          </w:p>
          <w:p w14:paraId="44C5EC35">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lang w:eastAsia="zh-CN"/>
              </w:rPr>
            </w:pPr>
            <w:r>
              <w:rPr>
                <w:rFonts w:hint="eastAsia" w:ascii="仿宋" w:hAnsi="仿宋" w:eastAsia="仿宋" w:cs="仿宋"/>
                <w:bCs/>
                <w:color w:val="auto"/>
                <w:sz w:val="22"/>
                <w:szCs w:val="22"/>
                <w:highlight w:val="none"/>
              </w:rPr>
              <w:t>（</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）B要求提供</w:t>
            </w:r>
            <w:r>
              <w:rPr>
                <w:rFonts w:hint="eastAsia" w:ascii="仿宋" w:hAnsi="仿宋" w:eastAsia="仿宋" w:cs="仿宋"/>
                <w:bCs/>
                <w:color w:val="auto"/>
                <w:sz w:val="22"/>
                <w:szCs w:val="22"/>
                <w:highlight w:val="none"/>
                <w:lang w:eastAsia="zh-CN"/>
              </w:rPr>
              <w:t>。</w:t>
            </w:r>
          </w:p>
        </w:tc>
      </w:tr>
      <w:tr w14:paraId="20F3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40" w:type="pct"/>
            <w:vAlign w:val="center"/>
          </w:tcPr>
          <w:p w14:paraId="771182CB">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934" w:type="pct"/>
            <w:vAlign w:val="center"/>
          </w:tcPr>
          <w:p w14:paraId="79C8C5B1">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方案讲解演示</w:t>
            </w:r>
          </w:p>
        </w:tc>
        <w:tc>
          <w:tcPr>
            <w:tcW w:w="3624" w:type="pct"/>
            <w:vAlign w:val="center"/>
          </w:tcPr>
          <w:p w14:paraId="43E35A3C">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
                <w:bCs w:val="0"/>
                <w:color w:val="auto"/>
                <w:sz w:val="22"/>
                <w:szCs w:val="22"/>
                <w:highlight w:val="none"/>
              </w:rPr>
              <w:t>（√）</w:t>
            </w:r>
            <w:r>
              <w:rPr>
                <w:rFonts w:hint="eastAsia" w:ascii="仿宋" w:hAnsi="仿宋" w:eastAsia="仿宋" w:cs="仿宋"/>
                <w:bCs/>
                <w:color w:val="auto"/>
                <w:sz w:val="22"/>
                <w:szCs w:val="22"/>
                <w:highlight w:val="none"/>
                <w:lang w:val="en-US" w:eastAsia="zh-CN"/>
              </w:rPr>
              <w:t>A不</w:t>
            </w:r>
            <w:r>
              <w:rPr>
                <w:rFonts w:hint="eastAsia" w:ascii="仿宋" w:hAnsi="仿宋" w:eastAsia="仿宋" w:cs="仿宋"/>
                <w:bCs/>
                <w:color w:val="auto"/>
                <w:sz w:val="22"/>
                <w:szCs w:val="22"/>
                <w:highlight w:val="none"/>
              </w:rPr>
              <w:t>要求演示</w:t>
            </w:r>
          </w:p>
        </w:tc>
      </w:tr>
      <w:tr w14:paraId="00A4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0" w:type="pct"/>
            <w:vAlign w:val="center"/>
          </w:tcPr>
          <w:p w14:paraId="6ADB45E9">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8</w:t>
            </w:r>
          </w:p>
        </w:tc>
        <w:tc>
          <w:tcPr>
            <w:tcW w:w="934" w:type="pct"/>
            <w:vAlign w:val="center"/>
          </w:tcPr>
          <w:p w14:paraId="103E17D6">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lang w:eastAsia="zh-CN"/>
              </w:rPr>
              <w:t>供应商</w:t>
            </w:r>
            <w:r>
              <w:rPr>
                <w:rFonts w:hint="eastAsia" w:ascii="仿宋" w:hAnsi="仿宋" w:eastAsia="仿宋" w:cs="仿宋"/>
                <w:b/>
                <w:color w:val="auto"/>
                <w:sz w:val="22"/>
                <w:szCs w:val="22"/>
                <w:highlight w:val="none"/>
              </w:rPr>
              <w:t>应当提供的资格、资信证明文件</w:t>
            </w:r>
          </w:p>
        </w:tc>
        <w:tc>
          <w:tcPr>
            <w:tcW w:w="3624" w:type="pct"/>
            <w:vAlign w:val="center"/>
          </w:tcPr>
          <w:p w14:paraId="67059DA7">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（1）资格证明文件：见</w:t>
            </w:r>
            <w:r>
              <w:rPr>
                <w:rFonts w:hint="eastAsia" w:ascii="仿宋" w:hAnsi="仿宋" w:eastAsia="仿宋" w:cs="仿宋"/>
                <w:color w:val="auto"/>
                <w:sz w:val="22"/>
                <w:szCs w:val="22"/>
                <w:highlight w:val="none"/>
                <w:lang w:eastAsia="zh-CN"/>
              </w:rPr>
              <w:t>交易文件</w:t>
            </w:r>
            <w:r>
              <w:rPr>
                <w:rFonts w:hint="eastAsia" w:ascii="仿宋" w:hAnsi="仿宋" w:eastAsia="仿宋" w:cs="仿宋"/>
                <w:color w:val="auto"/>
                <w:sz w:val="22"/>
                <w:szCs w:val="22"/>
                <w:highlight w:val="none"/>
              </w:rPr>
              <w:t>第二部分11.1。</w:t>
            </w:r>
          </w:p>
          <w:p w14:paraId="4310A0F7">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lang w:val="zh-CN"/>
              </w:rPr>
              <w:t>未提供有效的资格证明文件的，视为</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lang w:val="zh-CN"/>
              </w:rPr>
              <w:t>不具备交易文件中规定的资格要求，响应无效。</w:t>
            </w:r>
          </w:p>
          <w:p w14:paraId="5CAA8224">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（2）资信证明文件：根据</w:t>
            </w:r>
            <w:r>
              <w:rPr>
                <w:rFonts w:hint="eastAsia" w:ascii="仿宋" w:hAnsi="仿宋" w:eastAsia="仿宋" w:cs="仿宋"/>
                <w:color w:val="auto"/>
                <w:sz w:val="22"/>
                <w:szCs w:val="22"/>
                <w:highlight w:val="none"/>
                <w:lang w:eastAsia="zh-CN"/>
              </w:rPr>
              <w:t>交易文件</w:t>
            </w:r>
            <w:r>
              <w:rPr>
                <w:rFonts w:hint="eastAsia" w:ascii="仿宋" w:hAnsi="仿宋" w:eastAsia="仿宋" w:cs="仿宋"/>
                <w:color w:val="auto"/>
                <w:sz w:val="22"/>
                <w:szCs w:val="22"/>
                <w:highlight w:val="none"/>
              </w:rPr>
              <w:t>第四部分</w:t>
            </w:r>
            <w:r>
              <w:rPr>
                <w:rFonts w:hint="eastAsia" w:ascii="仿宋" w:hAnsi="仿宋" w:eastAsia="仿宋" w:cs="仿宋"/>
                <w:color w:val="auto"/>
                <w:sz w:val="22"/>
                <w:szCs w:val="22"/>
                <w:highlight w:val="none"/>
                <w:lang w:eastAsia="zh-CN"/>
              </w:rPr>
              <w:t>评审</w:t>
            </w:r>
            <w:r>
              <w:rPr>
                <w:rFonts w:hint="eastAsia" w:ascii="仿宋" w:hAnsi="仿宋" w:eastAsia="仿宋" w:cs="仿宋"/>
                <w:color w:val="auto"/>
                <w:sz w:val="22"/>
                <w:szCs w:val="22"/>
                <w:highlight w:val="none"/>
              </w:rPr>
              <w:t>标准提供。</w:t>
            </w:r>
          </w:p>
        </w:tc>
      </w:tr>
      <w:tr w14:paraId="730F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440" w:type="pct"/>
            <w:vAlign w:val="center"/>
          </w:tcPr>
          <w:p w14:paraId="73F91FEE">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p>
        </w:tc>
        <w:tc>
          <w:tcPr>
            <w:tcW w:w="934" w:type="pct"/>
            <w:vAlign w:val="center"/>
          </w:tcPr>
          <w:p w14:paraId="6B55D79A">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报价要求</w:t>
            </w:r>
          </w:p>
        </w:tc>
        <w:tc>
          <w:tcPr>
            <w:tcW w:w="3624" w:type="pct"/>
            <w:vAlign w:val="center"/>
          </w:tcPr>
          <w:p w14:paraId="01076E05">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lang w:val="zh-CN"/>
              </w:rPr>
              <w:t>有关本项目实施所需的所有费用（含税费）均计入报价。</w:t>
            </w:r>
            <w:r>
              <w:rPr>
                <w:rFonts w:hint="eastAsia" w:ascii="仿宋" w:hAnsi="仿宋" w:eastAsia="仿宋" w:cs="仿宋"/>
                <w:bCs/>
                <w:color w:val="auto"/>
                <w:sz w:val="22"/>
                <w:szCs w:val="22"/>
                <w:highlight w:val="none"/>
                <w:lang w:eastAsia="zh-CN"/>
              </w:rPr>
              <w:t>交易一览标</w:t>
            </w:r>
            <w:r>
              <w:rPr>
                <w:rFonts w:hint="eastAsia" w:ascii="仿宋" w:hAnsi="仿宋" w:eastAsia="仿宋" w:cs="仿宋"/>
                <w:bCs/>
                <w:color w:val="auto"/>
                <w:sz w:val="22"/>
                <w:szCs w:val="22"/>
                <w:highlight w:val="none"/>
              </w:rPr>
              <w:t>（报价表）是报价的唯一载体</w:t>
            </w:r>
            <w:r>
              <w:rPr>
                <w:rFonts w:hint="eastAsia" w:ascii="仿宋" w:hAnsi="仿宋" w:eastAsia="仿宋" w:cs="仿宋"/>
                <w:bCs/>
                <w:color w:val="auto"/>
                <w:sz w:val="22"/>
                <w:szCs w:val="22"/>
                <w:highlight w:val="none"/>
                <w:lang w:val="zh-CN"/>
              </w:rPr>
              <w:t>。响应文件中价格全部采用人民币报价。交易文件未列明，而</w:t>
            </w:r>
            <w:r>
              <w:rPr>
                <w:rFonts w:hint="eastAsia" w:ascii="仿宋" w:hAnsi="仿宋" w:eastAsia="仿宋" w:cs="仿宋"/>
                <w:bCs/>
                <w:color w:val="auto"/>
                <w:sz w:val="22"/>
                <w:szCs w:val="22"/>
                <w:highlight w:val="none"/>
                <w:lang w:val="en-US" w:eastAsia="zh-CN"/>
              </w:rPr>
              <w:t>供应商</w:t>
            </w:r>
            <w:r>
              <w:rPr>
                <w:rFonts w:hint="eastAsia" w:ascii="仿宋" w:hAnsi="仿宋" w:eastAsia="仿宋" w:cs="仿宋"/>
                <w:bCs/>
                <w:color w:val="auto"/>
                <w:sz w:val="22"/>
                <w:szCs w:val="22"/>
                <w:highlight w:val="none"/>
                <w:lang w:val="zh-CN"/>
              </w:rPr>
              <w:t>认为必需的费用也需列入报价。提醒：验收时检测费用由交易发起人承担，不包含在</w:t>
            </w:r>
            <w:r>
              <w:rPr>
                <w:rFonts w:hint="eastAsia" w:ascii="仿宋" w:hAnsi="仿宋" w:eastAsia="仿宋" w:cs="仿宋"/>
                <w:bCs/>
                <w:color w:val="auto"/>
                <w:sz w:val="22"/>
                <w:szCs w:val="22"/>
                <w:highlight w:val="none"/>
                <w:lang w:val="en-US" w:eastAsia="zh-CN"/>
              </w:rPr>
              <w:t>响应</w:t>
            </w:r>
            <w:r>
              <w:rPr>
                <w:rFonts w:hint="eastAsia" w:ascii="仿宋" w:hAnsi="仿宋" w:eastAsia="仿宋" w:cs="仿宋"/>
                <w:bCs/>
                <w:color w:val="auto"/>
                <w:sz w:val="22"/>
                <w:szCs w:val="22"/>
                <w:highlight w:val="none"/>
                <w:lang w:val="zh-CN"/>
              </w:rPr>
              <w:t>总价中。</w:t>
            </w:r>
          </w:p>
          <w:p w14:paraId="4F631A89">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lang w:val="en-US" w:eastAsia="zh-CN"/>
              </w:rPr>
              <w:t>响应</w:t>
            </w:r>
            <w:r>
              <w:rPr>
                <w:rFonts w:hint="eastAsia" w:ascii="仿宋" w:hAnsi="仿宋" w:eastAsia="仿宋" w:cs="仿宋"/>
                <w:bCs/>
                <w:color w:val="auto"/>
                <w:sz w:val="22"/>
                <w:szCs w:val="22"/>
                <w:highlight w:val="none"/>
                <w:lang w:val="zh-CN"/>
              </w:rPr>
              <w:t>报价出现下列情形的，响应无效：</w:t>
            </w:r>
          </w:p>
          <w:p w14:paraId="236F3F42">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lang w:val="zh-CN"/>
              </w:rPr>
              <w:t>响应文件出现不是唯一的、有选择性</w:t>
            </w:r>
            <w:r>
              <w:rPr>
                <w:rFonts w:hint="eastAsia" w:ascii="仿宋" w:hAnsi="仿宋" w:eastAsia="仿宋" w:cs="仿宋"/>
                <w:bCs/>
                <w:color w:val="auto"/>
                <w:sz w:val="22"/>
                <w:szCs w:val="22"/>
                <w:highlight w:val="none"/>
                <w:lang w:val="en-US" w:eastAsia="zh-CN"/>
              </w:rPr>
              <w:t>响应</w:t>
            </w:r>
            <w:r>
              <w:rPr>
                <w:rFonts w:hint="eastAsia" w:ascii="仿宋" w:hAnsi="仿宋" w:eastAsia="仿宋" w:cs="仿宋"/>
                <w:bCs/>
                <w:color w:val="auto"/>
                <w:sz w:val="22"/>
                <w:szCs w:val="22"/>
                <w:highlight w:val="none"/>
                <w:lang w:val="zh-CN"/>
              </w:rPr>
              <w:t>报价的；</w:t>
            </w:r>
          </w:p>
          <w:p w14:paraId="186E77AD">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lang w:val="en-US" w:eastAsia="zh-CN"/>
              </w:rPr>
              <w:t>响应</w:t>
            </w:r>
            <w:r>
              <w:rPr>
                <w:rFonts w:hint="eastAsia" w:ascii="仿宋" w:hAnsi="仿宋" w:eastAsia="仿宋" w:cs="仿宋"/>
                <w:bCs/>
                <w:color w:val="auto"/>
                <w:sz w:val="22"/>
                <w:szCs w:val="22"/>
                <w:highlight w:val="none"/>
                <w:lang w:val="zh-CN"/>
              </w:rPr>
              <w:t>报价超过交易文件中规定的预算金额或者最高限价的;</w:t>
            </w:r>
          </w:p>
          <w:p w14:paraId="448D5E90">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报价明显低于其他通过符合性审查</w:t>
            </w:r>
            <w:r>
              <w:rPr>
                <w:rFonts w:hint="eastAsia" w:ascii="仿宋" w:hAnsi="仿宋" w:eastAsia="仿宋" w:cs="仿宋"/>
                <w:bCs/>
                <w:color w:val="auto"/>
                <w:sz w:val="22"/>
                <w:szCs w:val="22"/>
                <w:highlight w:val="none"/>
                <w:lang w:val="en-US" w:eastAsia="zh-CN"/>
              </w:rPr>
              <w:t>供应商</w:t>
            </w:r>
            <w:r>
              <w:rPr>
                <w:rFonts w:hint="eastAsia" w:ascii="仿宋" w:hAnsi="仿宋" w:eastAsia="仿宋" w:cs="仿宋"/>
                <w:bCs/>
                <w:color w:val="auto"/>
                <w:sz w:val="22"/>
                <w:szCs w:val="22"/>
                <w:highlight w:val="none"/>
              </w:rPr>
              <w:t>的报价，有可能影响产品质量或者不能诚信履约的，未能按要求提供书面说明或者提交相关证明材料证明其报价合理性的;</w:t>
            </w:r>
          </w:p>
          <w:p w14:paraId="11362CC3">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供应商</w:t>
            </w:r>
            <w:r>
              <w:rPr>
                <w:rFonts w:hint="eastAsia" w:ascii="仿宋" w:hAnsi="仿宋" w:eastAsia="仿宋" w:cs="仿宋"/>
                <w:bCs/>
                <w:color w:val="auto"/>
                <w:sz w:val="22"/>
                <w:szCs w:val="22"/>
                <w:highlight w:val="none"/>
              </w:rPr>
              <w:t>对根据修正原则修正后的报价不确认的。</w:t>
            </w:r>
          </w:p>
          <w:p w14:paraId="47CA93FC">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资格文件、商务技术文件与报价文件未分开制作。</w:t>
            </w:r>
          </w:p>
        </w:tc>
      </w:tr>
      <w:tr w14:paraId="2806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0" w:type="pct"/>
            <w:vAlign w:val="center"/>
          </w:tcPr>
          <w:p w14:paraId="6DCD6680">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934" w:type="pct"/>
            <w:vAlign w:val="center"/>
          </w:tcPr>
          <w:p w14:paraId="030CBAB9">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rPr>
              <w:t>备份</w:t>
            </w:r>
            <w:r>
              <w:rPr>
                <w:rFonts w:hint="eastAsia" w:ascii="仿宋" w:hAnsi="仿宋" w:eastAsia="仿宋" w:cs="仿宋"/>
                <w:b/>
                <w:color w:val="auto"/>
                <w:sz w:val="22"/>
                <w:szCs w:val="22"/>
                <w:highlight w:val="none"/>
                <w:lang w:eastAsia="zh-CN"/>
              </w:rPr>
              <w:t>响应文件</w:t>
            </w:r>
          </w:p>
        </w:tc>
        <w:tc>
          <w:tcPr>
            <w:tcW w:w="3624" w:type="pct"/>
            <w:vAlign w:val="center"/>
          </w:tcPr>
          <w:p w14:paraId="2569BD5A">
            <w:pPr>
              <w:pStyle w:val="16"/>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kern w:val="28"/>
                <w:sz w:val="22"/>
                <w:szCs w:val="22"/>
                <w:highlight w:val="none"/>
              </w:rPr>
              <w:t>备份文件是否收取：不收取</w:t>
            </w:r>
          </w:p>
        </w:tc>
      </w:tr>
      <w:tr w14:paraId="1F5D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40" w:type="pct"/>
            <w:vAlign w:val="center"/>
          </w:tcPr>
          <w:p w14:paraId="0475816A">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934" w:type="pct"/>
            <w:vAlign w:val="center"/>
          </w:tcPr>
          <w:p w14:paraId="4DCBC1AB">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lang w:eastAsia="zh-CN"/>
              </w:rPr>
              <w:t>代理机构</w:t>
            </w:r>
            <w:r>
              <w:rPr>
                <w:rFonts w:hint="eastAsia" w:ascii="仿宋" w:hAnsi="仿宋" w:eastAsia="仿宋" w:cs="仿宋"/>
                <w:b/>
                <w:color w:val="auto"/>
                <w:sz w:val="22"/>
                <w:szCs w:val="22"/>
                <w:highlight w:val="none"/>
              </w:rPr>
              <w:t>代理费用</w:t>
            </w:r>
          </w:p>
        </w:tc>
        <w:tc>
          <w:tcPr>
            <w:tcW w:w="3624" w:type="pct"/>
            <w:vAlign w:val="center"/>
          </w:tcPr>
          <w:p w14:paraId="4EDF4FA5">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8"/>
                <w:sz w:val="24"/>
                <w:szCs w:val="24"/>
                <w:highlight w:val="none"/>
                <w:lang w:val="en-US" w:eastAsia="zh-CN"/>
              </w:rPr>
              <w:t>本项目的采购代理费由中标人支付，</w:t>
            </w:r>
            <w:r>
              <w:rPr>
                <w:rFonts w:hint="eastAsia" w:cs="仿宋"/>
                <w:color w:val="auto"/>
                <w:kern w:val="28"/>
                <w:sz w:val="24"/>
                <w:szCs w:val="24"/>
                <w:highlight w:val="none"/>
                <w:lang w:val="en-US" w:eastAsia="zh-CN"/>
              </w:rPr>
              <w:t>费用按6000元</w:t>
            </w:r>
            <w:r>
              <w:rPr>
                <w:rFonts w:hint="eastAsia" w:ascii="仿宋" w:hAnsi="仿宋" w:eastAsia="仿宋" w:cs="仿宋"/>
                <w:color w:val="auto"/>
                <w:kern w:val="28"/>
                <w:sz w:val="24"/>
                <w:szCs w:val="24"/>
                <w:highlight w:val="none"/>
                <w:lang w:val="en-US" w:eastAsia="zh-CN"/>
              </w:rPr>
              <w:t>结算，专家费按实结算。</w:t>
            </w:r>
          </w:p>
        </w:tc>
      </w:tr>
      <w:tr w14:paraId="0517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40" w:type="pct"/>
            <w:vAlign w:val="center"/>
          </w:tcPr>
          <w:p w14:paraId="4CAFC779">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934" w:type="pct"/>
            <w:vAlign w:val="center"/>
          </w:tcPr>
          <w:p w14:paraId="4CC3D414">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履约保证金</w:t>
            </w:r>
          </w:p>
        </w:tc>
        <w:tc>
          <w:tcPr>
            <w:tcW w:w="3624" w:type="pct"/>
            <w:vAlign w:val="center"/>
          </w:tcPr>
          <w:p w14:paraId="44FCC249">
            <w:pPr>
              <w:pStyle w:val="16"/>
              <w:keepNext w:val="0"/>
              <w:keepLines w:val="0"/>
              <w:pageBreakBefore w:val="0"/>
              <w:kinsoku/>
              <w:wordWrap/>
              <w:overflowPunct/>
              <w:topLinePunct w:val="0"/>
              <w:autoSpaceDE/>
              <w:autoSpaceDN/>
              <w:bidi w:val="0"/>
              <w:spacing w:line="240" w:lineRule="auto"/>
              <w:ind w:hanging="4"/>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履约保证金：</w:t>
            </w:r>
            <w:r>
              <w:rPr>
                <w:rFonts w:hint="eastAsia" w:ascii="仿宋" w:hAnsi="仿宋" w:eastAsia="仿宋" w:cs="仿宋"/>
                <w:color w:val="auto"/>
                <w:sz w:val="22"/>
                <w:szCs w:val="22"/>
                <w:highlight w:val="none"/>
                <w:lang w:eastAsia="zh-CN"/>
              </w:rPr>
              <w:t>不收取</w:t>
            </w:r>
            <w:r>
              <w:rPr>
                <w:rFonts w:hint="eastAsia" w:ascii="仿宋" w:hAnsi="仿宋" w:eastAsia="仿宋" w:cs="仿宋"/>
                <w:color w:val="auto"/>
                <w:sz w:val="22"/>
                <w:szCs w:val="22"/>
                <w:highlight w:val="none"/>
              </w:rPr>
              <w:t>。</w:t>
            </w:r>
          </w:p>
        </w:tc>
      </w:tr>
      <w:tr w14:paraId="58EA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0" w:type="pct"/>
            <w:vAlign w:val="center"/>
          </w:tcPr>
          <w:p w14:paraId="144A824A">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934" w:type="pct"/>
            <w:vAlign w:val="center"/>
          </w:tcPr>
          <w:p w14:paraId="4BCA2102">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资格审查和信用信息审查</w:t>
            </w:r>
          </w:p>
        </w:tc>
        <w:tc>
          <w:tcPr>
            <w:tcW w:w="3624" w:type="pct"/>
            <w:vAlign w:val="center"/>
          </w:tcPr>
          <w:p w14:paraId="16F05A1B">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本项目由</w:t>
            </w:r>
            <w:r>
              <w:rPr>
                <w:rFonts w:hint="eastAsia" w:ascii="仿宋" w:hAnsi="仿宋" w:eastAsia="仿宋" w:cs="仿宋"/>
                <w:color w:val="auto"/>
                <w:sz w:val="22"/>
                <w:szCs w:val="22"/>
                <w:highlight w:val="none"/>
                <w:lang w:eastAsia="zh-CN"/>
              </w:rPr>
              <w:t>交易发起人</w:t>
            </w:r>
            <w:r>
              <w:rPr>
                <w:rFonts w:hint="eastAsia" w:ascii="仿宋" w:hAnsi="仿宋" w:eastAsia="仿宋" w:cs="仿宋"/>
                <w:color w:val="auto"/>
                <w:sz w:val="22"/>
                <w:szCs w:val="22"/>
                <w:highlight w:val="none"/>
              </w:rPr>
              <w:t>进行资格文件及信用信息查询。</w:t>
            </w:r>
          </w:p>
        </w:tc>
      </w:tr>
      <w:tr w14:paraId="0448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440" w:type="pct"/>
            <w:vAlign w:val="center"/>
          </w:tcPr>
          <w:p w14:paraId="21764BD5">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934" w:type="pct"/>
            <w:vAlign w:val="center"/>
          </w:tcPr>
          <w:p w14:paraId="37373A6B">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质疑接收人及答复</w:t>
            </w:r>
          </w:p>
        </w:tc>
        <w:tc>
          <w:tcPr>
            <w:tcW w:w="3624" w:type="pct"/>
            <w:vAlign w:val="center"/>
          </w:tcPr>
          <w:p w14:paraId="2F21CC6E">
            <w:pPr>
              <w:keepNext w:val="0"/>
              <w:keepLines w:val="0"/>
              <w:pageBreakBefore w:val="0"/>
              <w:kinsoku/>
              <w:wordWrap/>
              <w:overflowPunct/>
              <w:topLinePunct w:val="0"/>
              <w:autoSpaceDE/>
              <w:autoSpaceDN/>
              <w:bidi w:val="0"/>
              <w:spacing w:after="0" w:line="240" w:lineRule="auto"/>
              <w:textAlignment w:val="auto"/>
              <w:rPr>
                <w:rFonts w:hint="default"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eastAsia="zh-CN"/>
              </w:rPr>
              <w:t>交易人</w:t>
            </w:r>
            <w:r>
              <w:rPr>
                <w:rFonts w:hint="eastAsia" w:ascii="仿宋" w:hAnsi="仿宋" w:eastAsia="仿宋" w:cs="仿宋"/>
                <w:bCs/>
                <w:color w:val="auto"/>
                <w:sz w:val="22"/>
                <w:szCs w:val="22"/>
                <w:highlight w:val="none"/>
              </w:rPr>
              <w:t>质疑接收人：</w:t>
            </w:r>
            <w:r>
              <w:rPr>
                <w:rFonts w:hint="eastAsia" w:cs="仿宋"/>
                <w:bCs/>
                <w:color w:val="auto"/>
                <w:sz w:val="22"/>
                <w:szCs w:val="22"/>
                <w:highlight w:val="none"/>
                <w:lang w:val="en-US" w:eastAsia="zh-CN"/>
              </w:rPr>
              <w:t xml:space="preserve">裘东升   </w:t>
            </w:r>
            <w:r>
              <w:rPr>
                <w:rFonts w:hint="eastAsia" w:ascii="仿宋" w:hAnsi="仿宋" w:eastAsia="仿宋" w:cs="仿宋"/>
                <w:bCs/>
                <w:color w:val="auto"/>
                <w:sz w:val="22"/>
                <w:szCs w:val="22"/>
                <w:highlight w:val="none"/>
              </w:rPr>
              <w:t>联系方式：</w:t>
            </w:r>
            <w:r>
              <w:rPr>
                <w:rFonts w:hint="eastAsia" w:cs="仿宋"/>
                <w:bCs/>
                <w:color w:val="auto"/>
                <w:sz w:val="22"/>
                <w:szCs w:val="22"/>
                <w:highlight w:val="none"/>
                <w:lang w:val="en-US" w:eastAsia="zh-CN"/>
              </w:rPr>
              <w:t>0571-82305209</w:t>
            </w:r>
          </w:p>
          <w:p w14:paraId="6DFABB34">
            <w:pPr>
              <w:keepNext w:val="0"/>
              <w:keepLines w:val="0"/>
              <w:pageBreakBefore w:val="0"/>
              <w:kinsoku/>
              <w:wordWrap/>
              <w:overflowPunct/>
              <w:topLinePunct w:val="0"/>
              <w:autoSpaceDE/>
              <w:autoSpaceDN/>
              <w:bidi w:val="0"/>
              <w:spacing w:after="0" w:line="240" w:lineRule="auto"/>
              <w:textAlignment w:val="auto"/>
              <w:rPr>
                <w:rFonts w:hint="default" w:ascii="仿宋" w:hAnsi="仿宋" w:eastAsia="仿宋" w:cs="仿宋"/>
                <w:bCs/>
                <w:color w:val="auto"/>
                <w:sz w:val="22"/>
                <w:szCs w:val="22"/>
                <w:highlight w:val="none"/>
                <w:lang w:val="en-US"/>
              </w:rPr>
            </w:pPr>
            <w:r>
              <w:rPr>
                <w:rFonts w:hint="eastAsia" w:ascii="仿宋" w:hAnsi="仿宋" w:eastAsia="仿宋" w:cs="仿宋"/>
                <w:bCs/>
                <w:color w:val="auto"/>
                <w:sz w:val="22"/>
                <w:szCs w:val="22"/>
                <w:highlight w:val="none"/>
              </w:rPr>
              <w:t>地址：</w:t>
            </w:r>
            <w:r>
              <w:rPr>
                <w:rFonts w:hint="eastAsia" w:ascii="仿宋" w:hAnsi="仿宋" w:eastAsia="仿宋" w:cs="仿宋"/>
                <w:color w:val="auto"/>
                <w:highlight w:val="none"/>
              </w:rPr>
              <w:t>杭州市萧山区育才北路508号</w:t>
            </w:r>
          </w:p>
          <w:p w14:paraId="5D8B49E0">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eastAsia="zh-CN"/>
              </w:rPr>
              <w:t>代理机构</w:t>
            </w:r>
            <w:r>
              <w:rPr>
                <w:rFonts w:hint="eastAsia" w:ascii="仿宋" w:hAnsi="仿宋" w:eastAsia="仿宋" w:cs="仿宋"/>
                <w:bCs/>
                <w:color w:val="auto"/>
                <w:sz w:val="22"/>
                <w:szCs w:val="22"/>
                <w:highlight w:val="none"/>
              </w:rPr>
              <w:t>质疑接收人：虞杰</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联系方式：0571-86606506</w:t>
            </w:r>
          </w:p>
          <w:p w14:paraId="21A6ABBA">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地址：杭州市滨江区长河街道钱龙大厦五楼</w:t>
            </w:r>
          </w:p>
          <w:p w14:paraId="3FF110B7">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rPr>
              <w:t>邮箱：</w:t>
            </w:r>
            <w:r>
              <w:rPr>
                <w:rFonts w:hint="eastAsia" w:ascii="仿宋" w:hAnsi="仿宋" w:eastAsia="仿宋" w:cs="仿宋"/>
                <w:bCs/>
                <w:color w:val="auto"/>
                <w:sz w:val="22"/>
                <w:szCs w:val="22"/>
                <w:highlight w:val="none"/>
                <w:lang w:val="en-US" w:eastAsia="zh-CN"/>
              </w:rPr>
              <w:t>363457661@qq.com</w:t>
            </w:r>
          </w:p>
          <w:p w14:paraId="3BA647BB">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如通过邮箱方式发送质疑，须提交符合法规及</w:t>
            </w:r>
            <w:r>
              <w:rPr>
                <w:rFonts w:hint="eastAsia" w:ascii="仿宋" w:hAnsi="仿宋" w:eastAsia="仿宋" w:cs="仿宋"/>
                <w:b/>
                <w:bCs w:val="0"/>
                <w:color w:val="auto"/>
                <w:sz w:val="22"/>
                <w:szCs w:val="22"/>
                <w:highlight w:val="none"/>
                <w:lang w:eastAsia="zh-CN"/>
              </w:rPr>
              <w:t>交易文件</w:t>
            </w:r>
            <w:r>
              <w:rPr>
                <w:rFonts w:hint="eastAsia" w:ascii="仿宋" w:hAnsi="仿宋" w:eastAsia="仿宋" w:cs="仿宋"/>
                <w:b/>
                <w:bCs w:val="0"/>
                <w:color w:val="auto"/>
                <w:sz w:val="22"/>
                <w:szCs w:val="22"/>
                <w:highlight w:val="none"/>
              </w:rPr>
              <w:t>要求的质疑文件（参考附件2），盖章扫描后发送，质疑的受理按答复主体划分以</w:t>
            </w:r>
            <w:r>
              <w:rPr>
                <w:rFonts w:hint="eastAsia" w:ascii="仿宋" w:hAnsi="仿宋" w:eastAsia="仿宋" w:cs="仿宋"/>
                <w:b/>
                <w:bCs w:val="0"/>
                <w:color w:val="auto"/>
                <w:sz w:val="22"/>
                <w:szCs w:val="22"/>
                <w:highlight w:val="none"/>
                <w:lang w:eastAsia="zh-CN"/>
              </w:rPr>
              <w:t>交易人</w:t>
            </w:r>
            <w:r>
              <w:rPr>
                <w:rFonts w:hint="eastAsia" w:ascii="仿宋" w:hAnsi="仿宋" w:eastAsia="仿宋" w:cs="仿宋"/>
                <w:b/>
                <w:bCs w:val="0"/>
                <w:color w:val="auto"/>
                <w:sz w:val="22"/>
                <w:szCs w:val="22"/>
                <w:highlight w:val="none"/>
              </w:rPr>
              <w:t>或</w:t>
            </w:r>
            <w:r>
              <w:rPr>
                <w:rFonts w:hint="eastAsia" w:ascii="仿宋" w:hAnsi="仿宋" w:eastAsia="仿宋" w:cs="仿宋"/>
                <w:b/>
                <w:bCs w:val="0"/>
                <w:color w:val="auto"/>
                <w:sz w:val="22"/>
                <w:szCs w:val="22"/>
                <w:highlight w:val="none"/>
                <w:lang w:eastAsia="zh-CN"/>
              </w:rPr>
              <w:t>代理机构</w:t>
            </w:r>
            <w:r>
              <w:rPr>
                <w:rFonts w:hint="eastAsia" w:ascii="仿宋" w:hAnsi="仿宋" w:eastAsia="仿宋" w:cs="仿宋"/>
                <w:b/>
                <w:bCs w:val="0"/>
                <w:color w:val="auto"/>
                <w:sz w:val="22"/>
                <w:szCs w:val="22"/>
                <w:highlight w:val="none"/>
              </w:rPr>
              <w:t>邮箱回复确认受理为准。</w:t>
            </w:r>
          </w:p>
          <w:p w14:paraId="11E502C3">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本项目涉及资格条件、</w:t>
            </w:r>
            <w:r>
              <w:rPr>
                <w:rFonts w:hint="eastAsia" w:ascii="仿宋" w:hAnsi="仿宋" w:eastAsia="仿宋" w:cs="仿宋"/>
                <w:bCs/>
                <w:color w:val="auto"/>
                <w:sz w:val="22"/>
                <w:szCs w:val="22"/>
                <w:highlight w:val="none"/>
                <w:lang w:val="en-US" w:eastAsia="zh-CN"/>
              </w:rPr>
              <w:t>交易</w:t>
            </w:r>
            <w:r>
              <w:rPr>
                <w:rFonts w:hint="eastAsia" w:ascii="仿宋" w:hAnsi="仿宋" w:eastAsia="仿宋" w:cs="仿宋"/>
                <w:bCs/>
                <w:color w:val="auto"/>
                <w:sz w:val="22"/>
                <w:szCs w:val="22"/>
                <w:highlight w:val="none"/>
              </w:rPr>
              <w:t>需求、评分办法及</w:t>
            </w:r>
            <w:r>
              <w:rPr>
                <w:rFonts w:hint="eastAsia" w:ascii="仿宋" w:hAnsi="仿宋" w:eastAsia="仿宋" w:cs="仿宋"/>
                <w:bCs/>
                <w:color w:val="auto"/>
                <w:sz w:val="22"/>
                <w:szCs w:val="22"/>
                <w:highlight w:val="none"/>
                <w:lang w:val="en-US" w:eastAsia="zh-CN"/>
              </w:rPr>
              <w:t>交易</w:t>
            </w:r>
            <w:r>
              <w:rPr>
                <w:rFonts w:hint="eastAsia" w:ascii="仿宋" w:hAnsi="仿宋" w:eastAsia="仿宋" w:cs="仿宋"/>
                <w:bCs/>
                <w:color w:val="auto"/>
                <w:sz w:val="22"/>
                <w:szCs w:val="22"/>
                <w:highlight w:val="none"/>
              </w:rPr>
              <w:t>过程中有关现场考察或开标前答疑会事项由</w:t>
            </w:r>
            <w:r>
              <w:rPr>
                <w:rFonts w:hint="eastAsia" w:ascii="仿宋" w:hAnsi="仿宋" w:eastAsia="仿宋" w:cs="仿宋"/>
                <w:bCs/>
                <w:color w:val="auto"/>
                <w:sz w:val="22"/>
                <w:szCs w:val="22"/>
                <w:highlight w:val="none"/>
                <w:lang w:eastAsia="zh-CN"/>
              </w:rPr>
              <w:t>交易人</w:t>
            </w:r>
            <w:r>
              <w:rPr>
                <w:rFonts w:hint="eastAsia" w:ascii="仿宋" w:hAnsi="仿宋" w:eastAsia="仿宋" w:cs="仿宋"/>
                <w:bCs/>
                <w:color w:val="auto"/>
                <w:sz w:val="22"/>
                <w:szCs w:val="22"/>
                <w:highlight w:val="none"/>
              </w:rPr>
              <w:t>进行答复。</w:t>
            </w:r>
          </w:p>
          <w:p w14:paraId="14D0269C">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涉及流程组织等相关事项，由</w:t>
            </w:r>
            <w:r>
              <w:rPr>
                <w:rFonts w:hint="eastAsia" w:ascii="仿宋" w:hAnsi="仿宋" w:eastAsia="仿宋" w:cs="仿宋"/>
                <w:bCs/>
                <w:color w:val="auto"/>
                <w:sz w:val="22"/>
                <w:szCs w:val="22"/>
                <w:highlight w:val="none"/>
                <w:lang w:eastAsia="zh-CN"/>
              </w:rPr>
              <w:t>代理机构</w:t>
            </w:r>
            <w:r>
              <w:rPr>
                <w:rFonts w:hint="eastAsia" w:ascii="仿宋" w:hAnsi="仿宋" w:eastAsia="仿宋" w:cs="仿宋"/>
                <w:bCs/>
                <w:color w:val="auto"/>
                <w:sz w:val="22"/>
                <w:szCs w:val="22"/>
                <w:highlight w:val="none"/>
              </w:rPr>
              <w:t>进行答复。</w:t>
            </w:r>
          </w:p>
        </w:tc>
      </w:tr>
      <w:tr w14:paraId="0140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40" w:type="pct"/>
            <w:vAlign w:val="center"/>
          </w:tcPr>
          <w:p w14:paraId="1EEC4D99">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c>
          <w:tcPr>
            <w:tcW w:w="934" w:type="pct"/>
            <w:vAlign w:val="center"/>
          </w:tcPr>
          <w:p w14:paraId="2BD3D811">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特别说明</w:t>
            </w:r>
          </w:p>
        </w:tc>
        <w:tc>
          <w:tcPr>
            <w:tcW w:w="3624" w:type="pct"/>
            <w:vAlign w:val="center"/>
          </w:tcPr>
          <w:p w14:paraId="36E14D1B">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本项目通用总则条款与前附表等专用特别规定有冲突之处，以专用条款（特别规定）为准</w:t>
            </w:r>
          </w:p>
        </w:tc>
      </w:tr>
    </w:tbl>
    <w:p w14:paraId="6A059DF4">
      <w:pPr>
        <w:rPr>
          <w:rFonts w:hint="eastAsia" w:ascii="仿宋" w:hAnsi="仿宋" w:eastAsia="仿宋" w:cs="仿宋"/>
          <w:color w:val="auto"/>
          <w:highlight w:val="none"/>
        </w:rPr>
      </w:pPr>
    </w:p>
    <w:p w14:paraId="1936675C">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20C014C">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70C237CE">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适用范围</w:t>
      </w:r>
    </w:p>
    <w:p w14:paraId="717CA43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适用于该项目的</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交易会</w:t>
      </w:r>
      <w:r>
        <w:rPr>
          <w:rFonts w:hint="eastAsia" w:ascii="仿宋" w:hAnsi="仿宋" w:eastAsia="仿宋" w:cs="仿宋"/>
          <w:color w:val="auto"/>
          <w:highlight w:val="none"/>
        </w:rPr>
        <w:t>、资格审查及信用信息查询、</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、定标、合同、验收等行为（法律、法规另有规定的，从其规定）。</w:t>
      </w:r>
    </w:p>
    <w:p w14:paraId="684225A5">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2.定义</w:t>
      </w:r>
    </w:p>
    <w:p w14:paraId="378AC1E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”系指</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中载明的本项目的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p>
    <w:p w14:paraId="2A49B00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”系指</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中载明的本项目的</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w:t>
      </w:r>
    </w:p>
    <w:p w14:paraId="32314ED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2.3“</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”系指是指响应</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、参加</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竞争的法人、其他组织或者自然人。</w:t>
      </w:r>
    </w:p>
    <w:p w14:paraId="4EFE9D6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2.4“负责人”系指法人企业的法定负责人，或其他组织为法律、行政法规规定代表单位行使职权的主要负责人，或自然人本人。</w:t>
      </w:r>
    </w:p>
    <w:p w14:paraId="1561126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电子签名指</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电子公章；“公章”系指单位法定名称章。因特殊原因需要使用冠以法定名称的业务专用章的，</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时须提供《业务专用章使用说明函》（附件4）。</w:t>
      </w:r>
    </w:p>
    <w:p w14:paraId="1128E2D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2.6“电子交易平台”是指本项目采购活动所依托的</w:t>
      </w:r>
      <w:r>
        <w:rPr>
          <w:rFonts w:hint="eastAsia" w:cs="仿宋"/>
          <w:color w:val="auto"/>
          <w:highlight w:val="none"/>
          <w:lang w:val="en-US" w:eastAsia="zh-CN"/>
        </w:rPr>
        <w:t>乐采云</w:t>
      </w:r>
      <w:r>
        <w:rPr>
          <w:rFonts w:hint="eastAsia" w:ascii="仿宋" w:hAnsi="仿宋" w:eastAsia="仿宋" w:cs="仿宋"/>
          <w:color w:val="auto"/>
          <w:highlight w:val="none"/>
        </w:rPr>
        <w:t>平台（https://www.lecaiyun.com/）。</w:t>
      </w:r>
    </w:p>
    <w:p w14:paraId="14A8E62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 系指实质性要求条款，“（√）” 系指适用本项目的要求，“（  ）”系指不适用本项目的要求。</w:t>
      </w:r>
    </w:p>
    <w:p w14:paraId="0B35EF83">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.询问、质疑、投诉</w:t>
      </w:r>
    </w:p>
    <w:p w14:paraId="30AF2EA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.1供应商询问</w:t>
      </w:r>
    </w:p>
    <w:p w14:paraId="7FB661A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供应商对</w:t>
      </w:r>
      <w:r>
        <w:rPr>
          <w:rFonts w:hint="eastAsia" w:cs="仿宋"/>
          <w:color w:val="auto"/>
          <w:highlight w:val="none"/>
          <w:lang w:val="en-US" w:eastAsia="zh-CN"/>
        </w:rPr>
        <w:t>交易</w:t>
      </w:r>
      <w:r>
        <w:rPr>
          <w:rFonts w:hint="eastAsia" w:ascii="仿宋" w:hAnsi="仿宋" w:eastAsia="仿宋" w:cs="仿宋"/>
          <w:color w:val="auto"/>
          <w:highlight w:val="none"/>
        </w:rPr>
        <w:t>活动事项有疑问的，可以提出询问，</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或者采购代理机构应当在3个工作日内对供应商依法提出的询问作出答复，但答复的内容不得涉及商业秘密。供应商提出的询问超出</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对采购代理机构委托授权范围的，采购代理机构应当告知供应商向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提出。</w:t>
      </w:r>
    </w:p>
    <w:p w14:paraId="458E64C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.2供应商质疑</w:t>
      </w:r>
    </w:p>
    <w:p w14:paraId="270217A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.2.1提出质疑的供应商应当是参与所质疑项目采购活动的供应商。潜在供应商已依法获取其可质疑的</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的，可以对该文件提出质疑。</w:t>
      </w:r>
    </w:p>
    <w:p w14:paraId="576FE11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.2.2供应商认为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、采购过程和</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结果使自己的权益受到损害的，可以在知道或者应知其权益受到损害之日起七个工作日内，以书面形式向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提出质疑，否则，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不予受理：</w:t>
      </w:r>
    </w:p>
    <w:p w14:paraId="4F3CAA9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.2.2.1对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提出质疑的，质疑期限为供应商获得</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之日或者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公告期限届满之日起计算。</w:t>
      </w:r>
    </w:p>
    <w:p w14:paraId="3E82CD6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.2.2.2对采购过程提出质疑的，质疑期限为各采购程序环节结束之日起计算。对同一采购程序环节的质疑，供应商须一次性提出。</w:t>
      </w:r>
    </w:p>
    <w:p w14:paraId="3BE18C5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.2.2.3对采购结果提出质疑的，质疑期限自采购结果公告期限届满之日起计算。</w:t>
      </w:r>
    </w:p>
    <w:p w14:paraId="348C69F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.2.3供应商提出质疑应当提交质疑函和必要的证明材料。质疑函应当包括下列内容：</w:t>
      </w:r>
    </w:p>
    <w:p w14:paraId="1429161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.2.3.1供应商的姓名或者名称、地址、邮编、联系人及联系电话；</w:t>
      </w:r>
    </w:p>
    <w:p w14:paraId="63D7B36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.2.3.2质疑项目的名称、编号；</w:t>
      </w:r>
    </w:p>
    <w:p w14:paraId="4EC980C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.2.3.3具体、明确的质疑事项和与质疑事项相关的请求；</w:t>
      </w:r>
    </w:p>
    <w:p w14:paraId="423136B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.2.3.4事实依据；</w:t>
      </w:r>
    </w:p>
    <w:p w14:paraId="63DE25C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.2.3.5必要的法律依据；</w:t>
      </w:r>
    </w:p>
    <w:p w14:paraId="64457A4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.2.3.6提出质疑的日期。</w:t>
      </w:r>
    </w:p>
    <w:p w14:paraId="151ED50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27BCC2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9AB040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.2.4</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w:t>
      </w:r>
      <w:r>
        <w:rPr>
          <w:rFonts w:hint="eastAsia" w:cs="仿宋"/>
          <w:color w:val="auto"/>
          <w:highlight w:val="none"/>
          <w:lang w:val="en-US" w:eastAsia="zh-CN"/>
        </w:rPr>
        <w:t>交易</w:t>
      </w:r>
      <w:r>
        <w:rPr>
          <w:rFonts w:hint="eastAsia" w:ascii="仿宋" w:hAnsi="仿宋" w:eastAsia="仿宋" w:cs="仿宋"/>
          <w:color w:val="auto"/>
          <w:highlight w:val="none"/>
        </w:rPr>
        <w:t>当事人，但答复的内容不得涉及商业秘密。</w:t>
      </w:r>
    </w:p>
    <w:p w14:paraId="1EA252C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.2.5询问或者质疑事项可能影响采购结果的，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应当暂停签订合同，已经签订合同的，应当中止履行合同。</w:t>
      </w:r>
    </w:p>
    <w:p w14:paraId="65D16AB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.3供应商投诉</w:t>
      </w:r>
    </w:p>
    <w:p w14:paraId="21A5257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.3.1质疑供应商对</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的答复不满意或者</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未在规定的时间内作出答复的，可以在答复期满后十五个工作日内向同级采购监督管理部门提出投诉。</w:t>
      </w:r>
    </w:p>
    <w:p w14:paraId="2D68553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.3.2供应商投诉的事项不得超出已质疑事项的范围，基于质疑答复内容提出的投诉事项除外。</w:t>
      </w:r>
    </w:p>
    <w:p w14:paraId="6349135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.3.3供应商投诉应当有明确的请求和必要的证明材料。</w:t>
      </w:r>
    </w:p>
    <w:p w14:paraId="08133E1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.3.4 以联合体形式参加</w:t>
      </w:r>
      <w:r>
        <w:rPr>
          <w:rFonts w:hint="eastAsia" w:cs="仿宋"/>
          <w:color w:val="auto"/>
          <w:highlight w:val="none"/>
          <w:lang w:val="en-US" w:eastAsia="zh-CN"/>
        </w:rPr>
        <w:t>交易</w:t>
      </w:r>
      <w:r>
        <w:rPr>
          <w:rFonts w:hint="eastAsia" w:ascii="仿宋" w:hAnsi="仿宋" w:eastAsia="仿宋" w:cs="仿宋"/>
          <w:color w:val="auto"/>
          <w:highlight w:val="none"/>
        </w:rPr>
        <w:t>活动的，其投诉应当由组成联合体的所有供应商共同提出。</w:t>
      </w:r>
    </w:p>
    <w:p w14:paraId="6120516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2D79AE3">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的构成、澄清、修改</w:t>
      </w:r>
    </w:p>
    <w:p w14:paraId="147693D2">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的构成</w:t>
      </w:r>
    </w:p>
    <w:p w14:paraId="532A65D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 xml:space="preserve">.1 </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包括下列文件及附件：</w:t>
      </w:r>
    </w:p>
    <w:p w14:paraId="14F3CB7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.1.1</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w:t>
      </w:r>
    </w:p>
    <w:p w14:paraId="321CF7E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.1.2</w:t>
      </w:r>
      <w:r>
        <w:rPr>
          <w:rFonts w:hint="eastAsia" w:ascii="仿宋" w:hAnsi="仿宋" w:eastAsia="仿宋" w:cs="仿宋"/>
          <w:color w:val="auto"/>
          <w:highlight w:val="none"/>
          <w:lang w:eastAsia="zh-CN"/>
        </w:rPr>
        <w:t>供应商须知</w:t>
      </w:r>
      <w:r>
        <w:rPr>
          <w:rFonts w:hint="eastAsia" w:ascii="仿宋" w:hAnsi="仿宋" w:eastAsia="仿宋" w:cs="仿宋"/>
          <w:color w:val="auto"/>
          <w:highlight w:val="none"/>
        </w:rPr>
        <w:t>；</w:t>
      </w:r>
    </w:p>
    <w:p w14:paraId="4B815B3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.1.3</w:t>
      </w:r>
      <w:r>
        <w:rPr>
          <w:rFonts w:hint="eastAsia" w:cs="仿宋"/>
          <w:color w:val="auto"/>
          <w:highlight w:val="none"/>
          <w:lang w:val="en-US" w:eastAsia="zh-CN"/>
        </w:rPr>
        <w:t>交易</w:t>
      </w:r>
      <w:r>
        <w:rPr>
          <w:rFonts w:hint="eastAsia" w:ascii="仿宋" w:hAnsi="仿宋" w:eastAsia="仿宋" w:cs="仿宋"/>
          <w:color w:val="auto"/>
          <w:highlight w:val="none"/>
        </w:rPr>
        <w:t>需求；</w:t>
      </w:r>
    </w:p>
    <w:p w14:paraId="329F4E4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.1.4</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w:t>
      </w:r>
    </w:p>
    <w:p w14:paraId="170CC21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.1.5拟签订的合同文本；</w:t>
      </w:r>
    </w:p>
    <w:p w14:paraId="62ED6A2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.1.6应提交的有关格式范例。</w:t>
      </w:r>
    </w:p>
    <w:p w14:paraId="4FE588F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.2与本项目有关的澄清或者修改的内容为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5D4F67D3">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5</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的澄清、修改</w:t>
      </w:r>
    </w:p>
    <w:p w14:paraId="4801428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截止时间前，以书面形式向</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提出。</w:t>
      </w:r>
    </w:p>
    <w:p w14:paraId="00D725B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5</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截止时间和开标时间。该澄清或者修改的内容为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2634CB38">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三、</w:t>
      </w:r>
      <w:r>
        <w:rPr>
          <w:rFonts w:hint="eastAsia" w:ascii="仿宋" w:hAnsi="仿宋" w:eastAsia="仿宋" w:cs="仿宋"/>
          <w:color w:val="auto"/>
          <w:highlight w:val="none"/>
          <w:lang w:val="en-US" w:eastAsia="zh-CN"/>
        </w:rPr>
        <w:t>响应</w:t>
      </w:r>
    </w:p>
    <w:p w14:paraId="15CBFCFE">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的获取</w:t>
      </w:r>
    </w:p>
    <w:p w14:paraId="17D2787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详见</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中获取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的时间期限、地点、方式及</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售价。</w:t>
      </w:r>
    </w:p>
    <w:p w14:paraId="5E4D28BA">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7</w:t>
      </w:r>
      <w:r>
        <w:rPr>
          <w:rFonts w:hint="eastAsia" w:ascii="仿宋" w:hAnsi="仿宋" w:eastAsia="仿宋" w:cs="仿宋"/>
          <w:color w:val="auto"/>
          <w:highlight w:val="none"/>
        </w:rPr>
        <w:t>.开标前答疑会或现场考察</w:t>
      </w:r>
    </w:p>
    <w:p w14:paraId="73E8244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组织潜在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现场考察或者召开开标前答疑会的，潜在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按第二部分</w:t>
      </w:r>
      <w:r>
        <w:rPr>
          <w:rFonts w:hint="eastAsia" w:ascii="仿宋" w:hAnsi="仿宋" w:eastAsia="仿宋" w:cs="仿宋"/>
          <w:color w:val="auto"/>
          <w:highlight w:val="none"/>
          <w:lang w:eastAsia="zh-CN"/>
        </w:rPr>
        <w:t>供应商须知</w:t>
      </w:r>
      <w:r>
        <w:rPr>
          <w:rFonts w:hint="eastAsia" w:ascii="仿宋" w:hAnsi="仿宋" w:eastAsia="仿宋" w:cs="仿宋"/>
          <w:color w:val="auto"/>
          <w:highlight w:val="none"/>
        </w:rPr>
        <w:t>前附表的规定参加现场考察或者开标前答疑会。</w:t>
      </w:r>
    </w:p>
    <w:p w14:paraId="2E61265B">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8</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保证金</w:t>
      </w:r>
    </w:p>
    <w:p w14:paraId="35AD205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本项目不需缴纳</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保证金。</w:t>
      </w:r>
    </w:p>
    <w:p w14:paraId="32318E2A">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9</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的语言</w:t>
      </w:r>
    </w:p>
    <w:p w14:paraId="52ED6AC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及</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与采购有关的来往通知、函件和文件均应使用中文。</w:t>
      </w:r>
    </w:p>
    <w:p w14:paraId="5CE39DD8">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的组成</w:t>
      </w:r>
    </w:p>
    <w:p w14:paraId="5001F43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.1资格文件：</w:t>
      </w:r>
    </w:p>
    <w:p w14:paraId="6A606CF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.1.1</w:t>
      </w:r>
      <w:r>
        <w:rPr>
          <w:rFonts w:hint="eastAsia" w:ascii="仿宋" w:hAnsi="仿宋" w:eastAsia="仿宋" w:cs="仿宋"/>
          <w:color w:val="auto"/>
          <w:highlight w:val="none"/>
          <w:lang w:eastAsia="zh-CN"/>
        </w:rPr>
        <w:t>符合参加</w:t>
      </w:r>
      <w:r>
        <w:rPr>
          <w:rFonts w:hint="eastAsia" w:cs="仿宋"/>
          <w:color w:val="auto"/>
          <w:highlight w:val="none"/>
          <w:lang w:val="en-US" w:eastAsia="zh-CN"/>
        </w:rPr>
        <w:t>交易</w:t>
      </w:r>
      <w:r>
        <w:rPr>
          <w:rFonts w:hint="eastAsia" w:ascii="仿宋" w:hAnsi="仿宋" w:eastAsia="仿宋" w:cs="仿宋"/>
          <w:color w:val="auto"/>
          <w:highlight w:val="none"/>
          <w:lang w:eastAsia="zh-CN"/>
        </w:rPr>
        <w:t>活动应当具备的一般条件的承诺函</w:t>
      </w:r>
      <w:r>
        <w:rPr>
          <w:rFonts w:hint="eastAsia" w:ascii="仿宋" w:hAnsi="仿宋" w:eastAsia="仿宋" w:cs="仿宋"/>
          <w:color w:val="auto"/>
          <w:highlight w:val="none"/>
        </w:rPr>
        <w:t>；</w:t>
      </w:r>
    </w:p>
    <w:p w14:paraId="3D873ED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.1.2落实</w:t>
      </w:r>
      <w:r>
        <w:rPr>
          <w:rFonts w:hint="eastAsia" w:cs="仿宋"/>
          <w:color w:val="auto"/>
          <w:highlight w:val="none"/>
          <w:lang w:val="en-US" w:eastAsia="zh-CN"/>
        </w:rPr>
        <w:t>采购</w:t>
      </w:r>
      <w:r>
        <w:rPr>
          <w:rFonts w:hint="eastAsia" w:ascii="仿宋" w:hAnsi="仿宋" w:eastAsia="仿宋" w:cs="仿宋"/>
          <w:color w:val="auto"/>
          <w:highlight w:val="none"/>
        </w:rPr>
        <w:t>政策需满足的资格要求；</w:t>
      </w:r>
    </w:p>
    <w:p w14:paraId="742DF97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本项目的特定资格要求。</w:t>
      </w:r>
    </w:p>
    <w:p w14:paraId="045C27A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.2  商务技术文件：</w:t>
      </w:r>
    </w:p>
    <w:p w14:paraId="204E60A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.2.1</w:t>
      </w:r>
      <w:r>
        <w:rPr>
          <w:rFonts w:hint="eastAsia" w:ascii="仿宋" w:hAnsi="仿宋" w:eastAsia="仿宋" w:cs="仿宋"/>
          <w:color w:val="auto"/>
          <w:highlight w:val="none"/>
          <w:lang w:eastAsia="zh-CN"/>
        </w:rPr>
        <w:t>响应函</w:t>
      </w:r>
      <w:r>
        <w:rPr>
          <w:rFonts w:hint="eastAsia" w:ascii="仿宋" w:hAnsi="仿宋" w:eastAsia="仿宋" w:cs="仿宋"/>
          <w:color w:val="auto"/>
          <w:highlight w:val="none"/>
        </w:rPr>
        <w:t xml:space="preserve">； </w:t>
      </w:r>
    </w:p>
    <w:p w14:paraId="0755D85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.2.2授权委托书或法定代表人（单位负责人、自然人本人）身份证明；</w:t>
      </w:r>
    </w:p>
    <w:p w14:paraId="71CBDDD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.2.3</w:t>
      </w:r>
      <w:r>
        <w:rPr>
          <w:rFonts w:hint="eastAsia" w:ascii="仿宋" w:hAnsi="仿宋" w:eastAsia="仿宋" w:cs="仿宋"/>
          <w:color w:val="auto"/>
          <w:highlight w:val="none"/>
          <w:lang w:eastAsia="zh-CN"/>
        </w:rPr>
        <w:t>营业执照</w:t>
      </w:r>
      <w:r>
        <w:rPr>
          <w:rFonts w:hint="eastAsia" w:ascii="仿宋" w:hAnsi="仿宋" w:eastAsia="仿宋" w:cs="仿宋"/>
          <w:color w:val="auto"/>
          <w:highlight w:val="none"/>
        </w:rPr>
        <w:t>；</w:t>
      </w:r>
    </w:p>
    <w:p w14:paraId="31A44CC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符合性审查资料；</w:t>
      </w:r>
    </w:p>
    <w:p w14:paraId="5D4E630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标准相应的商务技术资料；</w:t>
      </w:r>
    </w:p>
    <w:p w14:paraId="58136C1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商务技术偏离表；</w:t>
      </w:r>
    </w:p>
    <w:p w14:paraId="4AD9381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供应商廉洁自律承诺书；</w:t>
      </w:r>
    </w:p>
    <w:p w14:paraId="79A9DA9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 xml:space="preserve">.3报价文件： </w:t>
      </w:r>
    </w:p>
    <w:p w14:paraId="0AB2786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.3.1</w:t>
      </w:r>
      <w:r>
        <w:rPr>
          <w:rFonts w:hint="eastAsia" w:ascii="仿宋" w:hAnsi="仿宋" w:eastAsia="仿宋" w:cs="仿宋"/>
          <w:color w:val="auto"/>
          <w:highlight w:val="none"/>
          <w:lang w:eastAsia="zh-CN"/>
        </w:rPr>
        <w:t>交易一览标</w:t>
      </w:r>
      <w:r>
        <w:rPr>
          <w:rFonts w:hint="eastAsia" w:ascii="仿宋" w:hAnsi="仿宋" w:eastAsia="仿宋" w:cs="仿宋"/>
          <w:color w:val="auto"/>
          <w:highlight w:val="none"/>
        </w:rPr>
        <w:t>（报价表）；</w:t>
      </w:r>
    </w:p>
    <w:p w14:paraId="6E0AD1B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含有</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不能接受的附加条件的，</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无效；</w:t>
      </w:r>
    </w:p>
    <w:p w14:paraId="0DD0E1D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提供虚假材料</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011B987D">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1</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的编制</w:t>
      </w:r>
    </w:p>
    <w:p w14:paraId="065A1D0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1</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分为资格文件、商务技术文件、报价文件三部分。各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在编制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时请按照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第六部分规定的格式进行，混乱的编排导致</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被误读或</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委员会查找不到有效文件是</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的风险。</w:t>
      </w:r>
    </w:p>
    <w:p w14:paraId="57DB518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1</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进行电子</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应安装客户端软件—“</w:t>
      </w:r>
      <w:r>
        <w:rPr>
          <w:rFonts w:hint="eastAsia" w:cs="仿宋"/>
          <w:color w:val="auto"/>
          <w:highlight w:val="none"/>
          <w:lang w:val="en-US" w:eastAsia="zh-CN"/>
        </w:rPr>
        <w:t>乐</w:t>
      </w:r>
      <w:r>
        <w:rPr>
          <w:rFonts w:hint="eastAsia" w:ascii="仿宋" w:hAnsi="仿宋" w:eastAsia="仿宋" w:cs="仿宋"/>
          <w:color w:val="auto"/>
          <w:highlight w:val="none"/>
        </w:rPr>
        <w:t>采云电子交易客户端”，并按照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和电子交易平台的要求编制并加密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未按规定加密的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，电子交易平台将拒收并提示。</w:t>
      </w:r>
    </w:p>
    <w:p w14:paraId="133785A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1</w:t>
      </w:r>
      <w:r>
        <w:rPr>
          <w:rFonts w:hint="eastAsia" w:ascii="仿宋" w:hAnsi="仿宋" w:eastAsia="仿宋" w:cs="仿宋"/>
          <w:color w:val="auto"/>
          <w:highlight w:val="none"/>
        </w:rPr>
        <w:t>.3使用“</w:t>
      </w:r>
      <w:r>
        <w:rPr>
          <w:rFonts w:hint="eastAsia" w:cs="仿宋"/>
          <w:color w:val="auto"/>
          <w:highlight w:val="none"/>
          <w:lang w:val="en-US" w:eastAsia="zh-CN"/>
        </w:rPr>
        <w:t>乐</w:t>
      </w:r>
      <w:r>
        <w:rPr>
          <w:rFonts w:hint="eastAsia" w:ascii="仿宋" w:hAnsi="仿宋" w:eastAsia="仿宋" w:cs="仿宋"/>
          <w:color w:val="auto"/>
          <w:highlight w:val="none"/>
        </w:rPr>
        <w:t>采云电子交易客户端”需要提前申领CA数字证书，申领流程请自行前往“浙江政府采购网-下载专区-电子交易客户端-CA驱动和申领流程”进行查阅。</w:t>
      </w:r>
    </w:p>
    <w:p w14:paraId="39CCF6F4">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的签署、盖章</w:t>
      </w:r>
    </w:p>
    <w:p w14:paraId="20CDE1B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2</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第六部分格式要求进行签署、盖章。▲</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要求签署、盖章的，其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3262D8C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截止时间前完成在“</w:t>
      </w:r>
      <w:r>
        <w:rPr>
          <w:rFonts w:hint="eastAsia" w:cs="仿宋"/>
          <w:color w:val="auto"/>
          <w:highlight w:val="none"/>
          <w:lang w:val="en-US" w:eastAsia="zh-CN"/>
        </w:rPr>
        <w:t>乐采</w:t>
      </w:r>
      <w:r>
        <w:rPr>
          <w:rFonts w:hint="eastAsia" w:ascii="仿宋" w:hAnsi="仿宋" w:eastAsia="仿宋" w:cs="仿宋"/>
          <w:color w:val="auto"/>
          <w:highlight w:val="none"/>
        </w:rPr>
        <w:t>云平台”的身份认证，确保在电子投标过程中能够对相关数据电文进行加密和使用电子签名。</w:t>
      </w:r>
    </w:p>
    <w:p w14:paraId="372D253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467CF0D1">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3</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的提交、补充、修改、撤回</w:t>
      </w:r>
    </w:p>
    <w:p w14:paraId="24ABFBE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3</w:t>
      </w:r>
      <w:r>
        <w:rPr>
          <w:rFonts w:hint="eastAsia" w:ascii="仿宋" w:hAnsi="仿宋" w:eastAsia="仿宋" w:cs="仿宋"/>
          <w:color w:val="auto"/>
          <w:highlight w:val="none"/>
        </w:rPr>
        <w:t>.1 供应商应当在</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截止时间前完成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的传输递交，并可以补充、修改或者撤回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。补充或者修改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的，应当先行撤回原文件，补充、修改后重新传输递交。</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截止时间前未完成传输的，视为撤回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截止时间后递交的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，电子交易平台将拒收。</w:t>
      </w:r>
    </w:p>
    <w:p w14:paraId="3D0E079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3</w:t>
      </w:r>
      <w:r>
        <w:rPr>
          <w:rFonts w:hint="eastAsia" w:ascii="仿宋" w:hAnsi="仿宋" w:eastAsia="仿宋" w:cs="仿宋"/>
          <w:color w:val="auto"/>
          <w:highlight w:val="none"/>
        </w:rPr>
        <w:t>.2电子交易平台收到</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，将妥善保存并即时向供应商发出确认回执通知。在响应截止时间前，除供应商补充、修改或者撤回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外，任何单位和个人不得解密或提取</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p w14:paraId="5C5B920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3</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可以视情况延长</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提交的截止时间。在上述情况下，</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以前在</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截止期方面的全部权利、责任和义务，将适用于延长至新的</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截止期。</w:t>
      </w:r>
    </w:p>
    <w:p w14:paraId="5D176346">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cs="仿宋"/>
          <w:color w:val="auto"/>
          <w:highlight w:val="none"/>
          <w:lang w:val="en-US" w:eastAsia="zh-CN"/>
        </w:rPr>
        <w:t>4</w:t>
      </w:r>
      <w:r>
        <w:rPr>
          <w:rFonts w:hint="eastAsia" w:ascii="仿宋" w:hAnsi="仿宋" w:eastAsia="仿宋" w:cs="仿宋"/>
          <w:color w:val="auto"/>
          <w:highlight w:val="none"/>
        </w:rPr>
        <w:t>.备份</w:t>
      </w:r>
      <w:r>
        <w:rPr>
          <w:rFonts w:hint="eastAsia" w:ascii="仿宋" w:hAnsi="仿宋" w:eastAsia="仿宋" w:cs="仿宋"/>
          <w:color w:val="auto"/>
          <w:highlight w:val="none"/>
          <w:lang w:eastAsia="zh-CN"/>
        </w:rPr>
        <w:t>响应文件</w:t>
      </w:r>
    </w:p>
    <w:p w14:paraId="39F90A0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不收取备份响应文件。</w:t>
      </w:r>
    </w:p>
    <w:p w14:paraId="5A7A3CE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cs="仿宋"/>
          <w:b/>
          <w:bCs/>
          <w:color w:val="auto"/>
          <w:highlight w:val="none"/>
          <w:lang w:val="en-US" w:eastAsia="zh-CN"/>
        </w:rPr>
        <w:t>5</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的无效处理</w:t>
      </w:r>
    </w:p>
    <w:p w14:paraId="090AD2C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有</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第四部分4.2规定的情形之一的，响应无效：</w:t>
      </w:r>
    </w:p>
    <w:p w14:paraId="74B0966F">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cs="仿宋"/>
          <w:b/>
          <w:bCs/>
          <w:color w:val="auto"/>
          <w:highlight w:val="none"/>
          <w:lang w:val="en-US" w:eastAsia="zh-CN"/>
        </w:rPr>
        <w:t>6</w:t>
      </w:r>
      <w:r>
        <w:rPr>
          <w:rFonts w:hint="eastAsia" w:ascii="仿宋" w:hAnsi="仿宋" w:eastAsia="仿宋" w:cs="仿宋"/>
          <w:b/>
          <w:bCs/>
          <w:color w:val="auto"/>
          <w:highlight w:val="none"/>
        </w:rPr>
        <w:t>.响应有效期</w:t>
      </w:r>
    </w:p>
    <w:p w14:paraId="02D9D0B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6</w:t>
      </w:r>
      <w:r>
        <w:rPr>
          <w:rFonts w:hint="eastAsia" w:ascii="仿宋" w:hAnsi="仿宋" w:eastAsia="仿宋" w:cs="仿宋"/>
          <w:color w:val="auto"/>
          <w:highlight w:val="none"/>
        </w:rPr>
        <w:t>.1响应有效期为从提交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的截止之日起90天。▲</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中承诺的</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少于</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中载明的</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的，响应无效。</w:t>
      </w:r>
    </w:p>
    <w:p w14:paraId="50EC739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内有效。</w:t>
      </w:r>
    </w:p>
    <w:p w14:paraId="0E55CD5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6</w:t>
      </w:r>
      <w:r>
        <w:rPr>
          <w:rFonts w:hint="eastAsia" w:ascii="仿宋" w:hAnsi="仿宋" w:eastAsia="仿宋" w:cs="仿宋"/>
          <w:color w:val="auto"/>
          <w:highlight w:val="none"/>
        </w:rPr>
        <w:t>.3在原定响应有效期满之前，如果出现特殊情况，</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延长响应有效期。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拒绝延长的，其响应无效。</w:t>
      </w:r>
    </w:p>
    <w:p w14:paraId="12D34759">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en-US" w:eastAsia="zh-CN"/>
        </w:rPr>
        <w:t>交易会</w:t>
      </w:r>
      <w:r>
        <w:rPr>
          <w:rFonts w:hint="eastAsia" w:ascii="仿宋" w:hAnsi="仿宋" w:eastAsia="仿宋" w:cs="仿宋"/>
          <w:color w:val="auto"/>
          <w:highlight w:val="none"/>
        </w:rPr>
        <w:t>、资格审查与信用信息查询</w:t>
      </w:r>
    </w:p>
    <w:p w14:paraId="0ED152B8">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7</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交易会</w:t>
      </w:r>
      <w:r>
        <w:rPr>
          <w:rFonts w:hint="eastAsia" w:ascii="仿宋" w:hAnsi="仿宋" w:eastAsia="仿宋" w:cs="仿宋"/>
          <w:color w:val="auto"/>
          <w:highlight w:val="none"/>
        </w:rPr>
        <w:t xml:space="preserve"> </w:t>
      </w:r>
    </w:p>
    <w:p w14:paraId="6226547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7</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规定的时间通过电子交易平台组织</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均应当准时在线参加。</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不足3家的，不得开标。</w:t>
      </w:r>
    </w:p>
    <w:p w14:paraId="6884033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7</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时，电子交易平台按</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时间自动提取所有</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依托电子交易平台发起开始解密指令，</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按照平台提示和</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的规定在半小时内完成在线解密。</w:t>
      </w:r>
    </w:p>
    <w:p w14:paraId="4F3395B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7</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未按时解密，</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提供了备份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的，以备份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作为依据，否则视为</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已按时解密的，备份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自动失效。</w:t>
      </w:r>
    </w:p>
    <w:p w14:paraId="4FB898E1">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资格审查</w:t>
      </w:r>
    </w:p>
    <w:p w14:paraId="37A0F8A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8</w:t>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交易会开始</w:t>
      </w:r>
      <w:r>
        <w:rPr>
          <w:rFonts w:hint="eastAsia" w:ascii="仿宋" w:hAnsi="仿宋" w:eastAsia="仿宋" w:cs="仿宋"/>
          <w:color w:val="auto"/>
          <w:highlight w:val="none"/>
        </w:rPr>
        <w:t>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将依法对</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的资格进行审查。</w:t>
      </w:r>
    </w:p>
    <w:p w14:paraId="647967F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8</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的规定，对</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的基本资格条件、特定资格条件进行审查。</w:t>
      </w:r>
    </w:p>
    <w:p w14:paraId="4E10FAC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8</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未按照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要求提供与基本资格条件、特定资格条件相应的有效资格证明材料的，视为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5B34A9D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8</w:t>
      </w:r>
      <w:r>
        <w:rPr>
          <w:rFonts w:hint="eastAsia" w:ascii="仿宋" w:hAnsi="仿宋" w:eastAsia="仿宋" w:cs="仿宋"/>
          <w:color w:val="auto"/>
          <w:highlight w:val="none"/>
        </w:rPr>
        <w:t>.4对未通过资格审查的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告知其未通过的原因。</w:t>
      </w:r>
    </w:p>
    <w:p w14:paraId="7EC3208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8</w:t>
      </w:r>
      <w:r>
        <w:rPr>
          <w:rFonts w:hint="eastAsia" w:ascii="仿宋" w:hAnsi="仿宋" w:eastAsia="仿宋" w:cs="仿宋"/>
          <w:color w:val="auto"/>
          <w:highlight w:val="none"/>
        </w:rPr>
        <w:t>.5合格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w:t>
      </w:r>
    </w:p>
    <w:p w14:paraId="012E35B0">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五、</w:t>
      </w:r>
      <w:r>
        <w:rPr>
          <w:rFonts w:hint="eastAsia" w:ascii="仿宋" w:hAnsi="仿宋" w:eastAsia="仿宋" w:cs="仿宋"/>
          <w:color w:val="auto"/>
          <w:highlight w:val="none"/>
          <w:lang w:eastAsia="zh-CN"/>
        </w:rPr>
        <w:t>评审</w:t>
      </w:r>
    </w:p>
    <w:p w14:paraId="268DF261">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lang w:eastAsia="zh-CN"/>
        </w:rPr>
      </w:pPr>
      <w:r>
        <w:rPr>
          <w:rFonts w:hint="eastAsia" w:cs="仿宋"/>
          <w:color w:val="auto"/>
          <w:highlight w:val="none"/>
          <w:lang w:val="en-US" w:eastAsia="zh-CN"/>
        </w:rPr>
        <w:t>19</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评审</w:t>
      </w:r>
    </w:p>
    <w:p w14:paraId="693D860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和有关规定，履行</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工作职责，并按照</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方法及评分标准，全面衡量各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的响应情况。对实质上响应</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，按照评审因素的量化指标排出推荐</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的先后顺序，并按顺序提出授标建议。详见</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第四部分</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w:t>
      </w:r>
    </w:p>
    <w:p w14:paraId="3939FA46">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六、定 标</w:t>
      </w:r>
    </w:p>
    <w:p w14:paraId="1E7672B7">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20</w:t>
      </w:r>
      <w:r>
        <w:rPr>
          <w:rFonts w:hint="eastAsia" w:ascii="仿宋" w:hAnsi="仿宋" w:eastAsia="仿宋" w:cs="仿宋"/>
          <w:color w:val="auto"/>
          <w:highlight w:val="none"/>
        </w:rPr>
        <w:t>.确定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w:t>
      </w:r>
    </w:p>
    <w:p w14:paraId="14D2D3A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将自收到评审报告之日起5个工作日内通过电子交易平台在评审报告推荐的</w:t>
      </w:r>
      <w:r>
        <w:rPr>
          <w:rFonts w:hint="eastAsia" w:ascii="仿宋" w:hAnsi="仿宋" w:eastAsia="仿宋" w:cs="仿宋"/>
          <w:color w:val="auto"/>
          <w:highlight w:val="none"/>
          <w:lang w:eastAsia="zh-CN"/>
        </w:rPr>
        <w:t>成交候选人</w:t>
      </w:r>
      <w:r>
        <w:rPr>
          <w:rFonts w:hint="eastAsia" w:ascii="仿宋" w:hAnsi="仿宋" w:eastAsia="仿宋" w:cs="仿宋"/>
          <w:color w:val="auto"/>
          <w:highlight w:val="none"/>
        </w:rPr>
        <w:t>中按顺序确定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供应商。</w:t>
      </w:r>
    </w:p>
    <w:p w14:paraId="74867652">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21</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通知与</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结果公告</w:t>
      </w:r>
    </w:p>
    <w:p w14:paraId="6E2CBC7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21</w:t>
      </w:r>
      <w:r>
        <w:rPr>
          <w:rFonts w:hint="eastAsia" w:ascii="仿宋" w:hAnsi="仿宋" w:eastAsia="仿宋" w:cs="仿宋"/>
          <w:color w:val="auto"/>
          <w:highlight w:val="none"/>
        </w:rPr>
        <w:t>.1自</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人确定之日起2个工作日内，</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通过电子交易平台向</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人发出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通知书，同时编制发布采购结果公告。</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也可以以纸质形式进行</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w:t>
      </w:r>
    </w:p>
    <w:p w14:paraId="7086435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1</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结果公告内容包括</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及其委托的</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的名称、地址、联系方式，项目名称和项目编号，</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人名称、地址和</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金额，主要</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标的的名称、规格型号、数量、单价、服务要求，开标记录、未</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情况说明、</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公告期限以及评审专家名单、评分汇总及明细。</w:t>
      </w:r>
    </w:p>
    <w:p w14:paraId="5FE3775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1</w:t>
      </w:r>
      <w:r>
        <w:rPr>
          <w:rFonts w:hint="eastAsia" w:ascii="仿宋" w:hAnsi="仿宋" w:eastAsia="仿宋" w:cs="仿宋"/>
          <w:color w:val="auto"/>
          <w:highlight w:val="none"/>
        </w:rPr>
        <w:t>.3公告期限为1个工作日。</w:t>
      </w:r>
    </w:p>
    <w:p w14:paraId="4555EF6B">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七、合同授予</w:t>
      </w:r>
    </w:p>
    <w:p w14:paraId="3013F1C8">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2</w:t>
      </w:r>
      <w:r>
        <w:rPr>
          <w:rFonts w:hint="eastAsia" w:ascii="仿宋" w:hAnsi="仿宋" w:eastAsia="仿宋" w:cs="仿宋"/>
          <w:color w:val="auto"/>
          <w:highlight w:val="none"/>
        </w:rPr>
        <w:t>.合同主要条款详见第五部分拟签订的合同文本。</w:t>
      </w:r>
    </w:p>
    <w:p w14:paraId="6371E8CE">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3</w:t>
      </w:r>
      <w:r>
        <w:rPr>
          <w:rFonts w:hint="eastAsia" w:ascii="仿宋" w:hAnsi="仿宋" w:eastAsia="仿宋" w:cs="仿宋"/>
          <w:color w:val="auto"/>
          <w:highlight w:val="none"/>
        </w:rPr>
        <w:t>.合同的签订</w:t>
      </w:r>
    </w:p>
    <w:p w14:paraId="60F15C7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3</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人应当通过电子交易平台在</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通知书发出之日起三十日内，按照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确定的事项签订</w:t>
      </w:r>
      <w:r>
        <w:rPr>
          <w:rFonts w:hint="eastAsia" w:cs="仿宋"/>
          <w:color w:val="auto"/>
          <w:highlight w:val="none"/>
          <w:lang w:val="en-US" w:eastAsia="zh-CN"/>
        </w:rPr>
        <w:t>交易</w:t>
      </w:r>
      <w:r>
        <w:rPr>
          <w:rFonts w:hint="eastAsia" w:ascii="仿宋" w:hAnsi="仿宋" w:eastAsia="仿宋" w:cs="仿宋"/>
          <w:color w:val="auto"/>
          <w:highlight w:val="none"/>
        </w:rPr>
        <w:t>合同，并在合同签订之日起2个工作日内依法发布合同公告。</w:t>
      </w:r>
    </w:p>
    <w:p w14:paraId="5DF49B1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3</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人按规定的日期、时间、地点，由法定代表人或其授权代表与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代表签订合同。如</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人为联合体的，由联合体成员各方法定代表人或其授权代表与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代表签订合同。</w:t>
      </w:r>
    </w:p>
    <w:p w14:paraId="23984AD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3</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3CC1192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供应商拒绝与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签订合同的，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可以按照评审报告推荐的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或者成交候选人名单排序，确定下一候选人为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供应商，也可以重新开展</w:t>
      </w:r>
      <w:r>
        <w:rPr>
          <w:rFonts w:hint="eastAsia" w:cs="仿宋"/>
          <w:color w:val="auto"/>
          <w:highlight w:val="none"/>
          <w:lang w:val="en-US" w:eastAsia="zh-CN"/>
        </w:rPr>
        <w:t>交易</w:t>
      </w:r>
      <w:r>
        <w:rPr>
          <w:rFonts w:hint="eastAsia" w:ascii="仿宋" w:hAnsi="仿宋" w:eastAsia="仿宋" w:cs="仿宋"/>
          <w:color w:val="auto"/>
          <w:highlight w:val="none"/>
        </w:rPr>
        <w:t>活动。</w:t>
      </w:r>
    </w:p>
    <w:p w14:paraId="1907F31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3</w:t>
      </w:r>
      <w:r>
        <w:rPr>
          <w:rFonts w:hint="eastAsia" w:ascii="仿宋" w:hAnsi="仿宋" w:eastAsia="仿宋" w:cs="仿宋"/>
          <w:color w:val="auto"/>
          <w:highlight w:val="none"/>
        </w:rPr>
        <w:t>.5采购合同由</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等内容通过电子交易平台在线签订，自动备案。</w:t>
      </w:r>
    </w:p>
    <w:p w14:paraId="49145337">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24</w:t>
      </w:r>
      <w:r>
        <w:rPr>
          <w:rFonts w:hint="eastAsia" w:ascii="仿宋" w:hAnsi="仿宋" w:eastAsia="仿宋" w:cs="仿宋"/>
          <w:color w:val="auto"/>
          <w:highlight w:val="none"/>
        </w:rPr>
        <w:t>.履约保证金</w:t>
      </w:r>
    </w:p>
    <w:p w14:paraId="2FD7430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供应商提交履约保证金的，供应商应当以支票、汇票、本票或者金融机构、担保机构出具的保函等非现金形式提交。履约保证金的数额不得超过合同金额的1%。鼓励和支持供应商以银行、保险公司出具的保函形式提供履约保证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不得拒收履约保函，项目结束后应及时退还。</w:t>
      </w:r>
    </w:p>
    <w:p w14:paraId="6E405119">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14:paraId="18587E8A">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25</w:t>
      </w:r>
      <w:r>
        <w:rPr>
          <w:rFonts w:hint="eastAsia" w:ascii="仿宋" w:hAnsi="仿宋" w:eastAsia="仿宋" w:cs="仿宋"/>
          <w:color w:val="auto"/>
          <w:highlight w:val="none"/>
        </w:rPr>
        <w:t>.电子交易活动的中止。</w:t>
      </w:r>
    </w:p>
    <w:p w14:paraId="7CE7972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可中止电子交易活动：</w:t>
      </w:r>
    </w:p>
    <w:p w14:paraId="35F2E9F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5</w:t>
      </w:r>
      <w:r>
        <w:rPr>
          <w:rFonts w:hint="eastAsia" w:ascii="仿宋" w:hAnsi="仿宋" w:eastAsia="仿宋" w:cs="仿宋"/>
          <w:color w:val="auto"/>
          <w:highlight w:val="none"/>
        </w:rPr>
        <w:t xml:space="preserve">.1电子交易平台发生故障而无法登录访问的； </w:t>
      </w:r>
    </w:p>
    <w:p w14:paraId="2ACAB27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5</w:t>
      </w:r>
      <w:r>
        <w:rPr>
          <w:rFonts w:hint="eastAsia" w:ascii="仿宋" w:hAnsi="仿宋" w:eastAsia="仿宋" w:cs="仿宋"/>
          <w:color w:val="auto"/>
          <w:highlight w:val="none"/>
        </w:rPr>
        <w:t>.2电子交易平台应用或数据库出现错误，不能进行正常操作的；</w:t>
      </w:r>
    </w:p>
    <w:p w14:paraId="449E6C7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5</w:t>
      </w:r>
      <w:r>
        <w:rPr>
          <w:rFonts w:hint="eastAsia" w:ascii="仿宋" w:hAnsi="仿宋" w:eastAsia="仿宋" w:cs="仿宋"/>
          <w:color w:val="auto"/>
          <w:highlight w:val="none"/>
        </w:rPr>
        <w:t>.3电子交易平台发现严重安全漏洞，有潜在泄密危险的；</w:t>
      </w:r>
    </w:p>
    <w:p w14:paraId="1015660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5</w:t>
      </w:r>
      <w:r>
        <w:rPr>
          <w:rFonts w:hint="eastAsia" w:ascii="仿宋" w:hAnsi="仿宋" w:eastAsia="仿宋" w:cs="仿宋"/>
          <w:color w:val="auto"/>
          <w:highlight w:val="none"/>
        </w:rPr>
        <w:t xml:space="preserve">.4病毒发作导致不能进行正常操作的； </w:t>
      </w:r>
    </w:p>
    <w:p w14:paraId="7494BA8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5</w:t>
      </w:r>
      <w:r>
        <w:rPr>
          <w:rFonts w:hint="eastAsia" w:ascii="仿宋" w:hAnsi="仿宋" w:eastAsia="仿宋" w:cs="仿宋"/>
          <w:color w:val="auto"/>
          <w:highlight w:val="none"/>
        </w:rPr>
        <w:t>.5其他无法保证电子交易的公平、公正和安全的情况。</w:t>
      </w:r>
    </w:p>
    <w:p w14:paraId="6735770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6</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C6EC0A3">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6183CF5">
      <w:pPr>
        <w:pStyle w:val="3"/>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36"/>
          <w:szCs w:val="36"/>
          <w:highlight w:val="none"/>
        </w:rPr>
      </w:pPr>
      <w:r>
        <w:rPr>
          <w:rFonts w:hint="eastAsia" w:ascii="仿宋" w:hAnsi="仿宋" w:eastAsia="仿宋" w:cs="仿宋"/>
          <w:color w:val="auto"/>
          <w:highlight w:val="none"/>
        </w:rPr>
        <w:t xml:space="preserve">第三部分   </w:t>
      </w:r>
      <w:r>
        <w:rPr>
          <w:rFonts w:hint="eastAsia" w:ascii="仿宋" w:eastAsia="仿宋" w:cs="仿宋"/>
          <w:color w:val="auto"/>
          <w:sz w:val="36"/>
          <w:szCs w:val="36"/>
          <w:highlight w:val="none"/>
          <w:lang w:val="en-US" w:eastAsia="zh-CN"/>
        </w:rPr>
        <w:t>交易</w:t>
      </w:r>
      <w:r>
        <w:rPr>
          <w:rFonts w:hint="eastAsia" w:ascii="仿宋" w:hAnsi="仿宋" w:eastAsia="仿宋" w:cs="仿宋"/>
          <w:color w:val="auto"/>
          <w:sz w:val="36"/>
          <w:szCs w:val="36"/>
          <w:highlight w:val="none"/>
        </w:rPr>
        <w:t>需求</w:t>
      </w:r>
    </w:p>
    <w:p w14:paraId="6D962BBD">
      <w:pPr>
        <w:keepNext w:val="0"/>
        <w:keepLines w:val="0"/>
        <w:pageBreakBefore w:val="0"/>
        <w:widowControl/>
        <w:kinsoku/>
        <w:wordWrap/>
        <w:overflowPunct/>
        <w:topLinePunct w:val="0"/>
        <w:autoSpaceDE/>
        <w:autoSpaceDN/>
        <w:bidi w:val="0"/>
        <w:adjustRightInd/>
        <w:snapToGrid w:val="0"/>
        <w:spacing w:line="240" w:lineRule="auto"/>
        <w:textAlignment w:val="auto"/>
        <w:rPr>
          <w:rStyle w:val="55"/>
          <w:rFonts w:hint="eastAsia" w:ascii="仿宋" w:hAnsi="仿宋" w:eastAsia="仿宋" w:cs="仿宋"/>
          <w:i w:val="0"/>
          <w:iCs w:val="0"/>
          <w:color w:val="auto"/>
          <w:sz w:val="24"/>
          <w:szCs w:val="24"/>
          <w:highlight w:val="none"/>
        </w:rPr>
      </w:pPr>
      <w:r>
        <w:rPr>
          <w:rStyle w:val="55"/>
          <w:rFonts w:hint="eastAsia" w:ascii="仿宋" w:hAnsi="仿宋" w:eastAsia="仿宋" w:cs="仿宋"/>
          <w:i w:val="0"/>
          <w:iCs w:val="0"/>
          <w:color w:val="auto"/>
          <w:sz w:val="24"/>
          <w:szCs w:val="24"/>
          <w:highlight w:val="none"/>
        </w:rPr>
        <w:t>属于实质性要求条款的，请用符号“▲”标明，否则属于非实质性要求。</w:t>
      </w:r>
    </w:p>
    <w:p w14:paraId="0CE70CD3">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color w:val="auto"/>
          <w:highlight w:val="none"/>
        </w:rPr>
      </w:pPr>
      <w:r>
        <w:rPr>
          <w:rStyle w:val="55"/>
          <w:rFonts w:hint="eastAsia" w:ascii="仿宋" w:hAnsi="仿宋" w:eastAsia="仿宋" w:cs="仿宋"/>
          <w:i w:val="0"/>
          <w:iCs w:val="0"/>
          <w:color w:val="auto"/>
          <w:sz w:val="24"/>
          <w:szCs w:val="24"/>
          <w:highlight w:val="none"/>
        </w:rPr>
        <w:t>“★”系产品采购项目中单一产品或核心产品。</w:t>
      </w:r>
    </w:p>
    <w:p w14:paraId="4FF7968C">
      <w:pPr>
        <w:keepNext w:val="0"/>
        <w:keepLines w:val="0"/>
        <w:pageBreakBefore w:val="0"/>
        <w:widowControl/>
        <w:numPr>
          <w:ilvl w:val="0"/>
          <w:numId w:val="1"/>
        </w:numPr>
        <w:kinsoku/>
        <w:wordWrap/>
        <w:overflowPunct/>
        <w:topLinePunct w:val="0"/>
        <w:autoSpaceDE/>
        <w:autoSpaceDN/>
        <w:bidi w:val="0"/>
        <w:adjustRightInd/>
        <w:snapToGrid w:val="0"/>
        <w:spacing w:line="240" w:lineRule="auto"/>
        <w:ind w:firstLine="141" w:firstLineChars="5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招标一览表</w:t>
      </w:r>
    </w:p>
    <w:p w14:paraId="20E95C9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标项一：</w:t>
      </w:r>
    </w:p>
    <w:tbl>
      <w:tblPr>
        <w:tblStyle w:val="27"/>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3523"/>
        <w:gridCol w:w="2004"/>
        <w:gridCol w:w="858"/>
        <w:gridCol w:w="859"/>
        <w:gridCol w:w="1541"/>
      </w:tblGrid>
      <w:tr w14:paraId="2FF7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jc w:val="center"/>
        </w:trPr>
        <w:tc>
          <w:tcPr>
            <w:tcW w:w="704" w:type="dxa"/>
            <w:noWrap w:val="0"/>
            <w:tcMar>
              <w:top w:w="15" w:type="dxa"/>
              <w:left w:w="15" w:type="dxa"/>
              <w:bottom w:w="0" w:type="dxa"/>
              <w:right w:w="15" w:type="dxa"/>
            </w:tcMar>
            <w:vAlign w:val="bottom"/>
          </w:tcPr>
          <w:p w14:paraId="7F7DFF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position w:val="-6"/>
                <w:sz w:val="24"/>
                <w:szCs w:val="24"/>
                <w:highlight w:val="none"/>
              </w:rPr>
            </w:pPr>
            <w:bookmarkStart w:id="2" w:name="_二期网络工程项目改造需求"/>
            <w:bookmarkEnd w:id="2"/>
            <w:r>
              <w:rPr>
                <w:rFonts w:hint="eastAsia" w:ascii="仿宋" w:hAnsi="仿宋" w:eastAsia="仿宋" w:cs="仿宋"/>
                <w:b/>
                <w:color w:val="auto"/>
                <w:position w:val="-6"/>
                <w:sz w:val="24"/>
                <w:szCs w:val="24"/>
                <w:highlight w:val="none"/>
              </w:rPr>
              <w:t>标项</w:t>
            </w:r>
          </w:p>
        </w:tc>
        <w:tc>
          <w:tcPr>
            <w:tcW w:w="3523" w:type="dxa"/>
            <w:noWrap w:val="0"/>
            <w:tcMar>
              <w:top w:w="15" w:type="dxa"/>
              <w:left w:w="15" w:type="dxa"/>
              <w:bottom w:w="0" w:type="dxa"/>
              <w:right w:w="15" w:type="dxa"/>
            </w:tcMar>
            <w:vAlign w:val="bottom"/>
          </w:tcPr>
          <w:p w14:paraId="1A71E22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position w:val="-6"/>
                <w:sz w:val="24"/>
                <w:szCs w:val="24"/>
                <w:highlight w:val="none"/>
              </w:rPr>
            </w:pPr>
            <w:r>
              <w:rPr>
                <w:rFonts w:hint="eastAsia" w:ascii="仿宋" w:hAnsi="仿宋" w:eastAsia="仿宋" w:cs="仿宋"/>
                <w:b/>
                <w:color w:val="auto"/>
                <w:position w:val="-6"/>
                <w:sz w:val="24"/>
                <w:szCs w:val="24"/>
                <w:highlight w:val="none"/>
              </w:rPr>
              <w:t>名称</w:t>
            </w:r>
          </w:p>
        </w:tc>
        <w:tc>
          <w:tcPr>
            <w:tcW w:w="2004" w:type="dxa"/>
            <w:noWrap w:val="0"/>
            <w:tcMar>
              <w:top w:w="15" w:type="dxa"/>
              <w:left w:w="15" w:type="dxa"/>
              <w:bottom w:w="0" w:type="dxa"/>
              <w:right w:w="15" w:type="dxa"/>
            </w:tcMar>
            <w:vAlign w:val="bottom"/>
          </w:tcPr>
          <w:p w14:paraId="059CC1A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position w:val="-6"/>
                <w:sz w:val="24"/>
                <w:szCs w:val="24"/>
                <w:highlight w:val="none"/>
              </w:rPr>
            </w:pPr>
            <w:r>
              <w:rPr>
                <w:rFonts w:hint="eastAsia" w:ascii="仿宋" w:hAnsi="仿宋" w:eastAsia="仿宋" w:cs="仿宋"/>
                <w:b/>
                <w:color w:val="auto"/>
                <w:position w:val="-6"/>
                <w:sz w:val="24"/>
                <w:szCs w:val="24"/>
                <w:highlight w:val="none"/>
              </w:rPr>
              <w:t>规格型号与参数</w:t>
            </w:r>
          </w:p>
        </w:tc>
        <w:tc>
          <w:tcPr>
            <w:tcW w:w="858" w:type="dxa"/>
            <w:noWrap w:val="0"/>
            <w:tcMar>
              <w:top w:w="15" w:type="dxa"/>
              <w:left w:w="15" w:type="dxa"/>
              <w:bottom w:w="0" w:type="dxa"/>
              <w:right w:w="15" w:type="dxa"/>
            </w:tcMar>
            <w:vAlign w:val="bottom"/>
          </w:tcPr>
          <w:p w14:paraId="603F68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position w:val="-6"/>
                <w:sz w:val="24"/>
                <w:szCs w:val="24"/>
                <w:highlight w:val="none"/>
              </w:rPr>
            </w:pPr>
            <w:r>
              <w:rPr>
                <w:rFonts w:hint="eastAsia" w:ascii="仿宋" w:hAnsi="仿宋" w:eastAsia="仿宋" w:cs="仿宋"/>
                <w:b/>
                <w:color w:val="auto"/>
                <w:position w:val="-6"/>
                <w:sz w:val="24"/>
                <w:szCs w:val="24"/>
                <w:highlight w:val="none"/>
              </w:rPr>
              <w:t>单位</w:t>
            </w:r>
          </w:p>
        </w:tc>
        <w:tc>
          <w:tcPr>
            <w:tcW w:w="859" w:type="dxa"/>
            <w:noWrap w:val="0"/>
            <w:tcMar>
              <w:top w:w="15" w:type="dxa"/>
              <w:left w:w="15" w:type="dxa"/>
              <w:bottom w:w="0" w:type="dxa"/>
              <w:right w:w="15" w:type="dxa"/>
            </w:tcMar>
            <w:vAlign w:val="bottom"/>
          </w:tcPr>
          <w:p w14:paraId="322A5E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position w:val="-6"/>
                <w:sz w:val="24"/>
                <w:szCs w:val="24"/>
                <w:highlight w:val="none"/>
              </w:rPr>
            </w:pPr>
            <w:r>
              <w:rPr>
                <w:rFonts w:hint="eastAsia" w:ascii="仿宋" w:hAnsi="仿宋" w:eastAsia="仿宋" w:cs="仿宋"/>
                <w:b/>
                <w:color w:val="auto"/>
                <w:position w:val="-6"/>
                <w:sz w:val="24"/>
                <w:szCs w:val="24"/>
                <w:highlight w:val="none"/>
              </w:rPr>
              <w:t>数量</w:t>
            </w:r>
          </w:p>
        </w:tc>
        <w:tc>
          <w:tcPr>
            <w:tcW w:w="1541" w:type="dxa"/>
            <w:noWrap w:val="0"/>
            <w:vAlign w:val="bottom"/>
          </w:tcPr>
          <w:p w14:paraId="417BB3D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position w:val="-6"/>
                <w:sz w:val="24"/>
                <w:szCs w:val="24"/>
                <w:highlight w:val="none"/>
              </w:rPr>
            </w:pPr>
            <w:r>
              <w:rPr>
                <w:rFonts w:hint="eastAsia" w:ascii="仿宋" w:hAnsi="仿宋" w:eastAsia="仿宋" w:cs="仿宋"/>
                <w:b/>
                <w:color w:val="auto"/>
                <w:position w:val="-6"/>
                <w:sz w:val="24"/>
                <w:szCs w:val="24"/>
                <w:highlight w:val="none"/>
              </w:rPr>
              <w:t>备注</w:t>
            </w:r>
          </w:p>
        </w:tc>
      </w:tr>
      <w:tr w14:paraId="5AC7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0" w:hRule="atLeast"/>
          <w:jc w:val="center"/>
        </w:trPr>
        <w:tc>
          <w:tcPr>
            <w:tcW w:w="704" w:type="dxa"/>
            <w:noWrap w:val="0"/>
            <w:tcMar>
              <w:top w:w="15" w:type="dxa"/>
              <w:left w:w="15" w:type="dxa"/>
              <w:bottom w:w="0" w:type="dxa"/>
              <w:right w:w="15" w:type="dxa"/>
            </w:tcMar>
            <w:vAlign w:val="center"/>
          </w:tcPr>
          <w:p w14:paraId="7600B4E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23" w:type="dxa"/>
            <w:noWrap w:val="0"/>
            <w:tcMar>
              <w:top w:w="15" w:type="dxa"/>
              <w:left w:w="15" w:type="dxa"/>
              <w:bottom w:w="0" w:type="dxa"/>
              <w:right w:w="15" w:type="dxa"/>
            </w:tcMar>
            <w:vAlign w:val="center"/>
          </w:tcPr>
          <w:p w14:paraId="49A29EC1">
            <w:pPr>
              <w:widowControl/>
              <w:snapToGrid w:val="0"/>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sz w:val="24"/>
                <w:highlight w:val="none"/>
                <w:lang w:eastAsia="zh-CN"/>
              </w:rPr>
              <w:t>萧山区202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年度重污染天气应急减排清单编制采购项目</w:t>
            </w:r>
          </w:p>
        </w:tc>
        <w:tc>
          <w:tcPr>
            <w:tcW w:w="2004" w:type="dxa"/>
            <w:noWrap w:val="0"/>
            <w:tcMar>
              <w:top w:w="15" w:type="dxa"/>
              <w:left w:w="15" w:type="dxa"/>
              <w:bottom w:w="0" w:type="dxa"/>
              <w:right w:w="15" w:type="dxa"/>
            </w:tcMar>
            <w:vAlign w:val="center"/>
          </w:tcPr>
          <w:p w14:paraId="73CEA2C1">
            <w:pPr>
              <w:widowControl/>
              <w:snapToGrid w:val="0"/>
              <w:jc w:val="center"/>
              <w:rPr>
                <w:rFonts w:hint="eastAsia" w:ascii="仿宋" w:hAnsi="仿宋" w:eastAsia="仿宋" w:cs="仿宋"/>
                <w:b/>
                <w:color w:val="auto"/>
                <w:sz w:val="24"/>
                <w:szCs w:val="24"/>
                <w:highlight w:val="none"/>
              </w:rPr>
            </w:pPr>
            <w:r>
              <w:rPr>
                <w:rFonts w:hint="eastAsia" w:ascii="仿宋" w:hAnsi="仿宋" w:eastAsia="仿宋" w:cs="仿宋"/>
                <w:sz w:val="24"/>
              </w:rPr>
              <w:t>详见招标需求</w:t>
            </w:r>
          </w:p>
        </w:tc>
        <w:tc>
          <w:tcPr>
            <w:tcW w:w="858" w:type="dxa"/>
            <w:noWrap w:val="0"/>
            <w:tcMar>
              <w:top w:w="15" w:type="dxa"/>
              <w:left w:w="15" w:type="dxa"/>
              <w:bottom w:w="0" w:type="dxa"/>
              <w:right w:w="15" w:type="dxa"/>
            </w:tcMar>
            <w:vAlign w:val="center"/>
          </w:tcPr>
          <w:p w14:paraId="33955558">
            <w:pPr>
              <w:widowControl/>
              <w:snapToGrid w:val="0"/>
              <w:jc w:val="center"/>
              <w:rPr>
                <w:rFonts w:hint="eastAsia" w:ascii="仿宋" w:hAnsi="仿宋" w:eastAsia="仿宋" w:cs="仿宋"/>
                <w:color w:val="auto"/>
                <w:sz w:val="24"/>
                <w:szCs w:val="24"/>
                <w:highlight w:val="none"/>
              </w:rPr>
            </w:pPr>
            <w:r>
              <w:rPr>
                <w:rFonts w:hint="eastAsia" w:ascii="仿宋" w:hAnsi="仿宋" w:eastAsia="仿宋" w:cs="仿宋"/>
                <w:sz w:val="24"/>
              </w:rPr>
              <w:t>1</w:t>
            </w:r>
          </w:p>
        </w:tc>
        <w:tc>
          <w:tcPr>
            <w:tcW w:w="859" w:type="dxa"/>
            <w:noWrap w:val="0"/>
            <w:tcMar>
              <w:top w:w="15" w:type="dxa"/>
              <w:left w:w="15" w:type="dxa"/>
              <w:bottom w:w="0" w:type="dxa"/>
              <w:right w:w="15" w:type="dxa"/>
            </w:tcMar>
            <w:vAlign w:val="center"/>
          </w:tcPr>
          <w:p w14:paraId="1002CC66">
            <w:pPr>
              <w:widowControl/>
              <w:snapToGrid w:val="0"/>
              <w:jc w:val="center"/>
              <w:rPr>
                <w:rFonts w:hint="eastAsia" w:ascii="仿宋" w:hAnsi="仿宋" w:eastAsia="仿宋" w:cs="仿宋"/>
                <w:color w:val="auto"/>
                <w:sz w:val="24"/>
                <w:szCs w:val="24"/>
                <w:highlight w:val="none"/>
              </w:rPr>
            </w:pPr>
            <w:r>
              <w:rPr>
                <w:rFonts w:hint="eastAsia" w:ascii="仿宋" w:hAnsi="仿宋" w:eastAsia="仿宋" w:cs="仿宋"/>
                <w:sz w:val="24"/>
              </w:rPr>
              <w:t>项</w:t>
            </w:r>
          </w:p>
        </w:tc>
        <w:tc>
          <w:tcPr>
            <w:tcW w:w="1541" w:type="dxa"/>
            <w:noWrap w:val="0"/>
            <w:vAlign w:val="center"/>
          </w:tcPr>
          <w:p w14:paraId="0FCE57F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rPr>
            </w:pPr>
          </w:p>
        </w:tc>
      </w:tr>
    </w:tbl>
    <w:p w14:paraId="25834F2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szCs w:val="24"/>
          <w:highlight w:val="none"/>
        </w:rPr>
      </w:pPr>
    </w:p>
    <w:p w14:paraId="5E3F4D3F">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招标需求</w:t>
      </w:r>
    </w:p>
    <w:p w14:paraId="3020D560">
      <w:pPr>
        <w:pStyle w:val="64"/>
        <w:keepNext w:val="0"/>
        <w:keepLines w:val="0"/>
        <w:pageBreakBefore w:val="0"/>
        <w:widowControl/>
        <w:kinsoku/>
        <w:wordWrap/>
        <w:overflowPunct/>
        <w:topLinePunct w:val="0"/>
        <w:autoSpaceDE/>
        <w:autoSpaceDN/>
        <w:bidi w:val="0"/>
        <w:adjustRightInd/>
        <w:snapToGrid w:val="0"/>
        <w:spacing w:before="0" w:after="0" w:line="360" w:lineRule="auto"/>
        <w:ind w:firstLine="0" w:firstLineChars="0"/>
        <w:textAlignment w:val="auto"/>
        <w:rPr>
          <w:rFonts w:hint="default" w:ascii="仿宋" w:hAnsi="仿宋" w:eastAsia="仿宋" w:cs="仿宋"/>
          <w:bCs/>
          <w:sz w:val="24"/>
          <w:highlight w:val="none"/>
          <w:lang w:val="en-US" w:eastAsia="zh-CN"/>
        </w:rPr>
      </w:pPr>
      <w:r>
        <w:rPr>
          <w:rFonts w:hint="eastAsia" w:ascii="仿宋" w:hAnsi="仿宋" w:eastAsia="仿宋" w:cs="仿宋"/>
          <w:b/>
          <w:szCs w:val="24"/>
        </w:rPr>
        <w:t>1、技术需求</w:t>
      </w:r>
    </w:p>
    <w:p w14:paraId="7348C13C">
      <w:pPr>
        <w:pStyle w:val="2"/>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完成多表合一系统企业信息更新。包括协助开展多表合一系统企业填报培训指导、进度更新调度、审核修订等工作。</w:t>
      </w:r>
    </w:p>
    <w:p w14:paraId="63001714">
      <w:pPr>
        <w:pStyle w:val="2"/>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lang w:val="en-US" w:eastAsia="zh-CN"/>
        </w:rPr>
        <w:t>2</w:t>
      </w:r>
      <w:r>
        <w:rPr>
          <w:rFonts w:hint="eastAsia" w:ascii="仿宋" w:hAnsi="仿宋" w:eastAsia="仿宋" w:cs="仿宋"/>
          <w:bCs/>
          <w:sz w:val="24"/>
        </w:rPr>
        <w:t>.开展重点行业企业绩效分级自评技术支撑。对市里下达萧山的企业开展重污染天气重点行业企业绩效分级自评技术支撑，确保按时完成企业自评和审核工作。（1）根据实际情况，采取线上/线下方式开展企业重污染天气应急减排绩效分级填报培训。（2）企业填报过程中做好过程答疑和现场帮扶指导，重点加强对申请为A、B级企业的帮扶指导，对企业填报资料开展审核。（3）开展企业绩效评级现场核查。严格按照《重污染天气重点行业应急减排措施制定指南（2020年修订版）》及上级最新要求，对最终纳入名单的企业</w:t>
      </w:r>
      <w:r>
        <w:rPr>
          <w:rFonts w:hint="eastAsia" w:ascii="仿宋" w:hAnsi="仿宋" w:eastAsia="仿宋" w:cs="仿宋"/>
          <w:bCs/>
          <w:sz w:val="24"/>
          <w:highlight w:val="none"/>
          <w:lang w:eastAsia="zh-CN"/>
        </w:rPr>
        <w:t>（至少不少于上级下达的目标数）</w:t>
      </w:r>
      <w:r>
        <w:rPr>
          <w:rFonts w:hint="eastAsia" w:ascii="仿宋" w:hAnsi="仿宋" w:eastAsia="仿宋" w:cs="仿宋"/>
          <w:bCs/>
          <w:sz w:val="24"/>
          <w:highlight w:val="none"/>
        </w:rPr>
        <w:t>填报内容逐一进行现场核查帮扶，核查帮扶内容包括（但不限于）企业名称、统一社会信用代码、全国统一排污许可证编号、所属区县、所属街道、详细地址、经纬度、所属工业园区、重点行业类型及分支、管控类型、法人代表、应急措施落实责任人、工业总产值、燃煤消耗量、燃油消耗量、焦炭消耗量、生物质消耗量、石油焦消耗量、天然气消耗量、用电量、日常重型载货车进出厂车辆数、生产工序、备用生产线/工序数量、主要产品名称、主要产品年产量、颗粒物、SO2、NOx、VOCs排放量、不同污染预警下的减排措施和应急成本、不同污染预警下的各项污染物减排量，废水排放量，废水自处理率，生产天数，污水处理池情况，原辅料用量，挥发性有机物成分，生产线用燃料，锅炉炉窑信息，堆场信息，储罐信息，有机液体装载信息以及绩效分级等内容是否客观准确，确保企业绩效分级质量。加强对申请为A、B级或引领性企业的帮扶指导，辅导创建A、B级及引领性企业</w:t>
      </w:r>
      <w:r>
        <w:rPr>
          <w:rFonts w:hint="eastAsia" w:ascii="仿宋" w:hAnsi="仿宋" w:eastAsia="仿宋" w:cs="仿宋"/>
          <w:bCs/>
          <w:sz w:val="24"/>
          <w:highlight w:val="none"/>
          <w:lang w:eastAsia="zh-CN"/>
        </w:rPr>
        <w:t>（至少不少于上级下达的目标数），</w:t>
      </w:r>
      <w:r>
        <w:rPr>
          <w:rFonts w:hint="eastAsia" w:ascii="仿宋" w:hAnsi="仿宋" w:eastAsia="仿宋" w:cs="仿宋"/>
          <w:bCs/>
          <w:sz w:val="24"/>
          <w:highlight w:val="none"/>
        </w:rPr>
        <w:t>并确保通过省、市组织的核查。做好市下达的D级升C级任务清单梳理、现场调研、指导帮扶等工作。（4）配合做好杭州市大气办和技术团队对萧山区纳入企业的现场抽查、指导和复核。</w:t>
      </w:r>
    </w:p>
    <w:p w14:paraId="15ED3223">
      <w:pPr>
        <w:pStyle w:val="2"/>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.重污染应急减排企业“一厂一策”编制技术支撑。指导纳入重污染应急减排清单企业按照上级要求（约</w:t>
      </w:r>
      <w:r>
        <w:rPr>
          <w:rFonts w:hint="eastAsia" w:ascii="仿宋" w:hAnsi="仿宋" w:eastAsia="仿宋" w:cs="仿宋"/>
          <w:bCs/>
          <w:sz w:val="24"/>
          <w:highlight w:val="none"/>
          <w:lang w:val="en-US" w:eastAsia="zh-CN"/>
        </w:rPr>
        <w:t>500</w:t>
      </w:r>
      <w:r>
        <w:rPr>
          <w:rFonts w:hint="eastAsia" w:ascii="仿宋" w:hAnsi="仿宋" w:eastAsia="仿宋" w:cs="仿宋"/>
          <w:bCs/>
          <w:sz w:val="24"/>
          <w:highlight w:val="none"/>
        </w:rPr>
        <w:t>家，具体以上级确定的清单为准）编制“一厂一策”方案，主要内容包括（但不限于）：企业基本情况；主要生产工艺流程；主要涉气产排污环节及废气污染物排放情况（含进出厂区重型运输车辆及厂区内非道路移动机械）；载明不同级别预警下的应急减排措施（明确具体停产的生产线、工艺环节和各类减排措施的关键性指标，如天然气用量、用电量）；细化具体减排工序责任人及联系方式等。“一厂一策”技术支撑主要包括：（1）根据实际情况，采取线上/线下方式开展“一厂一策”企业方案编制技术培训。（2）编制过程中的技术答疑和企业现场指导。（3）企业重污染应急减排措施可行性核实，企业编制的“一厂一策”所有减排措施必须符合技术指南要求，确保措施“可操作、可监测、可核查”。（4）分别核算应急减排清单企业在黄色、橙色和红色预警条件下的减排量。（5）根据杭州市大气办要求对企业“一厂一策”报告进行审核把关。（6）杭州市大气办和萧山区大气办要求的其他“一厂一策”相关技术支撑工作。</w:t>
      </w:r>
    </w:p>
    <w:p w14:paraId="7080752F">
      <w:pPr>
        <w:pStyle w:val="2"/>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开展减排基数核算。开展减排基数核算是科学制定和评估重污染天气应急减排措施的重要基础。减排基数核算包括基础排放清单建立及排放量核算、应急减排基数核算、日减排基数核算三部分。基础排放量核算是对全社会的排放量进行测算，包括工业源、生活源、移动源、扬尘源等。</w:t>
      </w:r>
    </w:p>
    <w:p w14:paraId="74461332">
      <w:pPr>
        <w:pStyle w:val="2"/>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测算应急减排措施减排量及减排比例。配合杭州市大气办开展减排比例核算。黄色、橙色、红色预警分别对应Ⅲ级、Ⅱ级、Ⅰ级应急响应。二氧化硫、氮氧化物、颗粒物和挥发性有机物的减排比例在Ⅲ级、Ⅱ级、Ⅰ级应急响应期间，应分别达到全社会排放量占比的10%、20%和30%以上。根据萧山本地污染物排放构成调整二氧化硫和氮氧化物减排比例，但二者比例之和不应低于上述总体要求。在制定萧山区减排措施时，在满足减排比例要求的前提下，尽量采取差异化减排措施；若达不到总体减排比例要求的，需进一步加大应急减排力度，根据市大气办要求启动特色行业减排工作，主要包括特色行业重污染天气应急减排措施制定、特色行业减排量核算等。</w:t>
      </w:r>
    </w:p>
    <w:p w14:paraId="00FDCA9B">
      <w:pPr>
        <w:pStyle w:val="2"/>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完成应急减排措施和“一厂一策”方案上报。根据杭州市统一部署，按时将萧山区重污染天气应急减排清单和“一厂一策”方案上报杭州市生态环境局，并根据上级审核结果进行修改完善，最终以通过生态环境部审核为准。</w:t>
      </w:r>
    </w:p>
    <w:p w14:paraId="01CE8C96">
      <w:pPr>
        <w:pStyle w:val="2"/>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.完成上级和生态环境萧山分局要求的涉及萧山区重污染天气应急减排清单工作的其他任务。</w:t>
      </w:r>
    </w:p>
    <w:p w14:paraId="052C0C2A">
      <w:pPr>
        <w:pStyle w:val="2"/>
        <w:ind w:left="0" w:leftChars="0" w:firstLine="480" w:firstLineChars="200"/>
        <w:rPr>
          <w:rFonts w:ascii="仿宋" w:hAnsi="仿宋" w:eastAsia="仿宋" w:cs="仿宋"/>
          <w:bCs/>
          <w:sz w:val="24"/>
          <w:highlight w:val="none"/>
        </w:rPr>
      </w:pP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.编制应急减排清单分析报告。编制一份</w:t>
      </w:r>
      <w:r>
        <w:rPr>
          <w:rFonts w:hint="eastAsia" w:ascii="仿宋" w:hAnsi="仿宋" w:eastAsia="仿宋" w:cs="仿宋"/>
          <w:bCs/>
          <w:sz w:val="24"/>
          <w:highlight w:val="none"/>
          <w:lang w:val="en-US" w:eastAsia="zh-CN"/>
        </w:rPr>
        <w:t>2025</w:t>
      </w:r>
      <w:r>
        <w:rPr>
          <w:rFonts w:hint="eastAsia" w:ascii="仿宋" w:hAnsi="仿宋" w:eastAsia="仿宋" w:cs="仿宋"/>
          <w:bCs/>
          <w:sz w:val="24"/>
          <w:highlight w:val="none"/>
        </w:rPr>
        <w:t>年重污染天气应急减排清单分析报告，报告中的内容应该包括萧山区重污染应急启动情况，萧山区秋冬季重污染天气情况，基本情况，项目技术路线，清单基本情况分析，清单排放量分析，减排措施及减排量分析，不确定性分析，问题和建议等部分。</w:t>
      </w:r>
    </w:p>
    <w:p w14:paraId="1ED3C217">
      <w:pPr>
        <w:pStyle w:val="2"/>
        <w:ind w:left="0" w:leftChars="0" w:firstLine="480" w:firstLineChars="200"/>
        <w:rPr>
          <w:rFonts w:hint="eastAsia" w:ascii="仿宋" w:hAnsi="仿宋" w:eastAsia="仿宋" w:cs="仿宋"/>
          <w:bCs/>
          <w:highlight w:val="none"/>
        </w:rPr>
      </w:pPr>
      <w:r>
        <w:rPr>
          <w:rFonts w:hint="eastAsia" w:ascii="仿宋" w:hAnsi="仿宋" w:eastAsia="仿宋" w:cs="仿宋"/>
          <w:bCs/>
          <w:sz w:val="24"/>
          <w:highlight w:val="none"/>
          <w:lang w:val="en-US" w:eastAsia="zh-CN"/>
        </w:rPr>
        <w:t>9</w:t>
      </w:r>
      <w:r>
        <w:rPr>
          <w:rFonts w:hint="eastAsia" w:ascii="仿宋" w:hAnsi="仿宋" w:eastAsia="仿宋" w:cs="仿宋"/>
          <w:bCs/>
          <w:sz w:val="24"/>
          <w:highlight w:val="none"/>
        </w:rPr>
        <w:t>.▲本次服务至少安排五人及以上人员负责本项目的实施，其中一人要求驻点，驻点人员办公设备由中标方解决，另四人负责咨询指导、现场核查等工作。负责线下培训、现场核查等和本项目相关出行所需车辆的租赁。</w:t>
      </w:r>
    </w:p>
    <w:p w14:paraId="33336E3F">
      <w:pPr>
        <w:pStyle w:val="64"/>
        <w:widowControl/>
        <w:adjustRightInd/>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2.商务需求</w:t>
      </w:r>
    </w:p>
    <w:p w14:paraId="42D0C35C">
      <w:pPr>
        <w:pStyle w:val="64"/>
        <w:keepNext w:val="0"/>
        <w:keepLines w:val="0"/>
        <w:pageBreakBefore w:val="0"/>
        <w:widowControl/>
        <w:kinsoku/>
        <w:wordWrap/>
        <w:overflowPunct/>
        <w:topLinePunct w:val="0"/>
        <w:autoSpaceDE/>
        <w:autoSpaceDN/>
        <w:bidi w:val="0"/>
        <w:adjustRightInd/>
        <w:snapToGrid w:val="0"/>
        <w:spacing w:before="0" w:after="0"/>
        <w:ind w:firstLine="482"/>
        <w:textAlignment w:val="auto"/>
        <w:rPr>
          <w:rFonts w:hint="eastAsia" w:ascii="仿宋" w:hAnsi="仿宋" w:eastAsia="仿宋" w:cs="仿宋"/>
          <w:bCs/>
          <w:szCs w:val="24"/>
          <w:highlight w:val="none"/>
        </w:rPr>
      </w:pPr>
      <w:r>
        <w:rPr>
          <w:rFonts w:hint="eastAsia" w:ascii="仿宋" w:hAnsi="仿宋" w:eastAsia="仿宋" w:cs="仿宋"/>
          <w:b/>
          <w:szCs w:val="24"/>
          <w:highlight w:val="none"/>
        </w:rPr>
        <w:t>▲</w:t>
      </w:r>
      <w:r>
        <w:rPr>
          <w:rFonts w:hint="eastAsia" w:ascii="仿宋" w:hAnsi="仿宋" w:eastAsia="仿宋" w:cs="仿宋"/>
          <w:bCs/>
          <w:szCs w:val="24"/>
          <w:highlight w:val="none"/>
        </w:rPr>
        <w:t>2.1 服务期：合同签订起至</w:t>
      </w:r>
      <w:r>
        <w:rPr>
          <w:rFonts w:hint="eastAsia" w:ascii="仿宋" w:hAnsi="仿宋" w:eastAsia="仿宋" w:cs="仿宋"/>
          <w:bCs/>
          <w:szCs w:val="24"/>
          <w:highlight w:val="none"/>
          <w:lang w:val="en-US" w:eastAsia="zh-CN"/>
        </w:rPr>
        <w:t>2025</w:t>
      </w:r>
      <w:r>
        <w:rPr>
          <w:rFonts w:hint="eastAsia" w:ascii="仿宋" w:hAnsi="仿宋" w:eastAsia="仿宋" w:cs="仿宋"/>
          <w:bCs/>
          <w:szCs w:val="24"/>
          <w:highlight w:val="none"/>
        </w:rPr>
        <w:t>年12月31日止。</w:t>
      </w:r>
    </w:p>
    <w:p w14:paraId="627F9F61">
      <w:pPr>
        <w:pStyle w:val="64"/>
        <w:keepNext w:val="0"/>
        <w:keepLines w:val="0"/>
        <w:pageBreakBefore w:val="0"/>
        <w:widowControl/>
        <w:kinsoku/>
        <w:wordWrap/>
        <w:overflowPunct/>
        <w:topLinePunct w:val="0"/>
        <w:autoSpaceDE/>
        <w:autoSpaceDN/>
        <w:bidi w:val="0"/>
        <w:adjustRightInd/>
        <w:snapToGrid w:val="0"/>
        <w:spacing w:before="0" w:after="0"/>
        <w:ind w:firstLine="720" w:firstLineChars="300"/>
        <w:textAlignment w:val="auto"/>
        <w:rPr>
          <w:rFonts w:hint="eastAsia" w:ascii="仿宋" w:hAnsi="仿宋" w:eastAsia="仿宋" w:cs="仿宋"/>
          <w:bCs/>
          <w:szCs w:val="24"/>
        </w:rPr>
      </w:pPr>
      <w:r>
        <w:rPr>
          <w:rFonts w:hint="eastAsia" w:ascii="仿宋" w:hAnsi="仿宋" w:eastAsia="仿宋" w:cs="仿宋"/>
          <w:bCs/>
          <w:szCs w:val="24"/>
        </w:rPr>
        <w:t>2.2付款方式</w:t>
      </w:r>
    </w:p>
    <w:p w14:paraId="48580864">
      <w:pPr>
        <w:pStyle w:val="64"/>
        <w:keepNext w:val="0"/>
        <w:keepLines w:val="0"/>
        <w:pageBreakBefore w:val="0"/>
        <w:widowControl/>
        <w:kinsoku/>
        <w:wordWrap/>
        <w:overflowPunct/>
        <w:topLinePunct w:val="0"/>
        <w:autoSpaceDE/>
        <w:autoSpaceDN/>
        <w:bidi w:val="0"/>
        <w:adjustRightInd/>
        <w:snapToGrid w:val="0"/>
        <w:spacing w:before="0" w:after="0" w:line="360" w:lineRule="auto"/>
        <w:ind w:firstLine="480" w:firstLineChars="200"/>
        <w:textAlignment w:val="auto"/>
        <w:outlineLvl w:val="9"/>
        <w:rPr>
          <w:rFonts w:hint="eastAsia" w:ascii="仿宋" w:hAnsi="仿宋" w:eastAsia="仿宋" w:cs="仿宋"/>
          <w:bCs/>
          <w:szCs w:val="24"/>
        </w:rPr>
      </w:pPr>
      <w:r>
        <w:rPr>
          <w:rFonts w:hint="eastAsia" w:ascii="仿宋" w:hAnsi="仿宋" w:eastAsia="仿宋" w:cs="仿宋"/>
          <w:bCs/>
          <w:szCs w:val="24"/>
        </w:rPr>
        <w:t>项目合同签订后15个工作日内支付60%，项目结束后付清剩余40％。</w:t>
      </w:r>
    </w:p>
    <w:p w14:paraId="3CA262FB">
      <w:pPr>
        <w:pStyle w:val="64"/>
        <w:keepNext w:val="0"/>
        <w:keepLines w:val="0"/>
        <w:pageBreakBefore w:val="0"/>
        <w:widowControl/>
        <w:kinsoku/>
        <w:wordWrap/>
        <w:overflowPunct/>
        <w:topLinePunct w:val="0"/>
        <w:autoSpaceDE/>
        <w:autoSpaceDN/>
        <w:bidi w:val="0"/>
        <w:adjustRightInd/>
        <w:snapToGrid w:val="0"/>
        <w:spacing w:before="0" w:after="0" w:line="360" w:lineRule="auto"/>
        <w:ind w:firstLine="482"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1.除采购文件标注的参考品牌外，欢迎其它能满足本项目技术需求且性能与所注品牌相当的产品参与。</w:t>
      </w:r>
    </w:p>
    <w:p w14:paraId="5DACC387">
      <w:pPr>
        <w:pStyle w:val="64"/>
        <w:keepNext w:val="0"/>
        <w:keepLines w:val="0"/>
        <w:pageBreakBefore w:val="0"/>
        <w:widowControl/>
        <w:kinsoku/>
        <w:wordWrap/>
        <w:overflowPunct/>
        <w:topLinePunct w:val="0"/>
        <w:autoSpaceDE/>
        <w:autoSpaceDN/>
        <w:bidi w:val="0"/>
        <w:adjustRightInd/>
        <w:snapToGrid w:val="0"/>
        <w:spacing w:before="0" w:after="0"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2.如有附图，仅作参考。</w:t>
      </w:r>
    </w:p>
    <w:p w14:paraId="777D5FB7">
      <w:pPr>
        <w:pStyle w:val="64"/>
        <w:keepNext w:val="0"/>
        <w:keepLines w:val="0"/>
        <w:pageBreakBefore w:val="0"/>
        <w:widowControl/>
        <w:kinsoku/>
        <w:wordWrap/>
        <w:overflowPunct/>
        <w:topLinePunct w:val="0"/>
        <w:autoSpaceDE/>
        <w:autoSpaceDN/>
        <w:bidi w:val="0"/>
        <w:adjustRightInd/>
        <w:snapToGrid w:val="0"/>
        <w:spacing w:before="0" w:after="0"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3.招标文件中打▲内容为实质性要求，不允许有负偏离，否则将以涉及无效投标条款作无效投标。</w:t>
      </w:r>
    </w:p>
    <w:p w14:paraId="70ABE0C4">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bCs/>
          <w:color w:val="auto"/>
          <w:sz w:val="21"/>
          <w:szCs w:val="21"/>
          <w:highlight w:val="none"/>
          <w:lang w:eastAsia="zh-CN"/>
        </w:rPr>
        <w:sectPr>
          <w:head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24"/>
          <w:szCs w:val="24"/>
          <w:highlight w:val="none"/>
          <w:lang w:val="en-US" w:eastAsia="zh-CN"/>
        </w:rPr>
        <w:t>4、中标供应商所提供的货物、服务须与投标承诺一致，不得以次充好、偷工减料，若在项目验收中发现有上述情况，将向有关部门举报，根据相关规定进行处理。</w:t>
      </w:r>
    </w:p>
    <w:p w14:paraId="59C6746A">
      <w:pPr>
        <w:jc w:val="center"/>
        <w:rPr>
          <w:rFonts w:hint="eastAsia" w:ascii="仿宋" w:hAnsi="仿宋" w:eastAsia="仿宋" w:cs="仿宋"/>
          <w:b/>
          <w:smallCaps/>
          <w:color w:val="auto"/>
          <w:sz w:val="28"/>
          <w:szCs w:val="28"/>
          <w:highlight w:val="none"/>
          <w:lang w:val="en-US" w:eastAsia="zh-CN" w:bidi="ar-SA"/>
        </w:rPr>
      </w:pPr>
      <w:r>
        <w:rPr>
          <w:rFonts w:hint="eastAsia" w:ascii="仿宋" w:hAnsi="仿宋" w:eastAsia="仿宋" w:cs="仿宋"/>
          <w:b/>
          <w:smallCaps/>
          <w:color w:val="auto"/>
          <w:sz w:val="28"/>
          <w:szCs w:val="28"/>
          <w:highlight w:val="none"/>
          <w:lang w:val="en-US" w:eastAsia="zh-CN" w:bidi="ar-SA"/>
        </w:rPr>
        <w:t xml:space="preserve">第四部分   </w:t>
      </w:r>
      <w:bookmarkStart w:id="3" w:name="_Toc184313287"/>
      <w:bookmarkEnd w:id="3"/>
      <w:bookmarkStart w:id="4" w:name="_Toc184313258"/>
      <w:bookmarkEnd w:id="4"/>
      <w:bookmarkStart w:id="5" w:name="_Toc184312076"/>
      <w:bookmarkEnd w:id="5"/>
      <w:bookmarkStart w:id="6" w:name="_Toc184312117"/>
      <w:bookmarkEnd w:id="6"/>
      <w:bookmarkStart w:id="7" w:name="_Toc184308107"/>
      <w:bookmarkEnd w:id="7"/>
      <w:bookmarkStart w:id="8" w:name="_Toc184314464"/>
      <w:bookmarkEnd w:id="8"/>
      <w:bookmarkStart w:id="9" w:name="_Toc184313264"/>
      <w:bookmarkEnd w:id="9"/>
      <w:bookmarkStart w:id="10" w:name="_Toc184308096"/>
      <w:bookmarkEnd w:id="10"/>
      <w:bookmarkStart w:id="11" w:name="_Toc184313292"/>
      <w:bookmarkEnd w:id="11"/>
      <w:bookmarkStart w:id="12" w:name="_Toc184308090"/>
      <w:bookmarkEnd w:id="12"/>
      <w:bookmarkStart w:id="13" w:name="_Toc184310302"/>
      <w:bookmarkEnd w:id="13"/>
      <w:bookmarkStart w:id="14" w:name="_Toc184314430"/>
      <w:bookmarkEnd w:id="14"/>
      <w:bookmarkStart w:id="15" w:name="_Toc184313296"/>
      <w:bookmarkEnd w:id="15"/>
      <w:bookmarkStart w:id="16" w:name="_Toc184312129"/>
      <w:bookmarkEnd w:id="16"/>
      <w:bookmarkStart w:id="17" w:name="_Toc184308055"/>
      <w:bookmarkEnd w:id="17"/>
      <w:bookmarkStart w:id="18" w:name="_Toc184310319"/>
      <w:bookmarkEnd w:id="18"/>
      <w:bookmarkStart w:id="19" w:name="_Toc184308103"/>
      <w:bookmarkEnd w:id="19"/>
      <w:bookmarkStart w:id="20" w:name="_Toc184312130"/>
      <w:bookmarkEnd w:id="20"/>
      <w:bookmarkStart w:id="21" w:name="_Toc184314446"/>
      <w:bookmarkEnd w:id="21"/>
      <w:bookmarkStart w:id="22" w:name="_Toc184308042"/>
      <w:bookmarkEnd w:id="22"/>
      <w:bookmarkStart w:id="23" w:name="_Toc184308045"/>
      <w:bookmarkEnd w:id="23"/>
      <w:bookmarkStart w:id="24" w:name="_Toc184312126"/>
      <w:bookmarkEnd w:id="24"/>
      <w:bookmarkStart w:id="25" w:name="_Toc184312114"/>
      <w:bookmarkEnd w:id="25"/>
      <w:bookmarkStart w:id="26" w:name="_Toc184310326"/>
      <w:bookmarkEnd w:id="26"/>
      <w:bookmarkStart w:id="27" w:name="_Toc184308085"/>
      <w:bookmarkEnd w:id="27"/>
      <w:bookmarkStart w:id="28" w:name="_Toc184313306"/>
      <w:bookmarkEnd w:id="28"/>
      <w:bookmarkStart w:id="29" w:name="_Toc184308088"/>
      <w:bookmarkEnd w:id="29"/>
      <w:bookmarkStart w:id="30" w:name="_Toc184313276"/>
      <w:bookmarkEnd w:id="30"/>
      <w:bookmarkStart w:id="31" w:name="_Toc184308064"/>
      <w:bookmarkEnd w:id="31"/>
      <w:bookmarkStart w:id="32" w:name="_Toc184310331"/>
      <w:bookmarkEnd w:id="32"/>
      <w:bookmarkStart w:id="33" w:name="_Toc184310291"/>
      <w:bookmarkEnd w:id="33"/>
      <w:bookmarkStart w:id="34" w:name="_Toc184312103"/>
      <w:bookmarkEnd w:id="34"/>
      <w:bookmarkStart w:id="35" w:name="_Toc184308078"/>
      <w:bookmarkEnd w:id="35"/>
      <w:bookmarkStart w:id="36" w:name="_Toc184310299"/>
      <w:bookmarkEnd w:id="36"/>
      <w:bookmarkStart w:id="37" w:name="_Toc184312127"/>
      <w:bookmarkEnd w:id="37"/>
      <w:bookmarkStart w:id="38" w:name="_Toc184308095"/>
      <w:bookmarkEnd w:id="38"/>
      <w:bookmarkStart w:id="39" w:name="_Toc184314413"/>
      <w:bookmarkEnd w:id="39"/>
      <w:bookmarkStart w:id="40" w:name="_Toc184310303"/>
      <w:bookmarkEnd w:id="40"/>
      <w:bookmarkStart w:id="41" w:name="_Toc184310329"/>
      <w:bookmarkEnd w:id="41"/>
      <w:bookmarkStart w:id="42" w:name="_Toc184310315"/>
      <w:bookmarkEnd w:id="42"/>
      <w:bookmarkStart w:id="43" w:name="_Toc184308048"/>
      <w:bookmarkEnd w:id="43"/>
      <w:bookmarkStart w:id="44" w:name="_Toc184313247"/>
      <w:bookmarkEnd w:id="44"/>
      <w:bookmarkStart w:id="45" w:name="_Toc184312123"/>
      <w:bookmarkEnd w:id="45"/>
      <w:bookmarkStart w:id="46" w:name="_Toc184312088"/>
      <w:bookmarkEnd w:id="46"/>
      <w:bookmarkStart w:id="47" w:name="_Toc184312102"/>
      <w:bookmarkEnd w:id="47"/>
      <w:bookmarkStart w:id="48" w:name="_Toc184314469"/>
      <w:bookmarkEnd w:id="48"/>
      <w:bookmarkStart w:id="49" w:name="_Toc184310307"/>
      <w:bookmarkEnd w:id="49"/>
      <w:bookmarkStart w:id="50" w:name="_Toc184310298"/>
      <w:bookmarkEnd w:id="50"/>
      <w:bookmarkStart w:id="51" w:name="_Toc184312119"/>
      <w:bookmarkEnd w:id="51"/>
      <w:bookmarkStart w:id="52" w:name="_Toc184310285"/>
      <w:bookmarkEnd w:id="52"/>
      <w:bookmarkStart w:id="53" w:name="_Toc184308105"/>
      <w:bookmarkEnd w:id="53"/>
      <w:bookmarkStart w:id="54" w:name="_Toc184312080"/>
      <w:bookmarkEnd w:id="54"/>
      <w:bookmarkStart w:id="55" w:name="_Toc184313284"/>
      <w:bookmarkEnd w:id="55"/>
      <w:bookmarkStart w:id="56" w:name="_Toc184308057"/>
      <w:bookmarkEnd w:id="56"/>
      <w:bookmarkStart w:id="57" w:name="_Toc184313263"/>
      <w:bookmarkEnd w:id="57"/>
      <w:bookmarkStart w:id="58" w:name="_Toc184314475"/>
      <w:bookmarkEnd w:id="58"/>
      <w:bookmarkStart w:id="59" w:name="_Toc184312074"/>
      <w:bookmarkEnd w:id="59"/>
      <w:bookmarkStart w:id="60" w:name="_Toc184310272"/>
      <w:bookmarkEnd w:id="60"/>
      <w:bookmarkStart w:id="61" w:name="_Toc184308041"/>
      <w:bookmarkEnd w:id="61"/>
      <w:bookmarkStart w:id="62" w:name="_Toc184308073"/>
      <w:bookmarkEnd w:id="62"/>
      <w:bookmarkStart w:id="63" w:name="_Toc184312108"/>
      <w:bookmarkEnd w:id="63"/>
      <w:bookmarkStart w:id="64" w:name="_Toc184314447"/>
      <w:bookmarkEnd w:id="64"/>
      <w:bookmarkStart w:id="65" w:name="_Toc184308053"/>
      <w:bookmarkEnd w:id="65"/>
      <w:bookmarkStart w:id="66" w:name="_Toc184312082"/>
      <w:bookmarkEnd w:id="66"/>
      <w:bookmarkStart w:id="67" w:name="_Toc184313272"/>
      <w:bookmarkEnd w:id="67"/>
      <w:bookmarkStart w:id="68" w:name="_Toc184313300"/>
      <w:bookmarkEnd w:id="68"/>
      <w:bookmarkStart w:id="69" w:name="_Toc184312078"/>
      <w:bookmarkEnd w:id="69"/>
      <w:bookmarkStart w:id="70" w:name="_Toc184312110"/>
      <w:bookmarkEnd w:id="70"/>
      <w:bookmarkStart w:id="71" w:name="_Toc184314417"/>
      <w:bookmarkEnd w:id="71"/>
      <w:bookmarkStart w:id="72" w:name="_Toc184314480"/>
      <w:bookmarkEnd w:id="72"/>
      <w:bookmarkStart w:id="73" w:name="_Toc184312135"/>
      <w:bookmarkEnd w:id="73"/>
      <w:bookmarkStart w:id="74" w:name="_Toc184308101"/>
      <w:bookmarkEnd w:id="74"/>
      <w:bookmarkStart w:id="75" w:name="_Toc184313255"/>
      <w:bookmarkEnd w:id="75"/>
      <w:bookmarkStart w:id="76" w:name="_Toc184313242"/>
      <w:bookmarkEnd w:id="76"/>
      <w:bookmarkStart w:id="77" w:name="_Toc184314462"/>
      <w:bookmarkEnd w:id="77"/>
      <w:bookmarkStart w:id="78" w:name="_Toc184313285"/>
      <w:bookmarkEnd w:id="78"/>
      <w:bookmarkStart w:id="79" w:name="_Toc184313301"/>
      <w:bookmarkEnd w:id="79"/>
      <w:bookmarkStart w:id="80" w:name="_Toc184310324"/>
      <w:bookmarkEnd w:id="80"/>
      <w:bookmarkStart w:id="81" w:name="_Toc184310343"/>
      <w:bookmarkEnd w:id="81"/>
      <w:bookmarkStart w:id="82" w:name="_Toc184312084"/>
      <w:bookmarkEnd w:id="82"/>
      <w:bookmarkStart w:id="83" w:name="_Toc184310305"/>
      <w:bookmarkEnd w:id="83"/>
      <w:bookmarkStart w:id="84" w:name="_Toc184314419"/>
      <w:bookmarkEnd w:id="84"/>
      <w:bookmarkStart w:id="85" w:name="_Toc184313261"/>
      <w:bookmarkEnd w:id="85"/>
      <w:bookmarkStart w:id="86" w:name="_Toc184314444"/>
      <w:bookmarkEnd w:id="86"/>
      <w:bookmarkStart w:id="87" w:name="_Toc184308106"/>
      <w:bookmarkEnd w:id="87"/>
      <w:bookmarkStart w:id="88" w:name="_Toc184314472"/>
      <w:bookmarkEnd w:id="88"/>
      <w:bookmarkStart w:id="89" w:name="_Toc184308050"/>
      <w:bookmarkEnd w:id="89"/>
      <w:bookmarkStart w:id="90" w:name="_Toc184308074"/>
      <w:bookmarkEnd w:id="90"/>
      <w:bookmarkStart w:id="91" w:name="_Toc184312134"/>
      <w:bookmarkEnd w:id="91"/>
      <w:bookmarkStart w:id="92" w:name="_Toc184310284"/>
      <w:bookmarkEnd w:id="92"/>
      <w:bookmarkStart w:id="93" w:name="_Toc184314473"/>
      <w:bookmarkEnd w:id="93"/>
      <w:bookmarkStart w:id="94" w:name="_Toc184308099"/>
      <w:bookmarkEnd w:id="94"/>
      <w:bookmarkStart w:id="95" w:name="_Toc184312068"/>
      <w:bookmarkEnd w:id="95"/>
      <w:bookmarkStart w:id="96" w:name="_Toc184310275"/>
      <w:bookmarkEnd w:id="96"/>
      <w:bookmarkStart w:id="97" w:name="_Toc184312112"/>
      <w:bookmarkEnd w:id="97"/>
      <w:bookmarkStart w:id="98" w:name="_Toc184314458"/>
      <w:bookmarkEnd w:id="98"/>
      <w:bookmarkStart w:id="99" w:name="_Toc184314424"/>
      <w:bookmarkEnd w:id="99"/>
      <w:bookmarkStart w:id="100" w:name="_Toc184314440"/>
      <w:bookmarkEnd w:id="100"/>
      <w:bookmarkStart w:id="101" w:name="_Toc184310334"/>
      <w:bookmarkEnd w:id="101"/>
      <w:bookmarkStart w:id="102" w:name="_Toc184314467"/>
      <w:bookmarkEnd w:id="102"/>
      <w:bookmarkStart w:id="103" w:name="_Toc184312131"/>
      <w:bookmarkEnd w:id="103"/>
      <w:bookmarkStart w:id="104" w:name="_Toc184312099"/>
      <w:bookmarkEnd w:id="104"/>
      <w:bookmarkStart w:id="105" w:name="_Toc184314434"/>
      <w:bookmarkEnd w:id="105"/>
      <w:bookmarkStart w:id="106" w:name="_Toc184314414"/>
      <w:bookmarkEnd w:id="106"/>
      <w:bookmarkStart w:id="107" w:name="_Toc184314441"/>
      <w:bookmarkEnd w:id="107"/>
      <w:bookmarkStart w:id="108" w:name="_Toc184314428"/>
      <w:bookmarkEnd w:id="108"/>
      <w:bookmarkStart w:id="109" w:name="_Toc184308100"/>
      <w:bookmarkEnd w:id="109"/>
      <w:bookmarkStart w:id="110" w:name="_Toc184310287"/>
      <w:bookmarkEnd w:id="110"/>
      <w:bookmarkStart w:id="111" w:name="_Toc184314463"/>
      <w:bookmarkEnd w:id="111"/>
      <w:bookmarkStart w:id="112" w:name="_Toc184312096"/>
      <w:bookmarkEnd w:id="112"/>
      <w:bookmarkStart w:id="113" w:name="_Toc184313290"/>
      <w:bookmarkEnd w:id="113"/>
      <w:bookmarkStart w:id="114" w:name="_Toc184313241"/>
      <w:bookmarkEnd w:id="114"/>
      <w:bookmarkStart w:id="115" w:name="_Toc184313274"/>
      <w:bookmarkEnd w:id="115"/>
      <w:bookmarkStart w:id="116" w:name="_Toc184310311"/>
      <w:bookmarkEnd w:id="116"/>
      <w:bookmarkStart w:id="117" w:name="_Toc184308108"/>
      <w:bookmarkEnd w:id="117"/>
      <w:bookmarkStart w:id="118" w:name="_Toc184313280"/>
      <w:bookmarkEnd w:id="118"/>
      <w:bookmarkStart w:id="119" w:name="_Toc184313293"/>
      <w:bookmarkEnd w:id="119"/>
      <w:bookmarkStart w:id="120" w:name="_Toc184308070"/>
      <w:bookmarkEnd w:id="120"/>
      <w:bookmarkStart w:id="121" w:name="_Toc184313267"/>
      <w:bookmarkEnd w:id="121"/>
      <w:bookmarkStart w:id="122" w:name="_Toc184314425"/>
      <w:bookmarkEnd w:id="122"/>
      <w:bookmarkStart w:id="123" w:name="_Toc184308036"/>
      <w:bookmarkEnd w:id="123"/>
      <w:bookmarkStart w:id="124" w:name="_Toc184312138"/>
      <w:bookmarkEnd w:id="124"/>
      <w:bookmarkStart w:id="125" w:name="_Toc184310295"/>
      <w:bookmarkEnd w:id="125"/>
      <w:bookmarkStart w:id="126" w:name="_Toc184310308"/>
      <w:bookmarkEnd w:id="126"/>
      <w:bookmarkStart w:id="127" w:name="_Toc184314477"/>
      <w:bookmarkEnd w:id="127"/>
      <w:bookmarkStart w:id="128" w:name="_Toc184308092"/>
      <w:bookmarkEnd w:id="128"/>
      <w:bookmarkStart w:id="129" w:name="_Toc184314476"/>
      <w:bookmarkEnd w:id="129"/>
      <w:bookmarkStart w:id="130" w:name="_Toc184310282"/>
      <w:bookmarkEnd w:id="130"/>
      <w:bookmarkStart w:id="131" w:name="_Toc184308075"/>
      <w:bookmarkEnd w:id="131"/>
      <w:bookmarkStart w:id="132" w:name="_Toc184310328"/>
      <w:bookmarkEnd w:id="132"/>
      <w:bookmarkStart w:id="133" w:name="_Toc184314412"/>
      <w:bookmarkEnd w:id="133"/>
      <w:bookmarkStart w:id="134" w:name="_Toc184308083"/>
      <w:bookmarkEnd w:id="134"/>
      <w:bookmarkStart w:id="135" w:name="_Toc184313256"/>
      <w:bookmarkEnd w:id="135"/>
      <w:bookmarkStart w:id="136" w:name="_Toc184314479"/>
      <w:bookmarkEnd w:id="136"/>
      <w:bookmarkStart w:id="137" w:name="_Toc184312077"/>
      <w:bookmarkEnd w:id="137"/>
      <w:bookmarkStart w:id="138" w:name="_Toc184308102"/>
      <w:bookmarkEnd w:id="138"/>
      <w:bookmarkStart w:id="139" w:name="_Toc184312072"/>
      <w:bookmarkEnd w:id="139"/>
      <w:bookmarkStart w:id="140" w:name="_Toc184313278"/>
      <w:bookmarkEnd w:id="140"/>
      <w:bookmarkStart w:id="141" w:name="_Toc184310330"/>
      <w:bookmarkEnd w:id="141"/>
      <w:bookmarkStart w:id="142" w:name="_Toc184308087"/>
      <w:bookmarkEnd w:id="142"/>
      <w:bookmarkStart w:id="143" w:name="_Toc184314411"/>
      <w:bookmarkEnd w:id="143"/>
      <w:bookmarkStart w:id="144" w:name="_Toc184314478"/>
      <w:bookmarkEnd w:id="144"/>
      <w:bookmarkStart w:id="145" w:name="_Toc184312113"/>
      <w:bookmarkEnd w:id="145"/>
      <w:bookmarkStart w:id="146" w:name="_Toc184308067"/>
      <w:bookmarkEnd w:id="146"/>
      <w:bookmarkStart w:id="147" w:name="_Toc184313299"/>
      <w:bookmarkEnd w:id="147"/>
      <w:bookmarkStart w:id="148" w:name="_Toc184312069"/>
      <w:bookmarkEnd w:id="148"/>
      <w:bookmarkStart w:id="149" w:name="_Toc184310279"/>
      <w:bookmarkEnd w:id="149"/>
      <w:bookmarkStart w:id="150" w:name="_Toc184308077"/>
      <w:bookmarkEnd w:id="150"/>
      <w:bookmarkStart w:id="151" w:name="_Toc184310312"/>
      <w:bookmarkEnd w:id="151"/>
      <w:bookmarkStart w:id="152" w:name="_Toc184313310"/>
      <w:bookmarkEnd w:id="152"/>
      <w:bookmarkStart w:id="153" w:name="_Toc184310274"/>
      <w:bookmarkEnd w:id="153"/>
      <w:bookmarkStart w:id="154" w:name="_Toc184310341"/>
      <w:bookmarkEnd w:id="154"/>
      <w:bookmarkStart w:id="155" w:name="_Toc184314433"/>
      <w:bookmarkEnd w:id="155"/>
      <w:bookmarkStart w:id="156" w:name="_Toc184308065"/>
      <w:bookmarkEnd w:id="156"/>
      <w:bookmarkStart w:id="157" w:name="_Toc184310327"/>
      <w:bookmarkEnd w:id="157"/>
      <w:bookmarkStart w:id="158" w:name="_Toc184313282"/>
      <w:bookmarkEnd w:id="158"/>
      <w:bookmarkStart w:id="159" w:name="_Toc184314443"/>
      <w:bookmarkEnd w:id="159"/>
      <w:bookmarkStart w:id="160" w:name="_Toc184314470"/>
      <w:bookmarkEnd w:id="160"/>
      <w:bookmarkStart w:id="161" w:name="_Toc184312133"/>
      <w:bookmarkEnd w:id="161"/>
      <w:bookmarkStart w:id="162" w:name="_Toc184314455"/>
      <w:bookmarkEnd w:id="162"/>
      <w:bookmarkStart w:id="163" w:name="_Toc184314438"/>
      <w:bookmarkEnd w:id="163"/>
      <w:bookmarkStart w:id="164" w:name="_Toc184312097"/>
      <w:bookmarkEnd w:id="164"/>
      <w:bookmarkStart w:id="165" w:name="_Toc184312118"/>
      <w:bookmarkEnd w:id="165"/>
      <w:bookmarkStart w:id="166" w:name="_Toc184314466"/>
      <w:bookmarkEnd w:id="166"/>
      <w:bookmarkStart w:id="167" w:name="_Toc184313249"/>
      <w:bookmarkEnd w:id="167"/>
      <w:bookmarkStart w:id="168" w:name="_Toc184314429"/>
      <w:bookmarkEnd w:id="168"/>
      <w:bookmarkStart w:id="169" w:name="_Toc184308052"/>
      <w:bookmarkEnd w:id="169"/>
      <w:bookmarkStart w:id="170" w:name="_Toc184312115"/>
      <w:bookmarkEnd w:id="170"/>
      <w:bookmarkStart w:id="171" w:name="_Toc184310288"/>
      <w:bookmarkEnd w:id="171"/>
      <w:bookmarkStart w:id="172" w:name="_Toc184314459"/>
      <w:bookmarkEnd w:id="172"/>
      <w:bookmarkStart w:id="173" w:name="_Toc184308063"/>
      <w:bookmarkEnd w:id="173"/>
      <w:bookmarkStart w:id="174" w:name="_Toc184313294"/>
      <w:bookmarkEnd w:id="174"/>
      <w:bookmarkStart w:id="175" w:name="_Toc184308040"/>
      <w:bookmarkEnd w:id="175"/>
      <w:bookmarkStart w:id="176" w:name="_Toc184308068"/>
      <w:bookmarkEnd w:id="176"/>
      <w:bookmarkStart w:id="177" w:name="_Toc184310296"/>
      <w:bookmarkEnd w:id="177"/>
      <w:bookmarkStart w:id="178" w:name="_Toc184314445"/>
      <w:bookmarkEnd w:id="178"/>
      <w:bookmarkStart w:id="179" w:name="_Toc184314460"/>
      <w:bookmarkEnd w:id="179"/>
      <w:bookmarkStart w:id="180" w:name="_Toc184314481"/>
      <w:bookmarkEnd w:id="180"/>
      <w:bookmarkStart w:id="181" w:name="_Toc184314439"/>
      <w:bookmarkEnd w:id="181"/>
      <w:bookmarkStart w:id="182" w:name="_Toc184313253"/>
      <w:bookmarkEnd w:id="182"/>
      <w:bookmarkStart w:id="183" w:name="_Toc184312087"/>
      <w:bookmarkEnd w:id="183"/>
      <w:bookmarkStart w:id="184" w:name="_Toc184313266"/>
      <w:bookmarkEnd w:id="184"/>
      <w:bookmarkStart w:id="185" w:name="_Toc184314482"/>
      <w:bookmarkEnd w:id="185"/>
      <w:bookmarkStart w:id="186" w:name="_Toc184312092"/>
      <w:bookmarkEnd w:id="186"/>
      <w:bookmarkStart w:id="187" w:name="_Toc184308093"/>
      <w:bookmarkEnd w:id="187"/>
      <w:bookmarkStart w:id="188" w:name="_Toc184308056"/>
      <w:bookmarkEnd w:id="188"/>
      <w:bookmarkStart w:id="189" w:name="_Toc184312070"/>
      <w:bookmarkEnd w:id="189"/>
      <w:bookmarkStart w:id="190" w:name="_Toc184308071"/>
      <w:bookmarkEnd w:id="190"/>
      <w:bookmarkStart w:id="191" w:name="_Toc184308037"/>
      <w:bookmarkEnd w:id="191"/>
      <w:bookmarkStart w:id="192" w:name="_Toc184308054"/>
      <w:bookmarkEnd w:id="192"/>
      <w:bookmarkStart w:id="193" w:name="_Toc184314416"/>
      <w:bookmarkEnd w:id="193"/>
      <w:bookmarkStart w:id="194" w:name="_Toc184308060"/>
      <w:bookmarkEnd w:id="194"/>
      <w:bookmarkStart w:id="195" w:name="_Toc184313254"/>
      <w:bookmarkEnd w:id="195"/>
      <w:bookmarkStart w:id="196" w:name="_Toc184313240"/>
      <w:bookmarkEnd w:id="196"/>
      <w:bookmarkStart w:id="197" w:name="_Toc184312083"/>
      <w:bookmarkEnd w:id="197"/>
      <w:bookmarkStart w:id="198" w:name="_Toc184312136"/>
      <w:bookmarkEnd w:id="198"/>
      <w:bookmarkStart w:id="199" w:name="_Toc184313271"/>
      <w:bookmarkEnd w:id="199"/>
      <w:bookmarkStart w:id="200" w:name="_Toc184314461"/>
      <w:bookmarkEnd w:id="200"/>
      <w:bookmarkStart w:id="201" w:name="_Toc184310316"/>
      <w:bookmarkEnd w:id="201"/>
      <w:bookmarkStart w:id="202" w:name="_Toc184313248"/>
      <w:bookmarkEnd w:id="202"/>
      <w:bookmarkStart w:id="203" w:name="_Toc184310294"/>
      <w:bookmarkEnd w:id="203"/>
      <w:bookmarkStart w:id="204" w:name="_Toc184312075"/>
      <w:bookmarkEnd w:id="204"/>
      <w:bookmarkStart w:id="205" w:name="_Toc184310335"/>
      <w:bookmarkEnd w:id="205"/>
      <w:bookmarkStart w:id="206" w:name="_Toc184310290"/>
      <w:bookmarkEnd w:id="206"/>
      <w:bookmarkStart w:id="207" w:name="_Toc184308072"/>
      <w:bookmarkEnd w:id="207"/>
      <w:bookmarkStart w:id="208" w:name="_Toc184314423"/>
      <w:bookmarkEnd w:id="208"/>
      <w:bookmarkStart w:id="209" w:name="_Toc184313298"/>
      <w:bookmarkEnd w:id="209"/>
      <w:bookmarkStart w:id="210" w:name="_Toc184313245"/>
      <w:bookmarkEnd w:id="210"/>
      <w:bookmarkStart w:id="211" w:name="_Toc184314448"/>
      <w:bookmarkEnd w:id="211"/>
      <w:bookmarkStart w:id="212" w:name="_Toc184308089"/>
      <w:bookmarkEnd w:id="212"/>
      <w:bookmarkStart w:id="213" w:name="_Toc184313238"/>
      <w:bookmarkEnd w:id="213"/>
      <w:bookmarkStart w:id="214" w:name="_Toc184310333"/>
      <w:bookmarkEnd w:id="214"/>
      <w:bookmarkStart w:id="215" w:name="_Toc184313295"/>
      <w:bookmarkEnd w:id="215"/>
      <w:bookmarkStart w:id="216" w:name="_Toc184312124"/>
      <w:bookmarkEnd w:id="216"/>
      <w:bookmarkStart w:id="217" w:name="_Toc184312139"/>
      <w:bookmarkEnd w:id="217"/>
      <w:bookmarkStart w:id="218" w:name="_Toc184310342"/>
      <w:bookmarkEnd w:id="218"/>
      <w:bookmarkStart w:id="219" w:name="_Toc184308061"/>
      <w:bookmarkEnd w:id="219"/>
      <w:bookmarkStart w:id="220" w:name="_Toc184310289"/>
      <w:bookmarkEnd w:id="220"/>
      <w:bookmarkStart w:id="221" w:name="_Toc184308039"/>
      <w:bookmarkEnd w:id="221"/>
      <w:bookmarkStart w:id="222" w:name="_Toc184314422"/>
      <w:bookmarkEnd w:id="222"/>
      <w:bookmarkStart w:id="223" w:name="_Toc184314436"/>
      <w:bookmarkEnd w:id="223"/>
      <w:bookmarkStart w:id="224" w:name="_Toc184310278"/>
      <w:bookmarkEnd w:id="224"/>
      <w:bookmarkStart w:id="225" w:name="_Toc184308051"/>
      <w:bookmarkEnd w:id="225"/>
      <w:bookmarkStart w:id="226" w:name="_Toc184313246"/>
      <w:bookmarkEnd w:id="226"/>
      <w:bookmarkStart w:id="227" w:name="_Toc184310286"/>
      <w:bookmarkEnd w:id="227"/>
      <w:bookmarkStart w:id="228" w:name="_Toc184308081"/>
      <w:bookmarkEnd w:id="228"/>
      <w:bookmarkStart w:id="229" w:name="_Toc184313269"/>
      <w:bookmarkEnd w:id="229"/>
      <w:bookmarkStart w:id="230" w:name="_Toc184312094"/>
      <w:bookmarkEnd w:id="230"/>
      <w:bookmarkStart w:id="231" w:name="_Toc184312107"/>
      <w:bookmarkEnd w:id="231"/>
      <w:bookmarkStart w:id="232" w:name="_Toc184308080"/>
      <w:bookmarkEnd w:id="232"/>
      <w:bookmarkStart w:id="233" w:name="_Toc184308059"/>
      <w:bookmarkEnd w:id="233"/>
      <w:bookmarkStart w:id="234" w:name="_Toc184314431"/>
      <w:bookmarkEnd w:id="234"/>
      <w:bookmarkStart w:id="235" w:name="_Toc184308098"/>
      <w:bookmarkEnd w:id="235"/>
      <w:bookmarkStart w:id="236" w:name="_Toc184308044"/>
      <w:bookmarkEnd w:id="236"/>
      <w:bookmarkStart w:id="237" w:name="_Toc184312116"/>
      <w:bookmarkEnd w:id="237"/>
      <w:bookmarkStart w:id="238" w:name="_Toc184308069"/>
      <w:bookmarkEnd w:id="238"/>
      <w:bookmarkStart w:id="239" w:name="_Toc184314420"/>
      <w:bookmarkEnd w:id="239"/>
      <w:bookmarkStart w:id="240" w:name="_Toc184314421"/>
      <w:bookmarkEnd w:id="240"/>
      <w:bookmarkStart w:id="241" w:name="_Toc184310337"/>
      <w:bookmarkEnd w:id="241"/>
      <w:bookmarkStart w:id="242" w:name="_Toc184314471"/>
      <w:bookmarkEnd w:id="242"/>
      <w:bookmarkStart w:id="243" w:name="_Toc184308076"/>
      <w:bookmarkEnd w:id="243"/>
      <w:bookmarkStart w:id="244" w:name="_Toc184308049"/>
      <w:bookmarkEnd w:id="244"/>
      <w:bookmarkStart w:id="245" w:name="_Toc184310322"/>
      <w:bookmarkEnd w:id="245"/>
      <w:bookmarkStart w:id="246" w:name="_Toc184312101"/>
      <w:bookmarkEnd w:id="246"/>
      <w:bookmarkStart w:id="247" w:name="_Toc184310321"/>
      <w:bookmarkEnd w:id="247"/>
      <w:bookmarkStart w:id="248" w:name="_Toc184308079"/>
      <w:bookmarkEnd w:id="248"/>
      <w:bookmarkStart w:id="249" w:name="_Toc184313244"/>
      <w:bookmarkEnd w:id="249"/>
      <w:bookmarkStart w:id="250" w:name="_Toc184313262"/>
      <w:bookmarkEnd w:id="250"/>
      <w:bookmarkStart w:id="251" w:name="_Toc184310300"/>
      <w:bookmarkEnd w:id="251"/>
      <w:bookmarkStart w:id="252" w:name="_Toc184314450"/>
      <w:bookmarkEnd w:id="252"/>
      <w:bookmarkStart w:id="253" w:name="_Toc184314451"/>
      <w:bookmarkEnd w:id="253"/>
      <w:bookmarkStart w:id="254" w:name="_Toc184308058"/>
      <w:bookmarkEnd w:id="254"/>
      <w:bookmarkStart w:id="255" w:name="_Toc184310304"/>
      <w:bookmarkEnd w:id="255"/>
      <w:bookmarkStart w:id="256" w:name="_Toc184312120"/>
      <w:bookmarkEnd w:id="256"/>
      <w:bookmarkStart w:id="257" w:name="_Toc184314474"/>
      <w:bookmarkEnd w:id="257"/>
      <w:bookmarkStart w:id="258" w:name="_Toc184313297"/>
      <w:bookmarkEnd w:id="258"/>
      <w:bookmarkStart w:id="259" w:name="_Toc184308038"/>
      <w:bookmarkEnd w:id="259"/>
      <w:bookmarkStart w:id="260" w:name="_Toc184310273"/>
      <w:bookmarkEnd w:id="260"/>
      <w:bookmarkStart w:id="261" w:name="_Toc184308104"/>
      <w:bookmarkEnd w:id="261"/>
      <w:bookmarkStart w:id="262" w:name="_Toc184313239"/>
      <w:bookmarkEnd w:id="262"/>
      <w:bookmarkStart w:id="263" w:name="_Toc184313279"/>
      <w:bookmarkEnd w:id="263"/>
      <w:bookmarkStart w:id="264" w:name="_Toc184313275"/>
      <w:bookmarkEnd w:id="264"/>
      <w:bookmarkStart w:id="265" w:name="_Toc184313288"/>
      <w:bookmarkEnd w:id="265"/>
      <w:bookmarkStart w:id="266" w:name="_Toc184310277"/>
      <w:bookmarkEnd w:id="266"/>
      <w:bookmarkStart w:id="267" w:name="_Toc184314454"/>
      <w:bookmarkEnd w:id="267"/>
      <w:bookmarkStart w:id="268" w:name="_Toc184314415"/>
      <w:bookmarkEnd w:id="268"/>
      <w:bookmarkStart w:id="269" w:name="_Toc184313243"/>
      <w:bookmarkEnd w:id="269"/>
      <w:bookmarkStart w:id="270" w:name="_Toc184314449"/>
      <w:bookmarkEnd w:id="270"/>
      <w:bookmarkStart w:id="271" w:name="_Toc184310309"/>
      <w:bookmarkEnd w:id="271"/>
      <w:bookmarkStart w:id="272" w:name="_Toc184310283"/>
      <w:bookmarkEnd w:id="272"/>
      <w:bookmarkStart w:id="273" w:name="_Toc184312081"/>
      <w:bookmarkEnd w:id="273"/>
      <w:bookmarkStart w:id="274" w:name="_Toc184310314"/>
      <w:bookmarkEnd w:id="274"/>
      <w:bookmarkStart w:id="275" w:name="_Toc184312067"/>
      <w:bookmarkEnd w:id="275"/>
      <w:bookmarkStart w:id="276" w:name="_Toc184314468"/>
      <w:bookmarkEnd w:id="276"/>
      <w:bookmarkStart w:id="277" w:name="_Toc184313291"/>
      <w:bookmarkEnd w:id="277"/>
      <w:bookmarkStart w:id="278" w:name="_Toc184312104"/>
      <w:bookmarkEnd w:id="278"/>
      <w:bookmarkStart w:id="279" w:name="_Toc184312071"/>
      <w:bookmarkEnd w:id="279"/>
      <w:bookmarkStart w:id="280" w:name="_Toc184312105"/>
      <w:bookmarkEnd w:id="280"/>
      <w:bookmarkStart w:id="281" w:name="_Toc184313268"/>
      <w:bookmarkEnd w:id="281"/>
      <w:bookmarkStart w:id="282" w:name="_Toc184314437"/>
      <w:bookmarkEnd w:id="282"/>
      <w:bookmarkStart w:id="283" w:name="_Toc184312128"/>
      <w:bookmarkEnd w:id="283"/>
      <w:bookmarkStart w:id="284" w:name="_Toc184313304"/>
      <w:bookmarkEnd w:id="284"/>
      <w:bookmarkStart w:id="285" w:name="_Toc184314418"/>
      <w:bookmarkEnd w:id="285"/>
      <w:bookmarkStart w:id="286" w:name="_Toc184313286"/>
      <w:bookmarkEnd w:id="286"/>
      <w:bookmarkStart w:id="287" w:name="_Toc184313289"/>
      <w:bookmarkEnd w:id="287"/>
      <w:bookmarkStart w:id="288" w:name="_Toc184312132"/>
      <w:bookmarkEnd w:id="288"/>
      <w:bookmarkStart w:id="289" w:name="_Toc184314410"/>
      <w:bookmarkEnd w:id="289"/>
      <w:bookmarkStart w:id="290" w:name="_Toc184310280"/>
      <w:bookmarkEnd w:id="290"/>
      <w:bookmarkStart w:id="291" w:name="_Toc184310306"/>
      <w:bookmarkEnd w:id="291"/>
      <w:bookmarkStart w:id="292" w:name="_Toc184312111"/>
      <w:bookmarkEnd w:id="292"/>
      <w:bookmarkStart w:id="293" w:name="_Toc184312073"/>
      <w:bookmarkEnd w:id="293"/>
      <w:bookmarkStart w:id="294" w:name="_Toc184310338"/>
      <w:bookmarkEnd w:id="294"/>
      <w:bookmarkStart w:id="295" w:name="_Toc184313252"/>
      <w:bookmarkEnd w:id="295"/>
      <w:bookmarkStart w:id="296" w:name="_Toc184312089"/>
      <w:bookmarkEnd w:id="296"/>
      <w:bookmarkStart w:id="297" w:name="_Toc184314457"/>
      <w:bookmarkEnd w:id="297"/>
      <w:bookmarkStart w:id="298" w:name="_Toc184308043"/>
      <w:bookmarkEnd w:id="298"/>
      <w:bookmarkStart w:id="299" w:name="_Toc184313257"/>
      <w:bookmarkEnd w:id="299"/>
      <w:bookmarkStart w:id="300" w:name="_Toc184312095"/>
      <w:bookmarkEnd w:id="300"/>
      <w:bookmarkStart w:id="301" w:name="_Toc184313302"/>
      <w:bookmarkEnd w:id="301"/>
      <w:bookmarkStart w:id="302" w:name="_Toc184313260"/>
      <w:bookmarkEnd w:id="302"/>
      <w:bookmarkStart w:id="303" w:name="_Toc184312086"/>
      <w:bookmarkEnd w:id="303"/>
      <w:bookmarkStart w:id="304" w:name="_Toc184312100"/>
      <w:bookmarkEnd w:id="304"/>
      <w:bookmarkStart w:id="305" w:name="_Toc184310310"/>
      <w:bookmarkEnd w:id="305"/>
      <w:bookmarkStart w:id="306" w:name="_Toc184310313"/>
      <w:bookmarkEnd w:id="306"/>
      <w:bookmarkStart w:id="307" w:name="_Toc184308094"/>
      <w:bookmarkEnd w:id="307"/>
      <w:bookmarkStart w:id="308" w:name="_Toc184310332"/>
      <w:bookmarkEnd w:id="308"/>
      <w:bookmarkStart w:id="309" w:name="_Toc184312085"/>
      <w:bookmarkEnd w:id="309"/>
      <w:bookmarkStart w:id="310" w:name="_Toc184310317"/>
      <w:bookmarkEnd w:id="310"/>
      <w:bookmarkStart w:id="311" w:name="_Toc184310336"/>
      <w:bookmarkEnd w:id="311"/>
      <w:bookmarkStart w:id="312" w:name="_Toc184308084"/>
      <w:bookmarkEnd w:id="312"/>
      <w:bookmarkStart w:id="313" w:name="_Toc184310340"/>
      <w:bookmarkEnd w:id="313"/>
      <w:bookmarkStart w:id="314" w:name="_Toc184313277"/>
      <w:bookmarkEnd w:id="314"/>
      <w:bookmarkStart w:id="315" w:name="_Toc184310297"/>
      <w:bookmarkEnd w:id="315"/>
      <w:bookmarkStart w:id="316" w:name="_Toc184313270"/>
      <w:bookmarkEnd w:id="316"/>
      <w:bookmarkStart w:id="317" w:name="_Toc184314452"/>
      <w:bookmarkEnd w:id="317"/>
      <w:bookmarkStart w:id="318" w:name="_Toc184308097"/>
      <w:bookmarkEnd w:id="318"/>
      <w:bookmarkStart w:id="319" w:name="_Toc184308062"/>
      <w:bookmarkEnd w:id="319"/>
      <w:bookmarkStart w:id="320" w:name="_Toc184310301"/>
      <w:bookmarkEnd w:id="320"/>
      <w:bookmarkStart w:id="321" w:name="_Toc184308086"/>
      <w:bookmarkEnd w:id="321"/>
      <w:bookmarkStart w:id="322" w:name="_Toc184308066"/>
      <w:bookmarkEnd w:id="322"/>
      <w:bookmarkStart w:id="323" w:name="_Toc184314456"/>
      <w:bookmarkEnd w:id="323"/>
      <w:bookmarkStart w:id="324" w:name="_Toc184313309"/>
      <w:bookmarkEnd w:id="324"/>
      <w:bookmarkStart w:id="325" w:name="_Toc184308082"/>
      <w:bookmarkEnd w:id="325"/>
      <w:bookmarkStart w:id="326" w:name="_Toc184310339"/>
      <w:bookmarkEnd w:id="326"/>
      <w:bookmarkStart w:id="327" w:name="_Toc184314426"/>
      <w:bookmarkEnd w:id="327"/>
      <w:bookmarkStart w:id="328" w:name="_Toc184312079"/>
      <w:bookmarkEnd w:id="328"/>
      <w:bookmarkStart w:id="329" w:name="_Toc184312121"/>
      <w:bookmarkEnd w:id="329"/>
      <w:bookmarkStart w:id="330" w:name="_Toc184312109"/>
      <w:bookmarkEnd w:id="330"/>
      <w:bookmarkStart w:id="331" w:name="_Toc184310344"/>
      <w:bookmarkEnd w:id="331"/>
      <w:bookmarkStart w:id="332" w:name="_Toc184310320"/>
      <w:bookmarkEnd w:id="332"/>
      <w:bookmarkStart w:id="333" w:name="_Toc184314453"/>
      <w:bookmarkEnd w:id="333"/>
      <w:bookmarkStart w:id="334" w:name="_Toc184313250"/>
      <w:bookmarkEnd w:id="334"/>
      <w:bookmarkStart w:id="335" w:name="_Toc184312098"/>
      <w:bookmarkEnd w:id="335"/>
      <w:bookmarkStart w:id="336" w:name="_Toc184313308"/>
      <w:bookmarkEnd w:id="336"/>
      <w:bookmarkStart w:id="337" w:name="_Toc184314435"/>
      <w:bookmarkEnd w:id="337"/>
      <w:bookmarkStart w:id="338" w:name="_Toc184310292"/>
      <w:bookmarkEnd w:id="338"/>
      <w:bookmarkStart w:id="339" w:name="_Toc184314427"/>
      <w:bookmarkEnd w:id="339"/>
      <w:bookmarkStart w:id="340" w:name="_Toc184312091"/>
      <w:bookmarkEnd w:id="340"/>
      <w:bookmarkStart w:id="341" w:name="_Toc184312106"/>
      <w:bookmarkEnd w:id="341"/>
      <w:bookmarkStart w:id="342" w:name="_Toc184314432"/>
      <w:bookmarkEnd w:id="342"/>
      <w:bookmarkStart w:id="343" w:name="_Toc184312093"/>
      <w:bookmarkEnd w:id="343"/>
      <w:bookmarkStart w:id="344" w:name="_Toc184308046"/>
      <w:bookmarkEnd w:id="344"/>
      <w:bookmarkStart w:id="345" w:name="_Toc184313281"/>
      <w:bookmarkEnd w:id="345"/>
      <w:bookmarkStart w:id="346" w:name="_Toc184310281"/>
      <w:bookmarkEnd w:id="346"/>
      <w:bookmarkStart w:id="347" w:name="_Toc184314465"/>
      <w:bookmarkEnd w:id="347"/>
      <w:bookmarkStart w:id="348" w:name="_Toc184312125"/>
      <w:bookmarkEnd w:id="348"/>
      <w:bookmarkStart w:id="349" w:name="_Toc184313265"/>
      <w:bookmarkEnd w:id="349"/>
      <w:bookmarkStart w:id="350" w:name="_Toc184313259"/>
      <w:bookmarkEnd w:id="350"/>
      <w:bookmarkStart w:id="351" w:name="_Toc184308091"/>
      <w:bookmarkEnd w:id="351"/>
      <w:bookmarkStart w:id="352" w:name="_Toc184313303"/>
      <w:bookmarkEnd w:id="352"/>
      <w:bookmarkStart w:id="353" w:name="_Toc184310318"/>
      <w:bookmarkEnd w:id="353"/>
      <w:bookmarkStart w:id="354" w:name="_Toc184312090"/>
      <w:bookmarkEnd w:id="354"/>
      <w:bookmarkStart w:id="355" w:name="_Toc184313251"/>
      <w:bookmarkEnd w:id="355"/>
      <w:bookmarkStart w:id="356" w:name="_Toc184313305"/>
      <w:bookmarkEnd w:id="356"/>
      <w:bookmarkStart w:id="357" w:name="_Toc184314442"/>
      <w:bookmarkEnd w:id="357"/>
      <w:bookmarkStart w:id="358" w:name="_Toc184312137"/>
      <w:bookmarkEnd w:id="358"/>
      <w:bookmarkStart w:id="359" w:name="_Toc184310293"/>
      <w:bookmarkEnd w:id="359"/>
      <w:bookmarkStart w:id="360" w:name="_Toc184312122"/>
      <w:bookmarkEnd w:id="360"/>
      <w:bookmarkStart w:id="361" w:name="_Toc184310276"/>
      <w:bookmarkEnd w:id="361"/>
      <w:bookmarkStart w:id="362" w:name="_Toc184313283"/>
      <w:bookmarkEnd w:id="362"/>
      <w:bookmarkStart w:id="363" w:name="_Toc184308047"/>
      <w:bookmarkEnd w:id="363"/>
      <w:bookmarkStart w:id="364" w:name="_Toc184310323"/>
      <w:bookmarkEnd w:id="364"/>
      <w:bookmarkStart w:id="365" w:name="_Toc184313273"/>
      <w:bookmarkEnd w:id="365"/>
      <w:bookmarkStart w:id="366" w:name="_Toc184313307"/>
      <w:bookmarkEnd w:id="366"/>
      <w:bookmarkStart w:id="367" w:name="_Toc184310325"/>
      <w:bookmarkEnd w:id="367"/>
      <w:r>
        <w:rPr>
          <w:rFonts w:hint="eastAsia" w:ascii="仿宋" w:hAnsi="仿宋" w:eastAsia="仿宋" w:cs="仿宋"/>
          <w:b/>
          <w:smallCaps/>
          <w:color w:val="auto"/>
          <w:sz w:val="28"/>
          <w:szCs w:val="28"/>
          <w:highlight w:val="none"/>
          <w:lang w:val="en-US" w:eastAsia="zh-CN" w:bidi="ar-SA"/>
        </w:rPr>
        <w:t>评审办法</w:t>
      </w:r>
    </w:p>
    <w:p w14:paraId="29B33724">
      <w:pPr>
        <w:pStyle w:val="4"/>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办法前附表</w:t>
      </w:r>
    </w:p>
    <w:p w14:paraId="64E08658">
      <w:pPr>
        <w:pStyle w:val="4"/>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1、商务（</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43"/>
        <w:gridCol w:w="826"/>
        <w:gridCol w:w="5819"/>
        <w:gridCol w:w="733"/>
      </w:tblGrid>
      <w:tr w14:paraId="2E69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vAlign w:val="center"/>
          </w:tcPr>
          <w:p w14:paraId="049C0791">
            <w:pPr>
              <w:pStyle w:val="88"/>
              <w:jc w:val="center"/>
            </w:pPr>
            <w:r>
              <w:rPr>
                <w:rFonts w:hint="eastAsia"/>
              </w:rPr>
              <w:t>序号</w:t>
            </w:r>
          </w:p>
        </w:tc>
        <w:tc>
          <w:tcPr>
            <w:tcW w:w="4161" w:type="pct"/>
            <w:gridSpan w:val="3"/>
            <w:vAlign w:val="center"/>
          </w:tcPr>
          <w:p w14:paraId="10C76EAD">
            <w:pPr>
              <w:pStyle w:val="88"/>
              <w:jc w:val="center"/>
            </w:pPr>
            <w:r>
              <w:rPr>
                <w:rFonts w:hint="eastAsia"/>
              </w:rPr>
              <w:t>评分内容和标准</w:t>
            </w:r>
          </w:p>
        </w:tc>
        <w:tc>
          <w:tcPr>
            <w:tcW w:w="430" w:type="pct"/>
            <w:vAlign w:val="center"/>
          </w:tcPr>
          <w:p w14:paraId="5BB05807">
            <w:pPr>
              <w:pStyle w:val="88"/>
              <w:jc w:val="center"/>
            </w:pPr>
            <w:r>
              <w:rPr>
                <w:rFonts w:hint="eastAsia"/>
              </w:rPr>
              <w:t>权重</w:t>
            </w:r>
          </w:p>
        </w:tc>
      </w:tr>
      <w:tr w14:paraId="0AA8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vAlign w:val="center"/>
          </w:tcPr>
          <w:p w14:paraId="6AAC7ADD">
            <w:pPr>
              <w:pStyle w:val="88"/>
            </w:pPr>
            <w:r>
              <w:rPr>
                <w:rFonts w:hint="eastAsia"/>
              </w:rPr>
              <w:t>商务资信</w:t>
            </w:r>
          </w:p>
        </w:tc>
        <w:tc>
          <w:tcPr>
            <w:tcW w:w="260" w:type="pct"/>
            <w:vAlign w:val="center"/>
          </w:tcPr>
          <w:p w14:paraId="443FFB4E">
            <w:pPr>
              <w:pStyle w:val="88"/>
            </w:pPr>
            <w:r>
              <w:rPr>
                <w:rFonts w:hint="eastAsia"/>
              </w:rPr>
              <w:t>1</w:t>
            </w:r>
          </w:p>
        </w:tc>
        <w:tc>
          <w:tcPr>
            <w:tcW w:w="485" w:type="pct"/>
            <w:vAlign w:val="center"/>
          </w:tcPr>
          <w:p w14:paraId="5866BE22">
            <w:pPr>
              <w:pStyle w:val="88"/>
            </w:pPr>
            <w:r>
              <w:rPr>
                <w:rFonts w:hint="eastAsia"/>
              </w:rPr>
              <w:t>类似业绩</w:t>
            </w:r>
          </w:p>
        </w:tc>
        <w:tc>
          <w:tcPr>
            <w:tcW w:w="3415" w:type="pct"/>
            <w:vAlign w:val="center"/>
          </w:tcPr>
          <w:p w14:paraId="632AD0F8">
            <w:pPr>
              <w:pStyle w:val="88"/>
              <w:rPr>
                <w:rFonts w:ascii="宋体" w:hAnsi="宋体" w:cs="宋体"/>
              </w:rPr>
            </w:pPr>
            <w:r>
              <w:rPr>
                <w:rFonts w:hint="eastAsia" w:ascii="宋体" w:hAnsi="宋体" w:cs="宋体"/>
              </w:rPr>
              <w:t>投标人自20</w:t>
            </w:r>
            <w:r>
              <w:rPr>
                <w:rFonts w:hint="eastAsia" w:ascii="宋体" w:hAnsi="宋体" w:cs="宋体"/>
                <w:lang w:val="en-US" w:eastAsia="zh-CN"/>
              </w:rPr>
              <w:t>23</w:t>
            </w:r>
            <w:r>
              <w:rPr>
                <w:rFonts w:hint="eastAsia" w:ascii="宋体" w:hAnsi="宋体" w:cs="宋体"/>
              </w:rPr>
              <w:t>年1月1日（以合同签订时间为准）以来承担类似业绩的，</w:t>
            </w:r>
            <w:r>
              <w:rPr>
                <w:rFonts w:hint="eastAsia" w:ascii="宋体" w:hAnsi="宋体" w:cs="宋体"/>
                <w:lang w:val="en-US" w:eastAsia="zh-CN"/>
              </w:rPr>
              <w:t>每1个得</w:t>
            </w:r>
            <w:r>
              <w:rPr>
                <w:rFonts w:hint="eastAsia" w:ascii="宋体" w:hAnsi="宋体" w:cs="宋体"/>
              </w:rPr>
              <w:t>1分，</w:t>
            </w:r>
            <w:r>
              <w:rPr>
                <w:rFonts w:hint="eastAsia" w:ascii="宋体" w:hAnsi="宋体" w:cs="宋体"/>
                <w:lang w:val="en-US" w:eastAsia="zh-CN"/>
              </w:rPr>
              <w:t>最多得5分</w:t>
            </w:r>
            <w:r>
              <w:rPr>
                <w:rFonts w:hint="eastAsia" w:ascii="宋体" w:hAnsi="宋体" w:cs="宋体"/>
              </w:rPr>
              <w:t>。</w:t>
            </w:r>
          </w:p>
          <w:p w14:paraId="6D2B5887">
            <w:pPr>
              <w:pStyle w:val="88"/>
            </w:pPr>
            <w:r>
              <w:rPr>
                <w:rFonts w:hint="eastAsia" w:ascii="宋体" w:hAnsi="宋体" w:cs="宋体"/>
              </w:rPr>
              <w:t>【证明材料：提供合同或中标通知书复印件并加盖单位公章，否则该业绩不得分。】</w:t>
            </w:r>
          </w:p>
        </w:tc>
        <w:tc>
          <w:tcPr>
            <w:tcW w:w="430" w:type="pct"/>
            <w:vAlign w:val="center"/>
          </w:tcPr>
          <w:p w14:paraId="3D0CED8F">
            <w:pPr>
              <w:pStyle w:val="88"/>
            </w:pPr>
            <w:r>
              <w:rPr>
                <w:rFonts w:hint="eastAsia"/>
                <w:lang w:val="en-US" w:eastAsia="zh-CN"/>
              </w:rPr>
              <w:t>5</w:t>
            </w:r>
            <w:r>
              <w:rPr>
                <w:rFonts w:hint="eastAsia"/>
              </w:rPr>
              <w:t>分</w:t>
            </w:r>
          </w:p>
        </w:tc>
      </w:tr>
    </w:tbl>
    <w:p w14:paraId="53D2827A">
      <w:pPr>
        <w:rPr>
          <w:rFonts w:hint="eastAsia" w:ascii="仿宋" w:hAnsi="仿宋" w:eastAsia="仿宋" w:cs="仿宋"/>
          <w:color w:val="auto"/>
          <w:sz w:val="24"/>
          <w:szCs w:val="24"/>
        </w:rPr>
      </w:pPr>
      <w:r>
        <w:rPr>
          <w:rFonts w:hint="eastAsia" w:ascii="仿宋" w:hAnsi="仿宋" w:eastAsia="仿宋" w:cs="仿宋"/>
          <w:color w:val="auto"/>
          <w:sz w:val="24"/>
          <w:szCs w:val="24"/>
        </w:rPr>
        <w:t>2、技术（8</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624"/>
        <w:gridCol w:w="889"/>
        <w:gridCol w:w="5364"/>
        <w:gridCol w:w="809"/>
      </w:tblGrid>
      <w:tr w14:paraId="431E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7" w:type="pct"/>
            <w:vAlign w:val="center"/>
          </w:tcPr>
          <w:p w14:paraId="7E36723C">
            <w:pPr>
              <w:pStyle w:val="88"/>
              <w:jc w:val="center"/>
            </w:pPr>
            <w:r>
              <w:rPr>
                <w:rFonts w:hint="eastAsia"/>
              </w:rPr>
              <w:t>序号</w:t>
            </w:r>
          </w:p>
        </w:tc>
        <w:tc>
          <w:tcPr>
            <w:tcW w:w="4036" w:type="pct"/>
            <w:gridSpan w:val="3"/>
            <w:vAlign w:val="center"/>
          </w:tcPr>
          <w:p w14:paraId="2B799C1B">
            <w:pPr>
              <w:pStyle w:val="88"/>
              <w:jc w:val="center"/>
            </w:pPr>
            <w:r>
              <w:rPr>
                <w:rFonts w:hint="eastAsia"/>
              </w:rPr>
              <w:t>评分内容和标准</w:t>
            </w:r>
          </w:p>
        </w:tc>
        <w:tc>
          <w:tcPr>
            <w:tcW w:w="475" w:type="pct"/>
            <w:vAlign w:val="center"/>
          </w:tcPr>
          <w:p w14:paraId="7967529E">
            <w:pPr>
              <w:pStyle w:val="88"/>
              <w:jc w:val="center"/>
            </w:pPr>
            <w:r>
              <w:rPr>
                <w:rFonts w:hint="eastAsia"/>
              </w:rPr>
              <w:t>权重</w:t>
            </w:r>
          </w:p>
        </w:tc>
      </w:tr>
      <w:tr w14:paraId="3A9E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restart"/>
            <w:shd w:val="clear" w:color="auto" w:fill="auto"/>
            <w:vAlign w:val="center"/>
          </w:tcPr>
          <w:p w14:paraId="79CDA7D1">
            <w:pPr>
              <w:pStyle w:val="88"/>
            </w:pPr>
            <w:r>
              <w:rPr>
                <w:rFonts w:hint="eastAsia"/>
              </w:rPr>
              <w:t>技术和服务方案（8</w:t>
            </w:r>
            <w:r>
              <w:t>0</w:t>
            </w:r>
            <w:r>
              <w:rPr>
                <w:rFonts w:hint="eastAsia"/>
              </w:rPr>
              <w:t>分）</w:t>
            </w:r>
          </w:p>
        </w:tc>
        <w:tc>
          <w:tcPr>
            <w:tcW w:w="366" w:type="pct"/>
            <w:shd w:val="clear" w:color="auto" w:fill="auto"/>
            <w:vAlign w:val="center"/>
          </w:tcPr>
          <w:p w14:paraId="47E3A822">
            <w:pPr>
              <w:pStyle w:val="88"/>
            </w:pPr>
            <w:r>
              <w:rPr>
                <w:rFonts w:hint="eastAsia"/>
              </w:rPr>
              <w:t>1</w:t>
            </w:r>
          </w:p>
        </w:tc>
        <w:tc>
          <w:tcPr>
            <w:tcW w:w="522" w:type="pct"/>
            <w:shd w:val="clear" w:color="000000" w:fill="auto"/>
            <w:vAlign w:val="center"/>
          </w:tcPr>
          <w:p w14:paraId="7C3F2836">
            <w:pPr>
              <w:pStyle w:val="88"/>
              <w:rPr>
                <w:rFonts w:ascii="宋体" w:hAnsi="宋体" w:cs="宋体"/>
                <w:kern w:val="0"/>
              </w:rPr>
            </w:pPr>
            <w:r>
              <w:rPr>
                <w:rFonts w:hint="eastAsia" w:ascii="宋体" w:hAnsi="宋体" w:cs="宋体"/>
                <w:kern w:val="0"/>
              </w:rPr>
              <w:t>方案完整性</w:t>
            </w:r>
          </w:p>
        </w:tc>
        <w:tc>
          <w:tcPr>
            <w:tcW w:w="3148" w:type="pct"/>
            <w:shd w:val="clear" w:color="000000" w:fill="auto"/>
            <w:vAlign w:val="center"/>
          </w:tcPr>
          <w:p w14:paraId="7CE6DCD5">
            <w:pPr>
              <w:pStyle w:val="88"/>
              <w:rPr>
                <w:rFonts w:ascii="宋体" w:hAnsi="宋体" w:cs="宋体"/>
                <w:kern w:val="0"/>
              </w:rPr>
            </w:pPr>
            <w:r>
              <w:rPr>
                <w:rFonts w:hint="eastAsia" w:ascii="宋体" w:hAnsi="宋体" w:cs="宋体"/>
                <w:kern w:val="0"/>
              </w:rPr>
              <w:t>针对招标文件需求，对投标方案的完整性进行打分。（0</w:t>
            </w:r>
            <w:r>
              <w:rPr>
                <w:rFonts w:ascii="宋体" w:hAnsi="宋体" w:cs="宋体"/>
                <w:kern w:val="0"/>
              </w:rPr>
              <w:t>-</w:t>
            </w:r>
            <w:r>
              <w:rPr>
                <w:rFonts w:hint="eastAsia" w:ascii="宋体" w:hAnsi="宋体" w:cs="宋体"/>
                <w:kern w:val="0"/>
                <w:lang w:val="en-US" w:eastAsia="zh-CN"/>
              </w:rPr>
              <w:t>8</w:t>
            </w:r>
            <w:r>
              <w:rPr>
                <w:rFonts w:hint="eastAsia" w:ascii="宋体" w:hAnsi="宋体" w:cs="宋体"/>
                <w:kern w:val="0"/>
              </w:rPr>
              <w:t>分）</w:t>
            </w:r>
          </w:p>
        </w:tc>
        <w:tc>
          <w:tcPr>
            <w:tcW w:w="475" w:type="pct"/>
            <w:vAlign w:val="center"/>
          </w:tcPr>
          <w:p w14:paraId="22AD337B">
            <w:pPr>
              <w:pStyle w:val="88"/>
            </w:pPr>
            <w:r>
              <w:rPr>
                <w:rFonts w:hint="eastAsia"/>
                <w:lang w:val="en-US" w:eastAsia="zh-CN"/>
              </w:rPr>
              <w:t>8</w:t>
            </w:r>
            <w:r>
              <w:rPr>
                <w:rFonts w:hint="eastAsia"/>
              </w:rPr>
              <w:t>分</w:t>
            </w:r>
          </w:p>
        </w:tc>
      </w:tr>
      <w:tr w14:paraId="76BD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continue"/>
            <w:shd w:val="clear" w:color="auto" w:fill="auto"/>
            <w:vAlign w:val="center"/>
          </w:tcPr>
          <w:p w14:paraId="0D7AF46E">
            <w:pPr>
              <w:pStyle w:val="88"/>
            </w:pPr>
          </w:p>
        </w:tc>
        <w:tc>
          <w:tcPr>
            <w:tcW w:w="366" w:type="pct"/>
            <w:shd w:val="clear" w:color="auto" w:fill="auto"/>
            <w:vAlign w:val="center"/>
          </w:tcPr>
          <w:p w14:paraId="11D19C89">
            <w:pPr>
              <w:pStyle w:val="88"/>
              <w:rPr>
                <w:rFonts w:hint="eastAsia" w:ascii="CESI仿宋-GB2312" w:hAnsi="CESI仿宋-GB2312" w:eastAsia="CESI仿宋-GB2312" w:cs="CESI仿宋-GB2312"/>
                <w:lang w:eastAsia="zh-CN"/>
              </w:rPr>
            </w:pPr>
            <w:r>
              <w:rPr>
                <w:rFonts w:hint="eastAsia" w:ascii="CESI仿宋-GB2312" w:hAnsi="CESI仿宋-GB2312" w:eastAsia="CESI仿宋-GB2312" w:cs="CESI仿宋-GB2312"/>
                <w:lang w:val="en-US" w:eastAsia="zh-CN"/>
              </w:rPr>
              <w:t>2</w:t>
            </w:r>
          </w:p>
        </w:tc>
        <w:tc>
          <w:tcPr>
            <w:tcW w:w="522" w:type="pct"/>
            <w:shd w:val="clear" w:color="000000" w:fill="auto"/>
            <w:vAlign w:val="center"/>
          </w:tcPr>
          <w:p w14:paraId="7C0BFA3C">
            <w:pPr>
              <w:pStyle w:val="88"/>
              <w:rPr>
                <w:rFonts w:ascii="CESI仿宋-GB2312" w:hAnsi="CESI仿宋-GB2312" w:eastAsia="CESI仿宋-GB2312" w:cs="CESI仿宋-GB2312"/>
              </w:rPr>
            </w:pPr>
            <w:r>
              <w:rPr>
                <w:rFonts w:hint="eastAsia" w:ascii="宋体" w:hAnsi="宋体" w:cs="宋体"/>
                <w:kern w:val="0"/>
              </w:rPr>
              <w:t>项目实施服务方案</w:t>
            </w:r>
          </w:p>
        </w:tc>
        <w:tc>
          <w:tcPr>
            <w:tcW w:w="3148" w:type="pct"/>
            <w:shd w:val="clear" w:color="000000" w:fill="auto"/>
            <w:vAlign w:val="center"/>
          </w:tcPr>
          <w:p w14:paraId="38473D78">
            <w:pPr>
              <w:pStyle w:val="88"/>
              <w:rPr>
                <w:rFonts w:ascii="宋体" w:hAnsi="宋体" w:cs="宋体"/>
              </w:rPr>
            </w:pPr>
            <w:r>
              <w:rPr>
                <w:rFonts w:hint="eastAsia" w:ascii="宋体" w:hAnsi="宋体" w:cs="宋体"/>
                <w:kern w:val="0"/>
              </w:rPr>
              <w:t>1、根据投标人对本项目思路、原则、特点、技术要求的理解情况，是否了解项目所在区域及项目具体内容，是否充分考虑采购方实际需求，方案在确保阶段性任务实现的同时，是否统筹考虑了总体目标的实现。综合评定（0-14分）</w:t>
            </w:r>
          </w:p>
          <w:p w14:paraId="2194A247">
            <w:pPr>
              <w:pStyle w:val="88"/>
            </w:pPr>
            <w:r>
              <w:rPr>
                <w:rFonts w:hint="eastAsia"/>
              </w:rPr>
              <w:t>2、根据投标人提供的项目实施进度及计划，服务保障、服务管理、组织实施方案的规范性和合理性，可实施性操作性等内容。综合评定（0-10分）</w:t>
            </w:r>
          </w:p>
          <w:p w14:paraId="0B1FFD79">
            <w:pPr>
              <w:pStyle w:val="88"/>
              <w:rPr>
                <w:rFonts w:ascii="宋体" w:hAnsi="宋体" w:cs="宋体"/>
              </w:rPr>
            </w:pPr>
            <w:r>
              <w:rPr>
                <w:rFonts w:hint="eastAsia"/>
              </w:rPr>
              <w:t>3、</w:t>
            </w:r>
            <w:r>
              <w:rPr>
                <w:rFonts w:hint="eastAsia" w:ascii="宋体" w:hAnsi="宋体" w:cs="宋体"/>
                <w:kern w:val="0"/>
              </w:rPr>
              <w:t>技术实施方案内容齐全、结构完整、表述准确、条理清晰程度。</w:t>
            </w:r>
            <w:r>
              <w:rPr>
                <w:rFonts w:hint="eastAsia"/>
              </w:rPr>
              <w:t>综合评定</w:t>
            </w:r>
            <w:r>
              <w:rPr>
                <w:rFonts w:hint="eastAsia" w:ascii="宋体" w:hAnsi="宋体" w:cs="宋体"/>
                <w:kern w:val="0"/>
              </w:rPr>
              <w:t>（0-10分）</w:t>
            </w:r>
          </w:p>
          <w:p w14:paraId="329DC2AD">
            <w:pPr>
              <w:pStyle w:val="88"/>
            </w:pPr>
            <w:r>
              <w:rPr>
                <w:rFonts w:hint="eastAsia"/>
              </w:rPr>
              <w:t>4、</w:t>
            </w:r>
            <w:r>
              <w:rPr>
                <w:rFonts w:hint="eastAsia" w:ascii="宋体" w:hAnsi="宋体" w:cs="宋体"/>
                <w:kern w:val="0"/>
              </w:rPr>
              <w:t>对本项目的关键技术问题的理解及其对策措施的情况。（0-6分）</w:t>
            </w:r>
          </w:p>
        </w:tc>
        <w:tc>
          <w:tcPr>
            <w:tcW w:w="475" w:type="pct"/>
            <w:vAlign w:val="center"/>
          </w:tcPr>
          <w:p w14:paraId="1C8F39AE">
            <w:pPr>
              <w:pStyle w:val="88"/>
              <w:rPr>
                <w:rFonts w:ascii="CESI仿宋-GB2312" w:hAnsi="CESI仿宋-GB2312" w:eastAsia="CESI仿宋-GB2312" w:cs="CESI仿宋-GB2312"/>
              </w:rPr>
            </w:pPr>
            <w:r>
              <w:rPr>
                <w:rFonts w:hint="eastAsia" w:ascii="CESI仿宋-GB2312" w:hAnsi="CESI仿宋-GB2312" w:eastAsia="CESI仿宋-GB2312" w:cs="CESI仿宋-GB2312"/>
              </w:rPr>
              <w:t>40分</w:t>
            </w:r>
          </w:p>
        </w:tc>
      </w:tr>
      <w:tr w14:paraId="2AA5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continue"/>
            <w:shd w:val="clear" w:color="auto" w:fill="auto"/>
            <w:vAlign w:val="center"/>
          </w:tcPr>
          <w:p w14:paraId="62DEFF86">
            <w:pPr>
              <w:pStyle w:val="88"/>
            </w:pPr>
          </w:p>
        </w:tc>
        <w:tc>
          <w:tcPr>
            <w:tcW w:w="366" w:type="pct"/>
            <w:shd w:val="clear" w:color="auto" w:fill="auto"/>
            <w:vAlign w:val="center"/>
          </w:tcPr>
          <w:p w14:paraId="361CA14F">
            <w:pPr>
              <w:pStyle w:val="88"/>
              <w:rPr>
                <w:rFonts w:hint="eastAsia" w:ascii="CESI仿宋-GB2312" w:hAnsi="CESI仿宋-GB2312" w:eastAsia="CESI仿宋-GB2312" w:cs="CESI仿宋-GB2312"/>
                <w:lang w:eastAsia="zh-CN"/>
              </w:rPr>
            </w:pPr>
            <w:r>
              <w:rPr>
                <w:rFonts w:hint="eastAsia" w:ascii="CESI仿宋-GB2312" w:hAnsi="CESI仿宋-GB2312" w:eastAsia="CESI仿宋-GB2312" w:cs="CESI仿宋-GB2312"/>
                <w:lang w:val="en-US" w:eastAsia="zh-CN"/>
              </w:rPr>
              <w:t>3</w:t>
            </w:r>
          </w:p>
        </w:tc>
        <w:tc>
          <w:tcPr>
            <w:tcW w:w="522" w:type="pct"/>
            <w:shd w:val="clear" w:color="000000" w:fill="auto"/>
            <w:vAlign w:val="center"/>
          </w:tcPr>
          <w:p w14:paraId="7B3AFC88">
            <w:pPr>
              <w:pStyle w:val="88"/>
              <w:rPr>
                <w:rFonts w:ascii="CESI仿宋-GB2312" w:hAnsi="CESI仿宋-GB2312" w:eastAsia="CESI仿宋-GB2312" w:cs="CESI仿宋-GB2312"/>
              </w:rPr>
            </w:pPr>
            <w:r>
              <w:rPr>
                <w:rFonts w:hint="eastAsia" w:ascii="宋体" w:hAnsi="宋体" w:cs="宋体"/>
                <w:kern w:val="0"/>
              </w:rPr>
              <w:t>项目时间安排合理性</w:t>
            </w:r>
          </w:p>
        </w:tc>
        <w:tc>
          <w:tcPr>
            <w:tcW w:w="3148" w:type="pct"/>
            <w:shd w:val="clear" w:color="000000" w:fill="auto"/>
            <w:vAlign w:val="center"/>
          </w:tcPr>
          <w:p w14:paraId="0F8CF13C">
            <w:pPr>
              <w:pStyle w:val="88"/>
              <w:rPr>
                <w:rFonts w:ascii="CESI仿宋-GB2312" w:hAnsi="CESI仿宋-GB2312" w:eastAsia="CESI仿宋-GB2312" w:cs="CESI仿宋-GB2312"/>
              </w:rPr>
            </w:pPr>
            <w:r>
              <w:rPr>
                <w:rFonts w:hint="eastAsia" w:ascii="宋体" w:hAnsi="宋体" w:cs="宋体"/>
                <w:kern w:val="0"/>
              </w:rPr>
              <w:t>根据投标人提供的方案的实施计划的时间安排，进度安排是否符合招标要求，节点间进度是否细化合理，应对变化措施是否有效，进度控制措施是否有效。</w:t>
            </w:r>
            <w:r>
              <w:rPr>
                <w:rFonts w:hint="eastAsia"/>
              </w:rPr>
              <w:t>综合评定。</w:t>
            </w:r>
            <w:r>
              <w:rPr>
                <w:rFonts w:hint="eastAsia" w:ascii="宋体" w:hAnsi="宋体" w:cs="宋体"/>
                <w:kern w:val="0"/>
              </w:rPr>
              <w:t>（0-</w:t>
            </w:r>
            <w:r>
              <w:rPr>
                <w:rFonts w:ascii="宋体" w:hAnsi="宋体" w:cs="宋体"/>
                <w:kern w:val="0"/>
              </w:rPr>
              <w:t>8</w:t>
            </w:r>
            <w:r>
              <w:rPr>
                <w:rFonts w:hint="eastAsia" w:ascii="宋体" w:hAnsi="宋体" w:cs="宋体"/>
                <w:kern w:val="0"/>
              </w:rPr>
              <w:t>分）</w:t>
            </w:r>
          </w:p>
        </w:tc>
        <w:tc>
          <w:tcPr>
            <w:tcW w:w="475" w:type="pct"/>
            <w:vAlign w:val="center"/>
          </w:tcPr>
          <w:p w14:paraId="6EE2A04F">
            <w:pPr>
              <w:pStyle w:val="88"/>
              <w:rPr>
                <w:rFonts w:ascii="CESI仿宋-GB2312" w:hAnsi="CESI仿宋-GB2312" w:eastAsia="CESI仿宋-GB2312" w:cs="CESI仿宋-GB2312"/>
              </w:rPr>
            </w:pPr>
            <w:r>
              <w:rPr>
                <w:rFonts w:hint="eastAsia"/>
              </w:rPr>
              <w:t>8分</w:t>
            </w:r>
          </w:p>
        </w:tc>
      </w:tr>
      <w:tr w14:paraId="1CC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continue"/>
            <w:shd w:val="clear" w:color="auto" w:fill="auto"/>
            <w:vAlign w:val="center"/>
          </w:tcPr>
          <w:p w14:paraId="6B97CA9D">
            <w:pPr>
              <w:pStyle w:val="88"/>
            </w:pPr>
          </w:p>
        </w:tc>
        <w:tc>
          <w:tcPr>
            <w:tcW w:w="366" w:type="pct"/>
            <w:shd w:val="clear" w:color="auto" w:fill="auto"/>
            <w:vAlign w:val="center"/>
          </w:tcPr>
          <w:p w14:paraId="7B323384">
            <w:pPr>
              <w:pStyle w:val="88"/>
              <w:rPr>
                <w:rFonts w:hint="eastAsia" w:ascii="CESI仿宋-GB2312" w:hAnsi="CESI仿宋-GB2312" w:eastAsia="CESI仿宋-GB2312" w:cs="CESI仿宋-GB2312"/>
                <w:lang w:eastAsia="zh-CN"/>
              </w:rPr>
            </w:pPr>
            <w:r>
              <w:rPr>
                <w:rFonts w:hint="eastAsia" w:ascii="CESI仿宋-GB2312" w:hAnsi="CESI仿宋-GB2312" w:eastAsia="CESI仿宋-GB2312" w:cs="CESI仿宋-GB2312"/>
                <w:lang w:val="en-US" w:eastAsia="zh-CN"/>
              </w:rPr>
              <w:t>4</w:t>
            </w:r>
          </w:p>
        </w:tc>
        <w:tc>
          <w:tcPr>
            <w:tcW w:w="522" w:type="pct"/>
            <w:shd w:val="clear" w:color="000000" w:fill="auto"/>
            <w:vAlign w:val="center"/>
          </w:tcPr>
          <w:p w14:paraId="57402257">
            <w:pPr>
              <w:pStyle w:val="88"/>
              <w:rPr>
                <w:rFonts w:ascii="CESI仿宋-GB2312" w:hAnsi="CESI仿宋-GB2312" w:eastAsia="CESI仿宋-GB2312" w:cs="CESI仿宋-GB2312"/>
              </w:rPr>
            </w:pPr>
            <w:r>
              <w:rPr>
                <w:rFonts w:hint="eastAsia" w:ascii="宋体" w:hAnsi="宋体" w:cs="宋体"/>
                <w:kern w:val="0"/>
              </w:rPr>
              <w:t>项目质量保障措施</w:t>
            </w:r>
          </w:p>
        </w:tc>
        <w:tc>
          <w:tcPr>
            <w:tcW w:w="3148" w:type="pct"/>
            <w:shd w:val="clear" w:color="000000" w:fill="auto"/>
            <w:vAlign w:val="center"/>
          </w:tcPr>
          <w:p w14:paraId="641309EB">
            <w:pPr>
              <w:pStyle w:val="88"/>
              <w:rPr>
                <w:rFonts w:ascii="CESI仿宋-GB2312" w:hAnsi="CESI仿宋-GB2312" w:eastAsia="CESI仿宋-GB2312" w:cs="CESI仿宋-GB2312"/>
              </w:rPr>
            </w:pPr>
            <w:r>
              <w:rPr>
                <w:rFonts w:hint="eastAsia" w:ascii="宋体" w:hAnsi="宋体" w:cs="宋体"/>
                <w:kern w:val="0"/>
              </w:rPr>
              <w:t>根据投标人提供的内部校审制度是否齐全。结合招标人要求，是否有针对性地建立了项目质量保障工作机制。（0-</w:t>
            </w:r>
            <w:r>
              <w:rPr>
                <w:rFonts w:ascii="宋体" w:hAnsi="宋体" w:cs="宋体"/>
                <w:kern w:val="0"/>
              </w:rPr>
              <w:t>8</w:t>
            </w:r>
            <w:r>
              <w:rPr>
                <w:rFonts w:hint="eastAsia" w:ascii="宋体" w:hAnsi="宋体" w:cs="宋体"/>
                <w:kern w:val="0"/>
              </w:rPr>
              <w:t>分）</w:t>
            </w:r>
          </w:p>
        </w:tc>
        <w:tc>
          <w:tcPr>
            <w:tcW w:w="475" w:type="pct"/>
            <w:vAlign w:val="center"/>
          </w:tcPr>
          <w:p w14:paraId="5BF7B379">
            <w:pPr>
              <w:pStyle w:val="88"/>
              <w:rPr>
                <w:rFonts w:ascii="CESI仿宋-GB2312" w:hAnsi="CESI仿宋-GB2312" w:eastAsia="CESI仿宋-GB2312" w:cs="CESI仿宋-GB2312"/>
              </w:rPr>
            </w:pPr>
            <w:r>
              <w:rPr>
                <w:rFonts w:hint="eastAsia" w:ascii="CESI仿宋-GB2312" w:hAnsi="CESI仿宋-GB2312" w:eastAsia="CESI仿宋-GB2312" w:cs="CESI仿宋-GB2312"/>
              </w:rPr>
              <w:t>8分</w:t>
            </w:r>
          </w:p>
        </w:tc>
      </w:tr>
      <w:tr w14:paraId="56B6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continue"/>
            <w:shd w:val="clear" w:color="auto" w:fill="auto"/>
            <w:vAlign w:val="center"/>
          </w:tcPr>
          <w:p w14:paraId="79497857">
            <w:pPr>
              <w:pStyle w:val="88"/>
            </w:pPr>
          </w:p>
        </w:tc>
        <w:tc>
          <w:tcPr>
            <w:tcW w:w="366" w:type="pct"/>
            <w:shd w:val="clear" w:color="auto" w:fill="auto"/>
            <w:vAlign w:val="center"/>
          </w:tcPr>
          <w:p w14:paraId="5D02945A">
            <w:pPr>
              <w:pStyle w:val="88"/>
              <w:rPr>
                <w:rFonts w:hint="eastAsia" w:ascii="CESI仿宋-GB2312" w:hAnsi="CESI仿宋-GB2312" w:eastAsia="CESI仿宋-GB2312" w:cs="CESI仿宋-GB2312"/>
                <w:lang w:eastAsia="zh-CN"/>
              </w:rPr>
            </w:pPr>
            <w:r>
              <w:rPr>
                <w:rFonts w:hint="eastAsia" w:ascii="CESI仿宋-GB2312" w:hAnsi="CESI仿宋-GB2312" w:eastAsia="CESI仿宋-GB2312" w:cs="CESI仿宋-GB2312"/>
                <w:lang w:val="en-US" w:eastAsia="zh-CN"/>
              </w:rPr>
              <w:t>5</w:t>
            </w:r>
          </w:p>
        </w:tc>
        <w:tc>
          <w:tcPr>
            <w:tcW w:w="522" w:type="pct"/>
            <w:shd w:val="clear" w:color="000000" w:fill="auto"/>
            <w:vAlign w:val="center"/>
          </w:tcPr>
          <w:p w14:paraId="10CED6C2">
            <w:pPr>
              <w:pStyle w:val="88"/>
              <w:rPr>
                <w:rFonts w:ascii="CESI仿宋-GB2312" w:hAnsi="CESI仿宋-GB2312" w:eastAsia="CESI仿宋-GB2312" w:cs="CESI仿宋-GB2312"/>
              </w:rPr>
            </w:pPr>
            <w:r>
              <w:rPr>
                <w:rFonts w:hint="eastAsia" w:ascii="宋体" w:hAnsi="宋体" w:cs="宋体"/>
                <w:kern w:val="0"/>
              </w:rPr>
              <w:t>服务能力承诺</w:t>
            </w:r>
          </w:p>
        </w:tc>
        <w:tc>
          <w:tcPr>
            <w:tcW w:w="3148" w:type="pct"/>
            <w:shd w:val="clear" w:color="000000" w:fill="auto"/>
            <w:vAlign w:val="center"/>
          </w:tcPr>
          <w:p w14:paraId="7972AA9B">
            <w:pPr>
              <w:pStyle w:val="88"/>
              <w:rPr>
                <w:rFonts w:ascii="CESI仿宋-GB2312" w:hAnsi="CESI仿宋-GB2312" w:eastAsia="CESI仿宋-GB2312" w:cs="CESI仿宋-GB2312"/>
              </w:rPr>
            </w:pPr>
            <w:r>
              <w:rPr>
                <w:rFonts w:hint="eastAsia" w:ascii="宋体" w:hAnsi="宋体" w:cs="宋体"/>
                <w:kern w:val="0"/>
              </w:rPr>
              <w:t>根据投标人提供的响应时间、承诺内容，以及服务承诺的可行性、完整性、保障措施、保密措施、其他优惠承诺等情况。（0-</w:t>
            </w:r>
            <w:r>
              <w:rPr>
                <w:rFonts w:hint="eastAsia" w:ascii="宋体" w:hAnsi="宋体" w:cs="宋体"/>
                <w:kern w:val="0"/>
                <w:lang w:val="en-US" w:eastAsia="zh-CN"/>
              </w:rPr>
              <w:t>8</w:t>
            </w:r>
            <w:r>
              <w:rPr>
                <w:rFonts w:hint="eastAsia" w:ascii="宋体" w:hAnsi="宋体" w:cs="宋体"/>
                <w:kern w:val="0"/>
              </w:rPr>
              <w:t>分）</w:t>
            </w:r>
          </w:p>
        </w:tc>
        <w:tc>
          <w:tcPr>
            <w:tcW w:w="475" w:type="pct"/>
            <w:vAlign w:val="center"/>
          </w:tcPr>
          <w:p w14:paraId="75E9FC76">
            <w:pPr>
              <w:pStyle w:val="88"/>
              <w:rPr>
                <w:rFonts w:ascii="CESI仿宋-GB2312" w:hAnsi="CESI仿宋-GB2312" w:eastAsia="CESI仿宋-GB2312" w:cs="CESI仿宋-GB2312"/>
              </w:rPr>
            </w:pPr>
            <w:r>
              <w:rPr>
                <w:rFonts w:hint="eastAsia" w:ascii="CESI仿宋-GB2312" w:hAnsi="CESI仿宋-GB2312" w:eastAsia="CESI仿宋-GB2312" w:cs="CESI仿宋-GB2312"/>
                <w:lang w:val="en-US" w:eastAsia="zh-CN"/>
              </w:rPr>
              <w:t>8</w:t>
            </w:r>
            <w:r>
              <w:rPr>
                <w:rFonts w:hint="eastAsia" w:ascii="CESI仿宋-GB2312" w:hAnsi="CESI仿宋-GB2312" w:eastAsia="CESI仿宋-GB2312" w:cs="CESI仿宋-GB2312"/>
              </w:rPr>
              <w:t>分</w:t>
            </w:r>
          </w:p>
        </w:tc>
      </w:tr>
      <w:tr w14:paraId="2423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continue"/>
            <w:shd w:val="clear" w:color="auto" w:fill="auto"/>
            <w:vAlign w:val="center"/>
          </w:tcPr>
          <w:p w14:paraId="358AA5FB">
            <w:pPr>
              <w:pStyle w:val="88"/>
            </w:pPr>
          </w:p>
        </w:tc>
        <w:tc>
          <w:tcPr>
            <w:tcW w:w="366" w:type="pct"/>
            <w:shd w:val="clear" w:color="auto" w:fill="auto"/>
            <w:vAlign w:val="center"/>
          </w:tcPr>
          <w:p w14:paraId="42C5DE08">
            <w:pPr>
              <w:pStyle w:val="88"/>
              <w:rPr>
                <w:rFonts w:hint="eastAsia" w:ascii="CESI仿宋-GB2312" w:hAnsi="CESI仿宋-GB2312" w:eastAsia="CESI仿宋-GB2312" w:cs="CESI仿宋-GB2312"/>
                <w:lang w:eastAsia="zh-CN"/>
              </w:rPr>
            </w:pPr>
            <w:r>
              <w:rPr>
                <w:rFonts w:hint="eastAsia" w:ascii="CESI仿宋-GB2312" w:hAnsi="CESI仿宋-GB2312" w:eastAsia="CESI仿宋-GB2312" w:cs="CESI仿宋-GB2312"/>
                <w:lang w:val="en-US" w:eastAsia="zh-CN"/>
              </w:rPr>
              <w:t>6</w:t>
            </w:r>
          </w:p>
        </w:tc>
        <w:tc>
          <w:tcPr>
            <w:tcW w:w="522" w:type="pct"/>
            <w:shd w:val="clear" w:color="000000" w:fill="auto"/>
            <w:vAlign w:val="center"/>
          </w:tcPr>
          <w:p w14:paraId="48761CF8">
            <w:pPr>
              <w:pStyle w:val="88"/>
              <w:rPr>
                <w:rFonts w:ascii="宋体" w:hAnsi="宋体" w:cs="宋体"/>
                <w:kern w:val="0"/>
              </w:rPr>
            </w:pPr>
            <w:r>
              <w:rPr>
                <w:rFonts w:hint="eastAsia" w:ascii="宋体" w:hAnsi="宋体" w:cs="宋体"/>
                <w:kern w:val="0"/>
              </w:rPr>
              <w:t>招标文件制作质量</w:t>
            </w:r>
          </w:p>
        </w:tc>
        <w:tc>
          <w:tcPr>
            <w:tcW w:w="3148" w:type="pct"/>
            <w:shd w:val="clear" w:color="000000" w:fill="auto"/>
            <w:vAlign w:val="center"/>
          </w:tcPr>
          <w:p w14:paraId="338C1F1A">
            <w:pPr>
              <w:pStyle w:val="88"/>
              <w:rPr>
                <w:rFonts w:ascii="宋体" w:hAnsi="宋体" w:cs="宋体"/>
                <w:kern w:val="0"/>
              </w:rPr>
            </w:pPr>
            <w:r>
              <w:rPr>
                <w:rFonts w:hint="eastAsia" w:ascii="宋体" w:hAnsi="宋体" w:cs="宋体"/>
                <w:kern w:val="0"/>
              </w:rPr>
              <w:t>投标文件制作质量（根据投标文件编制有序、关联正确、内容规范、字句清晰、表述完整等情况综合评定对比打分）（0</w:t>
            </w:r>
            <w:r>
              <w:rPr>
                <w:rFonts w:ascii="宋体" w:hAnsi="宋体" w:cs="宋体"/>
                <w:kern w:val="0"/>
              </w:rPr>
              <w:t>-</w:t>
            </w:r>
            <w:r>
              <w:rPr>
                <w:rFonts w:hint="eastAsia" w:ascii="宋体" w:hAnsi="宋体" w:cs="宋体"/>
                <w:kern w:val="0"/>
                <w:lang w:val="en-US" w:eastAsia="zh-CN"/>
              </w:rPr>
              <w:t>8</w:t>
            </w:r>
            <w:r>
              <w:rPr>
                <w:rFonts w:hint="eastAsia" w:ascii="宋体" w:hAnsi="宋体" w:cs="宋体"/>
                <w:kern w:val="0"/>
              </w:rPr>
              <w:t>分）</w:t>
            </w:r>
          </w:p>
        </w:tc>
        <w:tc>
          <w:tcPr>
            <w:tcW w:w="475" w:type="pct"/>
            <w:vAlign w:val="center"/>
          </w:tcPr>
          <w:p w14:paraId="6678393F">
            <w:pPr>
              <w:pStyle w:val="88"/>
              <w:rPr>
                <w:rFonts w:ascii="CESI仿宋-GB2312" w:hAnsi="CESI仿宋-GB2312" w:eastAsia="CESI仿宋-GB2312" w:cs="CESI仿宋-GB2312"/>
              </w:rPr>
            </w:pPr>
            <w:r>
              <w:rPr>
                <w:rFonts w:hint="eastAsia" w:ascii="CESI仿宋-GB2312" w:hAnsi="CESI仿宋-GB2312" w:eastAsia="CESI仿宋-GB2312" w:cs="CESI仿宋-GB2312"/>
                <w:lang w:val="en-US" w:eastAsia="zh-CN"/>
              </w:rPr>
              <w:t>8</w:t>
            </w:r>
            <w:r>
              <w:rPr>
                <w:rFonts w:hint="eastAsia" w:ascii="CESI仿宋-GB2312" w:hAnsi="CESI仿宋-GB2312" w:eastAsia="CESI仿宋-GB2312" w:cs="CESI仿宋-GB2312"/>
              </w:rPr>
              <w:t>分</w:t>
            </w:r>
          </w:p>
        </w:tc>
      </w:tr>
    </w:tbl>
    <w:p w14:paraId="6F16BE4A">
      <w:pPr>
        <w:widowControl/>
        <w:spacing w:line="360" w:lineRule="auto"/>
        <w:rPr>
          <w:rFonts w:ascii="仿宋" w:hAnsi="仿宋" w:eastAsia="仿宋" w:cs="仿宋"/>
          <w:color w:val="auto"/>
          <w:sz w:val="24"/>
        </w:rPr>
      </w:pPr>
      <w:r>
        <w:rPr>
          <w:rFonts w:hint="eastAsia" w:ascii="仿宋" w:hAnsi="仿宋" w:eastAsia="仿宋" w:cs="仿宋"/>
          <w:color w:val="auto"/>
          <w:sz w:val="24"/>
        </w:rPr>
        <w:t>22.价格分（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6785"/>
      </w:tblGrid>
      <w:tr w14:paraId="5D3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43" w:type="dxa"/>
            <w:tcBorders>
              <w:top w:val="single" w:color="auto" w:sz="4" w:space="0"/>
              <w:left w:val="single" w:color="auto" w:sz="4" w:space="0"/>
              <w:bottom w:val="single" w:color="auto" w:sz="4" w:space="0"/>
              <w:right w:val="single" w:color="auto" w:sz="4" w:space="0"/>
            </w:tcBorders>
            <w:noWrap/>
            <w:vAlign w:val="center"/>
          </w:tcPr>
          <w:p w14:paraId="7E57E02A">
            <w:pPr>
              <w:widowControl/>
              <w:jc w:val="center"/>
              <w:rPr>
                <w:rFonts w:ascii="仿宋" w:hAnsi="仿宋" w:eastAsia="仿宋" w:cs="仿宋"/>
                <w:color w:val="auto"/>
                <w:sz w:val="24"/>
              </w:rPr>
            </w:pPr>
            <w:r>
              <w:rPr>
                <w:rFonts w:hint="eastAsia" w:ascii="仿宋" w:hAnsi="仿宋" w:eastAsia="仿宋" w:cs="仿宋"/>
                <w:color w:val="auto"/>
                <w:sz w:val="24"/>
              </w:rPr>
              <w:t>价格权值</w:t>
            </w:r>
          </w:p>
        </w:tc>
        <w:tc>
          <w:tcPr>
            <w:tcW w:w="6785" w:type="dxa"/>
            <w:tcBorders>
              <w:top w:val="single" w:color="auto" w:sz="4" w:space="0"/>
              <w:left w:val="single" w:color="auto" w:sz="4" w:space="0"/>
              <w:bottom w:val="single" w:color="auto" w:sz="4" w:space="0"/>
              <w:right w:val="single" w:color="auto" w:sz="4" w:space="0"/>
            </w:tcBorders>
            <w:noWrap/>
            <w:vAlign w:val="center"/>
          </w:tcPr>
          <w:p w14:paraId="73100C50">
            <w:pPr>
              <w:widowControl/>
              <w:jc w:val="center"/>
              <w:rPr>
                <w:rFonts w:ascii="仿宋" w:hAnsi="仿宋" w:eastAsia="仿宋" w:cs="仿宋"/>
                <w:color w:val="auto"/>
                <w:sz w:val="24"/>
              </w:rPr>
            </w:pPr>
            <w:r>
              <w:rPr>
                <w:rFonts w:hint="eastAsia" w:ascii="仿宋" w:hAnsi="仿宋" w:eastAsia="仿宋" w:cs="仿宋"/>
                <w:color w:val="auto"/>
                <w:sz w:val="24"/>
              </w:rPr>
              <w:t>计算方法</w:t>
            </w:r>
          </w:p>
        </w:tc>
      </w:tr>
      <w:tr w14:paraId="44A0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543" w:type="dxa"/>
            <w:tcBorders>
              <w:top w:val="single" w:color="auto" w:sz="4" w:space="0"/>
              <w:left w:val="single" w:color="auto" w:sz="4" w:space="0"/>
              <w:bottom w:val="single" w:color="auto" w:sz="4" w:space="0"/>
              <w:right w:val="single" w:color="auto" w:sz="4" w:space="0"/>
            </w:tcBorders>
            <w:noWrap/>
            <w:vAlign w:val="center"/>
          </w:tcPr>
          <w:p w14:paraId="4C72FBCA">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rPr>
              <w:t>价格权值=0.</w:t>
            </w:r>
            <w:r>
              <w:rPr>
                <w:rFonts w:hint="eastAsia" w:ascii="仿宋" w:hAnsi="仿宋" w:eastAsia="仿宋" w:cs="仿宋"/>
                <w:color w:val="auto"/>
                <w:sz w:val="24"/>
                <w:lang w:val="en-US" w:eastAsia="zh-CN"/>
              </w:rPr>
              <w:t>15</w:t>
            </w:r>
          </w:p>
        </w:tc>
        <w:tc>
          <w:tcPr>
            <w:tcW w:w="6785" w:type="dxa"/>
            <w:tcBorders>
              <w:top w:val="single" w:color="auto" w:sz="4" w:space="0"/>
              <w:left w:val="single" w:color="auto" w:sz="4" w:space="0"/>
              <w:bottom w:val="single" w:color="auto" w:sz="4" w:space="0"/>
              <w:right w:val="single" w:color="auto" w:sz="4" w:space="0"/>
            </w:tcBorders>
            <w:noWrap/>
            <w:vAlign w:val="center"/>
          </w:tcPr>
          <w:p w14:paraId="7450B293">
            <w:pPr>
              <w:widowControl/>
              <w:rPr>
                <w:rFonts w:ascii="仿宋" w:hAnsi="仿宋" w:eastAsia="仿宋" w:cs="仿宋"/>
                <w:color w:val="auto"/>
                <w:sz w:val="24"/>
              </w:rPr>
            </w:pPr>
            <w:r>
              <w:rPr>
                <w:rFonts w:hint="eastAsia" w:ascii="仿宋" w:hAnsi="仿宋" w:eastAsia="仿宋" w:cs="仿宋"/>
                <w:color w:val="auto"/>
                <w:sz w:val="24"/>
              </w:rPr>
              <w:t>最低有效投标价格为评标基准价</w:t>
            </w:r>
          </w:p>
          <w:p w14:paraId="3E12F124">
            <w:pPr>
              <w:widowControl/>
              <w:rPr>
                <w:rFonts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14:paraId="3164AD99">
            <w:pPr>
              <w:widowControl/>
              <w:rPr>
                <w:rFonts w:ascii="仿宋" w:hAnsi="仿宋" w:eastAsia="仿宋" w:cs="仿宋"/>
                <w:color w:val="auto"/>
                <w:sz w:val="24"/>
              </w:rPr>
            </w:pPr>
            <w:r>
              <w:rPr>
                <w:rFonts w:hint="eastAsia" w:ascii="仿宋" w:hAnsi="仿宋" w:eastAsia="仿宋" w:cs="仿宋"/>
                <w:color w:val="auto"/>
                <w:sz w:val="24"/>
              </w:rPr>
              <w:t>（计算得分保留小数点后2位）</w:t>
            </w:r>
          </w:p>
        </w:tc>
      </w:tr>
    </w:tbl>
    <w:p w14:paraId="77011B9B">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备注：1、评分条款中涉及的业绩、荣誉、人员、社保等分公司均有效。</w:t>
      </w:r>
    </w:p>
    <w:p w14:paraId="1562ABFB">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3652107">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b/>
          <w:color w:val="auto"/>
          <w:sz w:val="24"/>
        </w:rPr>
      </w:pPr>
      <w:r>
        <w:rPr>
          <w:rFonts w:hint="eastAsia" w:ascii="仿宋" w:hAnsi="仿宋" w:eastAsia="仿宋" w:cs="仿宋"/>
          <w:color w:val="auto"/>
          <w:sz w:val="24"/>
        </w:rPr>
        <w:t>3、投标人编制投标文件（商务技术文件部分）时，建议按此目录（序号和内容）提供评标标准相应的商务技术资料。 </w:t>
      </w:r>
    </w:p>
    <w:p w14:paraId="4929903C">
      <w:pPr>
        <w:pStyle w:val="4"/>
        <w:jc w:val="both"/>
        <w:rPr>
          <w:rFonts w:hint="eastAsia" w:ascii="仿宋" w:hAnsi="仿宋" w:eastAsia="仿宋" w:cs="仿宋"/>
          <w:color w:val="auto"/>
          <w:highlight w:val="none"/>
        </w:rPr>
      </w:pPr>
    </w:p>
    <w:p w14:paraId="3F9D44D3">
      <w:pPr>
        <w:pStyle w:val="16"/>
        <w:rPr>
          <w:rFonts w:hint="eastAsia" w:ascii="仿宋" w:hAnsi="仿宋" w:eastAsia="仿宋" w:cs="仿宋"/>
          <w:color w:val="auto"/>
          <w:highlight w:val="none"/>
        </w:rPr>
      </w:pPr>
    </w:p>
    <w:p w14:paraId="5BA97F2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941CF85">
      <w:pPr>
        <w:pStyle w:val="4"/>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方法</w:t>
      </w:r>
    </w:p>
    <w:p w14:paraId="220CFD22">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全部实质性要求，且按照评审因素的量化指标评审得分最高的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为</w:t>
      </w:r>
      <w:r>
        <w:rPr>
          <w:rFonts w:hint="eastAsia" w:ascii="仿宋" w:hAnsi="仿宋" w:eastAsia="仿宋" w:cs="仿宋"/>
          <w:color w:val="auto"/>
          <w:highlight w:val="none"/>
          <w:lang w:eastAsia="zh-CN"/>
        </w:rPr>
        <w:t>成交候选人</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方法。</w:t>
      </w:r>
    </w:p>
    <w:p w14:paraId="0DECECC6">
      <w:pPr>
        <w:pStyle w:val="4"/>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w:t>
      </w:r>
    </w:p>
    <w:p w14:paraId="2B2C1EC3">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b/>
          <w:color w:val="auto"/>
          <w:highlight w:val="none"/>
        </w:rPr>
      </w:pPr>
      <w:r>
        <w:rPr>
          <w:rStyle w:val="40"/>
          <w:rFonts w:hint="eastAsia" w:ascii="仿宋" w:hAnsi="仿宋" w:eastAsia="仿宋" w:cs="仿宋"/>
          <w:color w:val="auto"/>
          <w:highlight w:val="none"/>
        </w:rPr>
        <w:t xml:space="preserve">2. </w:t>
      </w:r>
      <w:r>
        <w:rPr>
          <w:rStyle w:val="40"/>
          <w:rFonts w:hint="eastAsia" w:ascii="仿宋" w:hAnsi="仿宋" w:eastAsia="仿宋" w:cs="仿宋"/>
          <w:color w:val="auto"/>
          <w:highlight w:val="none"/>
          <w:lang w:eastAsia="zh-CN"/>
        </w:rPr>
        <w:t>评审</w:t>
      </w:r>
      <w:r>
        <w:rPr>
          <w:rStyle w:val="40"/>
          <w:rFonts w:hint="eastAsia" w:ascii="仿宋" w:hAnsi="仿宋" w:eastAsia="仿宋" w:cs="仿宋"/>
          <w:color w:val="auto"/>
          <w:highlight w:val="none"/>
        </w:rPr>
        <w:t>标准：</w:t>
      </w: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办法前附表。</w:t>
      </w:r>
    </w:p>
    <w:p w14:paraId="3596CB4E">
      <w:pPr>
        <w:pStyle w:val="4"/>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程序</w:t>
      </w:r>
    </w:p>
    <w:p w14:paraId="16A82ADB">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3.1符合性审查。</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委员会应当对符合资格的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进行符合性审查，以确定其是否满足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的实质性要求。不满足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的实质性要求的，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780E714E">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3.2 比较与评价。</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委员会应当按照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方法和标准，对符合性审查合格的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进行商务和技术评估，综合比较与评价。</w:t>
      </w:r>
    </w:p>
    <w:p w14:paraId="03FC1CD5">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3.3汇总商务技术得分。</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委员会各成员应当独立对每个</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的商务和技术文件进行评价，并汇总商务技术得分情况。</w:t>
      </w:r>
    </w:p>
    <w:p w14:paraId="1F8C7C6A">
      <w:pPr>
        <w:pStyle w:val="5"/>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3.4报价评审。</w:t>
      </w:r>
    </w:p>
    <w:p w14:paraId="5623479E">
      <w:pPr>
        <w:pStyle w:val="6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报价出现前后不一致的，按照下列规定修正：</w:t>
      </w:r>
    </w:p>
    <w:p w14:paraId="2EC41A74">
      <w:pPr>
        <w:pStyle w:val="6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w:t>
      </w:r>
      <w:r>
        <w:rPr>
          <w:rFonts w:hint="eastAsia" w:ascii="仿宋" w:hAnsi="仿宋" w:eastAsia="仿宋" w:cs="仿宋"/>
          <w:color w:val="auto"/>
          <w:highlight w:val="none"/>
          <w:lang w:eastAsia="zh-CN"/>
        </w:rPr>
        <w:t>交易一览标</w:t>
      </w:r>
      <w:r>
        <w:rPr>
          <w:rFonts w:hint="eastAsia" w:ascii="仿宋" w:hAnsi="仿宋" w:eastAsia="仿宋" w:cs="仿宋"/>
          <w:color w:val="auto"/>
          <w:highlight w:val="none"/>
        </w:rPr>
        <w:t>(报价表)内容与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中相应内容不一致的，以</w:t>
      </w:r>
      <w:r>
        <w:rPr>
          <w:rFonts w:hint="eastAsia" w:ascii="仿宋" w:hAnsi="仿宋" w:eastAsia="仿宋" w:cs="仿宋"/>
          <w:color w:val="auto"/>
          <w:highlight w:val="none"/>
          <w:lang w:eastAsia="zh-CN"/>
        </w:rPr>
        <w:t>交易一览标</w:t>
      </w:r>
      <w:r>
        <w:rPr>
          <w:rFonts w:hint="eastAsia" w:ascii="仿宋" w:hAnsi="仿宋" w:eastAsia="仿宋" w:cs="仿宋"/>
          <w:color w:val="auto"/>
          <w:highlight w:val="none"/>
        </w:rPr>
        <w:t>(报价表)为准;</w:t>
      </w:r>
    </w:p>
    <w:p w14:paraId="575FC579">
      <w:pPr>
        <w:pStyle w:val="6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14:paraId="46F647F7">
      <w:pPr>
        <w:pStyle w:val="6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w:t>
      </w:r>
      <w:r>
        <w:rPr>
          <w:rFonts w:hint="eastAsia" w:ascii="仿宋" w:hAnsi="仿宋" w:eastAsia="仿宋" w:cs="仿宋"/>
          <w:color w:val="auto"/>
          <w:highlight w:val="none"/>
          <w:lang w:eastAsia="zh-CN"/>
        </w:rPr>
        <w:t>交易一览标</w:t>
      </w:r>
      <w:r>
        <w:rPr>
          <w:rFonts w:hint="eastAsia" w:ascii="仿宋" w:hAnsi="仿宋" w:eastAsia="仿宋" w:cs="仿宋"/>
          <w:color w:val="auto"/>
          <w:highlight w:val="none"/>
        </w:rPr>
        <w:t>的总价为准，并修改单价;</w:t>
      </w:r>
    </w:p>
    <w:p w14:paraId="7AFB6B65">
      <w:pPr>
        <w:pStyle w:val="6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14:paraId="015B78A8">
      <w:pPr>
        <w:pStyle w:val="6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确认后产生约束力。</w:t>
      </w:r>
    </w:p>
    <w:p w14:paraId="209CBE50">
      <w:pPr>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出现不是唯一的、有选择性投标报价的，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42A97DD3">
      <w:pPr>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3.4.3投标报价超过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中规定的预算金额或者最高限价的，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7AC6CB55">
      <w:pPr>
        <w:pStyle w:val="6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3.4.4</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委员会认为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的报价明显低于其他通过符合性审查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不能证明其报价合理性的，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委员会应当将其作为无效</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处理。</w:t>
      </w:r>
    </w:p>
    <w:p w14:paraId="12E13F96">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结果按评审后得分由高到低顺序排列。得分相同的，按报价由低到高顺序排列。得分且报价相同的并列。</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全部实质性要求，且按照评审因素的量化指标评审得分最高的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为排名第一的</w:t>
      </w:r>
      <w:r>
        <w:rPr>
          <w:rFonts w:hint="eastAsia" w:ascii="仿宋" w:hAnsi="仿宋" w:eastAsia="仿宋" w:cs="仿宋"/>
          <w:color w:val="auto"/>
          <w:highlight w:val="none"/>
          <w:lang w:eastAsia="zh-CN"/>
        </w:rPr>
        <w:t>成交候选人</w:t>
      </w:r>
      <w:r>
        <w:rPr>
          <w:rFonts w:hint="eastAsia" w:ascii="仿宋" w:hAnsi="仿宋" w:eastAsia="仿宋" w:cs="仿宋"/>
          <w:color w:val="auto"/>
          <w:highlight w:val="none"/>
        </w:rPr>
        <w:t>。</w:t>
      </w:r>
    </w:p>
    <w:p w14:paraId="43A2D7B9">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highlight w:val="none"/>
        </w:rPr>
        <w:t>多家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参加同一合同项下</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的，按一家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计算，评审后得分最高的同品牌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获得</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人推荐资格；评审得分相同的，采取随机抽取方式确定，其他同品牌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不作为</w:t>
      </w:r>
      <w:r>
        <w:rPr>
          <w:rFonts w:hint="eastAsia" w:ascii="仿宋" w:hAnsi="仿宋" w:eastAsia="仿宋" w:cs="仿宋"/>
          <w:color w:val="auto"/>
          <w:highlight w:val="none"/>
          <w:lang w:eastAsia="zh-CN"/>
        </w:rPr>
        <w:t>成交候选人</w:t>
      </w:r>
      <w:r>
        <w:rPr>
          <w:rFonts w:hint="eastAsia" w:ascii="仿宋" w:hAnsi="仿宋" w:eastAsia="仿宋" w:cs="仿宋"/>
          <w:color w:val="auto"/>
          <w:highlight w:val="none"/>
        </w:rPr>
        <w:t>。</w:t>
      </w:r>
    </w:p>
    <w:p w14:paraId="4C4A50DE">
      <w:pPr>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3.6编写</w:t>
      </w:r>
      <w:r>
        <w:rPr>
          <w:rStyle w:val="40"/>
          <w:rFonts w:hint="eastAsia" w:ascii="仿宋" w:hAnsi="仿宋" w:eastAsia="仿宋" w:cs="仿宋"/>
          <w:color w:val="auto"/>
          <w:highlight w:val="none"/>
          <w:lang w:eastAsia="zh-CN"/>
        </w:rPr>
        <w:t>评审</w:t>
      </w:r>
      <w:r>
        <w:rPr>
          <w:rStyle w:val="40"/>
          <w:rFonts w:hint="eastAsia" w:ascii="仿宋" w:hAnsi="仿宋" w:eastAsia="仿宋" w:cs="仿宋"/>
          <w:color w:val="auto"/>
          <w:highlight w:val="none"/>
        </w:rPr>
        <w:t>报告。</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委员会根据全体</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成员签字的原始</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记录和</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结果编写</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报告。</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委员会成员对需要共同认定的事项存在争议的，应当按照少数服从多数的原则作出结论。持不同意见的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委员会成员应当在</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报告上签署不同意见及理由，否则视为同意</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报告。</w:t>
      </w:r>
    </w:p>
    <w:p w14:paraId="20E2B69D">
      <w:pPr>
        <w:pStyle w:val="4"/>
        <w:keepNext w:val="0"/>
        <w:keepLines w:val="0"/>
        <w:pageBreakBefore w:val="0"/>
        <w:kinsoku/>
        <w:wordWrap/>
        <w:overflowPunct/>
        <w:topLinePunct w:val="0"/>
        <w:autoSpaceDE/>
        <w:autoSpaceDN/>
        <w:bidi w:val="0"/>
        <w:spacing w:before="0" w:after="0" w:line="360" w:lineRule="auto"/>
        <w:ind w:left="0" w:leftChars="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中的其他事项</w:t>
      </w:r>
    </w:p>
    <w:p w14:paraId="37E804F1">
      <w:pPr>
        <w:pStyle w:val="64"/>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4.1</w:t>
      </w:r>
      <w:r>
        <w:rPr>
          <w:rStyle w:val="40"/>
          <w:rFonts w:hint="eastAsia" w:ascii="仿宋" w:hAnsi="仿宋" w:eastAsia="仿宋" w:cs="仿宋"/>
          <w:color w:val="auto"/>
          <w:highlight w:val="none"/>
          <w:lang w:eastAsia="zh-CN"/>
        </w:rPr>
        <w:t>供应商</w:t>
      </w:r>
      <w:r>
        <w:rPr>
          <w:rStyle w:val="40"/>
          <w:rFonts w:hint="eastAsia" w:ascii="仿宋" w:hAnsi="仿宋" w:eastAsia="仿宋" w:cs="仿宋"/>
          <w:color w:val="auto"/>
          <w:highlight w:val="none"/>
        </w:rPr>
        <w:t>澄清、说明或者补正。</w:t>
      </w:r>
      <w:r>
        <w:rPr>
          <w:rFonts w:hint="eastAsia" w:ascii="仿宋" w:hAnsi="仿宋" w:eastAsia="仿宋" w:cs="仿宋"/>
          <w:color w:val="auto"/>
          <w:highlight w:val="none"/>
        </w:rPr>
        <w:t>对于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中含义不明确、同类问题表述不一致或者有明显文字和计算错误的内容需要</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作出必要的澄清、说明或者补正的，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通过电子交易平台交换数据电文，</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提交使用电子签名的相关数据电文或通过平台上传加盖公章的扫描件。给予</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提交澄清、说明或补正的时间不得少于半小时，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已经明确表示澄清说明或补正完毕的除外。</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的澄清、说明或者补正不得超出</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的范围或者改变</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的实质性内容。</w:t>
      </w:r>
    </w:p>
    <w:p w14:paraId="5615024D">
      <w:pPr>
        <w:pStyle w:val="2"/>
        <w:keepNext w:val="0"/>
        <w:keepLines w:val="0"/>
        <w:pageBreakBefore w:val="0"/>
        <w:kinsoku/>
        <w:wordWrap/>
        <w:overflowPunct/>
        <w:topLinePunct w:val="0"/>
        <w:autoSpaceDE/>
        <w:autoSpaceDN/>
        <w:bidi w:val="0"/>
        <w:spacing w:after="0" w:line="360" w:lineRule="auto"/>
        <w:ind w:left="0" w:leftChars="0" w:firstLine="482" w:firstLineChars="200"/>
        <w:textAlignment w:val="auto"/>
        <w:rPr>
          <w:rFonts w:hint="eastAsia" w:ascii="仿宋" w:hAnsi="仿宋" w:eastAsia="仿宋" w:cs="仿宋"/>
          <w:color w:val="auto"/>
          <w:szCs w:val="21"/>
          <w:highlight w:val="none"/>
        </w:rPr>
      </w:pPr>
      <w:r>
        <w:rPr>
          <w:rStyle w:val="40"/>
          <w:rFonts w:hint="eastAsia" w:ascii="仿宋" w:hAnsi="仿宋" w:eastAsia="仿宋" w:cs="仿宋"/>
          <w:color w:val="auto"/>
          <w:highlight w:val="none"/>
        </w:rPr>
        <w:t>4.2</w:t>
      </w:r>
      <w:r>
        <w:rPr>
          <w:rStyle w:val="40"/>
          <w:rFonts w:hint="eastAsia" w:ascii="仿宋" w:hAnsi="仿宋" w:eastAsia="仿宋" w:cs="仿宋"/>
          <w:color w:val="auto"/>
          <w:highlight w:val="none"/>
          <w:lang w:eastAsia="zh-CN"/>
        </w:rPr>
        <w:t>响应无效</w:t>
      </w:r>
      <w:r>
        <w:rPr>
          <w:rStyle w:val="40"/>
          <w:rFonts w:hint="eastAsia" w:ascii="仿宋" w:hAnsi="仿宋" w:eastAsia="仿宋" w:cs="仿宋"/>
          <w:color w:val="auto"/>
          <w:highlight w:val="none"/>
        </w:rPr>
        <w:t>。</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3B26AEEE">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未提供有效的资格文件的，视为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w:t>
      </w:r>
    </w:p>
    <w:p w14:paraId="5F65C20C">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要求签署、盖章的；</w:t>
      </w:r>
    </w:p>
    <w:p w14:paraId="0A66DC3B">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含有</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不能接受的附加条件的；</w:t>
      </w:r>
    </w:p>
    <w:p w14:paraId="6ADC8DEF">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中承诺的</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少于</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中载明的</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的；</w:t>
      </w:r>
    </w:p>
    <w:p w14:paraId="57D25A03">
      <w:pPr>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出现不是唯一的、有选择性投标报价的;</w:t>
      </w:r>
    </w:p>
    <w:p w14:paraId="730C6F90">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投标报价超过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中规定的预算金额或者最高限价的;</w:t>
      </w:r>
    </w:p>
    <w:p w14:paraId="1C5F4068">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报价明显低于其他通过符合性审查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的报价，有可能影响产品质量或者不能诚信履约的，未能按要求提供书面说明或者提交相关证明材料，不能证明其报价合理性的;</w:t>
      </w:r>
    </w:p>
    <w:p w14:paraId="61D1DCF2">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对根据修正原则修正后的报价不确认的；</w:t>
      </w:r>
    </w:p>
    <w:p w14:paraId="668D53A7">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提供虚假材料投标的；</w:t>
      </w:r>
    </w:p>
    <w:p w14:paraId="5016979E">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有恶意串通、妨碍其他</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的竞争行为、损害</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或者其他</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的合法权益情形的；</w:t>
      </w:r>
    </w:p>
    <w:p w14:paraId="1B4419D6">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仅提交备份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，未在电子交易平台传输递交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4EB337E8">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的其它实质性要求的；</w:t>
      </w:r>
    </w:p>
    <w:p w14:paraId="67D44C86">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法律、法规、规章（适用本市的）及省级以上规范性文件（适用本市的）规定的其他无效情形。</w:t>
      </w:r>
    </w:p>
    <w:p w14:paraId="668C70FC">
      <w:pPr>
        <w:pStyle w:val="2"/>
        <w:keepNext w:val="0"/>
        <w:keepLines w:val="0"/>
        <w:pageBreakBefore w:val="0"/>
        <w:kinsoku/>
        <w:wordWrap/>
        <w:overflowPunct/>
        <w:topLinePunct w:val="0"/>
        <w:autoSpaceDE/>
        <w:autoSpaceDN/>
        <w:bidi w:val="0"/>
        <w:snapToGrid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955FB4">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7744A106">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384F0A1">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14:paraId="2303159B">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B2E34E1">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1F437858">
      <w:pPr>
        <w:pStyle w:val="2"/>
        <w:keepNext w:val="0"/>
        <w:keepLines w:val="0"/>
        <w:pageBreakBefore w:val="0"/>
        <w:kinsoku/>
        <w:wordWrap/>
        <w:overflowPunct/>
        <w:topLinePunct w:val="0"/>
        <w:autoSpaceDE/>
        <w:autoSpaceDN/>
        <w:bidi w:val="0"/>
        <w:snapToGrid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6.修改</w:t>
      </w:r>
      <w:r>
        <w:rPr>
          <w:rStyle w:val="40"/>
          <w:rFonts w:hint="eastAsia" w:ascii="仿宋" w:hAnsi="仿宋" w:eastAsia="仿宋" w:cs="仿宋"/>
          <w:color w:val="auto"/>
          <w:highlight w:val="none"/>
          <w:lang w:eastAsia="zh-CN"/>
        </w:rPr>
        <w:t>交易文件</w:t>
      </w:r>
      <w:r>
        <w:rPr>
          <w:rStyle w:val="40"/>
          <w:rFonts w:hint="eastAsia" w:ascii="仿宋" w:hAnsi="仿宋" w:eastAsia="仿宋" w:cs="仿宋"/>
          <w:color w:val="auto"/>
          <w:highlight w:val="none"/>
        </w:rPr>
        <w:t>，重新组织采购活动。</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01C5456E">
      <w:pPr>
        <w:pStyle w:val="2"/>
        <w:keepNext w:val="0"/>
        <w:keepLines w:val="0"/>
        <w:pageBreakBefore w:val="0"/>
        <w:kinsoku/>
        <w:wordWrap/>
        <w:overflowPunct/>
        <w:topLinePunct w:val="0"/>
        <w:autoSpaceDE/>
        <w:autoSpaceDN/>
        <w:bidi w:val="0"/>
        <w:snapToGrid w:val="0"/>
        <w:spacing w:after="0" w:line="360" w:lineRule="auto"/>
        <w:ind w:left="0" w:leftChars="0" w:firstLine="482" w:firstLineChars="200"/>
        <w:textAlignment w:val="auto"/>
        <w:rPr>
          <w:rFonts w:hint="eastAsia" w:ascii="仿宋" w:hAnsi="仿宋" w:eastAsia="仿宋" w:cs="仿宋"/>
          <w:color w:val="auto"/>
          <w:highlight w:val="none"/>
        </w:rPr>
      </w:pPr>
      <w:r>
        <w:rPr>
          <w:rStyle w:val="40"/>
          <w:rFonts w:hint="eastAsia" w:ascii="仿宋" w:hAnsi="仿宋" w:eastAsia="仿宋"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、成交结果的，依照下列规定处理：</w:t>
      </w:r>
    </w:p>
    <w:p w14:paraId="09286727">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人的，终止本次政府采购活动，重新开展政府采购活动。</w:t>
      </w:r>
    </w:p>
    <w:p w14:paraId="2158C4F6">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人但尚未签订政府采购合同的，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人；没有合格的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或者成交候选人的，重新开展政府采购活动。</w:t>
      </w:r>
    </w:p>
    <w:p w14:paraId="322DBA1E">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人；没有合格的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或者成交候选人的，重新开展政府采购活动。</w:t>
      </w:r>
    </w:p>
    <w:p w14:paraId="07F5FAB7">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、供应商造成损失的，由责任人承担赔偿责任。</w:t>
      </w:r>
    </w:p>
    <w:p w14:paraId="53686836">
      <w:pPr>
        <w:pStyle w:val="2"/>
        <w:keepNext w:val="0"/>
        <w:keepLines w:val="0"/>
        <w:pageBreakBefore w:val="0"/>
        <w:kinsoku/>
        <w:wordWrap/>
        <w:overflowPunct/>
        <w:topLinePunct w:val="0"/>
        <w:autoSpaceDE/>
        <w:autoSpaceDN/>
        <w:bidi w:val="0"/>
        <w:snapToGrid w:val="0"/>
        <w:spacing w:after="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、成交无效的，依照7.1-7.4规定处理。</w:t>
      </w:r>
    </w:p>
    <w:p w14:paraId="27559D84">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14:paraId="28174603">
      <w:pPr>
        <w:pStyle w:val="3"/>
        <w:keepNext w:val="0"/>
        <w:keepLines w:val="0"/>
        <w:pageBreakBefore w:val="0"/>
        <w:kinsoku/>
        <w:wordWrap/>
        <w:overflowPunct/>
        <w:topLinePunct w:val="0"/>
        <w:bidi w:val="0"/>
        <w:spacing w:before="0" w:after="0" w:line="360" w:lineRule="auto"/>
        <w:ind w:left="0" w:leftChars="0" w:right="0" w:rightChars="0" w:firstLine="743"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第五部分 拟签订的合同文本</w:t>
      </w:r>
    </w:p>
    <w:p w14:paraId="43D8D8A0">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14:paraId="4B40EDF2">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                                 签订时间：20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A8A000A">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3A2E78D3">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甲方（需方）：                                     </w:t>
      </w:r>
    </w:p>
    <w:p w14:paraId="3AB82AEF">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乙方（供方）：                                     </w:t>
      </w:r>
    </w:p>
    <w:p w14:paraId="22B0BF59">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供、需双方根据杭州市萧山区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）交易结果和交易文件的要求，并经双方协调一致，订立本合同。</w:t>
      </w:r>
    </w:p>
    <w:p w14:paraId="56C672A8">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一、合同文件：</w:t>
      </w:r>
    </w:p>
    <w:p w14:paraId="7FB3ED99">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1、合同条款。</w:t>
      </w:r>
    </w:p>
    <w:p w14:paraId="11153F27">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2、成交通知书。</w:t>
      </w:r>
    </w:p>
    <w:p w14:paraId="618B4AD9">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3、交易文件。</w:t>
      </w:r>
    </w:p>
    <w:p w14:paraId="61BCFF71">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4、更正公告。</w:t>
      </w:r>
    </w:p>
    <w:p w14:paraId="50287717">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5、成交单位响应文件。</w:t>
      </w:r>
    </w:p>
    <w:p w14:paraId="11C755F8">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w:t>
      </w:r>
    </w:p>
    <w:p w14:paraId="618D9BA3">
      <w:pPr>
        <w:keepNext w:val="0"/>
        <w:keepLines w:val="0"/>
        <w:pageBreakBefore w:val="0"/>
        <w:widowControl w:val="0"/>
        <w:kinsoku/>
        <w:wordWrap/>
        <w:overflowPunct/>
        <w:topLinePunct w:val="0"/>
        <w:autoSpaceDE/>
        <w:autoSpaceDN/>
        <w:bidi w:val="0"/>
        <w:adjustRightInd w:val="0"/>
        <w:snapToGrid/>
        <w:spacing w:line="44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二、合同金额: 本合同金额为(大写)_________________元（￥</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元）人民币附：</w:t>
      </w:r>
    </w:p>
    <w:p w14:paraId="39C69F2F">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《项目清单内容》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65E0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3D28D39F">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2EAB9C6">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51214DC">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34623830">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56C09787">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F24F982">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成交总价（元）</w:t>
            </w:r>
          </w:p>
        </w:tc>
      </w:tr>
      <w:tr w14:paraId="7F32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1C8A993">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C74922C">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B01A50">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603EFE7E">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AA99B78">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B6BBF97">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r>
      <w:tr w14:paraId="0145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4E5FAA4">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5947628">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897C24">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38A8B9BF">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099F63A">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B2746F3">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color w:val="auto"/>
                <w:sz w:val="24"/>
                <w:highlight w:val="none"/>
              </w:rPr>
            </w:pPr>
          </w:p>
        </w:tc>
      </w:tr>
    </w:tbl>
    <w:p w14:paraId="74748E77">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三、技术资料</w:t>
      </w:r>
    </w:p>
    <w:p w14:paraId="2803B2A6">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1.乙方应按交易文件规定的时间向甲方提供有关技术资料。</w:t>
      </w:r>
    </w:p>
    <w:p w14:paraId="5D64A9EE">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0F14D9">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四、知识产权</w:t>
      </w:r>
    </w:p>
    <w:p w14:paraId="03BE4F86">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p>
    <w:p w14:paraId="48410C6D">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五、履约保证金</w:t>
      </w:r>
    </w:p>
    <w:p w14:paraId="56DC6004">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乙方交纳人民币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元作为本合同的履约保证金。</w:t>
      </w:r>
    </w:p>
    <w:p w14:paraId="2CEB1E2D">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六、转包或分包</w:t>
      </w:r>
    </w:p>
    <w:p w14:paraId="6C86146E">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1.本合同范围的服务，应由乙方直接供应，不得转让他人供应；</w:t>
      </w:r>
    </w:p>
    <w:p w14:paraId="56681149">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2.除非得到甲方的书面同意，乙方不得将本合同范围的服务全部或部分分包给他人供应；</w:t>
      </w:r>
    </w:p>
    <w:p w14:paraId="14C071BD">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3.如有转让和未经甲方同意的分包行为，甲方有权解除合同，没收履约保证金并追究乙方的违约责任。</w:t>
      </w:r>
    </w:p>
    <w:p w14:paraId="26B82070">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七、服务质量保证期和服务质量保证金(选用)</w:t>
      </w:r>
    </w:p>
    <w:p w14:paraId="4D4562FE">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 服务质量保证期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年。（自验收合格之日起计）</w:t>
      </w:r>
    </w:p>
    <w:p w14:paraId="3B063730">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 服务质量保证金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14:paraId="6F6B012D">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八、合同履行时间、履行方式及履行地点</w:t>
      </w:r>
    </w:p>
    <w:p w14:paraId="23B5FA23">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 履行时间：</w:t>
      </w:r>
    </w:p>
    <w:p w14:paraId="1D826A56">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 履行方式：</w:t>
      </w:r>
    </w:p>
    <w:p w14:paraId="7C3B09B8">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履行地点：</w:t>
      </w:r>
    </w:p>
    <w:p w14:paraId="3CFD5F60">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九、款项支付</w:t>
      </w:r>
    </w:p>
    <w:p w14:paraId="680A0EA8">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1.付款方式：</w:t>
      </w:r>
    </w:p>
    <w:p w14:paraId="2EC14ED6">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2.合同履行完毕，需方根据合同进行验收，验收合格后供应商按结算要求办理货款结算手续。</w:t>
      </w:r>
    </w:p>
    <w:p w14:paraId="7C215532">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十、税费</w:t>
      </w:r>
    </w:p>
    <w:p w14:paraId="55F7F86B">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212D4CDD">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十一、质量保证及后续服务</w:t>
      </w:r>
    </w:p>
    <w:p w14:paraId="73039E89">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 乙方应按交易文件规定向甲方提供服务。</w:t>
      </w:r>
    </w:p>
    <w:p w14:paraId="0DB03C70">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 乙方提供的服务成果在服务质量保证期内发生故障，乙方应负责免费提供后续服务。对达不到要求者，根据实际情况，经双方协商，可按以下办法处理：</w:t>
      </w:r>
    </w:p>
    <w:p w14:paraId="4AE55770">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⑴重做：由乙方承担所发生的全部费用。</w:t>
      </w:r>
    </w:p>
    <w:p w14:paraId="0E1FBF3A">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⑵贬值处理：由甲乙双方合议定价。</w:t>
      </w:r>
    </w:p>
    <w:p w14:paraId="53651201">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⑶解除合同。</w:t>
      </w:r>
    </w:p>
    <w:p w14:paraId="710CF7C0">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 如在使用过程中发生问题，乙方在接到甲方通知后在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小时内到达甲方现场。</w:t>
      </w:r>
    </w:p>
    <w:p w14:paraId="06FC1742">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4.在服务质量保证期内，乙方应对出现的质量及安全问题负责处理解决并承担一切费用。</w:t>
      </w:r>
    </w:p>
    <w:p w14:paraId="64AB6865">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十二、违约责任</w:t>
      </w:r>
    </w:p>
    <w:p w14:paraId="41233F7A">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1.甲方无正当理由拒绝接收服务的，甲方向乙方偿付合同款项百分之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作为违约金。</w:t>
      </w:r>
    </w:p>
    <w:p w14:paraId="07115CB7">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2.甲方无故逾期验收和办理款项支付手续的，甲方应按逾期付款总额每日万分之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向乙方支付违约金。</w:t>
      </w:r>
    </w:p>
    <w:p w14:paraId="1219FF74">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3.乙方未能如期提供服务的，每日向甲方支付合同款项的千分之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p>
    <w:p w14:paraId="3777A55B">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4.供方在服务项目验收合格之日起保修期内违反本合同有关承诺保证的，需方将有权不予退还质量保证金，损失赔偿不足部分，由乙方承担赔偿。</w:t>
      </w:r>
    </w:p>
    <w:p w14:paraId="0EEDB037">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5．如发现乙方违反交易文件和合同的有关规定，甲方有权根据约定对乙方进行处罚，并有权提前终止合同。</w:t>
      </w:r>
    </w:p>
    <w:p w14:paraId="2D8DE382">
      <w:pPr>
        <w:keepNext w:val="0"/>
        <w:keepLines w:val="0"/>
        <w:pageBreakBefore w:val="0"/>
        <w:widowControl w:val="0"/>
        <w:kinsoku/>
        <w:wordWrap/>
        <w:overflowPunct/>
        <w:topLinePunct w:val="0"/>
        <w:autoSpaceDE/>
        <w:autoSpaceDN/>
        <w:bidi w:val="0"/>
        <w:adjustRightInd w:val="0"/>
        <w:snapToGrid/>
        <w:spacing w:line="440" w:lineRule="exact"/>
        <w:ind w:left="0" w:leftChars="0"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十三、争议的解决</w:t>
      </w:r>
    </w:p>
    <w:p w14:paraId="049D40E0">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2419DDB3">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（1）提请杭州仲裁委员会按照该会仲裁规则进行仲裁，仲裁裁决是终局的，对合同双方均有约束力。</w:t>
      </w:r>
    </w:p>
    <w:p w14:paraId="62E397BA">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（2）向有管辖权的人民法院提起诉讼。</w:t>
      </w:r>
    </w:p>
    <w:p w14:paraId="507F6FFD">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十四、合同生效</w:t>
      </w:r>
    </w:p>
    <w:p w14:paraId="1F26312C">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1.成交供应商持成交通知书作为与需方签订合同的凭证。</w:t>
      </w:r>
    </w:p>
    <w:p w14:paraId="3E1FC349">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2.本合同经需、供双方法定代表人或其授权委托人签字并加盖单位公章后生效。</w:t>
      </w:r>
    </w:p>
    <w:p w14:paraId="1430325A">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3.本合同一式四份，需、供双方各执二份。</w:t>
      </w:r>
    </w:p>
    <w:p w14:paraId="4CB715B1">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需方（盖章）：                     供方（盖章）：</w:t>
      </w:r>
    </w:p>
    <w:p w14:paraId="52AD079A">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73CE67DD">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法定代表人（或委托代理人）签名：   法定代表人（或委托代理人）签名：</w:t>
      </w:r>
    </w:p>
    <w:p w14:paraId="3C563B81">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联系电话：</w:t>
      </w:r>
    </w:p>
    <w:p w14:paraId="20385ABF">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14:paraId="25F13071">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086BC231">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14:paraId="6E93DABC">
      <w:pPr>
        <w:spacing w:line="360" w:lineRule="auto"/>
        <w:rPr>
          <w:rFonts w:hint="eastAsia" w:ascii="仿宋" w:hAnsi="仿宋" w:eastAsia="仿宋" w:cs="仿宋"/>
          <w:color w:val="auto"/>
          <w:sz w:val="24"/>
          <w:highlight w:val="none"/>
        </w:rPr>
        <w:sectPr>
          <w:footerReference r:id="rId7" w:type="first"/>
          <w:headerReference r:id="rId5" w:type="default"/>
          <w:footerReference r:id="rId6" w:type="default"/>
          <w:pgSz w:w="11906" w:h="16838"/>
          <w:pgMar w:top="1440" w:right="1803" w:bottom="1440" w:left="1803" w:header="851" w:footer="992" w:gutter="0"/>
          <w:cols w:space="720" w:num="1"/>
          <w:rtlGutter w:val="0"/>
          <w:docGrid w:linePitch="312" w:charSpace="0"/>
        </w:sectPr>
      </w:pPr>
    </w:p>
    <w:p w14:paraId="2B9E9257">
      <w:pPr>
        <w:pStyle w:val="3"/>
        <w:keepNext w:val="0"/>
        <w:keepLines w:val="0"/>
        <w:pageBreakBefore w:val="0"/>
        <w:widowControl/>
        <w:kinsoku/>
        <w:wordWrap/>
        <w:overflowPunct/>
        <w:topLinePunct w:val="0"/>
        <w:autoSpaceDE/>
        <w:autoSpaceDN/>
        <w:bidi w:val="0"/>
        <w:adjustRightInd/>
        <w:spacing w:before="0" w:after="0" w:line="360" w:lineRule="auto"/>
        <w:ind w:right="0" w:firstLine="743"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14:paraId="712106F9">
      <w:pPr>
        <w:pStyle w:val="4"/>
        <w:keepNext w:val="0"/>
        <w:keepLines w:val="0"/>
        <w:pageBreakBefore w:val="0"/>
        <w:widowControl/>
        <w:kinsoku/>
        <w:wordWrap/>
        <w:overflowPunct/>
        <w:topLinePunct w:val="0"/>
        <w:autoSpaceDE/>
        <w:autoSpaceDN/>
        <w:bidi w:val="0"/>
        <w:adjustRightInd/>
        <w:spacing w:before="0" w:after="0" w:line="360" w:lineRule="auto"/>
        <w:ind w:right="0"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14:paraId="0200379E">
      <w:pPr>
        <w:keepNext w:val="0"/>
        <w:keepLines w:val="0"/>
        <w:pageBreakBefore w:val="0"/>
        <w:widowControl/>
        <w:kinsoku/>
        <w:wordWrap/>
        <w:overflowPunct/>
        <w:topLinePunct w:val="0"/>
        <w:autoSpaceDE/>
        <w:autoSpaceDN/>
        <w:bidi w:val="0"/>
        <w:adjustRightInd/>
        <w:spacing w:after="0" w:line="360" w:lineRule="auto"/>
        <w:ind w:right="0" w:firstLine="803" w:firstLineChars="200"/>
        <w:jc w:val="center"/>
        <w:textAlignment w:val="auto"/>
        <w:rPr>
          <w:rFonts w:hint="eastAsia" w:ascii="仿宋" w:hAnsi="仿宋" w:eastAsia="仿宋" w:cs="仿宋"/>
          <w:b/>
          <w:color w:val="auto"/>
          <w:sz w:val="40"/>
          <w:highlight w:val="none"/>
        </w:rPr>
      </w:pPr>
      <w:r>
        <w:rPr>
          <w:rFonts w:hint="eastAsia" w:ascii="仿宋" w:hAnsi="仿宋" w:eastAsia="仿宋" w:cs="仿宋"/>
          <w:b/>
          <w:color w:val="auto"/>
          <w:sz w:val="40"/>
          <w:highlight w:val="none"/>
        </w:rPr>
        <w:t>目录</w:t>
      </w:r>
    </w:p>
    <w:p w14:paraId="30FE6FE6">
      <w:pPr>
        <w:spacing w:line="360" w:lineRule="auto"/>
        <w:jc w:val="center"/>
        <w:outlineLvl w:val="0"/>
        <w:rPr>
          <w:rFonts w:hint="eastAsia" w:ascii="仿宋" w:hAnsi="仿宋" w:eastAsia="仿宋" w:cs="仿宋"/>
          <w:b/>
          <w:color w:val="auto"/>
          <w:kern w:val="0"/>
          <w:sz w:val="36"/>
          <w:szCs w:val="36"/>
          <w:highlight w:val="none"/>
        </w:rPr>
      </w:pPr>
    </w:p>
    <w:p w14:paraId="673ADE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活动应当具备的一般条件的承诺函………………（页码）</w:t>
      </w:r>
    </w:p>
    <w:p w14:paraId="1A9CEE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2）落实采购政策需满足的资格要求……………………………………（</w:t>
      </w:r>
      <w:r>
        <w:rPr>
          <w:rFonts w:hint="eastAsia" w:ascii="仿宋" w:hAnsi="仿宋" w:eastAsia="仿宋" w:cs="仿宋"/>
          <w:color w:val="auto"/>
          <w:sz w:val="24"/>
          <w:highlight w:val="none"/>
        </w:rPr>
        <w:t>页码）</w:t>
      </w:r>
    </w:p>
    <w:p w14:paraId="074FDE8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14:paraId="145DCD8D">
      <w:pPr>
        <w:spacing w:line="360" w:lineRule="auto"/>
        <w:ind w:firstLine="480" w:firstLineChars="200"/>
        <w:rPr>
          <w:rFonts w:hint="eastAsia" w:ascii="仿宋" w:hAnsi="仿宋" w:eastAsia="仿宋" w:cs="仿宋"/>
          <w:color w:val="auto"/>
          <w:sz w:val="24"/>
          <w:highlight w:val="none"/>
        </w:rPr>
      </w:pPr>
    </w:p>
    <w:p w14:paraId="5C91EE05">
      <w:pPr>
        <w:keepNext w:val="0"/>
        <w:keepLines w:val="0"/>
        <w:pageBreakBefore w:val="0"/>
        <w:widowControl/>
        <w:kinsoku/>
        <w:wordWrap/>
        <w:overflowPunct/>
        <w:topLinePunct w:val="0"/>
        <w:autoSpaceDE/>
        <w:autoSpaceDN/>
        <w:bidi w:val="0"/>
        <w:adjustRightInd/>
        <w:spacing w:after="0" w:line="360" w:lineRule="auto"/>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3A9FC19">
      <w:pPr>
        <w:pStyle w:val="4"/>
        <w:keepNext w:val="0"/>
        <w:keepLines w:val="0"/>
        <w:pageBreakBefore w:val="0"/>
        <w:widowControl/>
        <w:kinsoku/>
        <w:wordWrap/>
        <w:overflowPunct/>
        <w:topLinePunct w:val="0"/>
        <w:autoSpaceDE/>
        <w:autoSpaceDN/>
        <w:bidi w:val="0"/>
        <w:adjustRightInd/>
        <w:spacing w:before="0" w:after="0" w:line="360" w:lineRule="auto"/>
        <w:ind w:right="0" w:firstLine="562"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一、 </w:t>
      </w:r>
      <w:r>
        <w:rPr>
          <w:rFonts w:hint="eastAsia" w:ascii="仿宋" w:hAnsi="仿宋" w:eastAsia="仿宋" w:cs="仿宋"/>
          <w:color w:val="auto"/>
          <w:highlight w:val="none"/>
          <w:lang w:eastAsia="zh-CN"/>
        </w:rPr>
        <w:t>符合参加</w:t>
      </w:r>
      <w:r>
        <w:rPr>
          <w:rFonts w:hint="eastAsia" w:cs="仿宋"/>
          <w:color w:val="auto"/>
          <w:highlight w:val="none"/>
          <w:lang w:val="en-US" w:eastAsia="zh-CN"/>
        </w:rPr>
        <w:t>交易</w:t>
      </w:r>
      <w:r>
        <w:rPr>
          <w:rFonts w:hint="eastAsia" w:ascii="仿宋" w:hAnsi="仿宋" w:eastAsia="仿宋" w:cs="仿宋"/>
          <w:color w:val="auto"/>
          <w:highlight w:val="none"/>
          <w:lang w:eastAsia="zh-CN"/>
        </w:rPr>
        <w:t>活动应当具备的一般条件的承诺函</w:t>
      </w:r>
    </w:p>
    <w:p w14:paraId="7C67FDE2">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交易人</w:t>
      </w:r>
      <w:r>
        <w:rPr>
          <w:rFonts w:hint="eastAsia" w:ascii="仿宋" w:hAnsi="仿宋" w:eastAsia="仿宋" w:cs="仿宋"/>
          <w:color w:val="auto"/>
          <w:sz w:val="24"/>
          <w:highlight w:val="none"/>
          <w:u w:val="single"/>
        </w:rPr>
        <w:t>）、（采购机构）：</w:t>
      </w:r>
    </w:p>
    <w:p w14:paraId="3D0D1D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交易编号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活动，郑重承诺：</w:t>
      </w:r>
    </w:p>
    <w:p w14:paraId="33DF2E5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以下</w:t>
      </w:r>
      <w:r>
        <w:rPr>
          <w:rFonts w:hint="eastAsia" w:ascii="仿宋" w:hAnsi="仿宋" w:eastAsia="仿宋" w:cs="仿宋"/>
          <w:color w:val="auto"/>
          <w:sz w:val="24"/>
          <w:highlight w:val="none"/>
        </w:rPr>
        <w:t>条件：</w:t>
      </w:r>
    </w:p>
    <w:p w14:paraId="16DA6B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4C59B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25F24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D4D37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C275E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0F5A21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402DE87">
      <w:pPr>
        <w:snapToGrid w:val="0"/>
        <w:spacing w:line="360" w:lineRule="auto"/>
        <w:ind w:firstLine="5520" w:firstLineChars="2300"/>
        <w:rPr>
          <w:rFonts w:hint="eastAsia" w:ascii="仿宋" w:hAnsi="仿宋" w:eastAsia="仿宋" w:cs="仿宋"/>
          <w:color w:val="auto"/>
          <w:kern w:val="0"/>
          <w:sz w:val="24"/>
          <w:highlight w:val="none"/>
          <w:lang w:val="zh-CN"/>
        </w:rPr>
      </w:pPr>
    </w:p>
    <w:p w14:paraId="08ABDED7">
      <w:pPr>
        <w:snapToGrid w:val="0"/>
        <w:spacing w:line="360" w:lineRule="auto"/>
        <w:ind w:firstLine="5520" w:firstLineChars="2300"/>
        <w:rPr>
          <w:rFonts w:hint="eastAsia" w:ascii="仿宋" w:hAnsi="仿宋" w:eastAsia="仿宋" w:cs="仿宋"/>
          <w:color w:val="auto"/>
          <w:kern w:val="0"/>
          <w:sz w:val="24"/>
          <w:highlight w:val="none"/>
          <w:lang w:val="zh-CN"/>
        </w:rPr>
      </w:pPr>
    </w:p>
    <w:p w14:paraId="285C2BB1">
      <w:pPr>
        <w:snapToGrid w:val="0"/>
        <w:spacing w:line="360" w:lineRule="auto"/>
        <w:ind w:firstLine="5520" w:firstLineChars="2300"/>
        <w:rPr>
          <w:rFonts w:hint="eastAsia" w:ascii="仿宋" w:hAnsi="仿宋" w:eastAsia="仿宋" w:cs="仿宋"/>
          <w:color w:val="auto"/>
          <w:kern w:val="0"/>
          <w:sz w:val="24"/>
          <w:highlight w:val="none"/>
          <w:lang w:val="zh-CN"/>
        </w:rPr>
      </w:pPr>
    </w:p>
    <w:p w14:paraId="727B3E70">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E5BA90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880DAB6">
      <w:pPr>
        <w:keepNext w:val="0"/>
        <w:keepLines w:val="0"/>
        <w:pageBreakBefore w:val="0"/>
        <w:widowControl/>
        <w:kinsoku/>
        <w:wordWrap/>
        <w:overflowPunct/>
        <w:topLinePunct w:val="0"/>
        <w:autoSpaceDE/>
        <w:autoSpaceDN/>
        <w:bidi w:val="0"/>
        <w:adjustRightInd/>
        <w:snapToGrid w:val="0"/>
        <w:spacing w:after="0" w:line="360" w:lineRule="auto"/>
        <w:ind w:right="0" w:firstLine="643" w:firstLineChars="200"/>
        <w:jc w:val="center"/>
        <w:textAlignment w:val="auto"/>
        <w:rPr>
          <w:rFonts w:hint="eastAsia" w:ascii="仿宋" w:hAnsi="仿宋" w:eastAsia="仿宋" w:cs="仿宋"/>
          <w:b/>
          <w:color w:val="auto"/>
          <w:sz w:val="32"/>
          <w:szCs w:val="32"/>
          <w:highlight w:val="none"/>
        </w:rPr>
      </w:pPr>
    </w:p>
    <w:p w14:paraId="53B40DB1">
      <w:pPr>
        <w:pStyle w:val="4"/>
        <w:keepNext w:val="0"/>
        <w:keepLines w:val="0"/>
        <w:pageBreakBefore w:val="0"/>
        <w:widowControl/>
        <w:kinsoku/>
        <w:wordWrap/>
        <w:overflowPunct/>
        <w:topLinePunct w:val="0"/>
        <w:autoSpaceDE/>
        <w:autoSpaceDN/>
        <w:bidi w:val="0"/>
        <w:adjustRightInd/>
        <w:spacing w:before="0" w:after="0" w:line="360" w:lineRule="auto"/>
        <w:ind w:right="0" w:firstLine="562" w:firstLineChars="200"/>
        <w:textAlignment w:val="auto"/>
        <w:rPr>
          <w:rFonts w:hint="eastAsia" w:ascii="仿宋" w:hAnsi="仿宋" w:eastAsia="仿宋" w:cs="仿宋"/>
          <w:color w:val="auto"/>
          <w:highlight w:val="none"/>
        </w:rPr>
      </w:pPr>
    </w:p>
    <w:p w14:paraId="3F7C5D3C">
      <w:pPr>
        <w:pStyle w:val="4"/>
        <w:keepNext w:val="0"/>
        <w:keepLines w:val="0"/>
        <w:pageBreakBefore w:val="0"/>
        <w:widowControl/>
        <w:kinsoku/>
        <w:wordWrap/>
        <w:overflowPunct/>
        <w:topLinePunct w:val="0"/>
        <w:autoSpaceDE/>
        <w:autoSpaceDN/>
        <w:bidi w:val="0"/>
        <w:adjustRightInd/>
        <w:spacing w:before="0" w:after="0" w:line="360" w:lineRule="auto"/>
        <w:ind w:right="0" w:firstLine="562" w:firstLineChars="200"/>
        <w:textAlignment w:val="auto"/>
        <w:rPr>
          <w:rFonts w:hint="eastAsia" w:ascii="仿宋" w:hAnsi="仿宋" w:eastAsia="仿宋" w:cs="仿宋"/>
          <w:color w:val="auto"/>
          <w:highlight w:val="none"/>
        </w:rPr>
      </w:pPr>
    </w:p>
    <w:p w14:paraId="3A698410">
      <w:pPr>
        <w:pStyle w:val="4"/>
        <w:keepNext w:val="0"/>
        <w:keepLines w:val="0"/>
        <w:pageBreakBefore w:val="0"/>
        <w:widowControl/>
        <w:kinsoku/>
        <w:wordWrap/>
        <w:overflowPunct/>
        <w:topLinePunct w:val="0"/>
        <w:autoSpaceDE/>
        <w:autoSpaceDN/>
        <w:bidi w:val="0"/>
        <w:adjustRightInd/>
        <w:spacing w:before="0" w:after="0" w:line="360" w:lineRule="auto"/>
        <w:ind w:right="0" w:firstLine="562" w:firstLineChars="200"/>
        <w:textAlignment w:val="auto"/>
        <w:rPr>
          <w:rFonts w:hint="eastAsia" w:ascii="仿宋" w:hAnsi="仿宋" w:eastAsia="仿宋" w:cs="仿宋"/>
          <w:color w:val="auto"/>
          <w:highlight w:val="none"/>
        </w:rPr>
      </w:pPr>
    </w:p>
    <w:p w14:paraId="2E902A5B">
      <w:pPr>
        <w:spacing w:line="360" w:lineRule="auto"/>
        <w:ind w:right="420"/>
        <w:rPr>
          <w:rFonts w:hint="eastAsia" w:ascii="仿宋" w:hAnsi="仿宋" w:eastAsia="仿宋" w:cs="仿宋"/>
          <w:b/>
          <w:color w:val="auto"/>
          <w:kern w:val="0"/>
          <w:sz w:val="32"/>
          <w:szCs w:val="32"/>
          <w:highlight w:val="none"/>
        </w:rPr>
      </w:pPr>
    </w:p>
    <w:p w14:paraId="7ACBB51D">
      <w:pPr>
        <w:pStyle w:val="2"/>
        <w:rPr>
          <w:rFonts w:hint="eastAsia" w:ascii="仿宋" w:hAnsi="仿宋" w:eastAsia="仿宋" w:cs="仿宋"/>
          <w:b/>
          <w:color w:val="auto"/>
          <w:kern w:val="0"/>
          <w:sz w:val="32"/>
          <w:szCs w:val="32"/>
          <w:highlight w:val="none"/>
        </w:rPr>
      </w:pPr>
    </w:p>
    <w:p w14:paraId="037F079F">
      <w:pPr>
        <w:pStyle w:val="12"/>
        <w:rPr>
          <w:rFonts w:hint="eastAsia" w:ascii="仿宋" w:hAnsi="仿宋" w:eastAsia="仿宋" w:cs="仿宋"/>
          <w:b/>
          <w:color w:val="auto"/>
          <w:kern w:val="0"/>
          <w:sz w:val="32"/>
          <w:szCs w:val="32"/>
          <w:highlight w:val="none"/>
        </w:rPr>
      </w:pPr>
    </w:p>
    <w:p w14:paraId="394DBAEA">
      <w:pPr>
        <w:rPr>
          <w:rFonts w:hint="eastAsia" w:ascii="仿宋" w:hAnsi="仿宋" w:eastAsia="仿宋" w:cs="仿宋"/>
          <w:color w:val="auto"/>
          <w:highlight w:val="none"/>
        </w:rPr>
      </w:pPr>
    </w:p>
    <w:p w14:paraId="4C5A0851">
      <w:pPr>
        <w:widowControl/>
        <w:spacing w:line="360" w:lineRule="auto"/>
        <w:ind w:left="150"/>
        <w:jc w:val="center"/>
        <w:rPr>
          <w:rFonts w:hint="eastAsia" w:ascii="仿宋" w:hAnsi="仿宋" w:eastAsia="仿宋" w:cs="仿宋"/>
          <w:b/>
          <w:color w:val="auto"/>
          <w:kern w:val="0"/>
          <w:sz w:val="32"/>
          <w:szCs w:val="32"/>
          <w:highlight w:val="none"/>
        </w:rPr>
      </w:pPr>
      <w:r>
        <w:rPr>
          <w:rFonts w:hint="eastAsia"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、本项目的特定资格要求</w:t>
      </w:r>
    </w:p>
    <w:p w14:paraId="43EDDA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本项目的特定资格要求提供相应的材料；未要求的，无需提供）</w:t>
      </w:r>
    </w:p>
    <w:p w14:paraId="53B28614">
      <w:pPr>
        <w:pStyle w:val="4"/>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rPr>
      </w:pPr>
    </w:p>
    <w:p w14:paraId="5D53BB73">
      <w:pPr>
        <w:pStyle w:val="4"/>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rPr>
      </w:pPr>
    </w:p>
    <w:p w14:paraId="6AC71EEC">
      <w:pPr>
        <w:pStyle w:val="4"/>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rPr>
      </w:pPr>
    </w:p>
    <w:p w14:paraId="0DF98BC4">
      <w:pPr>
        <w:pStyle w:val="4"/>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rPr>
      </w:pPr>
    </w:p>
    <w:p w14:paraId="4E8B4F16">
      <w:pPr>
        <w:rPr>
          <w:rFonts w:hint="eastAsia" w:ascii="仿宋" w:hAnsi="仿宋" w:eastAsia="仿宋" w:cs="仿宋"/>
          <w:color w:val="auto"/>
          <w:highlight w:val="none"/>
        </w:rPr>
      </w:pPr>
    </w:p>
    <w:p w14:paraId="4587AC0E">
      <w:pPr>
        <w:rPr>
          <w:rFonts w:hint="eastAsia" w:ascii="仿宋" w:hAnsi="仿宋" w:eastAsia="仿宋" w:cs="仿宋"/>
          <w:color w:val="auto"/>
          <w:highlight w:val="none"/>
        </w:rPr>
      </w:pPr>
    </w:p>
    <w:p w14:paraId="13319DC7">
      <w:pPr>
        <w:rPr>
          <w:rFonts w:hint="eastAsia" w:ascii="仿宋" w:hAnsi="仿宋" w:eastAsia="仿宋" w:cs="仿宋"/>
          <w:color w:val="auto"/>
          <w:highlight w:val="none"/>
        </w:rPr>
      </w:pPr>
    </w:p>
    <w:p w14:paraId="4ACCEF08">
      <w:pPr>
        <w:rPr>
          <w:rFonts w:hint="eastAsia" w:ascii="仿宋" w:hAnsi="仿宋" w:eastAsia="仿宋" w:cs="仿宋"/>
          <w:color w:val="auto"/>
          <w:highlight w:val="none"/>
        </w:rPr>
      </w:pPr>
    </w:p>
    <w:p w14:paraId="66332C69">
      <w:pPr>
        <w:rPr>
          <w:rFonts w:hint="eastAsia" w:ascii="仿宋" w:hAnsi="仿宋" w:eastAsia="仿宋" w:cs="仿宋"/>
          <w:color w:val="auto"/>
          <w:highlight w:val="none"/>
        </w:rPr>
      </w:pPr>
    </w:p>
    <w:p w14:paraId="591B60EE">
      <w:pPr>
        <w:rPr>
          <w:rFonts w:hint="eastAsia" w:ascii="仿宋" w:hAnsi="仿宋" w:eastAsia="仿宋" w:cs="仿宋"/>
          <w:color w:val="auto"/>
          <w:highlight w:val="none"/>
        </w:rPr>
      </w:pPr>
    </w:p>
    <w:p w14:paraId="6CD07206">
      <w:pPr>
        <w:rPr>
          <w:rFonts w:hint="eastAsia" w:ascii="仿宋" w:hAnsi="仿宋" w:eastAsia="仿宋" w:cs="仿宋"/>
          <w:color w:val="auto"/>
          <w:highlight w:val="none"/>
        </w:rPr>
      </w:pPr>
    </w:p>
    <w:p w14:paraId="6B6FF94C">
      <w:pPr>
        <w:rPr>
          <w:rFonts w:hint="eastAsia" w:ascii="仿宋" w:hAnsi="仿宋" w:eastAsia="仿宋" w:cs="仿宋"/>
          <w:color w:val="auto"/>
          <w:highlight w:val="none"/>
        </w:rPr>
      </w:pPr>
    </w:p>
    <w:p w14:paraId="0CF2F4EA">
      <w:pPr>
        <w:rPr>
          <w:rFonts w:hint="eastAsia" w:ascii="仿宋" w:hAnsi="仿宋" w:eastAsia="仿宋" w:cs="仿宋"/>
          <w:color w:val="auto"/>
          <w:highlight w:val="none"/>
        </w:rPr>
      </w:pPr>
    </w:p>
    <w:p w14:paraId="2D7AC331">
      <w:pPr>
        <w:rPr>
          <w:rFonts w:hint="eastAsia" w:ascii="仿宋" w:hAnsi="仿宋" w:eastAsia="仿宋" w:cs="仿宋"/>
          <w:color w:val="auto"/>
          <w:highlight w:val="none"/>
        </w:rPr>
      </w:pPr>
    </w:p>
    <w:p w14:paraId="5DD5FB7C">
      <w:pPr>
        <w:rPr>
          <w:rFonts w:hint="eastAsia" w:ascii="仿宋" w:hAnsi="仿宋" w:eastAsia="仿宋" w:cs="仿宋"/>
          <w:color w:val="auto"/>
          <w:highlight w:val="none"/>
        </w:rPr>
      </w:pPr>
    </w:p>
    <w:p w14:paraId="08282405">
      <w:pPr>
        <w:rPr>
          <w:rFonts w:hint="eastAsia" w:ascii="仿宋" w:hAnsi="仿宋" w:eastAsia="仿宋" w:cs="仿宋"/>
          <w:color w:val="auto"/>
          <w:highlight w:val="none"/>
        </w:rPr>
      </w:pPr>
    </w:p>
    <w:p w14:paraId="7C27020E">
      <w:pPr>
        <w:rPr>
          <w:rFonts w:hint="eastAsia" w:ascii="仿宋" w:hAnsi="仿宋" w:eastAsia="仿宋" w:cs="仿宋"/>
          <w:color w:val="auto"/>
          <w:highlight w:val="none"/>
        </w:rPr>
      </w:pPr>
    </w:p>
    <w:p w14:paraId="32B9A4D0">
      <w:pPr>
        <w:rPr>
          <w:rFonts w:hint="eastAsia" w:ascii="仿宋" w:hAnsi="仿宋" w:eastAsia="仿宋" w:cs="仿宋"/>
          <w:color w:val="auto"/>
          <w:highlight w:val="none"/>
        </w:rPr>
      </w:pPr>
    </w:p>
    <w:p w14:paraId="799014FC">
      <w:pPr>
        <w:rPr>
          <w:rFonts w:hint="eastAsia" w:ascii="仿宋" w:hAnsi="仿宋" w:eastAsia="仿宋" w:cs="仿宋"/>
          <w:color w:val="auto"/>
          <w:highlight w:val="none"/>
        </w:rPr>
      </w:pPr>
    </w:p>
    <w:p w14:paraId="4BA9D5B7">
      <w:pPr>
        <w:rPr>
          <w:rFonts w:hint="eastAsia" w:ascii="仿宋" w:hAnsi="仿宋" w:eastAsia="仿宋" w:cs="仿宋"/>
          <w:color w:val="auto"/>
          <w:highlight w:val="none"/>
        </w:rPr>
      </w:pPr>
    </w:p>
    <w:p w14:paraId="2DD27595">
      <w:pPr>
        <w:rPr>
          <w:rFonts w:hint="eastAsia" w:ascii="仿宋" w:hAnsi="仿宋" w:eastAsia="仿宋" w:cs="仿宋"/>
          <w:color w:val="auto"/>
          <w:highlight w:val="none"/>
        </w:rPr>
      </w:pPr>
    </w:p>
    <w:p w14:paraId="2B476282">
      <w:pPr>
        <w:pStyle w:val="4"/>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14:paraId="63D006E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14:paraId="1E811C6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响应函</w:t>
      </w:r>
      <w:r>
        <w:rPr>
          <w:rFonts w:hint="eastAsia" w:ascii="仿宋" w:hAnsi="仿宋" w:eastAsia="仿宋" w:cs="仿宋"/>
          <w:color w:val="auto"/>
          <w:highlight w:val="none"/>
        </w:rPr>
        <w:t>……………………………………………………………………（页码）</w:t>
      </w:r>
    </w:p>
    <w:p w14:paraId="3497392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14:paraId="48DAD65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营业执照</w:t>
      </w:r>
      <w:r>
        <w:rPr>
          <w:rFonts w:hint="eastAsia" w:ascii="仿宋" w:hAnsi="仿宋" w:eastAsia="仿宋" w:cs="仿宋"/>
          <w:color w:val="auto"/>
          <w:highlight w:val="none"/>
        </w:rPr>
        <w:t>……………………………………………………………………（页码）</w:t>
      </w:r>
    </w:p>
    <w:p w14:paraId="7AAB8B3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）符合性审查资料…………………………………………………………（页码）</w:t>
      </w:r>
    </w:p>
    <w:p w14:paraId="5987410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标准相应的商务技术资料……………………………………………（页码）（</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）商务技术偏离表……………………………………………………………（页码）</w:t>
      </w:r>
    </w:p>
    <w:p w14:paraId="752CBEA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val="zh-CN"/>
        </w:rPr>
        <w:t>）供应商廉洁自律承诺书</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（页码）</w:t>
      </w:r>
    </w:p>
    <w:p w14:paraId="5EF222E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FF614B8">
      <w:pPr>
        <w:pStyle w:val="4"/>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响应函</w:t>
      </w:r>
    </w:p>
    <w:p w14:paraId="4E5DAC9A">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p>
    <w:p w14:paraId="34212FF6">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编号：（采购编号）】</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的有关活动，并对此项目进行</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。为此：</w:t>
      </w:r>
    </w:p>
    <w:p w14:paraId="045017D2">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1、我方承诺</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有效期从提交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在</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有效期满之前均具有约束力。</w:t>
      </w:r>
    </w:p>
    <w:p w14:paraId="7F13AD5A">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包括以下内容：</w:t>
      </w:r>
    </w:p>
    <w:p w14:paraId="6FECE74B">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78E0D976">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79D1A0C6">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本项目的特定资格要求（如果有）。</w:t>
      </w:r>
    </w:p>
    <w:p w14:paraId="71478370">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14:paraId="78516E83">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2.2.1</w:t>
      </w:r>
      <w:r>
        <w:rPr>
          <w:rFonts w:hint="eastAsia" w:ascii="仿宋" w:hAnsi="仿宋" w:eastAsia="仿宋" w:cs="仿宋"/>
          <w:color w:val="auto"/>
          <w:highlight w:val="none"/>
          <w:lang w:eastAsia="zh-CN"/>
        </w:rPr>
        <w:t>响应函</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w:t>
      </w:r>
    </w:p>
    <w:p w14:paraId="6B476B89">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20F45E50">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2.2.3</w:t>
      </w:r>
      <w:r>
        <w:rPr>
          <w:rFonts w:hint="eastAsia" w:ascii="仿宋" w:hAnsi="仿宋" w:eastAsia="仿宋" w:cs="仿宋"/>
          <w:color w:val="auto"/>
          <w:highlight w:val="none"/>
          <w:lang w:eastAsia="zh-CN"/>
        </w:rPr>
        <w:t>营业执照</w:t>
      </w:r>
      <w:r>
        <w:rPr>
          <w:rFonts w:hint="eastAsia" w:ascii="仿宋" w:hAnsi="仿宋" w:eastAsia="仿宋" w:cs="仿宋"/>
          <w:color w:val="auto"/>
          <w:highlight w:val="none"/>
        </w:rPr>
        <w:t>；</w:t>
      </w:r>
    </w:p>
    <w:p w14:paraId="35384BED">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符合性审查资料；</w:t>
      </w:r>
    </w:p>
    <w:p w14:paraId="2111C94C">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标准相应的商务技术资料；</w:t>
      </w:r>
    </w:p>
    <w:p w14:paraId="7F6195EB">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商务技术偏离表；</w:t>
      </w:r>
    </w:p>
    <w:p w14:paraId="7D6E252B">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val="zh-CN"/>
        </w:rPr>
        <w:t>供应商廉洁自律承诺书；</w:t>
      </w:r>
    </w:p>
    <w:p w14:paraId="6C9FDBBA">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14:paraId="1DFC147B">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2.3.1</w:t>
      </w:r>
      <w:r>
        <w:rPr>
          <w:rFonts w:hint="eastAsia" w:ascii="仿宋" w:hAnsi="仿宋" w:eastAsia="仿宋" w:cs="仿宋"/>
          <w:color w:val="auto"/>
          <w:highlight w:val="none"/>
          <w:lang w:eastAsia="zh-CN"/>
        </w:rPr>
        <w:t>交易一览标</w:t>
      </w:r>
      <w:r>
        <w:rPr>
          <w:rFonts w:hint="eastAsia" w:ascii="仿宋" w:hAnsi="仿宋" w:eastAsia="仿宋" w:cs="仿宋"/>
          <w:color w:val="auto"/>
          <w:highlight w:val="none"/>
        </w:rPr>
        <w:t>（报价表）；</w:t>
      </w:r>
    </w:p>
    <w:p w14:paraId="599093B0">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的全部要求。</w:t>
      </w:r>
    </w:p>
    <w:p w14:paraId="6DA333BE">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4、如我方</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，我方承诺：</w:t>
      </w:r>
    </w:p>
    <w:p w14:paraId="0C3BF275">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4.1在收到</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通知书后，在</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 xml:space="preserve">通知书规定的期限内与你方签订合同； </w:t>
      </w:r>
    </w:p>
    <w:p w14:paraId="1328853B">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14:paraId="0B8000F9">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4.3按照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 xml:space="preserve">要求提交履约保证金； </w:t>
      </w:r>
    </w:p>
    <w:p w14:paraId="1A318C72">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14:paraId="5C301EBC">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3BA25A8">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 xml:space="preserve">名称（电子签名）：                          </w:t>
      </w:r>
    </w:p>
    <w:p w14:paraId="642C0A07">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57CD7764">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u w:val="single"/>
        </w:rPr>
      </w:pPr>
    </w:p>
    <w:p w14:paraId="5111D3CF">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7EB0C98D">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EEFCC37">
      <w:pPr>
        <w:pStyle w:val="4"/>
        <w:keepNext w:val="0"/>
        <w:keepLines w:val="0"/>
        <w:pageBreakBefore w:val="0"/>
        <w:widowControl/>
        <w:kinsoku/>
        <w:wordWrap/>
        <w:overflowPunct/>
        <w:topLinePunct w:val="0"/>
        <w:autoSpaceDE/>
        <w:autoSpaceDN/>
        <w:bidi w:val="0"/>
        <w:adjustRightInd/>
        <w:spacing w:before="0" w:after="0" w:line="360" w:lineRule="auto"/>
        <w:ind w:firstLine="562"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14:paraId="4DC3736B">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1D8DB15">
      <w:pPr>
        <w:keepNext w:val="0"/>
        <w:keepLines w:val="0"/>
        <w:pageBreakBefore w:val="0"/>
        <w:widowControl/>
        <w:kinsoku/>
        <w:wordWrap/>
        <w:overflowPunct/>
        <w:topLinePunct w:val="0"/>
        <w:autoSpaceDE/>
        <w:autoSpaceDN/>
        <w:bidi w:val="0"/>
        <w:adjustRightInd/>
        <w:snapToGrid w:val="0"/>
        <w:spacing w:after="0" w:line="360" w:lineRule="auto"/>
        <w:ind w:firstLine="643" w:firstLineChars="200"/>
        <w:jc w:val="center"/>
        <w:textAlignment w:val="auto"/>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p>
    <w:p w14:paraId="73D43A12">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CN"/>
        </w:rPr>
        <w:t>：</w:t>
      </w:r>
    </w:p>
    <w:p w14:paraId="5702CCFF">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编号：（采购编号）】</w:t>
      </w:r>
      <w:r>
        <w:rPr>
          <w:rFonts w:hint="eastAsia" w:ascii="仿宋" w:hAnsi="仿宋" w:eastAsia="仿宋" w:cs="仿宋"/>
          <w:color w:val="auto"/>
          <w:highlight w:val="none"/>
          <w:lang w:val="zh-CN"/>
        </w:rPr>
        <w:t>采购</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val="zh-CN"/>
        </w:rPr>
        <w:t>的一切事项，其法律后果由我方承担。</w:t>
      </w:r>
    </w:p>
    <w:p w14:paraId="56C02CCC">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14:paraId="3969AB07">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14:paraId="0CEFE722">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供应商名称(电子签名)：</w:t>
      </w:r>
    </w:p>
    <w:p w14:paraId="249E2CD2">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签发日期：  年  月   日</w:t>
      </w:r>
    </w:p>
    <w:p w14:paraId="565584BD">
      <w:pPr>
        <w:keepNext w:val="0"/>
        <w:keepLines w:val="0"/>
        <w:pageBreakBefore w:val="0"/>
        <w:widowControl/>
        <w:kinsoku/>
        <w:wordWrap/>
        <w:overflowPunct/>
        <w:topLinePunct w:val="0"/>
        <w:autoSpaceDE/>
        <w:autoSpaceDN/>
        <w:bidi w:val="0"/>
        <w:adjustRightInd/>
        <w:spacing w:after="0" w:line="360" w:lineRule="auto"/>
        <w:ind w:firstLine="643" w:firstLineChars="20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授权委托书（适用于联合体投标）</w:t>
      </w:r>
    </w:p>
    <w:p w14:paraId="10C2B40E">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CN"/>
        </w:rPr>
        <w:t>：</w:t>
      </w:r>
    </w:p>
    <w:p w14:paraId="2F141276">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项目编号</w:t>
      </w:r>
      <w:r>
        <w:rPr>
          <w:rFonts w:hint="eastAsia" w:ascii="仿宋" w:hAnsi="仿宋" w:eastAsia="仿宋" w:cs="仿宋"/>
          <w:color w:val="auto"/>
          <w:highlight w:val="none"/>
        </w:rPr>
        <w:t>：（采购编号）】</w:t>
      </w:r>
      <w:r>
        <w:rPr>
          <w:rFonts w:hint="eastAsia" w:ascii="仿宋" w:hAnsi="仿宋" w:eastAsia="仿宋" w:cs="仿宋"/>
          <w:color w:val="auto"/>
          <w:highlight w:val="none"/>
          <w:lang w:val="zh-CN"/>
        </w:rPr>
        <w:t>采购</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val="zh-CN"/>
        </w:rPr>
        <w:t>的一切事项，其法律后果由我方承担。</w:t>
      </w:r>
    </w:p>
    <w:p w14:paraId="7109E2A0">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14:paraId="0BE1F3D8">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14:paraId="6F379F8A">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p>
    <w:p w14:paraId="03D4FEBF">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7AC52B58">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6050239A">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14:paraId="535B5ACD">
      <w:pPr>
        <w:spacing w:line="276" w:lineRule="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14:paraId="563A9029">
      <w:pPr>
        <w:keepNext w:val="0"/>
        <w:keepLines w:val="0"/>
        <w:pageBreakBefore w:val="0"/>
        <w:kinsoku/>
        <w:wordWrap/>
        <w:overflowPunct/>
        <w:topLinePunct w:val="0"/>
        <w:autoSpaceDE w:val="0"/>
        <w:autoSpaceDN w:val="0"/>
        <w:bidi w:val="0"/>
        <w:adjustRightInd/>
        <w:snapToGrid/>
        <w:spacing w:after="0" w:line="36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参加投标）</w:t>
      </w:r>
    </w:p>
    <w:p w14:paraId="1E3BA883">
      <w:pPr>
        <w:pStyle w:val="78"/>
        <w:keepNext w:val="0"/>
        <w:keepLines w:val="0"/>
        <w:pageBreakBefore w:val="0"/>
        <w:kinsoku/>
        <w:wordWrap/>
        <w:overflowPunct/>
        <w:topLinePunct w:val="0"/>
        <w:bidi w:val="0"/>
        <w:adjustRightInd/>
        <w:snapToGrid/>
        <w:spacing w:after="0"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E6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43EF37">
            <w:pPr>
              <w:pStyle w:val="7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A0DC59E">
            <w:pPr>
              <w:pStyle w:val="78"/>
              <w:adjustRightInd w:val="0"/>
              <w:spacing w:line="360" w:lineRule="auto"/>
              <w:rPr>
                <w:rFonts w:hint="eastAsia" w:ascii="仿宋" w:hAnsi="仿宋" w:eastAsia="仿宋" w:cs="仿宋"/>
                <w:bCs/>
                <w:color w:val="auto"/>
                <w:sz w:val="24"/>
                <w:highlight w:val="none"/>
              </w:rPr>
            </w:pPr>
          </w:p>
        </w:tc>
      </w:tr>
    </w:tbl>
    <w:p w14:paraId="0733ACA2">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2A60B8F">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供应商名称(电子签名)：                              </w:t>
      </w:r>
    </w:p>
    <w:p w14:paraId="104C40AF">
      <w:pPr>
        <w:spacing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14:paraId="3BDE0213">
      <w:pPr>
        <w:spacing w:line="276"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33D769D4">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营业执照</w:t>
      </w:r>
    </w:p>
    <w:p w14:paraId="5486F916">
      <w:pPr>
        <w:numPr>
          <w:ilvl w:val="0"/>
          <w:numId w:val="0"/>
        </w:numPr>
        <w:spacing w:after="200"/>
        <w:rPr>
          <w:rFonts w:hint="eastAsia" w:ascii="仿宋" w:hAnsi="仿宋" w:eastAsia="仿宋" w:cs="仿宋"/>
          <w:lang w:val="zh-CN"/>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208280</wp:posOffset>
                </wp:positionH>
                <wp:positionV relativeFrom="paragraph">
                  <wp:posOffset>302260</wp:posOffset>
                </wp:positionV>
                <wp:extent cx="4977130" cy="1107440"/>
                <wp:effectExtent l="12700" t="12700" r="20320" b="22860"/>
                <wp:wrapNone/>
                <wp:docPr id="1" name="矩形 1"/>
                <wp:cNvGraphicFramePr/>
                <a:graphic xmlns:a="http://schemas.openxmlformats.org/drawingml/2006/main">
                  <a:graphicData uri="http://schemas.microsoft.com/office/word/2010/wordprocessingShape">
                    <wps:wsp>
                      <wps:cNvSpPr/>
                      <wps:spPr>
                        <a:xfrm>
                          <a:off x="1351280" y="1612900"/>
                          <a:ext cx="4977130" cy="1107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pt;margin-top:23.8pt;height:87.2pt;width:391.9pt;z-index:251661312;v-text-anchor:middle;mso-width-relative:page;mso-height-relative:page;" fillcolor="#FFFFFF [3201]" filled="t" stroked="t" coordsize="21600,21600" o:gfxdata="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2jqSQ1wAAAAkBAAAPAAAAAAAAAAEAIAAAACIAAABkcnMvZG93bnJldi54&#10;bWxQSwECFAAUAAAACACHTuJAPvyP820CAADqBAAADgAAAAAAAAABACAAAAAmAQAAZHJzL2Uyb0Rv&#10;Yy54bWxQSwUGAAAAAAYABgBZAQAABQYAAAAA&#10;">
                <v:fill on="t" focussize="0,0"/>
                <v:stroke weight="2pt" color="#000000 [3213]" joinstyle="round"/>
                <v:imagedata o:title=""/>
                <o:lock v:ext="edit" aspectratio="f"/>
              </v:rect>
            </w:pict>
          </mc:Fallback>
        </mc:AlternateContent>
      </w:r>
    </w:p>
    <w:p w14:paraId="0F046986">
      <w:pPr>
        <w:pStyle w:val="26"/>
        <w:rPr>
          <w:rFonts w:hint="eastAsia" w:ascii="仿宋" w:hAnsi="仿宋" w:eastAsia="仿宋" w:cs="仿宋"/>
          <w:lang w:val="zh-CN"/>
        </w:rPr>
      </w:pPr>
    </w:p>
    <w:p w14:paraId="1FE3F113">
      <w:pPr>
        <w:rPr>
          <w:rFonts w:hint="eastAsia" w:ascii="仿宋" w:hAnsi="仿宋" w:eastAsia="仿宋" w:cs="仿宋"/>
          <w:lang w:val="zh-CN"/>
        </w:rPr>
      </w:pPr>
    </w:p>
    <w:p w14:paraId="3CFDB05F">
      <w:pPr>
        <w:pStyle w:val="26"/>
        <w:rPr>
          <w:rFonts w:hint="eastAsia" w:ascii="仿宋" w:hAnsi="仿宋" w:eastAsia="仿宋" w:cs="仿宋"/>
          <w:lang w:val="zh-CN"/>
        </w:rPr>
      </w:pPr>
    </w:p>
    <w:p w14:paraId="4AEA4483">
      <w:pPr>
        <w:rPr>
          <w:rFonts w:hint="eastAsia" w:ascii="仿宋" w:hAnsi="仿宋" w:eastAsia="仿宋" w:cs="仿宋"/>
          <w:lang w:val="zh-CN"/>
        </w:rPr>
      </w:pPr>
    </w:p>
    <w:p w14:paraId="7289631F">
      <w:pPr>
        <w:pStyle w:val="26"/>
        <w:rPr>
          <w:rFonts w:hint="eastAsia" w:ascii="仿宋" w:hAnsi="仿宋" w:eastAsia="仿宋" w:cs="仿宋"/>
          <w:lang w:val="zh-CN"/>
        </w:rPr>
      </w:pPr>
    </w:p>
    <w:p w14:paraId="5E0AC5B8">
      <w:pPr>
        <w:keepNext w:val="0"/>
        <w:keepLines w:val="0"/>
        <w:pageBreakBefore w:val="0"/>
        <w:widowControl/>
        <w:kinsoku/>
        <w:wordWrap/>
        <w:overflowPunct/>
        <w:topLinePunct w:val="0"/>
        <w:autoSpaceDE/>
        <w:autoSpaceDN/>
        <w:bidi w:val="0"/>
        <w:adjustRightInd/>
        <w:snapToGrid/>
        <w:spacing w:after="0" w:line="360" w:lineRule="auto"/>
        <w:ind w:firstLine="5280" w:firstLineChars="2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供应商名称(电子签名)：  </w:t>
      </w:r>
    </w:p>
    <w:p w14:paraId="7DFBDB66">
      <w:pPr>
        <w:pStyle w:val="26"/>
        <w:rPr>
          <w:rFonts w:hint="eastAsia" w:ascii="仿宋" w:hAnsi="仿宋" w:eastAsia="仿宋" w:cs="仿宋"/>
          <w:lang w:val="zh-CN"/>
        </w:rPr>
      </w:pPr>
    </w:p>
    <w:p w14:paraId="46FE8068">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14:paraId="597DD8E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p>
    <w:p w14:paraId="68EC9BB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p>
    <w:p w14:paraId="2101CADD">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四、符合性审查资料</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734"/>
        <w:gridCol w:w="3610"/>
        <w:gridCol w:w="1701"/>
      </w:tblGrid>
      <w:tr w14:paraId="5052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52" w:type="dxa"/>
            <w:vAlign w:val="center"/>
          </w:tcPr>
          <w:p w14:paraId="5115DE32">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734" w:type="dxa"/>
            <w:vAlign w:val="center"/>
          </w:tcPr>
          <w:p w14:paraId="623459F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3610" w:type="dxa"/>
            <w:vAlign w:val="center"/>
          </w:tcPr>
          <w:p w14:paraId="15C88AC7">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701" w:type="dxa"/>
            <w:vAlign w:val="center"/>
          </w:tcPr>
          <w:p w14:paraId="456647C4">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中的</w:t>
            </w:r>
          </w:p>
          <w:p w14:paraId="093106FF">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14:paraId="7C5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2" w:type="dxa"/>
            <w:vAlign w:val="center"/>
          </w:tcPr>
          <w:p w14:paraId="2CA2333B">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734" w:type="dxa"/>
            <w:vAlign w:val="center"/>
          </w:tcPr>
          <w:p w14:paraId="0DC6F0E5">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要求签署、盖章。</w:t>
            </w:r>
          </w:p>
        </w:tc>
        <w:tc>
          <w:tcPr>
            <w:tcW w:w="3610" w:type="dxa"/>
            <w:vAlign w:val="center"/>
          </w:tcPr>
          <w:p w14:paraId="7125A6B1">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的组成部分</w:t>
            </w:r>
          </w:p>
        </w:tc>
        <w:tc>
          <w:tcPr>
            <w:tcW w:w="1701" w:type="dxa"/>
            <w:vAlign w:val="center"/>
          </w:tcPr>
          <w:p w14:paraId="0E34DCB5">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p>
          <w:p w14:paraId="0226E974">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响应文件</w:t>
            </w:r>
          </w:p>
          <w:p w14:paraId="0B272035">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1232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52" w:type="dxa"/>
            <w:vAlign w:val="center"/>
          </w:tcPr>
          <w:p w14:paraId="268B6E63">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2734" w:type="dxa"/>
            <w:vAlign w:val="center"/>
          </w:tcPr>
          <w:p w14:paraId="7B8E9217">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中承诺的</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不少于</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中载明的</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w:t>
            </w:r>
          </w:p>
        </w:tc>
        <w:tc>
          <w:tcPr>
            <w:tcW w:w="3610" w:type="dxa"/>
            <w:vAlign w:val="center"/>
          </w:tcPr>
          <w:p w14:paraId="69262FD8">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响应函</w:t>
            </w:r>
          </w:p>
        </w:tc>
        <w:tc>
          <w:tcPr>
            <w:tcW w:w="1701" w:type="dxa"/>
            <w:vAlign w:val="center"/>
          </w:tcPr>
          <w:p w14:paraId="27734649">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1D1F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2" w:type="dxa"/>
            <w:vAlign w:val="center"/>
          </w:tcPr>
          <w:p w14:paraId="2306C8D1">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2734" w:type="dxa"/>
            <w:vAlign w:val="center"/>
          </w:tcPr>
          <w:p w14:paraId="1914C068">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的其它实质性要求。</w:t>
            </w:r>
          </w:p>
        </w:tc>
        <w:tc>
          <w:tcPr>
            <w:tcW w:w="3610" w:type="dxa"/>
            <w:vAlign w:val="center"/>
          </w:tcPr>
          <w:p w14:paraId="687BE77B">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其它实质性要求相应的材料（“▲” 系指实质性要求条款，</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无其它实质性要求的，无需提供）</w:t>
            </w:r>
          </w:p>
        </w:tc>
        <w:tc>
          <w:tcPr>
            <w:tcW w:w="1701" w:type="dxa"/>
            <w:vAlign w:val="center"/>
          </w:tcPr>
          <w:p w14:paraId="7BAAC4E9">
            <w:pPr>
              <w:keepNext w:val="0"/>
              <w:keepLines w:val="0"/>
              <w:pageBreakBefore w:val="0"/>
              <w:widowControl/>
              <w:kinsoku/>
              <w:wordWrap/>
              <w:overflowPunct/>
              <w:topLinePunct w:val="0"/>
              <w:autoSpaceDE/>
              <w:autoSpaceDN/>
              <w:bidi w:val="0"/>
              <w:adjustRightInd/>
              <w:spacing w:after="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14:paraId="4AF9D521">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58B9201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40D2FB">
      <w:pPr>
        <w:pStyle w:val="4"/>
        <w:rPr>
          <w:rFonts w:hint="eastAsia" w:ascii="仿宋" w:hAnsi="仿宋" w:eastAsia="仿宋" w:cs="仿宋"/>
          <w:color w:val="auto"/>
          <w:highlight w:val="none"/>
        </w:rPr>
      </w:pPr>
      <w:r>
        <w:rPr>
          <w:rFonts w:hint="eastAsia" w:ascii="仿宋" w:hAnsi="仿宋" w:eastAsia="仿宋" w:cs="仿宋"/>
          <w:color w:val="auto"/>
          <w:highlight w:val="none"/>
          <w:lang w:eastAsia="zh-CN"/>
        </w:rPr>
        <w:t>五</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标准相应的商务技术资料</w:t>
      </w:r>
    </w:p>
    <w:p w14:paraId="2563B8FB">
      <w:pPr>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（按</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第四部分</w:t>
      </w:r>
      <w:r>
        <w:rPr>
          <w:rFonts w:hint="eastAsia" w:ascii="仿宋" w:hAnsi="仿宋" w:eastAsia="仿宋" w:cs="仿宋"/>
          <w:b/>
          <w:color w:val="auto"/>
          <w:highlight w:val="none"/>
          <w:lang w:eastAsia="zh-CN"/>
        </w:rPr>
        <w:t>评审</w:t>
      </w:r>
      <w:r>
        <w:rPr>
          <w:rFonts w:hint="eastAsia" w:ascii="仿宋" w:hAnsi="仿宋" w:eastAsia="仿宋" w:cs="仿宋"/>
          <w:b/>
          <w:color w:val="auto"/>
          <w:highlight w:val="none"/>
        </w:rPr>
        <w:t>办法前附表中“</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中</w:t>
      </w:r>
      <w:r>
        <w:rPr>
          <w:rFonts w:hint="eastAsia" w:ascii="仿宋" w:hAnsi="仿宋" w:eastAsia="仿宋" w:cs="仿宋"/>
          <w:b/>
          <w:color w:val="auto"/>
          <w:highlight w:val="none"/>
          <w:lang w:eastAsia="zh-CN"/>
        </w:rPr>
        <w:t>评审</w:t>
      </w:r>
      <w:r>
        <w:rPr>
          <w:rFonts w:hint="eastAsia" w:ascii="仿宋" w:hAnsi="仿宋" w:eastAsia="仿宋" w:cs="仿宋"/>
          <w:b/>
          <w:color w:val="auto"/>
          <w:highlight w:val="none"/>
        </w:rPr>
        <w:t>标准相应的商务技术资料目录”提供资料。）</w:t>
      </w:r>
    </w:p>
    <w:p w14:paraId="27CC2DBB">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2A06646C">
      <w:pPr>
        <w:pStyle w:val="4"/>
        <w:keepNext w:val="0"/>
        <w:keepLines w:val="0"/>
        <w:pageBreakBefore w:val="0"/>
        <w:widowControl/>
        <w:kinsoku/>
        <w:wordWrap/>
        <w:overflowPunct/>
        <w:topLinePunct w:val="0"/>
        <w:autoSpaceDE/>
        <w:autoSpaceDN/>
        <w:bidi w:val="0"/>
        <w:adjustRightInd/>
        <w:snapToGrid/>
        <w:spacing w:before="0" w:after="0" w:line="240" w:lineRule="auto"/>
        <w:ind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、商务技术偏离表</w:t>
      </w:r>
    </w:p>
    <w:tbl>
      <w:tblPr>
        <w:tblStyle w:val="2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317"/>
        <w:gridCol w:w="3546"/>
        <w:gridCol w:w="1276"/>
      </w:tblGrid>
      <w:tr w14:paraId="6A0B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9D2275F">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317" w:type="dxa"/>
          </w:tcPr>
          <w:p w14:paraId="27AEA59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交易文件</w:t>
            </w:r>
            <w:r>
              <w:rPr>
                <w:rFonts w:hint="eastAsia" w:ascii="仿宋" w:hAnsi="仿宋" w:eastAsia="仿宋" w:cs="仿宋"/>
                <w:b/>
                <w:bCs/>
                <w:color w:val="auto"/>
                <w:highlight w:val="none"/>
              </w:rPr>
              <w:t>章节及具体内容</w:t>
            </w:r>
          </w:p>
        </w:tc>
        <w:tc>
          <w:tcPr>
            <w:tcW w:w="3546" w:type="dxa"/>
          </w:tcPr>
          <w:p w14:paraId="4F873C1C">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章节及具体内容</w:t>
            </w:r>
          </w:p>
        </w:tc>
        <w:tc>
          <w:tcPr>
            <w:tcW w:w="1276" w:type="dxa"/>
          </w:tcPr>
          <w:p w14:paraId="5D5FD72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409B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CA01FD">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317" w:type="dxa"/>
          </w:tcPr>
          <w:p w14:paraId="3FCFFDF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c>
          <w:tcPr>
            <w:tcW w:w="3546" w:type="dxa"/>
          </w:tcPr>
          <w:p w14:paraId="4CD6B06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c>
          <w:tcPr>
            <w:tcW w:w="1276" w:type="dxa"/>
          </w:tcPr>
          <w:p w14:paraId="2308F565">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r>
      <w:tr w14:paraId="7BCB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F30178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317" w:type="dxa"/>
          </w:tcPr>
          <w:p w14:paraId="50A2B728">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c>
          <w:tcPr>
            <w:tcW w:w="3546" w:type="dxa"/>
          </w:tcPr>
          <w:p w14:paraId="578E2E0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c>
          <w:tcPr>
            <w:tcW w:w="1276" w:type="dxa"/>
          </w:tcPr>
          <w:p w14:paraId="2F4CBDFD">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r>
      <w:tr w14:paraId="7983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E7E5791">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317" w:type="dxa"/>
          </w:tcPr>
          <w:p w14:paraId="3A025133">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c>
          <w:tcPr>
            <w:tcW w:w="3546" w:type="dxa"/>
          </w:tcPr>
          <w:p w14:paraId="6CCB2D3E">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c>
          <w:tcPr>
            <w:tcW w:w="1276" w:type="dxa"/>
          </w:tcPr>
          <w:p w14:paraId="194C611D">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b/>
                <w:color w:val="auto"/>
                <w:sz w:val="32"/>
                <w:szCs w:val="32"/>
                <w:highlight w:val="none"/>
              </w:rPr>
            </w:pPr>
          </w:p>
        </w:tc>
      </w:tr>
    </w:tbl>
    <w:p w14:paraId="11F59B3C">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保证：除商务技术偏离表列出的偏离外，</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响应</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的全部要求</w:t>
      </w:r>
    </w:p>
    <w:p w14:paraId="2C645BE7">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0ED0B2C1">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5AC7AB55">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九</w:t>
      </w:r>
      <w:r>
        <w:rPr>
          <w:rFonts w:hint="eastAsia" w:ascii="仿宋" w:hAnsi="仿宋" w:eastAsia="仿宋" w:cs="仿宋"/>
          <w:color w:val="auto"/>
          <w:highlight w:val="none"/>
        </w:rPr>
        <w:t>、</w:t>
      </w:r>
      <w:r>
        <w:rPr>
          <w:rFonts w:hint="eastAsia" w:ascii="仿宋" w:hAnsi="仿宋" w:eastAsia="仿宋" w:cs="仿宋"/>
          <w:color w:val="auto"/>
          <w:highlight w:val="none"/>
          <w:lang w:val="zh-CN"/>
        </w:rPr>
        <w:t>供应商廉洁自律承诺书</w:t>
      </w:r>
    </w:p>
    <w:p w14:paraId="731EF4E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交易人</w:t>
      </w:r>
      <w:r>
        <w:rPr>
          <w:rFonts w:hint="eastAsia" w:ascii="仿宋" w:hAnsi="仿宋" w:eastAsia="仿宋" w:cs="仿宋"/>
          <w:color w:val="auto"/>
          <w:sz w:val="24"/>
          <w:highlight w:val="none"/>
          <w:u w:val="single"/>
        </w:rPr>
        <w:t>）、（采购代理机构）</w:t>
      </w:r>
      <w:r>
        <w:rPr>
          <w:rFonts w:hint="eastAsia" w:ascii="仿宋" w:hAnsi="仿宋" w:eastAsia="仿宋" w:cs="仿宋"/>
          <w:color w:val="auto"/>
          <w:kern w:val="0"/>
          <w:sz w:val="24"/>
          <w:highlight w:val="none"/>
          <w:lang w:val="zh-CN"/>
        </w:rPr>
        <w:t>：</w:t>
      </w:r>
    </w:p>
    <w:p w14:paraId="0EBDDF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5968478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D1EEF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8EA2CC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6EFDA8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0792353">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B565A0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79D703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280C7EA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7C42BA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p>
    <w:p w14:paraId="288F58C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p>
    <w:p w14:paraId="5E55E21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righ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14:paraId="1A680B57">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14:paraId="10CF656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auto"/>
          <w:highlight w:val="none"/>
        </w:rPr>
      </w:pPr>
    </w:p>
    <w:p w14:paraId="5C53B8C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48253D6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DB7DA35">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14:paraId="161348CC">
      <w:pPr>
        <w:keepNext w:val="0"/>
        <w:keepLines w:val="0"/>
        <w:pageBreakBefore w:val="0"/>
        <w:widowControl/>
        <w:kinsoku/>
        <w:wordWrap/>
        <w:overflowPunct/>
        <w:topLinePunct w:val="0"/>
        <w:autoSpaceDE/>
        <w:autoSpaceDN/>
        <w:bidi w:val="0"/>
        <w:adjustRightInd/>
        <w:snapToGrid/>
        <w:spacing w:after="0" w:line="360" w:lineRule="auto"/>
        <w:ind w:firstLine="800" w:firstLineChars="200"/>
        <w:jc w:val="center"/>
        <w:textAlignment w:val="auto"/>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14:paraId="563A00B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交易一览标</w:t>
      </w:r>
      <w:r>
        <w:rPr>
          <w:rFonts w:hint="eastAsia" w:ascii="仿宋" w:hAnsi="仿宋" w:eastAsia="仿宋" w:cs="仿宋"/>
          <w:color w:val="auto"/>
          <w:highlight w:val="none"/>
        </w:rPr>
        <w:t>（报价表）…………………………………………………（页码）</w:t>
      </w:r>
    </w:p>
    <w:p w14:paraId="26A80D4D">
      <w:pPr>
        <w:snapToGrid w:val="0"/>
        <w:spacing w:line="360" w:lineRule="auto"/>
        <w:ind w:right="480"/>
        <w:jc w:val="center"/>
        <w:rPr>
          <w:rFonts w:hint="eastAsia" w:ascii="仿宋" w:hAnsi="仿宋" w:eastAsia="仿宋" w:cs="仿宋"/>
          <w:b/>
          <w:color w:val="auto"/>
          <w:sz w:val="32"/>
          <w:szCs w:val="32"/>
          <w:highlight w:val="none"/>
        </w:rPr>
      </w:pPr>
    </w:p>
    <w:p w14:paraId="5FD4C534">
      <w:pPr>
        <w:pStyle w:val="7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default"/>
          <w:footerReference r:id="rId9" w:type="default"/>
          <w:pgSz w:w="11906" w:h="16838"/>
          <w:pgMar w:top="1440" w:right="1700" w:bottom="1440" w:left="1800" w:header="851" w:footer="992" w:gutter="0"/>
          <w:cols w:space="425" w:num="1"/>
          <w:docGrid w:type="lines" w:linePitch="312" w:charSpace="0"/>
        </w:sectPr>
      </w:pPr>
    </w:p>
    <w:p w14:paraId="3186A624">
      <w:pPr>
        <w:pStyle w:val="4"/>
        <w:keepNext w:val="0"/>
        <w:keepLines w:val="0"/>
        <w:pageBreakBefore w:val="0"/>
        <w:widowControl/>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交易一览标</w:t>
      </w:r>
      <w:r>
        <w:rPr>
          <w:rFonts w:hint="eastAsia" w:ascii="仿宋" w:hAnsi="仿宋" w:eastAsia="仿宋" w:cs="仿宋"/>
          <w:color w:val="auto"/>
          <w:highlight w:val="none"/>
        </w:rPr>
        <w:t>（报价表）</w:t>
      </w:r>
    </w:p>
    <w:p w14:paraId="6DC31C5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CN"/>
        </w:rPr>
        <w:t>：</w:t>
      </w:r>
    </w:p>
    <w:p w14:paraId="6A59F1A7">
      <w:pPr>
        <w:keepNext w:val="0"/>
        <w:keepLines w:val="0"/>
        <w:pageBreakBefore w:val="0"/>
        <w:widowControl/>
        <w:kinsoku/>
        <w:wordWrap/>
        <w:overflowPunct/>
        <w:topLinePunct w:val="0"/>
        <w:autoSpaceDE/>
        <w:autoSpaceDN/>
        <w:bidi w:val="0"/>
        <w:adjustRightInd/>
        <w:snapToGrid/>
        <w:spacing w:after="0" w:line="360" w:lineRule="auto"/>
        <w:ind w:firstLine="720" w:firstLineChars="3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按你方交易文件要求，我们，本响应文件签字方，谨此向你方发出要约如下：如你方接受本投标，我方承诺按照如下交易一览标（报价表）的价格完成</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【项目编号：</w:t>
      </w:r>
      <w:r>
        <w:rPr>
          <w:rFonts w:hint="eastAsia" w:ascii="仿宋" w:hAnsi="仿宋" w:eastAsia="仿宋" w:cs="仿宋"/>
          <w:color w:val="auto"/>
          <w:highlight w:val="none"/>
        </w:rPr>
        <w:t>（采购编号）】的实施</w:t>
      </w:r>
      <w:r>
        <w:rPr>
          <w:rFonts w:hint="eastAsia" w:ascii="仿宋" w:hAnsi="仿宋" w:eastAsia="仿宋" w:cs="仿宋"/>
          <w:color w:val="auto"/>
          <w:highlight w:val="none"/>
          <w:lang w:val="zh-CN"/>
        </w:rPr>
        <w:t>。</w:t>
      </w:r>
    </w:p>
    <w:p w14:paraId="45F1D1FB">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交易一览表（报价表）(单位均为人民币元)</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927"/>
        <w:gridCol w:w="2123"/>
        <w:gridCol w:w="2262"/>
        <w:gridCol w:w="2123"/>
        <w:gridCol w:w="1990"/>
        <w:gridCol w:w="1990"/>
        <w:gridCol w:w="1992"/>
      </w:tblGrid>
      <w:tr w14:paraId="680E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69" w:type="pct"/>
            <w:vAlign w:val="center"/>
          </w:tcPr>
          <w:p w14:paraId="1ED4D8B9">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27" w:type="pct"/>
            <w:vAlign w:val="center"/>
          </w:tcPr>
          <w:p w14:paraId="08FD63B4">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749" w:type="pct"/>
          </w:tcPr>
          <w:p w14:paraId="33282148">
            <w:pPr>
              <w:spacing w:line="360" w:lineRule="auto"/>
              <w:jc w:val="center"/>
              <w:rPr>
                <w:rFonts w:hint="eastAsia" w:ascii="仿宋" w:hAnsi="仿宋" w:eastAsia="仿宋" w:cs="仿宋"/>
                <w:b/>
                <w:sz w:val="24"/>
              </w:rPr>
            </w:pPr>
          </w:p>
          <w:p w14:paraId="13BCB067">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798" w:type="pct"/>
            <w:vAlign w:val="center"/>
          </w:tcPr>
          <w:p w14:paraId="4443EF87">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749" w:type="pct"/>
            <w:vAlign w:val="center"/>
          </w:tcPr>
          <w:p w14:paraId="0A7ADF73">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702" w:type="pct"/>
            <w:vAlign w:val="center"/>
          </w:tcPr>
          <w:p w14:paraId="1741B140">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702" w:type="pct"/>
          </w:tcPr>
          <w:p w14:paraId="7D7F981D">
            <w:pPr>
              <w:spacing w:line="360" w:lineRule="auto"/>
              <w:jc w:val="center"/>
              <w:rPr>
                <w:rFonts w:hint="eastAsia" w:ascii="仿宋" w:hAnsi="仿宋" w:eastAsia="仿宋" w:cs="仿宋"/>
                <w:b/>
                <w:sz w:val="24"/>
              </w:rPr>
            </w:pPr>
          </w:p>
          <w:p w14:paraId="7CF2655B">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703" w:type="pct"/>
            <w:vAlign w:val="center"/>
          </w:tcPr>
          <w:p w14:paraId="03FC50CA">
            <w:pPr>
              <w:spacing w:line="360" w:lineRule="auto"/>
              <w:jc w:val="center"/>
              <w:rPr>
                <w:rFonts w:hint="eastAsia" w:ascii="仿宋" w:hAnsi="仿宋" w:eastAsia="仿宋" w:cs="仿宋"/>
                <w:b/>
                <w:sz w:val="24"/>
              </w:rPr>
            </w:pPr>
          </w:p>
          <w:p w14:paraId="1D2EE0BC">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33F3B301">
            <w:pPr>
              <w:spacing w:line="360" w:lineRule="auto"/>
              <w:jc w:val="center"/>
              <w:rPr>
                <w:rFonts w:hint="eastAsia" w:ascii="仿宋" w:hAnsi="仿宋" w:eastAsia="仿宋" w:cs="仿宋"/>
                <w:b/>
                <w:sz w:val="24"/>
              </w:rPr>
            </w:pPr>
          </w:p>
        </w:tc>
      </w:tr>
      <w:tr w14:paraId="5D25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9" w:type="pct"/>
            <w:vAlign w:val="center"/>
          </w:tcPr>
          <w:p w14:paraId="60D5FB2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27" w:type="pct"/>
            <w:vAlign w:val="center"/>
          </w:tcPr>
          <w:p w14:paraId="3C03F4C3">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749" w:type="pct"/>
            <w:vAlign w:val="center"/>
          </w:tcPr>
          <w:p w14:paraId="393C3096">
            <w:pPr>
              <w:snapToGrid w:val="0"/>
              <w:spacing w:line="360" w:lineRule="auto"/>
              <w:jc w:val="center"/>
              <w:rPr>
                <w:rFonts w:hint="eastAsia" w:ascii="仿宋" w:hAnsi="仿宋" w:eastAsia="仿宋" w:cs="仿宋"/>
                <w:sz w:val="24"/>
              </w:rPr>
            </w:pPr>
          </w:p>
        </w:tc>
        <w:tc>
          <w:tcPr>
            <w:tcW w:w="798" w:type="pct"/>
            <w:vAlign w:val="center"/>
          </w:tcPr>
          <w:p w14:paraId="1D6AEC82">
            <w:pPr>
              <w:snapToGrid w:val="0"/>
              <w:spacing w:line="360" w:lineRule="auto"/>
              <w:jc w:val="center"/>
              <w:rPr>
                <w:rFonts w:hint="eastAsia" w:ascii="仿宋" w:hAnsi="仿宋" w:eastAsia="仿宋" w:cs="仿宋"/>
                <w:sz w:val="24"/>
              </w:rPr>
            </w:pPr>
          </w:p>
        </w:tc>
        <w:tc>
          <w:tcPr>
            <w:tcW w:w="749" w:type="pct"/>
            <w:vAlign w:val="center"/>
          </w:tcPr>
          <w:p w14:paraId="4DFD7823">
            <w:pPr>
              <w:snapToGrid w:val="0"/>
              <w:spacing w:line="360" w:lineRule="auto"/>
              <w:jc w:val="center"/>
              <w:rPr>
                <w:rFonts w:hint="eastAsia" w:ascii="仿宋" w:hAnsi="仿宋" w:eastAsia="仿宋" w:cs="仿宋"/>
                <w:sz w:val="24"/>
              </w:rPr>
            </w:pPr>
          </w:p>
        </w:tc>
        <w:tc>
          <w:tcPr>
            <w:tcW w:w="702" w:type="pct"/>
            <w:vAlign w:val="center"/>
          </w:tcPr>
          <w:p w14:paraId="59C4F552">
            <w:pPr>
              <w:spacing w:line="360" w:lineRule="auto"/>
              <w:jc w:val="center"/>
              <w:rPr>
                <w:rFonts w:hint="eastAsia" w:ascii="仿宋" w:hAnsi="仿宋" w:eastAsia="仿宋" w:cs="仿宋"/>
                <w:sz w:val="24"/>
              </w:rPr>
            </w:pPr>
          </w:p>
        </w:tc>
        <w:tc>
          <w:tcPr>
            <w:tcW w:w="702" w:type="pct"/>
          </w:tcPr>
          <w:p w14:paraId="4577F97A">
            <w:pPr>
              <w:spacing w:line="360" w:lineRule="auto"/>
              <w:jc w:val="center"/>
              <w:rPr>
                <w:rFonts w:hint="eastAsia" w:ascii="仿宋" w:hAnsi="仿宋" w:eastAsia="仿宋" w:cs="仿宋"/>
                <w:sz w:val="24"/>
              </w:rPr>
            </w:pPr>
          </w:p>
        </w:tc>
        <w:tc>
          <w:tcPr>
            <w:tcW w:w="703" w:type="pct"/>
            <w:vAlign w:val="center"/>
          </w:tcPr>
          <w:p w14:paraId="6D0D28DD">
            <w:pPr>
              <w:spacing w:line="360" w:lineRule="auto"/>
              <w:jc w:val="center"/>
              <w:rPr>
                <w:rFonts w:hint="eastAsia" w:ascii="仿宋" w:hAnsi="仿宋" w:eastAsia="仿宋" w:cs="仿宋"/>
                <w:sz w:val="24"/>
              </w:rPr>
            </w:pPr>
          </w:p>
        </w:tc>
      </w:tr>
      <w:tr w14:paraId="728C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26FB82B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27" w:type="pct"/>
            <w:vAlign w:val="center"/>
          </w:tcPr>
          <w:p w14:paraId="59C56E3B">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749" w:type="pct"/>
            <w:vAlign w:val="center"/>
          </w:tcPr>
          <w:p w14:paraId="6950F044">
            <w:pPr>
              <w:snapToGrid w:val="0"/>
              <w:spacing w:line="360" w:lineRule="auto"/>
              <w:jc w:val="center"/>
              <w:rPr>
                <w:rFonts w:hint="eastAsia" w:ascii="仿宋" w:hAnsi="仿宋" w:eastAsia="仿宋" w:cs="仿宋"/>
                <w:sz w:val="24"/>
              </w:rPr>
            </w:pPr>
          </w:p>
        </w:tc>
        <w:tc>
          <w:tcPr>
            <w:tcW w:w="798" w:type="pct"/>
            <w:vAlign w:val="center"/>
          </w:tcPr>
          <w:p w14:paraId="4EC6120E">
            <w:pPr>
              <w:snapToGrid w:val="0"/>
              <w:spacing w:line="360" w:lineRule="auto"/>
              <w:jc w:val="center"/>
              <w:rPr>
                <w:rFonts w:hint="eastAsia" w:ascii="仿宋" w:hAnsi="仿宋" w:eastAsia="仿宋" w:cs="仿宋"/>
                <w:sz w:val="24"/>
              </w:rPr>
            </w:pPr>
          </w:p>
        </w:tc>
        <w:tc>
          <w:tcPr>
            <w:tcW w:w="749" w:type="pct"/>
            <w:vAlign w:val="center"/>
          </w:tcPr>
          <w:p w14:paraId="2C318F33">
            <w:pPr>
              <w:snapToGrid w:val="0"/>
              <w:spacing w:line="360" w:lineRule="auto"/>
              <w:jc w:val="center"/>
              <w:rPr>
                <w:rFonts w:hint="eastAsia" w:ascii="仿宋" w:hAnsi="仿宋" w:eastAsia="仿宋" w:cs="仿宋"/>
                <w:sz w:val="24"/>
              </w:rPr>
            </w:pPr>
          </w:p>
        </w:tc>
        <w:tc>
          <w:tcPr>
            <w:tcW w:w="702" w:type="pct"/>
            <w:vAlign w:val="center"/>
          </w:tcPr>
          <w:p w14:paraId="2A147CF7">
            <w:pPr>
              <w:spacing w:line="360" w:lineRule="auto"/>
              <w:jc w:val="center"/>
              <w:rPr>
                <w:rFonts w:hint="eastAsia" w:ascii="仿宋" w:hAnsi="仿宋" w:eastAsia="仿宋" w:cs="仿宋"/>
                <w:sz w:val="24"/>
              </w:rPr>
            </w:pPr>
          </w:p>
        </w:tc>
        <w:tc>
          <w:tcPr>
            <w:tcW w:w="702" w:type="pct"/>
          </w:tcPr>
          <w:p w14:paraId="19213E29">
            <w:pPr>
              <w:spacing w:line="360" w:lineRule="auto"/>
              <w:jc w:val="center"/>
              <w:rPr>
                <w:rFonts w:hint="eastAsia" w:ascii="仿宋" w:hAnsi="仿宋" w:eastAsia="仿宋" w:cs="仿宋"/>
                <w:sz w:val="24"/>
              </w:rPr>
            </w:pPr>
          </w:p>
        </w:tc>
        <w:tc>
          <w:tcPr>
            <w:tcW w:w="703" w:type="pct"/>
            <w:vAlign w:val="center"/>
          </w:tcPr>
          <w:p w14:paraId="1357E0DC">
            <w:pPr>
              <w:spacing w:line="360" w:lineRule="auto"/>
              <w:jc w:val="center"/>
              <w:rPr>
                <w:rFonts w:hint="eastAsia" w:ascii="仿宋" w:hAnsi="仿宋" w:eastAsia="仿宋" w:cs="仿宋"/>
                <w:sz w:val="24"/>
              </w:rPr>
            </w:pPr>
          </w:p>
        </w:tc>
      </w:tr>
      <w:tr w14:paraId="468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1527509E">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327" w:type="pct"/>
            <w:vAlign w:val="center"/>
          </w:tcPr>
          <w:p w14:paraId="5FB49D4E">
            <w:pPr>
              <w:snapToGrid w:val="0"/>
              <w:spacing w:line="360" w:lineRule="auto"/>
              <w:jc w:val="center"/>
              <w:rPr>
                <w:rFonts w:hint="eastAsia" w:ascii="仿宋" w:hAnsi="仿宋" w:eastAsia="仿宋" w:cs="仿宋"/>
                <w:sz w:val="24"/>
              </w:rPr>
            </w:pPr>
          </w:p>
        </w:tc>
        <w:tc>
          <w:tcPr>
            <w:tcW w:w="749" w:type="pct"/>
            <w:vAlign w:val="center"/>
          </w:tcPr>
          <w:p w14:paraId="07CCCACB">
            <w:pPr>
              <w:snapToGrid w:val="0"/>
              <w:spacing w:line="360" w:lineRule="auto"/>
              <w:jc w:val="center"/>
              <w:rPr>
                <w:rFonts w:hint="eastAsia" w:ascii="仿宋" w:hAnsi="仿宋" w:eastAsia="仿宋" w:cs="仿宋"/>
                <w:sz w:val="24"/>
              </w:rPr>
            </w:pPr>
          </w:p>
        </w:tc>
        <w:tc>
          <w:tcPr>
            <w:tcW w:w="798" w:type="pct"/>
            <w:vAlign w:val="center"/>
          </w:tcPr>
          <w:p w14:paraId="357568B0">
            <w:pPr>
              <w:snapToGrid w:val="0"/>
              <w:spacing w:line="360" w:lineRule="auto"/>
              <w:jc w:val="center"/>
              <w:rPr>
                <w:rFonts w:hint="eastAsia" w:ascii="仿宋" w:hAnsi="仿宋" w:eastAsia="仿宋" w:cs="仿宋"/>
                <w:sz w:val="24"/>
              </w:rPr>
            </w:pPr>
          </w:p>
        </w:tc>
        <w:tc>
          <w:tcPr>
            <w:tcW w:w="749" w:type="pct"/>
            <w:vAlign w:val="center"/>
          </w:tcPr>
          <w:p w14:paraId="68F7ACE9">
            <w:pPr>
              <w:snapToGrid w:val="0"/>
              <w:spacing w:line="360" w:lineRule="auto"/>
              <w:jc w:val="center"/>
              <w:rPr>
                <w:rFonts w:hint="eastAsia" w:ascii="仿宋" w:hAnsi="仿宋" w:eastAsia="仿宋" w:cs="仿宋"/>
                <w:sz w:val="24"/>
              </w:rPr>
            </w:pPr>
          </w:p>
        </w:tc>
        <w:tc>
          <w:tcPr>
            <w:tcW w:w="702" w:type="pct"/>
            <w:vAlign w:val="center"/>
          </w:tcPr>
          <w:p w14:paraId="3A903B00">
            <w:pPr>
              <w:spacing w:line="360" w:lineRule="auto"/>
              <w:jc w:val="center"/>
              <w:rPr>
                <w:rFonts w:hint="eastAsia" w:ascii="仿宋" w:hAnsi="仿宋" w:eastAsia="仿宋" w:cs="仿宋"/>
                <w:sz w:val="24"/>
              </w:rPr>
            </w:pPr>
          </w:p>
        </w:tc>
        <w:tc>
          <w:tcPr>
            <w:tcW w:w="702" w:type="pct"/>
          </w:tcPr>
          <w:p w14:paraId="1CBE9390">
            <w:pPr>
              <w:spacing w:line="360" w:lineRule="auto"/>
              <w:jc w:val="center"/>
              <w:rPr>
                <w:rFonts w:hint="eastAsia" w:ascii="仿宋" w:hAnsi="仿宋" w:eastAsia="仿宋" w:cs="仿宋"/>
                <w:sz w:val="24"/>
              </w:rPr>
            </w:pPr>
          </w:p>
        </w:tc>
        <w:tc>
          <w:tcPr>
            <w:tcW w:w="703" w:type="pct"/>
            <w:vAlign w:val="center"/>
          </w:tcPr>
          <w:p w14:paraId="4BA72327">
            <w:pPr>
              <w:spacing w:line="360" w:lineRule="auto"/>
              <w:jc w:val="center"/>
              <w:rPr>
                <w:rFonts w:hint="eastAsia" w:ascii="仿宋" w:hAnsi="仿宋" w:eastAsia="仿宋" w:cs="仿宋"/>
                <w:sz w:val="24"/>
              </w:rPr>
            </w:pPr>
          </w:p>
        </w:tc>
      </w:tr>
      <w:tr w14:paraId="26AB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43" w:type="pct"/>
            <w:gridSpan w:val="4"/>
            <w:vAlign w:val="center"/>
          </w:tcPr>
          <w:p w14:paraId="4B2E1914">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2856" w:type="pct"/>
            <w:gridSpan w:val="4"/>
          </w:tcPr>
          <w:p w14:paraId="4698A9BE">
            <w:pPr>
              <w:spacing w:line="360" w:lineRule="auto"/>
              <w:jc w:val="center"/>
              <w:rPr>
                <w:rFonts w:hint="eastAsia" w:ascii="仿宋" w:hAnsi="仿宋" w:eastAsia="仿宋" w:cs="仿宋"/>
                <w:sz w:val="24"/>
              </w:rPr>
            </w:pPr>
          </w:p>
        </w:tc>
      </w:tr>
      <w:tr w14:paraId="3A62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43" w:type="pct"/>
            <w:gridSpan w:val="4"/>
            <w:vAlign w:val="center"/>
          </w:tcPr>
          <w:p w14:paraId="25D440AF">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2856" w:type="pct"/>
            <w:gridSpan w:val="4"/>
          </w:tcPr>
          <w:p w14:paraId="124A066C">
            <w:pPr>
              <w:spacing w:line="360" w:lineRule="auto"/>
              <w:jc w:val="center"/>
              <w:rPr>
                <w:rFonts w:hint="eastAsia" w:ascii="仿宋" w:hAnsi="仿宋" w:eastAsia="仿宋" w:cs="仿宋"/>
                <w:sz w:val="24"/>
              </w:rPr>
            </w:pPr>
          </w:p>
        </w:tc>
      </w:tr>
    </w:tbl>
    <w:p w14:paraId="0116369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lang w:val="zh-CN"/>
        </w:rPr>
      </w:pPr>
    </w:p>
    <w:p w14:paraId="187439E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注：</w:t>
      </w:r>
    </w:p>
    <w:p w14:paraId="6D1E758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1、供应商需按本表格式填写，不得自行更改。</w:t>
      </w:r>
      <w:r>
        <w:rPr>
          <w:rFonts w:hint="eastAsia" w:ascii="仿宋" w:hAnsi="仿宋" w:eastAsia="仿宋" w:cs="仿宋"/>
          <w:color w:val="auto"/>
          <w:highlight w:val="none"/>
          <w:lang w:val="zh-CN"/>
        </w:rPr>
        <w:tab/>
      </w:r>
    </w:p>
    <w:p w14:paraId="22299EE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2、有关本项目实施所涉及的一切费用均计入报价。</w:t>
      </w:r>
      <w:r>
        <w:rPr>
          <w:rFonts w:hint="eastAsia" w:ascii="仿宋" w:hAnsi="仿宋" w:eastAsia="仿宋" w:cs="仿宋"/>
          <w:b/>
          <w:color w:val="auto"/>
          <w:highlight w:val="none"/>
          <w:lang w:val="zh-CN"/>
        </w:rPr>
        <w:t>交易发起人将以合同形式有偿取得货物或服务，不接受供应商给予的赠品、回扣或者与采购无关的其他商品、服务</w:t>
      </w:r>
      <w:r>
        <w:rPr>
          <w:rFonts w:hint="eastAsia" w:ascii="仿宋" w:hAnsi="仿宋" w:eastAsia="仿宋" w:cs="仿宋"/>
          <w:color w:val="auto"/>
          <w:highlight w:val="none"/>
          <w:lang w:val="zh-CN"/>
        </w:rPr>
        <w:t>，</w:t>
      </w:r>
      <w:r>
        <w:rPr>
          <w:rFonts w:hint="eastAsia" w:ascii="仿宋" w:hAnsi="仿宋" w:eastAsia="仿宋" w:cs="仿宋"/>
          <w:b/>
          <w:color w:val="auto"/>
          <w:highlight w:val="none"/>
          <w:lang w:val="zh-CN"/>
        </w:rPr>
        <w:t>不得出现“0元”“免费赠送”等形式的无偿报价，</w:t>
      </w:r>
      <w:r>
        <w:rPr>
          <w:rFonts w:hint="eastAsia" w:ascii="仿宋" w:hAnsi="仿宋" w:eastAsia="仿宋" w:cs="仿宋"/>
          <w:b/>
          <w:color w:val="auto"/>
          <w:highlight w:val="none"/>
        </w:rPr>
        <w:t>否则视为</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含有</w:t>
      </w:r>
      <w:r>
        <w:rPr>
          <w:rFonts w:hint="eastAsia" w:ascii="仿宋" w:hAnsi="仿宋" w:eastAsia="仿宋" w:cs="仿宋"/>
          <w:b/>
          <w:color w:val="auto"/>
          <w:highlight w:val="none"/>
          <w:lang w:eastAsia="zh-CN"/>
        </w:rPr>
        <w:t>交易发起人</w:t>
      </w:r>
      <w:r>
        <w:rPr>
          <w:rFonts w:hint="eastAsia" w:ascii="仿宋" w:hAnsi="仿宋" w:eastAsia="仿宋" w:cs="仿宋"/>
          <w:b/>
          <w:color w:val="auto"/>
          <w:highlight w:val="none"/>
        </w:rPr>
        <w:t>不能接受的附加条件的，</w:t>
      </w:r>
      <w:r>
        <w:rPr>
          <w:rFonts w:hint="eastAsia" w:ascii="仿宋" w:hAnsi="仿宋" w:eastAsia="仿宋" w:cs="仿宋"/>
          <w:b/>
          <w:color w:val="auto"/>
          <w:highlight w:val="none"/>
          <w:lang w:eastAsia="zh-CN"/>
        </w:rPr>
        <w:t>响应无效</w:t>
      </w:r>
      <w:r>
        <w:rPr>
          <w:rFonts w:hint="eastAsia" w:ascii="仿宋" w:hAnsi="仿宋" w:eastAsia="仿宋" w:cs="仿宋"/>
          <w:b/>
          <w:color w:val="auto"/>
          <w:highlight w:val="none"/>
          <w:lang w:val="zh-CN"/>
        </w:rPr>
        <w:t>；采购内容未包含在《交易一览标（报价表）》名称栏中，供应商不能作出合理解释的，</w:t>
      </w:r>
      <w:r>
        <w:rPr>
          <w:rFonts w:hint="eastAsia" w:ascii="仿宋" w:hAnsi="仿宋" w:eastAsia="仿宋" w:cs="仿宋"/>
          <w:b/>
          <w:color w:val="auto"/>
          <w:highlight w:val="none"/>
        </w:rPr>
        <w:t>视为</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含有</w:t>
      </w:r>
      <w:r>
        <w:rPr>
          <w:rFonts w:hint="eastAsia" w:ascii="仿宋" w:hAnsi="仿宋" w:eastAsia="仿宋" w:cs="仿宋"/>
          <w:b/>
          <w:color w:val="auto"/>
          <w:highlight w:val="none"/>
          <w:lang w:eastAsia="zh-CN"/>
        </w:rPr>
        <w:t>交易发起人</w:t>
      </w:r>
      <w:r>
        <w:rPr>
          <w:rFonts w:hint="eastAsia" w:ascii="仿宋" w:hAnsi="仿宋" w:eastAsia="仿宋" w:cs="仿宋"/>
          <w:b/>
          <w:color w:val="auto"/>
          <w:highlight w:val="none"/>
        </w:rPr>
        <w:t>不能接受的附加条件的，</w:t>
      </w:r>
      <w:r>
        <w:rPr>
          <w:rFonts w:hint="eastAsia" w:ascii="仿宋" w:hAnsi="仿宋" w:eastAsia="仿宋" w:cs="仿宋"/>
          <w:b/>
          <w:color w:val="auto"/>
          <w:highlight w:val="none"/>
          <w:lang w:eastAsia="zh-CN"/>
        </w:rPr>
        <w:t>响应无效</w:t>
      </w:r>
      <w:r>
        <w:rPr>
          <w:rFonts w:hint="eastAsia" w:ascii="仿宋" w:hAnsi="仿宋" w:eastAsia="仿宋" w:cs="仿宋"/>
          <w:b/>
          <w:color w:val="auto"/>
          <w:highlight w:val="none"/>
        </w:rPr>
        <w:t>。</w:t>
      </w:r>
    </w:p>
    <w:p w14:paraId="4D1E355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3、以上表格要求细分项目及报价，在“规格型号（或具体服务）”一栏中，货物类项目填写规格型号，服务类项目填写具体服务。</w:t>
      </w:r>
    </w:p>
    <w:p w14:paraId="36ACC19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4、特别提示：代理机构将对项目名称和项目编号，成交供应商名称、地址和成交金额等予以公示。</w:t>
      </w:r>
    </w:p>
    <w:p w14:paraId="6C7FE01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highlight w:val="none"/>
        </w:rPr>
        <w:sectPr>
          <w:pgSz w:w="16838" w:h="11906" w:orient="landscape"/>
          <w:pgMar w:top="1800" w:right="1440" w:bottom="1700" w:left="1440" w:header="851" w:footer="992" w:gutter="0"/>
          <w:cols w:space="425" w:num="1"/>
          <w:docGrid w:type="lines" w:linePitch="326" w:charSpace="0"/>
        </w:sectPr>
      </w:pPr>
    </w:p>
    <w:p w14:paraId="3568DF84">
      <w:pPr>
        <w:pStyle w:val="3"/>
        <w:keepNext w:val="0"/>
        <w:keepLines w:val="0"/>
        <w:pageBreakBefore w:val="0"/>
        <w:widowControl/>
        <w:kinsoku/>
        <w:wordWrap/>
        <w:overflowPunct/>
        <w:topLinePunct w:val="0"/>
        <w:autoSpaceDE/>
        <w:autoSpaceDN/>
        <w:bidi w:val="0"/>
        <w:adjustRightInd/>
        <w:spacing w:before="0" w:after="0" w:line="360" w:lineRule="auto"/>
        <w:ind w:left="0" w:leftChars="0" w:right="0" w:firstLine="743" w:firstLineChars="200"/>
        <w:jc w:val="left"/>
        <w:textAlignment w:val="auto"/>
        <w:rPr>
          <w:rFonts w:hint="eastAsia" w:ascii="仿宋" w:hAnsi="仿宋" w:eastAsia="仿宋" w:cs="仿宋"/>
          <w:color w:val="auto"/>
          <w:highlight w:val="none"/>
        </w:rPr>
      </w:pPr>
      <w:bookmarkStart w:id="368" w:name="_Toc465665161"/>
      <w:r>
        <w:rPr>
          <w:rFonts w:hint="eastAsia" w:ascii="仿宋" w:hAnsi="仿宋" w:eastAsia="仿宋" w:cs="仿宋"/>
          <w:color w:val="auto"/>
          <w:highlight w:val="none"/>
        </w:rPr>
        <w:t>附件</w:t>
      </w:r>
      <w:bookmarkEnd w:id="368"/>
    </w:p>
    <w:p w14:paraId="6B875FF3">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：质疑函范本及制作说明</w:t>
      </w:r>
    </w:p>
    <w:p w14:paraId="3428633C">
      <w:pPr>
        <w:keepNext w:val="0"/>
        <w:keepLines w:val="0"/>
        <w:pageBreakBefore w:val="0"/>
        <w:widowControl/>
        <w:kinsoku/>
        <w:wordWrap/>
        <w:overflowPunct/>
        <w:topLinePunct w:val="0"/>
        <w:autoSpaceDE/>
        <w:autoSpaceDN/>
        <w:bidi w:val="0"/>
        <w:adjustRightInd/>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96DBC7">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14:paraId="7D7F0ABA">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14:paraId="28E5DA4C">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53D62A88">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5246ACB6">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14:paraId="7271AE58">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65AD04C2">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0E03AE9F">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14:paraId="1F97581E">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14:paraId="603E9C87">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5C8A899A">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名称：</w:t>
      </w:r>
      <w:r>
        <w:rPr>
          <w:rFonts w:hint="eastAsia" w:ascii="仿宋" w:hAnsi="仿宋" w:eastAsia="仿宋" w:cs="仿宋"/>
          <w:color w:val="auto"/>
          <w:highlight w:val="none"/>
          <w:u w:val="dotted"/>
        </w:rPr>
        <w:t xml:space="preserve">                                         </w:t>
      </w:r>
    </w:p>
    <w:p w14:paraId="14681DA9">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14:paraId="5A031E93">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14:paraId="1A54F2FF">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14:paraId="3528DB64">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7C86178C">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14:paraId="02C1862C">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28429018">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010595C7">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4C111FEF">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14:paraId="7FBA9358">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14:paraId="54E3C63B">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14:paraId="4FDDD5D2">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5DA80D99">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5702DD9B">
      <w:pPr>
        <w:keepNext w:val="0"/>
        <w:keepLines w:val="0"/>
        <w:pageBreakBefore w:val="0"/>
        <w:widowControl/>
        <w:kinsoku/>
        <w:wordWrap/>
        <w:overflowPunct/>
        <w:topLinePunct w:val="0"/>
        <w:autoSpaceDE/>
        <w:autoSpaceDN/>
        <w:bidi w:val="0"/>
        <w:adjustRightInd/>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14:paraId="5187A8FE">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5BE80DB4">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065CE1">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6C50BF88">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1344D684">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6278B3DA">
      <w:pPr>
        <w:pStyle w:val="64"/>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56853508">
      <w:pPr>
        <w:keepNext w:val="0"/>
        <w:keepLines w:val="0"/>
        <w:pageBreakBefore w:val="0"/>
        <w:widowControl/>
        <w:kinsoku/>
        <w:wordWrap/>
        <w:overflowPunct/>
        <w:topLinePunct w:val="0"/>
        <w:autoSpaceDE/>
        <w:autoSpaceDN/>
        <w:bidi w:val="0"/>
        <w:adjustRightInd/>
        <w:spacing w:after="0" w:line="360" w:lineRule="auto"/>
        <w:ind w:left="0" w:leftChars="0" w:right="0" w:firstLine="600" w:firstLineChars="200"/>
        <w:textAlignment w:val="auto"/>
        <w:rPr>
          <w:rFonts w:hint="eastAsia" w:ascii="仿宋" w:hAnsi="仿宋" w:eastAsia="仿宋" w:cs="仿宋"/>
          <w:color w:val="auto"/>
          <w:sz w:val="30"/>
          <w:szCs w:val="30"/>
          <w:highlight w:val="none"/>
        </w:rPr>
      </w:pPr>
    </w:p>
    <w:p w14:paraId="13E04D31">
      <w:pPr>
        <w:keepNext w:val="0"/>
        <w:keepLines w:val="0"/>
        <w:pageBreakBefore w:val="0"/>
        <w:widowControl/>
        <w:kinsoku/>
        <w:wordWrap/>
        <w:overflowPunct/>
        <w:topLinePunct w:val="0"/>
        <w:autoSpaceDE/>
        <w:autoSpaceDN/>
        <w:bidi w:val="0"/>
        <w:adjustRightInd/>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p>
    <w:p w14:paraId="6C280A7F">
      <w:pPr>
        <w:pStyle w:val="16"/>
        <w:rPr>
          <w:rFonts w:hint="eastAsia" w:ascii="仿宋" w:hAnsi="仿宋" w:eastAsia="仿宋" w:cs="仿宋"/>
          <w:b/>
          <w:color w:val="auto"/>
          <w:spacing w:val="6"/>
          <w:sz w:val="32"/>
          <w:szCs w:val="32"/>
          <w:highlight w:val="none"/>
        </w:rPr>
      </w:pPr>
    </w:p>
    <w:p w14:paraId="64F8FDAB">
      <w:pPr>
        <w:rPr>
          <w:rFonts w:hint="eastAsia" w:ascii="仿宋" w:hAnsi="仿宋" w:eastAsia="仿宋" w:cs="仿宋"/>
          <w:b/>
          <w:color w:val="auto"/>
          <w:spacing w:val="6"/>
          <w:sz w:val="32"/>
          <w:szCs w:val="32"/>
          <w:highlight w:val="none"/>
        </w:rPr>
      </w:pPr>
    </w:p>
    <w:p w14:paraId="0B12A5C5">
      <w:pPr>
        <w:pStyle w:val="16"/>
        <w:rPr>
          <w:rFonts w:hint="eastAsia" w:ascii="仿宋" w:hAnsi="仿宋" w:eastAsia="仿宋" w:cs="仿宋"/>
          <w:b/>
          <w:color w:val="auto"/>
          <w:spacing w:val="6"/>
          <w:sz w:val="32"/>
          <w:szCs w:val="32"/>
          <w:highlight w:val="none"/>
        </w:rPr>
      </w:pPr>
    </w:p>
    <w:p w14:paraId="196F235B">
      <w:pPr>
        <w:rPr>
          <w:rFonts w:hint="eastAsia" w:ascii="仿宋" w:hAnsi="仿宋" w:eastAsia="仿宋" w:cs="仿宋"/>
          <w:b/>
          <w:color w:val="auto"/>
          <w:spacing w:val="6"/>
          <w:sz w:val="32"/>
          <w:szCs w:val="32"/>
          <w:highlight w:val="none"/>
        </w:rPr>
      </w:pPr>
    </w:p>
    <w:p w14:paraId="06A1C7F6">
      <w:pPr>
        <w:pStyle w:val="16"/>
        <w:rPr>
          <w:rFonts w:hint="eastAsia" w:ascii="仿宋" w:hAnsi="仿宋" w:eastAsia="仿宋" w:cs="仿宋"/>
          <w:b/>
          <w:color w:val="auto"/>
          <w:spacing w:val="6"/>
          <w:sz w:val="32"/>
          <w:szCs w:val="32"/>
          <w:highlight w:val="none"/>
        </w:rPr>
      </w:pPr>
    </w:p>
    <w:p w14:paraId="5396F620">
      <w:pPr>
        <w:rPr>
          <w:rFonts w:hint="eastAsia" w:ascii="仿宋" w:hAnsi="仿宋" w:eastAsia="仿宋" w:cs="仿宋"/>
          <w:b/>
          <w:color w:val="auto"/>
          <w:spacing w:val="6"/>
          <w:sz w:val="32"/>
          <w:szCs w:val="32"/>
          <w:highlight w:val="none"/>
        </w:rPr>
      </w:pPr>
    </w:p>
    <w:p w14:paraId="710E4365">
      <w:pPr>
        <w:pStyle w:val="16"/>
        <w:rPr>
          <w:rFonts w:hint="eastAsia" w:ascii="仿宋" w:hAnsi="仿宋" w:eastAsia="仿宋" w:cs="仿宋"/>
          <w:b/>
          <w:color w:val="auto"/>
          <w:spacing w:val="6"/>
          <w:sz w:val="32"/>
          <w:szCs w:val="32"/>
          <w:highlight w:val="none"/>
        </w:rPr>
      </w:pPr>
    </w:p>
    <w:p w14:paraId="7B0FE8AA">
      <w:pPr>
        <w:rPr>
          <w:rFonts w:hint="eastAsia" w:ascii="仿宋" w:hAnsi="仿宋" w:eastAsia="仿宋" w:cs="仿宋"/>
          <w:b/>
          <w:color w:val="auto"/>
          <w:spacing w:val="6"/>
          <w:sz w:val="32"/>
          <w:szCs w:val="32"/>
          <w:highlight w:val="none"/>
        </w:rPr>
      </w:pPr>
    </w:p>
    <w:p w14:paraId="0EB62601">
      <w:pPr>
        <w:pStyle w:val="16"/>
        <w:rPr>
          <w:rFonts w:hint="eastAsia" w:ascii="仿宋" w:hAnsi="仿宋" w:eastAsia="仿宋" w:cs="仿宋"/>
          <w:b/>
          <w:color w:val="auto"/>
          <w:spacing w:val="6"/>
          <w:sz w:val="32"/>
          <w:szCs w:val="32"/>
          <w:highlight w:val="none"/>
        </w:rPr>
      </w:pPr>
    </w:p>
    <w:p w14:paraId="250907A3">
      <w:pPr>
        <w:rPr>
          <w:rFonts w:hint="eastAsia" w:ascii="仿宋" w:hAnsi="仿宋" w:eastAsia="仿宋" w:cs="仿宋"/>
          <w:color w:val="auto"/>
          <w:highlight w:val="none"/>
        </w:rPr>
      </w:pPr>
    </w:p>
    <w:p w14:paraId="5E6320E2">
      <w:pPr>
        <w:keepNext w:val="0"/>
        <w:keepLines w:val="0"/>
        <w:pageBreakBefore w:val="0"/>
        <w:widowControl/>
        <w:kinsoku/>
        <w:wordWrap/>
        <w:overflowPunct/>
        <w:topLinePunct w:val="0"/>
        <w:autoSpaceDE/>
        <w:autoSpaceDN/>
        <w:bidi w:val="0"/>
        <w:adjustRightInd/>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p>
    <w:p w14:paraId="3A2D5A9C">
      <w:pPr>
        <w:pStyle w:val="4"/>
        <w:keepNext w:val="0"/>
        <w:keepLines w:val="0"/>
        <w:pageBreakBefore w:val="0"/>
        <w:widowControl/>
        <w:kinsoku/>
        <w:wordWrap/>
        <w:overflowPunct/>
        <w:topLinePunct w:val="0"/>
        <w:autoSpaceDE/>
        <w:autoSpaceDN/>
        <w:bidi w:val="0"/>
        <w:adjustRightInd/>
        <w:spacing w:before="0" w:after="0" w:line="360" w:lineRule="auto"/>
        <w:ind w:left="0" w:leftChars="0" w:right="0" w:firstLine="562"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：投诉书范本及制作说明</w:t>
      </w:r>
    </w:p>
    <w:p w14:paraId="0C4E85C8">
      <w:pPr>
        <w:keepNext w:val="0"/>
        <w:keepLines w:val="0"/>
        <w:pageBreakBefore w:val="0"/>
        <w:widowControl/>
        <w:kinsoku/>
        <w:wordWrap/>
        <w:overflowPunct/>
        <w:topLinePunct w:val="0"/>
        <w:autoSpaceDE/>
        <w:autoSpaceDN/>
        <w:bidi w:val="0"/>
        <w:adjustRightInd/>
        <w:spacing w:after="0" w:line="360" w:lineRule="auto"/>
        <w:ind w:left="0" w:leftChars="0" w:right="0" w:firstLine="482" w:firstLineChars="200"/>
        <w:jc w:val="center"/>
        <w:textAlignment w:val="auto"/>
        <w:rPr>
          <w:rFonts w:hint="eastAsia" w:ascii="仿宋" w:hAnsi="仿宋" w:eastAsia="仿宋" w:cs="仿宋"/>
          <w:b/>
          <w:color w:val="auto"/>
          <w:highlight w:val="none"/>
        </w:rPr>
      </w:pPr>
    </w:p>
    <w:p w14:paraId="093215AE">
      <w:pPr>
        <w:keepNext w:val="0"/>
        <w:keepLines w:val="0"/>
        <w:pageBreakBefore w:val="0"/>
        <w:widowControl/>
        <w:kinsoku/>
        <w:wordWrap/>
        <w:overflowPunct/>
        <w:topLinePunct w:val="0"/>
        <w:autoSpaceDE/>
        <w:autoSpaceDN/>
        <w:bidi w:val="0"/>
        <w:adjustRightInd/>
        <w:spacing w:after="0" w:line="360" w:lineRule="auto"/>
        <w:ind w:left="0" w:leftChars="0" w:right="0" w:firstLine="667" w:firstLineChars="200"/>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F339B88">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186C5A90">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14:paraId="4FC38D20">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14:paraId="38C71D3B">
      <w:pPr>
        <w:keepNext w:val="0"/>
        <w:keepLines w:val="0"/>
        <w:pageBreakBefore w:val="0"/>
        <w:widowControl/>
        <w:tabs>
          <w:tab w:val="left" w:pos="6510"/>
        </w:tabs>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75D68D99">
      <w:pPr>
        <w:keepNext w:val="0"/>
        <w:keepLines w:val="0"/>
        <w:pageBreakBefore w:val="0"/>
        <w:widowControl/>
        <w:tabs>
          <w:tab w:val="left" w:pos="6510"/>
        </w:tabs>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2C735C93">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48F913F1">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dotted"/>
        </w:rPr>
        <w:t xml:space="preserve">                   </w:t>
      </w:r>
    </w:p>
    <w:p w14:paraId="45CE2C01">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14:paraId="1355F86D">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14:paraId="4218AF1D">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14:paraId="70F0BB8D">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0605A1BC">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143CABAD">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14:paraId="167C6C88">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14:paraId="7ED14DE4">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14:paraId="1D8B7856">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4CF73F20">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14:paraId="18058E0E">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24B5BD69">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名称：</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14:paraId="4536AA9B">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14:paraId="2D9DEB34">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6DDD56E4">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4D6C3A4E">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41D0B1AF">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14:paraId="2D169E9A">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2CED4D60">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u w:val="dotted"/>
          <w:lang w:eastAsia="zh-CN"/>
        </w:rPr>
        <w:t>交易发起人</w:t>
      </w:r>
      <w:r>
        <w:rPr>
          <w:rFonts w:hint="eastAsia" w:ascii="仿宋" w:hAnsi="仿宋" w:eastAsia="仿宋" w:cs="仿宋"/>
          <w:color w:val="auto"/>
          <w:highlight w:val="none"/>
          <w:u w:val="dotted"/>
        </w:rPr>
        <w:t>/代理机构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14:paraId="10456590">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391494C6">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14:paraId="6EE67FAA">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10CE20CE">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3B0B63FF">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3D43E108">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697E1D3E">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345AA586">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41DF40F4">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35CBA6FA">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14FCE47C">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14:paraId="3B3623EB">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654ADDD9">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1E979266">
      <w:pPr>
        <w:keepNext w:val="0"/>
        <w:keepLines w:val="0"/>
        <w:pageBreakBefore w:val="0"/>
        <w:widowControl/>
        <w:kinsoku/>
        <w:wordWrap/>
        <w:overflowPunct/>
        <w:topLinePunct w:val="0"/>
        <w:autoSpaceDE/>
        <w:autoSpaceDN/>
        <w:bidi w:val="0"/>
        <w:adjustRightInd/>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14:paraId="0BE7BA7E">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5D1F0F87">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3216DF1">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584DA608">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12B95C52">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566786A1">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485B80DD">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375504AA">
      <w:pPr>
        <w:keepNext w:val="0"/>
        <w:keepLines w:val="0"/>
        <w:pageBreakBefore w:val="0"/>
        <w:widowControl/>
        <w:kinsoku/>
        <w:wordWrap/>
        <w:overflowPunct/>
        <w:topLinePunct w:val="0"/>
        <w:autoSpaceDE/>
        <w:autoSpaceDN/>
        <w:bidi w:val="0"/>
        <w:adjustRightInd/>
        <w:spacing w:after="0" w:line="360" w:lineRule="auto"/>
        <w:ind w:left="0" w:leftChars="0" w:righ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1EFDCAE5">
      <w:pPr>
        <w:pStyle w:val="4"/>
        <w:keepNext w:val="0"/>
        <w:keepLines w:val="0"/>
        <w:pageBreakBefore w:val="0"/>
        <w:widowControl/>
        <w:kinsoku/>
        <w:wordWrap/>
        <w:overflowPunct/>
        <w:topLinePunct w:val="0"/>
        <w:autoSpaceDE/>
        <w:autoSpaceDN/>
        <w:bidi w:val="0"/>
        <w:adjustRightInd/>
        <w:spacing w:before="0" w:after="0" w:line="360" w:lineRule="auto"/>
        <w:ind w:left="0" w:leftChars="0" w:right="0" w:firstLine="586"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pacing w:val="6"/>
          <w:highlight w:val="none"/>
        </w:rPr>
        <w:t>附件</w:t>
      </w:r>
      <w:r>
        <w:rPr>
          <w:rFonts w:hint="eastAsia" w:ascii="仿宋" w:hAnsi="仿宋" w:eastAsia="仿宋" w:cs="仿宋"/>
          <w:color w:val="auto"/>
          <w:spacing w:val="6"/>
          <w:highlight w:val="none"/>
          <w:lang w:val="en-US" w:eastAsia="zh-CN"/>
        </w:rPr>
        <w:t>3</w:t>
      </w:r>
      <w:r>
        <w:rPr>
          <w:rFonts w:hint="eastAsia" w:ascii="仿宋" w:hAnsi="仿宋" w:eastAsia="仿宋" w:cs="仿宋"/>
          <w:color w:val="auto"/>
          <w:spacing w:val="6"/>
          <w:highlight w:val="none"/>
        </w:rPr>
        <w:t>：</w:t>
      </w:r>
      <w:r>
        <w:rPr>
          <w:rFonts w:hint="eastAsia" w:ascii="仿宋" w:hAnsi="仿宋" w:eastAsia="仿宋" w:cs="仿宋"/>
          <w:color w:val="auto"/>
          <w:highlight w:val="none"/>
        </w:rPr>
        <w:t>业务专用章使用说明函</w:t>
      </w:r>
    </w:p>
    <w:p w14:paraId="2D5268E0">
      <w:pPr>
        <w:keepNext w:val="0"/>
        <w:keepLines w:val="0"/>
        <w:pageBreakBefore w:val="0"/>
        <w:widowControl/>
        <w:kinsoku/>
        <w:wordWrap/>
        <w:overflowPunct/>
        <w:topLinePunct w:val="0"/>
        <w:autoSpaceDE/>
        <w:autoSpaceDN/>
        <w:bidi w:val="0"/>
        <w:adjustRightInd/>
        <w:spacing w:after="0" w:line="360" w:lineRule="auto"/>
        <w:ind w:left="0" w:leftChars="0" w:right="0" w:firstLine="643" w:firstLineChars="200"/>
        <w:jc w:val="center"/>
        <w:textAlignment w:val="auto"/>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14:paraId="50E2511B">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eastAsia="zh-CN"/>
        </w:rPr>
        <w:t>交易发起人</w:t>
      </w:r>
      <w:r>
        <w:rPr>
          <w:rFonts w:hint="eastAsia" w:ascii="仿宋" w:hAnsi="仿宋" w:eastAsia="仿宋" w:cs="仿宋"/>
          <w:color w:val="auto"/>
          <w:highlight w:val="none"/>
          <w:u w:val="single"/>
        </w:rPr>
        <w:t>）、（采购代理机构）</w:t>
      </w:r>
    </w:p>
    <w:p w14:paraId="71DAD3E2">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w:t>
      </w:r>
      <w:r>
        <w:rPr>
          <w:rFonts w:hint="eastAsia" w:ascii="仿宋" w:hAnsi="仿宋" w:eastAsia="仿宋" w:cs="仿宋"/>
          <w:color w:val="auto"/>
          <w:highlight w:val="none"/>
          <w:lang w:eastAsia="zh-CN"/>
        </w:rPr>
        <w:t>项目编号</w:t>
      </w:r>
      <w:r>
        <w:rPr>
          <w:rFonts w:hint="eastAsia" w:ascii="仿宋" w:hAnsi="仿宋" w:eastAsia="仿宋" w:cs="仿宋"/>
          <w:color w:val="auto"/>
          <w:highlight w:val="none"/>
        </w:rPr>
        <w:t>：（采购编号）】</w:t>
      </w:r>
      <w:r>
        <w:rPr>
          <w:rFonts w:hint="eastAsia" w:ascii="仿宋" w:hAnsi="仿宋" w:eastAsia="仿宋" w:cs="仿宋"/>
          <w:bCs/>
          <w:color w:val="auto"/>
          <w:highlight w:val="none"/>
          <w:lang w:val="en-US" w:eastAsia="zh-CN"/>
        </w:rPr>
        <w:t>交易</w:t>
      </w:r>
      <w:r>
        <w:rPr>
          <w:rFonts w:hint="eastAsia" w:ascii="仿宋" w:hAnsi="仿宋" w:eastAsia="仿宋" w:cs="仿宋"/>
          <w:bCs/>
          <w:color w:val="auto"/>
          <w:highlight w:val="none"/>
        </w:rPr>
        <w:t>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14:paraId="4748D3E2">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4F0979D3">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p>
    <w:p w14:paraId="48204A05">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p>
    <w:p w14:paraId="53712769">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单位（法定名称章）：</w:t>
      </w:r>
    </w:p>
    <w:p w14:paraId="3F3B33B5">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5C9E4E53">
      <w:pPr>
        <w:keepNext w:val="0"/>
        <w:keepLines w:val="0"/>
        <w:pageBreakBefore w:val="0"/>
        <w:widowControl/>
        <w:kinsoku/>
        <w:wordWrap/>
        <w:overflowPunct/>
        <w:topLinePunct w:val="0"/>
        <w:autoSpaceDE/>
        <w:autoSpaceDN/>
        <w:bidi w:val="0"/>
        <w:adjustRightInd/>
        <w:spacing w:after="0" w:line="360" w:lineRule="auto"/>
        <w:ind w:left="0" w:leftChars="0" w:right="0"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附：</w:t>
      </w:r>
    </w:p>
    <w:p w14:paraId="5BA33C1A">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textAlignment w:val="auto"/>
        <w:rPr>
          <w:rFonts w:hint="eastAsia" w:ascii="仿宋" w:hAnsi="仿宋" w:eastAsia="仿宋" w:cs="仿宋"/>
          <w:bCs/>
          <w:color w:val="auto"/>
          <w:highlight w:val="none"/>
        </w:rPr>
      </w:pPr>
      <w:r>
        <w:rPr>
          <w:rFonts w:hint="eastAsia" w:ascii="仿宋" w:hAnsi="仿宋" w:eastAsia="仿宋" w:cs="仿宋"/>
          <w:color w:val="auto"/>
          <w:highlight w:val="none"/>
          <w:lang w:val="en-US" w:eastAsia="zh-CN"/>
        </w:rPr>
        <w:t>响应</w:t>
      </w: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AAF3AC8">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AAF3AC8">
                      <w:pPr>
                        <w:jc w:val="center"/>
                      </w:pPr>
                    </w:p>
                  </w:txbxContent>
                </v:textbox>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B41B21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B41B21A">
                      <w:pPr>
                        <w:jc w:val="center"/>
                      </w:pPr>
                    </w:p>
                  </w:txbxContent>
                </v:textbox>
              </v:rect>
            </w:pict>
          </mc:Fallback>
        </mc:AlternateContent>
      </w:r>
      <w:r>
        <w:rPr>
          <w:rFonts w:hint="eastAsia" w:ascii="仿宋" w:hAnsi="仿宋" w:eastAsia="仿宋" w:cs="仿宋"/>
          <w:color w:val="auto"/>
          <w:highlight w:val="none"/>
        </w:rPr>
        <w:t xml:space="preserve">单位法定名称章（印模）            </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单位“XX专用章”（印模）</w:t>
      </w:r>
    </w:p>
    <w:p w14:paraId="74DA9BDB">
      <w:pPr>
        <w:keepNext w:val="0"/>
        <w:keepLines w:val="0"/>
        <w:pageBreakBefore w:val="0"/>
        <w:widowControl/>
        <w:kinsoku/>
        <w:wordWrap/>
        <w:overflowPunct/>
        <w:topLinePunct w:val="0"/>
        <w:autoSpaceDE/>
        <w:autoSpaceDN/>
        <w:bidi w:val="0"/>
        <w:adjustRightInd/>
        <w:spacing w:after="0" w:line="360" w:lineRule="auto"/>
        <w:ind w:left="0" w:leftChars="0" w:right="0" w:firstLine="667" w:firstLineChars="200"/>
        <w:textAlignment w:val="auto"/>
        <w:rPr>
          <w:rFonts w:hint="eastAsia" w:ascii="仿宋" w:hAnsi="仿宋" w:eastAsia="仿宋" w:cs="仿宋"/>
          <w:b/>
          <w:color w:val="auto"/>
          <w:spacing w:val="6"/>
          <w:sz w:val="32"/>
          <w:szCs w:val="32"/>
          <w:highlight w:val="none"/>
        </w:rPr>
      </w:pPr>
    </w:p>
    <w:p w14:paraId="2A8E700B">
      <w:pPr>
        <w:keepNext w:val="0"/>
        <w:keepLines w:val="0"/>
        <w:pageBreakBefore w:val="0"/>
        <w:widowControl/>
        <w:kinsoku/>
        <w:wordWrap/>
        <w:overflowPunct/>
        <w:topLinePunct w:val="0"/>
        <w:autoSpaceDE/>
        <w:autoSpaceDN/>
        <w:bidi w:val="0"/>
        <w:adjustRightInd/>
        <w:spacing w:after="0" w:line="360" w:lineRule="auto"/>
        <w:ind w:left="0" w:leftChars="0" w:right="0" w:firstLine="586" w:firstLineChars="200"/>
        <w:textAlignment w:val="auto"/>
        <w:rPr>
          <w:rFonts w:hint="eastAsia" w:ascii="仿宋" w:hAnsi="仿宋" w:eastAsia="仿宋" w:cs="仿宋"/>
          <w:b/>
          <w:smallCaps/>
          <w:color w:val="auto"/>
          <w:spacing w:val="6"/>
          <w:sz w:val="28"/>
          <w:szCs w:val="28"/>
          <w:highlight w:val="none"/>
        </w:rPr>
      </w:pPr>
    </w:p>
    <w:p w14:paraId="05DA57B0">
      <w:pPr>
        <w:keepNext w:val="0"/>
        <w:keepLines w:val="0"/>
        <w:pageBreakBefore w:val="0"/>
        <w:widowControl/>
        <w:kinsoku/>
        <w:wordWrap/>
        <w:overflowPunct/>
        <w:topLinePunct w:val="0"/>
        <w:autoSpaceDE/>
        <w:autoSpaceDN/>
        <w:bidi w:val="0"/>
        <w:adjustRightInd/>
        <w:spacing w:after="0" w:line="360" w:lineRule="auto"/>
        <w:ind w:right="0"/>
        <w:textAlignment w:val="auto"/>
        <w:rPr>
          <w:rFonts w:hint="eastAsia" w:ascii="仿宋" w:hAnsi="仿宋" w:eastAsia="仿宋" w:cs="仿宋"/>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ESI仿宋-GB2312">
    <w:altName w:val="仿宋"/>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F70EB">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3F848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A3F848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2DB0">
    <w:pPr>
      <w:framePr w:wrap="around" w:vAnchor="text" w:hAnchor="margin" w:xAlign="center" w:y="1"/>
    </w:pPr>
    <w:r>
      <w:fldChar w:fldCharType="begin"/>
    </w:r>
    <w:r>
      <w:instrText xml:space="preserve">PAGE  </w:instrText>
    </w:r>
    <w:r>
      <w:fldChar w:fldCharType="separate"/>
    </w:r>
    <w:r>
      <w:t>1</w:t>
    </w:r>
    <w:r>
      <w:fldChar w:fldCharType="end"/>
    </w:r>
  </w:p>
  <w:p w14:paraId="4220A7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A964">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FAE3">
    <w:pPr>
      <w:pStyle w:val="20"/>
      <w:pBdr>
        <w:bottom w:val="single" w:color="auto" w:sz="6" w:space="4"/>
      </w:pBdr>
      <w:jc w:val="right"/>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0D375">
    <w:pPr>
      <w:pStyle w:val="20"/>
      <w:jc w:val="right"/>
    </w:pPr>
    <w:r>
      <w:rPr>
        <w:rFonts w:hint="eastAsia"/>
        <w:lang w:val="en-US" w:eastAsia="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152A">
    <w:pPr>
      <w:pStyle w:val="20"/>
      <w:jc w:val="right"/>
      <w:rPr>
        <w:rFonts w:hint="eastAsia" w:eastAsia="仿宋"/>
        <w:lang w:eastAsia="zh-CN"/>
      </w:rPr>
    </w:pP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318A"/>
    <w:multiLevelType w:val="singleLevel"/>
    <w:tmpl w:val="B604318A"/>
    <w:lvl w:ilvl="0" w:tentative="0">
      <w:start w:val="1"/>
      <w:numFmt w:val="chineseCounting"/>
      <w:suff w:val="nothing"/>
      <w:lvlText w:val="%1、"/>
      <w:lvlJc w:val="left"/>
      <w:rPr>
        <w:rFonts w:hint="eastAsia"/>
      </w:rPr>
    </w:lvl>
  </w:abstractNum>
  <w:abstractNum w:abstractNumId="1">
    <w:nsid w:val="5E0C8568"/>
    <w:multiLevelType w:val="singleLevel"/>
    <w:tmpl w:val="5E0C85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M5YzZjMzA0NDUwMTdmYzRmNzhhY2NiMzhlM2U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5778E"/>
    <w:rsid w:val="00380ED1"/>
    <w:rsid w:val="00381B1D"/>
    <w:rsid w:val="003A3435"/>
    <w:rsid w:val="003E2487"/>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915FE"/>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A5770"/>
    <w:rsid w:val="00ED389E"/>
    <w:rsid w:val="00EE2D23"/>
    <w:rsid w:val="00F577A9"/>
    <w:rsid w:val="00F66F6C"/>
    <w:rsid w:val="00F82240"/>
    <w:rsid w:val="00F872C5"/>
    <w:rsid w:val="00F906B9"/>
    <w:rsid w:val="00FD5896"/>
    <w:rsid w:val="01EC2E81"/>
    <w:rsid w:val="02090086"/>
    <w:rsid w:val="02176EB0"/>
    <w:rsid w:val="065A7006"/>
    <w:rsid w:val="07415AC4"/>
    <w:rsid w:val="07C75183"/>
    <w:rsid w:val="08130899"/>
    <w:rsid w:val="0A5864EE"/>
    <w:rsid w:val="0A8B4A83"/>
    <w:rsid w:val="0BBC2D5C"/>
    <w:rsid w:val="0BF90BAB"/>
    <w:rsid w:val="0C386E81"/>
    <w:rsid w:val="0C770474"/>
    <w:rsid w:val="0D177A1E"/>
    <w:rsid w:val="0D8A0CCD"/>
    <w:rsid w:val="10DC2D20"/>
    <w:rsid w:val="115D0E7F"/>
    <w:rsid w:val="148949B9"/>
    <w:rsid w:val="14D53113"/>
    <w:rsid w:val="163E7458"/>
    <w:rsid w:val="172235FF"/>
    <w:rsid w:val="18EB5D0B"/>
    <w:rsid w:val="19736123"/>
    <w:rsid w:val="1A243349"/>
    <w:rsid w:val="1A4A40AC"/>
    <w:rsid w:val="1B825272"/>
    <w:rsid w:val="1B9D1471"/>
    <w:rsid w:val="1CD75593"/>
    <w:rsid w:val="1D7D211E"/>
    <w:rsid w:val="1DD0612A"/>
    <w:rsid w:val="1EBC4CDB"/>
    <w:rsid w:val="1F401132"/>
    <w:rsid w:val="20C43288"/>
    <w:rsid w:val="226D4CD9"/>
    <w:rsid w:val="23777246"/>
    <w:rsid w:val="266D65BB"/>
    <w:rsid w:val="29794A7C"/>
    <w:rsid w:val="2A1B72B6"/>
    <w:rsid w:val="2A2F6531"/>
    <w:rsid w:val="2A767E40"/>
    <w:rsid w:val="2BC1681B"/>
    <w:rsid w:val="2CF021D7"/>
    <w:rsid w:val="2D376026"/>
    <w:rsid w:val="2D520E80"/>
    <w:rsid w:val="2DB84E57"/>
    <w:rsid w:val="2DC661A2"/>
    <w:rsid w:val="2DDF42EB"/>
    <w:rsid w:val="30C957CE"/>
    <w:rsid w:val="31BB3E2A"/>
    <w:rsid w:val="328F5F4B"/>
    <w:rsid w:val="33AF6D6E"/>
    <w:rsid w:val="34752E70"/>
    <w:rsid w:val="37384CFD"/>
    <w:rsid w:val="38CA5A01"/>
    <w:rsid w:val="3938244B"/>
    <w:rsid w:val="39A76C82"/>
    <w:rsid w:val="3A0001BB"/>
    <w:rsid w:val="3C61263E"/>
    <w:rsid w:val="3DEF6FEC"/>
    <w:rsid w:val="3E53302E"/>
    <w:rsid w:val="3EC01585"/>
    <w:rsid w:val="40715CA4"/>
    <w:rsid w:val="43055B40"/>
    <w:rsid w:val="435242BA"/>
    <w:rsid w:val="477A6ED7"/>
    <w:rsid w:val="47E4604D"/>
    <w:rsid w:val="4A91148F"/>
    <w:rsid w:val="4B693301"/>
    <w:rsid w:val="4C2B2957"/>
    <w:rsid w:val="4CDC34D2"/>
    <w:rsid w:val="4DF564C8"/>
    <w:rsid w:val="4E1C547E"/>
    <w:rsid w:val="4FBF6DE2"/>
    <w:rsid w:val="511E2052"/>
    <w:rsid w:val="526B5F26"/>
    <w:rsid w:val="52A1446F"/>
    <w:rsid w:val="52A53CF2"/>
    <w:rsid w:val="536917EA"/>
    <w:rsid w:val="53F20140"/>
    <w:rsid w:val="543323FA"/>
    <w:rsid w:val="544C67EC"/>
    <w:rsid w:val="54887BA7"/>
    <w:rsid w:val="554B7894"/>
    <w:rsid w:val="55C90D0D"/>
    <w:rsid w:val="569E5B0A"/>
    <w:rsid w:val="602D101C"/>
    <w:rsid w:val="605D4E4A"/>
    <w:rsid w:val="62901D8B"/>
    <w:rsid w:val="64EC4A56"/>
    <w:rsid w:val="650869CE"/>
    <w:rsid w:val="651E1C8E"/>
    <w:rsid w:val="67D50B62"/>
    <w:rsid w:val="69652439"/>
    <w:rsid w:val="697378F0"/>
    <w:rsid w:val="6A785B44"/>
    <w:rsid w:val="6F03229D"/>
    <w:rsid w:val="6F982147"/>
    <w:rsid w:val="73115C4B"/>
    <w:rsid w:val="7350004A"/>
    <w:rsid w:val="752B15CB"/>
    <w:rsid w:val="754C0D3F"/>
    <w:rsid w:val="7666618D"/>
    <w:rsid w:val="76B222BB"/>
    <w:rsid w:val="7809631C"/>
    <w:rsid w:val="78623C73"/>
    <w:rsid w:val="790B3904"/>
    <w:rsid w:val="799B2715"/>
    <w:rsid w:val="7ABA3338"/>
    <w:rsid w:val="7B632E52"/>
    <w:rsid w:val="7B83645A"/>
    <w:rsid w:val="7C712F77"/>
    <w:rsid w:val="7E0D3AA1"/>
    <w:rsid w:val="7E813419"/>
    <w:rsid w:val="7EB01A7B"/>
    <w:rsid w:val="7FD6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9"/>
    <w:autoRedefine/>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5"/>
    <w:autoRedefine/>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40"/>
    <w:autoRedefine/>
    <w:unhideWhenUsed/>
    <w:qFormat/>
    <w:uiPriority w:val="9"/>
    <w:pPr>
      <w:outlineLvl w:val="2"/>
    </w:pPr>
    <w:rPr>
      <w:b/>
    </w:rPr>
  </w:style>
  <w:style w:type="paragraph" w:styleId="6">
    <w:name w:val="heading 4"/>
    <w:basedOn w:val="1"/>
    <w:next w:val="1"/>
    <w:link w:val="41"/>
    <w:autoRedefine/>
    <w:unhideWhenUsed/>
    <w:qFormat/>
    <w:uiPriority w:val="9"/>
    <w:pPr>
      <w:spacing w:after="0" w:line="271" w:lineRule="auto"/>
      <w:outlineLvl w:val="3"/>
    </w:pPr>
    <w:rPr>
      <w:b/>
      <w:bCs/>
      <w:spacing w:val="5"/>
    </w:rPr>
  </w:style>
  <w:style w:type="paragraph" w:styleId="7">
    <w:name w:val="heading 5"/>
    <w:basedOn w:val="1"/>
    <w:next w:val="1"/>
    <w:link w:val="42"/>
    <w:autoRedefine/>
    <w:unhideWhenUsed/>
    <w:qFormat/>
    <w:uiPriority w:val="9"/>
    <w:pPr>
      <w:spacing w:after="0" w:line="271" w:lineRule="auto"/>
      <w:outlineLvl w:val="4"/>
    </w:pPr>
    <w:rPr>
      <w:i/>
      <w:iCs/>
    </w:rPr>
  </w:style>
  <w:style w:type="paragraph" w:styleId="8">
    <w:name w:val="heading 6"/>
    <w:basedOn w:val="1"/>
    <w:next w:val="1"/>
    <w:link w:val="43"/>
    <w:autoRedefine/>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44"/>
    <w:autoRedefine/>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45"/>
    <w:autoRedefine/>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6"/>
    <w:autoRedefine/>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8"/>
    <w:autoRedefine/>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2">
    <w:name w:val="Normal Indent"/>
    <w:basedOn w:val="1"/>
    <w:link w:val="65"/>
    <w:autoRedefine/>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autoRedefine/>
    <w:semiHidden/>
    <w:unhideWhenUsed/>
    <w:qFormat/>
    <w:uiPriority w:val="35"/>
    <w:rPr>
      <w:b/>
      <w:bCs/>
      <w:caps/>
      <w:sz w:val="16"/>
      <w:szCs w:val="18"/>
    </w:rPr>
  </w:style>
  <w:style w:type="paragraph" w:styleId="14">
    <w:name w:val="annotation text"/>
    <w:basedOn w:val="1"/>
    <w:autoRedefine/>
    <w:semiHidden/>
    <w:unhideWhenUsed/>
    <w:qFormat/>
    <w:uiPriority w:val="99"/>
    <w:pPr>
      <w:jc w:val="left"/>
    </w:pPr>
  </w:style>
  <w:style w:type="paragraph" w:styleId="15">
    <w:name w:val="Body Text"/>
    <w:basedOn w:val="1"/>
    <w:autoRedefine/>
    <w:qFormat/>
    <w:uiPriority w:val="0"/>
    <w:pPr>
      <w:spacing w:after="120"/>
    </w:pPr>
    <w:rPr>
      <w:kern w:val="0"/>
      <w:sz w:val="28"/>
    </w:rPr>
  </w:style>
  <w:style w:type="paragraph" w:styleId="16">
    <w:name w:val="Plain Text"/>
    <w:basedOn w:val="1"/>
    <w:next w:val="1"/>
    <w:link w:val="66"/>
    <w:autoRedefine/>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80"/>
    <w:autoRedefine/>
    <w:semiHidden/>
    <w:unhideWhenUsed/>
    <w:qFormat/>
    <w:uiPriority w:val="99"/>
    <w:pPr>
      <w:spacing w:after="0"/>
    </w:pPr>
    <w:rPr>
      <w:sz w:val="18"/>
      <w:szCs w:val="18"/>
    </w:rPr>
  </w:style>
  <w:style w:type="paragraph" w:styleId="18">
    <w:name w:val="footer"/>
    <w:basedOn w:val="1"/>
    <w:link w:val="38"/>
    <w:autoRedefine/>
    <w:unhideWhenUsed/>
    <w:qFormat/>
    <w:uiPriority w:val="99"/>
    <w:pPr>
      <w:tabs>
        <w:tab w:val="center" w:pos="4153"/>
        <w:tab w:val="right" w:pos="8306"/>
      </w:tabs>
      <w:snapToGrid w:val="0"/>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Subtitle"/>
    <w:basedOn w:val="1"/>
    <w:next w:val="1"/>
    <w:link w:val="48"/>
    <w:autoRedefine/>
    <w:qFormat/>
    <w:uiPriority w:val="11"/>
    <w:rPr>
      <w:i/>
      <w:iCs/>
      <w:smallCaps/>
      <w:spacing w:val="10"/>
      <w:sz w:val="28"/>
      <w:szCs w:val="28"/>
    </w:rPr>
  </w:style>
  <w:style w:type="paragraph" w:styleId="2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4">
    <w:name w:val="Title"/>
    <w:basedOn w:val="1"/>
    <w:next w:val="1"/>
    <w:link w:val="47"/>
    <w:autoRedefine/>
    <w:qFormat/>
    <w:uiPriority w:val="10"/>
    <w:pPr>
      <w:spacing w:after="300"/>
      <w:contextualSpacing/>
    </w:pPr>
    <w:rPr>
      <w:smallCaps/>
      <w:sz w:val="52"/>
      <w:szCs w:val="52"/>
    </w:rPr>
  </w:style>
  <w:style w:type="paragraph" w:styleId="25">
    <w:name w:val="Body Text First Indent"/>
    <w:basedOn w:val="15"/>
    <w:autoRedefine/>
    <w:qFormat/>
    <w:uiPriority w:val="0"/>
    <w:pPr>
      <w:ind w:firstLine="420"/>
    </w:pPr>
    <w:rPr>
      <w:szCs w:val="20"/>
    </w:rPr>
  </w:style>
  <w:style w:type="paragraph" w:styleId="26">
    <w:name w:val="Body Text First Indent 2"/>
    <w:basedOn w:val="2"/>
    <w:next w:val="1"/>
    <w:autoRedefine/>
    <w:qFormat/>
    <w:uiPriority w:val="0"/>
    <w:pPr>
      <w:adjustRightInd/>
      <w:spacing w:after="120" w:line="240" w:lineRule="auto"/>
      <w:ind w:left="420" w:leftChars="200" w:firstLine="210"/>
    </w:pPr>
    <w:rPr>
      <w:sz w:val="21"/>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Emphasis"/>
    <w:autoRedefine/>
    <w:qFormat/>
    <w:uiPriority w:val="20"/>
    <w:rPr>
      <w:b/>
      <w:bCs/>
      <w:i/>
      <w:iCs/>
      <w:spacing w:val="10"/>
    </w:rPr>
  </w:style>
  <w:style w:type="character" w:styleId="32">
    <w:name w:val="Hyperlink"/>
    <w:autoRedefine/>
    <w:qFormat/>
    <w:uiPriority w:val="99"/>
    <w:rPr>
      <w:rFonts w:ascii="Arial" w:hAnsi="Arial" w:eastAsia="黑体" w:cs="Arial"/>
      <w:snapToGrid w:val="0"/>
      <w:color w:val="000000"/>
      <w:kern w:val="0"/>
      <w:sz w:val="18"/>
      <w:szCs w:val="18"/>
      <w:u w:val="none"/>
    </w:rPr>
  </w:style>
  <w:style w:type="paragraph" w:customStyle="1" w:styleId="33">
    <w:name w:val="Default"/>
    <w:next w:val="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4">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35">
    <w:name w:val="标题 2 Char"/>
    <w:basedOn w:val="29"/>
    <w:link w:val="4"/>
    <w:autoRedefine/>
    <w:qFormat/>
    <w:uiPriority w:val="9"/>
    <w:rPr>
      <w:rFonts w:ascii="仿宋" w:hAnsi="仿宋" w:eastAsia="仿宋"/>
      <w:b/>
      <w:smallCaps/>
      <w:sz w:val="28"/>
      <w:szCs w:val="28"/>
    </w:rPr>
  </w:style>
  <w:style w:type="paragraph" w:customStyle="1" w:styleId="36">
    <w:name w:val="_Style 2"/>
    <w:basedOn w:val="1"/>
    <w:autoRedefine/>
    <w:qFormat/>
    <w:uiPriority w:val="0"/>
    <w:pPr>
      <w:ind w:firstLine="200" w:firstLineChars="200"/>
    </w:pPr>
    <w:rPr>
      <w:rFonts w:ascii="Calibri" w:hAnsi="Calibri"/>
      <w:sz w:val="28"/>
    </w:rPr>
  </w:style>
  <w:style w:type="character" w:customStyle="1" w:styleId="37">
    <w:name w:val="页眉 Char"/>
    <w:basedOn w:val="29"/>
    <w:link w:val="20"/>
    <w:autoRedefine/>
    <w:qFormat/>
    <w:uiPriority w:val="99"/>
    <w:rPr>
      <w:sz w:val="18"/>
      <w:szCs w:val="18"/>
    </w:rPr>
  </w:style>
  <w:style w:type="character" w:customStyle="1" w:styleId="38">
    <w:name w:val="页脚 Char"/>
    <w:basedOn w:val="29"/>
    <w:link w:val="18"/>
    <w:autoRedefine/>
    <w:qFormat/>
    <w:uiPriority w:val="99"/>
    <w:rPr>
      <w:sz w:val="18"/>
      <w:szCs w:val="18"/>
    </w:rPr>
  </w:style>
  <w:style w:type="character" w:customStyle="1" w:styleId="39">
    <w:name w:val="标题 1 Char"/>
    <w:basedOn w:val="29"/>
    <w:link w:val="3"/>
    <w:autoRedefine/>
    <w:qFormat/>
    <w:uiPriority w:val="9"/>
    <w:rPr>
      <w:rFonts w:ascii="仿宋_GB2312" w:hAnsi="仿宋" w:eastAsia="仿宋_GB2312"/>
      <w:b/>
      <w:smallCaps/>
      <w:spacing w:val="5"/>
      <w:sz w:val="36"/>
      <w:szCs w:val="36"/>
    </w:rPr>
  </w:style>
  <w:style w:type="character" w:customStyle="1" w:styleId="40">
    <w:name w:val="标题 3 Char"/>
    <w:basedOn w:val="29"/>
    <w:link w:val="5"/>
    <w:autoRedefine/>
    <w:qFormat/>
    <w:uiPriority w:val="9"/>
    <w:rPr>
      <w:rFonts w:ascii="仿宋" w:hAnsi="仿宋" w:eastAsia="仿宋"/>
      <w:b/>
      <w:sz w:val="24"/>
      <w:szCs w:val="24"/>
    </w:rPr>
  </w:style>
  <w:style w:type="character" w:customStyle="1" w:styleId="41">
    <w:name w:val="标题 4 Char"/>
    <w:basedOn w:val="29"/>
    <w:link w:val="6"/>
    <w:autoRedefine/>
    <w:qFormat/>
    <w:uiPriority w:val="9"/>
    <w:rPr>
      <w:b/>
      <w:bCs/>
      <w:spacing w:val="5"/>
      <w:sz w:val="24"/>
      <w:szCs w:val="24"/>
    </w:rPr>
  </w:style>
  <w:style w:type="character" w:customStyle="1" w:styleId="42">
    <w:name w:val="标题 5 Char"/>
    <w:basedOn w:val="29"/>
    <w:link w:val="7"/>
    <w:autoRedefine/>
    <w:qFormat/>
    <w:uiPriority w:val="9"/>
    <w:rPr>
      <w:i/>
      <w:iCs/>
      <w:sz w:val="24"/>
      <w:szCs w:val="24"/>
    </w:rPr>
  </w:style>
  <w:style w:type="character" w:customStyle="1" w:styleId="43">
    <w:name w:val="标题 6 Char"/>
    <w:basedOn w:val="29"/>
    <w:link w:val="8"/>
    <w:autoRedefine/>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4">
    <w:name w:val="标题 7 Char"/>
    <w:basedOn w:val="29"/>
    <w:link w:val="9"/>
    <w:autoRedefine/>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5">
    <w:name w:val="标题 8 Char"/>
    <w:basedOn w:val="29"/>
    <w:link w:val="10"/>
    <w:autoRedefine/>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6">
    <w:name w:val="标题 9 Char"/>
    <w:basedOn w:val="29"/>
    <w:link w:val="11"/>
    <w:autoRedefine/>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7">
    <w:name w:val="标题 Char"/>
    <w:basedOn w:val="29"/>
    <w:link w:val="24"/>
    <w:autoRedefine/>
    <w:qFormat/>
    <w:uiPriority w:val="10"/>
    <w:rPr>
      <w:smallCaps/>
      <w:sz w:val="52"/>
      <w:szCs w:val="52"/>
    </w:rPr>
  </w:style>
  <w:style w:type="character" w:customStyle="1" w:styleId="48">
    <w:name w:val="副标题 Char"/>
    <w:basedOn w:val="29"/>
    <w:link w:val="22"/>
    <w:autoRedefine/>
    <w:qFormat/>
    <w:uiPriority w:val="11"/>
    <w:rPr>
      <w:i/>
      <w:iCs/>
      <w:smallCaps/>
      <w:spacing w:val="10"/>
      <w:sz w:val="28"/>
      <w:szCs w:val="28"/>
    </w:rPr>
  </w:style>
  <w:style w:type="paragraph" w:styleId="49">
    <w:name w:val="No Spacing"/>
    <w:basedOn w:val="1"/>
    <w:link w:val="61"/>
    <w:autoRedefine/>
    <w:qFormat/>
    <w:uiPriority w:val="1"/>
    <w:pPr>
      <w:spacing w:after="0"/>
    </w:pPr>
  </w:style>
  <w:style w:type="paragraph" w:styleId="50">
    <w:name w:val="List Paragraph"/>
    <w:basedOn w:val="1"/>
    <w:autoRedefine/>
    <w:qFormat/>
    <w:uiPriority w:val="34"/>
    <w:pPr>
      <w:ind w:left="720"/>
      <w:contextualSpacing/>
    </w:pPr>
  </w:style>
  <w:style w:type="paragraph" w:styleId="51">
    <w:name w:val="Quote"/>
    <w:basedOn w:val="1"/>
    <w:next w:val="1"/>
    <w:link w:val="52"/>
    <w:autoRedefine/>
    <w:qFormat/>
    <w:uiPriority w:val="29"/>
    <w:rPr>
      <w:i/>
      <w:iCs/>
    </w:rPr>
  </w:style>
  <w:style w:type="character" w:customStyle="1" w:styleId="52">
    <w:name w:val="引用 Char"/>
    <w:basedOn w:val="29"/>
    <w:link w:val="51"/>
    <w:autoRedefine/>
    <w:qFormat/>
    <w:uiPriority w:val="29"/>
    <w:rPr>
      <w:i/>
      <w:iCs/>
    </w:rPr>
  </w:style>
  <w:style w:type="paragraph" w:styleId="53">
    <w:name w:val="Intense Quote"/>
    <w:basedOn w:val="1"/>
    <w:next w:val="1"/>
    <w:link w:val="54"/>
    <w:autoRedefine/>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4">
    <w:name w:val="明显引用 Char"/>
    <w:basedOn w:val="29"/>
    <w:link w:val="53"/>
    <w:autoRedefine/>
    <w:qFormat/>
    <w:uiPriority w:val="30"/>
    <w:rPr>
      <w:i/>
      <w:iCs/>
    </w:rPr>
  </w:style>
  <w:style w:type="character" w:customStyle="1" w:styleId="55">
    <w:name w:val="不明显强调1"/>
    <w:autoRedefine/>
    <w:qFormat/>
    <w:uiPriority w:val="19"/>
    <w:rPr>
      <w:i/>
      <w:iCs/>
    </w:rPr>
  </w:style>
  <w:style w:type="character" w:customStyle="1" w:styleId="56">
    <w:name w:val="明显强调1"/>
    <w:autoRedefine/>
    <w:qFormat/>
    <w:uiPriority w:val="21"/>
    <w:rPr>
      <w:b/>
      <w:bCs/>
      <w:i/>
      <w:iCs/>
    </w:rPr>
  </w:style>
  <w:style w:type="character" w:customStyle="1" w:styleId="57">
    <w:name w:val="不明显参考1"/>
    <w:basedOn w:val="29"/>
    <w:autoRedefine/>
    <w:qFormat/>
    <w:uiPriority w:val="31"/>
    <w:rPr>
      <w:smallCaps/>
    </w:rPr>
  </w:style>
  <w:style w:type="character" w:customStyle="1" w:styleId="58">
    <w:name w:val="明显参考1"/>
    <w:autoRedefine/>
    <w:qFormat/>
    <w:uiPriority w:val="32"/>
    <w:rPr>
      <w:b/>
      <w:bCs/>
      <w:smallCaps/>
    </w:rPr>
  </w:style>
  <w:style w:type="character" w:customStyle="1" w:styleId="59">
    <w:name w:val="书籍标题1"/>
    <w:basedOn w:val="29"/>
    <w:autoRedefine/>
    <w:qFormat/>
    <w:uiPriority w:val="33"/>
    <w:rPr>
      <w:i/>
      <w:iCs/>
      <w:smallCaps/>
      <w:spacing w:val="5"/>
    </w:rPr>
  </w:style>
  <w:style w:type="paragraph" w:customStyle="1" w:styleId="60">
    <w:name w:val="TOC 标题1"/>
    <w:basedOn w:val="3"/>
    <w:next w:val="1"/>
    <w:autoRedefine/>
    <w:semiHidden/>
    <w:unhideWhenUsed/>
    <w:qFormat/>
    <w:uiPriority w:val="39"/>
    <w:pPr>
      <w:outlineLvl w:val="9"/>
    </w:pPr>
    <w:rPr>
      <w:lang w:bidi="en-US"/>
    </w:rPr>
  </w:style>
  <w:style w:type="character" w:customStyle="1" w:styleId="61">
    <w:name w:val="无间隔 Char"/>
    <w:basedOn w:val="29"/>
    <w:link w:val="49"/>
    <w:autoRedefine/>
    <w:qFormat/>
    <w:uiPriority w:val="1"/>
  </w:style>
  <w:style w:type="paragraph" w:customStyle="1" w:styleId="62">
    <w:name w:val="Personal Name"/>
    <w:basedOn w:val="24"/>
    <w:autoRedefine/>
    <w:qFormat/>
    <w:uiPriority w:val="0"/>
    <w:rPr>
      <w:b/>
      <w:caps/>
      <w:color w:val="000000"/>
      <w:sz w:val="28"/>
      <w:szCs w:val="28"/>
    </w:rPr>
  </w:style>
  <w:style w:type="character" w:customStyle="1" w:styleId="63">
    <w:name w:val="正文2 Char Char"/>
    <w:link w:val="64"/>
    <w:autoRedefine/>
    <w:qFormat/>
    <w:uiPriority w:val="0"/>
    <w:rPr>
      <w:rFonts w:ascii="仿宋" w:hAnsi="仿宋" w:eastAsia="仿宋"/>
      <w:sz w:val="24"/>
      <w:szCs w:val="24"/>
    </w:rPr>
  </w:style>
  <w:style w:type="paragraph" w:customStyle="1" w:styleId="64">
    <w:name w:val="正文2"/>
    <w:basedOn w:val="1"/>
    <w:link w:val="63"/>
    <w:autoRedefine/>
    <w:qFormat/>
    <w:uiPriority w:val="0"/>
    <w:pPr>
      <w:spacing w:line="360" w:lineRule="auto"/>
    </w:pPr>
  </w:style>
  <w:style w:type="character" w:customStyle="1" w:styleId="65">
    <w:name w:val="正文缩进 Char"/>
    <w:link w:val="12"/>
    <w:autoRedefine/>
    <w:qFormat/>
    <w:uiPriority w:val="0"/>
    <w:rPr>
      <w:rFonts w:ascii="宋体" w:hAnsi="Times New Roman" w:eastAsia="宋体" w:cs="Times New Roman"/>
      <w:snapToGrid w:val="0"/>
      <w:color w:val="000000"/>
      <w:kern w:val="28"/>
      <w:sz w:val="28"/>
      <w:szCs w:val="20"/>
    </w:rPr>
  </w:style>
  <w:style w:type="character" w:customStyle="1" w:styleId="66">
    <w:name w:val="纯文本 Char"/>
    <w:basedOn w:val="29"/>
    <w:link w:val="16"/>
    <w:autoRedefine/>
    <w:qFormat/>
    <w:uiPriority w:val="0"/>
    <w:rPr>
      <w:rFonts w:ascii="宋体" w:hAnsi="Courier New" w:eastAsia="宋体" w:cs="Arial"/>
      <w:snapToGrid w:val="0"/>
      <w:kern w:val="2"/>
      <w:sz w:val="21"/>
      <w:szCs w:val="21"/>
    </w:rPr>
  </w:style>
  <w:style w:type="character" w:customStyle="1" w:styleId="67">
    <w:name w:val="正文文本缩进 Char"/>
    <w:basedOn w:val="29"/>
    <w:autoRedefine/>
    <w:semiHidden/>
    <w:qFormat/>
    <w:uiPriority w:val="99"/>
    <w:rPr>
      <w:rFonts w:ascii="仿宋" w:hAnsi="仿宋" w:eastAsia="仿宋"/>
      <w:sz w:val="24"/>
      <w:szCs w:val="24"/>
    </w:rPr>
  </w:style>
  <w:style w:type="character" w:customStyle="1" w:styleId="68">
    <w:name w:val="正文文本缩进 Char1"/>
    <w:link w:val="2"/>
    <w:autoRedefine/>
    <w:qFormat/>
    <w:uiPriority w:val="0"/>
    <w:rPr>
      <w:rFonts w:ascii="宋体" w:hAnsi="宋体" w:eastAsia="宋体" w:cs="Times New Roman"/>
      <w:kern w:val="2"/>
      <w:sz w:val="24"/>
      <w:szCs w:val="24"/>
    </w:rPr>
  </w:style>
  <w:style w:type="character" w:customStyle="1" w:styleId="69">
    <w:name w:val="标题 Char2"/>
    <w:autoRedefine/>
    <w:qFormat/>
    <w:uiPriority w:val="10"/>
    <w:rPr>
      <w:b/>
      <w:sz w:val="24"/>
      <w:lang w:val="en-GB"/>
    </w:rPr>
  </w:style>
  <w:style w:type="character" w:customStyle="1" w:styleId="70">
    <w:name w:val="纯文本 Char1"/>
    <w:link w:val="71"/>
    <w:autoRedefine/>
    <w:qFormat/>
    <w:uiPriority w:val="0"/>
    <w:rPr>
      <w:rFonts w:ascii="宋体" w:hAnsi="Courier New"/>
    </w:rPr>
  </w:style>
  <w:style w:type="paragraph" w:customStyle="1" w:styleId="71">
    <w:name w:val="纯文本1"/>
    <w:basedOn w:val="1"/>
    <w:link w:val="70"/>
    <w:autoRedefine/>
    <w:qFormat/>
    <w:uiPriority w:val="0"/>
    <w:pPr>
      <w:widowControl w:val="0"/>
      <w:spacing w:after="0"/>
      <w:jc w:val="both"/>
    </w:pPr>
    <w:rPr>
      <w:rFonts w:ascii="宋体" w:hAnsi="Courier New" w:eastAsiaTheme="majorEastAsia"/>
      <w:sz w:val="22"/>
      <w:szCs w:val="22"/>
    </w:rPr>
  </w:style>
  <w:style w:type="character" w:customStyle="1" w:styleId="72">
    <w:name w:val="页脚 Char2"/>
    <w:autoRedefine/>
    <w:qFormat/>
    <w:locked/>
    <w:uiPriority w:val="99"/>
    <w:rPr>
      <w:kern w:val="2"/>
      <w:sz w:val="18"/>
      <w:szCs w:val="18"/>
    </w:rPr>
  </w:style>
  <w:style w:type="character" w:customStyle="1" w:styleId="73">
    <w:name w:val="页眉 Char2"/>
    <w:autoRedefine/>
    <w:qFormat/>
    <w:uiPriority w:val="99"/>
    <w:rPr>
      <w:kern w:val="2"/>
      <w:sz w:val="18"/>
      <w:szCs w:val="18"/>
    </w:rPr>
  </w:style>
  <w:style w:type="paragraph" w:customStyle="1" w:styleId="74">
    <w:name w:val="索引 11"/>
    <w:basedOn w:val="1"/>
    <w:next w:val="1"/>
    <w:autoRedefine/>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5">
    <w:name w:val="正文缩进1"/>
    <w:basedOn w:val="1"/>
    <w:next w:val="2"/>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6">
    <w:name w:val="text-tag"/>
    <w:basedOn w:val="1"/>
    <w:autoRedefine/>
    <w:semiHidden/>
    <w:qFormat/>
    <w:uiPriority w:val="99"/>
    <w:pPr>
      <w:spacing w:before="100" w:beforeAutospacing="1" w:after="100" w:afterAutospacing="1"/>
    </w:pPr>
    <w:rPr>
      <w:rFonts w:ascii="宋体" w:hAnsi="宋体" w:eastAsia="宋体" w:cs="宋体"/>
    </w:rPr>
  </w:style>
  <w:style w:type="character" w:customStyle="1" w:styleId="77">
    <w:name w:val="纯文本 Char_0"/>
    <w:link w:val="78"/>
    <w:autoRedefine/>
    <w:qFormat/>
    <w:uiPriority w:val="0"/>
    <w:rPr>
      <w:rFonts w:ascii="宋体" w:hAnsi="Courier New"/>
      <w:kern w:val="2"/>
      <w:sz w:val="21"/>
      <w:szCs w:val="21"/>
    </w:rPr>
  </w:style>
  <w:style w:type="paragraph" w:customStyle="1" w:styleId="78">
    <w:name w:val="纯文本_0_0"/>
    <w:basedOn w:val="1"/>
    <w:link w:val="77"/>
    <w:autoRedefine/>
    <w:qFormat/>
    <w:uiPriority w:val="0"/>
    <w:pPr>
      <w:widowControl w:val="0"/>
      <w:spacing w:after="0"/>
      <w:jc w:val="both"/>
    </w:pPr>
    <w:rPr>
      <w:rFonts w:ascii="宋体" w:hAnsi="Courier New" w:eastAsiaTheme="majorEastAsia"/>
      <w:kern w:val="2"/>
      <w:sz w:val="21"/>
      <w:szCs w:val="21"/>
    </w:rPr>
  </w:style>
  <w:style w:type="paragraph" w:customStyle="1" w:styleId="79">
    <w:name w:val="部分1"/>
    <w:basedOn w:val="1"/>
    <w:autoRedefine/>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0">
    <w:name w:val="批注框文本 Char"/>
    <w:basedOn w:val="29"/>
    <w:link w:val="17"/>
    <w:autoRedefine/>
    <w:semiHidden/>
    <w:qFormat/>
    <w:uiPriority w:val="99"/>
    <w:rPr>
      <w:rFonts w:ascii="仿宋" w:hAnsi="仿宋" w:eastAsia="仿宋"/>
      <w:sz w:val="18"/>
      <w:szCs w:val="18"/>
    </w:rPr>
  </w:style>
  <w:style w:type="character" w:customStyle="1" w:styleId="81">
    <w:name w:val="font41"/>
    <w:basedOn w:val="29"/>
    <w:autoRedefine/>
    <w:qFormat/>
    <w:uiPriority w:val="0"/>
    <w:rPr>
      <w:rFonts w:ascii="Symbol" w:hAnsi="Symbol" w:cs="Symbol"/>
      <w:color w:val="000000"/>
      <w:sz w:val="28"/>
      <w:szCs w:val="28"/>
      <w:u w:val="none"/>
    </w:rPr>
  </w:style>
  <w:style w:type="character" w:customStyle="1" w:styleId="82">
    <w:name w:val="font51"/>
    <w:basedOn w:val="29"/>
    <w:autoRedefine/>
    <w:qFormat/>
    <w:uiPriority w:val="0"/>
    <w:rPr>
      <w:rFonts w:ascii="Arial" w:hAnsi="Arial" w:cs="Arial"/>
      <w:color w:val="000000"/>
      <w:sz w:val="28"/>
      <w:szCs w:val="28"/>
      <w:u w:val="none"/>
    </w:rPr>
  </w:style>
  <w:style w:type="character" w:customStyle="1" w:styleId="83">
    <w:name w:val="font21"/>
    <w:basedOn w:val="29"/>
    <w:autoRedefine/>
    <w:qFormat/>
    <w:uiPriority w:val="0"/>
    <w:rPr>
      <w:rFonts w:hint="eastAsia" w:ascii="宋体" w:hAnsi="宋体" w:eastAsia="宋体" w:cs="宋体"/>
      <w:color w:val="000000"/>
      <w:sz w:val="28"/>
      <w:szCs w:val="28"/>
      <w:u w:val="none"/>
    </w:rPr>
  </w:style>
  <w:style w:type="character" w:customStyle="1" w:styleId="84">
    <w:name w:val="font61"/>
    <w:autoRedefine/>
    <w:qFormat/>
    <w:uiPriority w:val="0"/>
    <w:rPr>
      <w:rFonts w:hint="eastAsia" w:ascii="微软雅黑" w:hAnsi="微软雅黑" w:eastAsia="微软雅黑" w:cs="微软雅黑"/>
      <w:color w:val="FF0000"/>
      <w:sz w:val="24"/>
      <w:szCs w:val="24"/>
      <w:u w:val="none"/>
    </w:rPr>
  </w:style>
  <w:style w:type="paragraph" w:customStyle="1" w:styleId="85">
    <w:name w:val="Table Paragraph"/>
    <w:basedOn w:val="1"/>
    <w:autoRedefine/>
    <w:qFormat/>
    <w:uiPriority w:val="1"/>
    <w:rPr>
      <w:rFonts w:ascii="宋体" w:hAnsi="宋体" w:eastAsia="宋体" w:cs="宋体"/>
      <w:lang w:val="zh-CN" w:eastAsia="zh-CN" w:bidi="zh-CN"/>
    </w:rPr>
  </w:style>
  <w:style w:type="paragraph" w:customStyle="1" w:styleId="86">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87">
    <w:name w:val="列出段落6"/>
    <w:basedOn w:val="1"/>
    <w:qFormat/>
    <w:uiPriority w:val="0"/>
    <w:pPr>
      <w:spacing w:line="360" w:lineRule="auto"/>
      <w:ind w:firstLine="420" w:firstLineChars="200"/>
    </w:pPr>
    <w:rPr>
      <w:rFonts w:ascii="Calibri" w:hAnsi="Calibri"/>
      <w:sz w:val="24"/>
      <w:szCs w:val="22"/>
    </w:rPr>
  </w:style>
  <w:style w:type="paragraph" w:customStyle="1" w:styleId="88">
    <w:name w:val="表格字体"/>
    <w:autoRedefine/>
    <w:qFormat/>
    <w:uiPriority w:val="0"/>
    <w:rPr>
      <w:rFonts w:ascii="Times New Roman" w:hAnsi="Times New Roman" w:eastAsia="仿宋"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15905</Words>
  <Characters>16948</Characters>
  <Lines>306</Lines>
  <Paragraphs>86</Paragraphs>
  <TotalTime>17</TotalTime>
  <ScaleCrop>false</ScaleCrop>
  <LinksUpToDate>false</LinksUpToDate>
  <CharactersWithSpaces>17553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无奈啊无奈</cp:lastModifiedBy>
  <cp:lastPrinted>2024-04-15T11:54:00Z</cp:lastPrinted>
  <dcterms:modified xsi:type="dcterms:W3CDTF">2025-07-04T10:40:58Z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697612EBEDA9485485F22FC1C2376798_13</vt:lpwstr>
  </property>
  <property fmtid="{D5CDD505-2E9C-101B-9397-08002B2CF9AE}" pid="4" name="KSOTemplateDocerSaveRecord">
    <vt:lpwstr>eyJoZGlkIjoiODAwZWUxODc3YmJmZjU3MGRkMTdmNTllZjUwYmQyOTEiLCJ1c2VySWQiOiI1MDUzMjg3MDMifQ==</vt:lpwstr>
  </property>
</Properties>
</file>