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7087">
      <w:pPr>
        <w:spacing w:line="360" w:lineRule="auto"/>
        <w:jc w:val="center"/>
        <w:rPr>
          <w:rFonts w:hint="default" w:asciiTheme="minorEastAsia" w:hAnsiTheme="minorEastAsia" w:eastAsiaTheme="minorEastAsia" w:cstheme="minorEastAsia"/>
          <w:color w:val="auto"/>
          <w:sz w:val="48"/>
          <w:szCs w:val="48"/>
          <w:highlight w:val="none"/>
          <w:lang w:val="en-US" w:eastAsia="zh-CN"/>
        </w:rPr>
      </w:pPr>
      <w:r>
        <w:rPr>
          <w:rFonts w:hint="eastAsia" w:asciiTheme="minorEastAsia" w:hAnsiTheme="minorEastAsia" w:eastAsiaTheme="minorEastAsia" w:cstheme="minorEastAsia"/>
          <w:color w:val="auto"/>
          <w:sz w:val="48"/>
          <w:szCs w:val="48"/>
          <w:highlight w:val="none"/>
          <w:lang w:val="en-US" w:eastAsia="zh-CN"/>
        </w:rPr>
        <w:t xml:space="preserve">            </w:t>
      </w:r>
    </w:p>
    <w:p w14:paraId="4BF1791C">
      <w:pPr>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6"/>
          <w:szCs w:val="36"/>
          <w:highlight w:val="none"/>
          <w:lang w:eastAsia="zh-CN"/>
        </w:rPr>
        <w:t>X306县道（尚岭线）尚界线至葛岙水库段提升改造工程—给水迁改工程</w:t>
      </w:r>
      <w:r>
        <w:rPr>
          <w:rFonts w:hint="eastAsia" w:asciiTheme="minorEastAsia" w:hAnsiTheme="minorEastAsia" w:eastAsiaTheme="minorEastAsia" w:cstheme="minorEastAsia"/>
          <w:color w:val="auto"/>
          <w:sz w:val="36"/>
          <w:szCs w:val="36"/>
          <w:highlight w:val="none"/>
        </w:rPr>
        <w:t>竞争性</w:t>
      </w:r>
      <w:r>
        <w:rPr>
          <w:rFonts w:hint="eastAsia" w:asciiTheme="minorEastAsia" w:hAnsiTheme="minorEastAsia" w:eastAsiaTheme="minorEastAsia" w:cstheme="minorEastAsia"/>
          <w:color w:val="auto"/>
          <w:sz w:val="36"/>
          <w:szCs w:val="36"/>
          <w:highlight w:val="none"/>
          <w:lang w:val="en-US" w:eastAsia="zh-CN"/>
        </w:rPr>
        <w:t>磋商</w:t>
      </w:r>
      <w:r>
        <w:rPr>
          <w:rFonts w:hint="eastAsia" w:asciiTheme="minorEastAsia" w:hAnsiTheme="minorEastAsia" w:eastAsiaTheme="minorEastAsia" w:cstheme="minorEastAsia"/>
          <w:color w:val="auto"/>
          <w:sz w:val="36"/>
          <w:szCs w:val="36"/>
          <w:highlight w:val="none"/>
          <w:lang w:eastAsia="zh-CN"/>
        </w:rPr>
        <w:t>采购文件</w:t>
      </w:r>
      <w:r>
        <w:rPr>
          <w:rFonts w:hint="eastAsia" w:asciiTheme="minorEastAsia" w:hAnsiTheme="minorEastAsia" w:eastAsiaTheme="minorEastAsia" w:cstheme="minorEastAsia"/>
          <w:color w:val="auto"/>
          <w:sz w:val="36"/>
          <w:szCs w:val="36"/>
          <w:highlight w:val="none"/>
        </w:rPr>
        <w:t>（电子交易项目）</w:t>
      </w:r>
    </w:p>
    <w:p w14:paraId="0141A2FA">
      <w:pPr>
        <w:snapToGrid w:val="0"/>
        <w:spacing w:line="360" w:lineRule="auto"/>
        <w:jc w:val="center"/>
        <w:rPr>
          <w:rFonts w:hint="default" w:asciiTheme="minorEastAsia" w:hAnsiTheme="minorEastAsia" w:eastAsiaTheme="minorEastAsia" w:cstheme="minorEastAsia"/>
          <w:color w:val="0000FF"/>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sz w:val="30"/>
          <w:szCs w:val="30"/>
          <w:highlight w:val="none"/>
          <w:lang w:val="en-US" w:eastAsia="zh-CN"/>
        </w:rPr>
        <w:t>FHGQZB(2025)213D</w:t>
      </w:r>
      <w:r>
        <w:rPr>
          <w:rFonts w:hint="eastAsia" w:asciiTheme="minorEastAsia" w:hAnsiTheme="minorEastAsia" w:eastAsiaTheme="minorEastAsia" w:cstheme="minorEastAsia"/>
          <w:color w:val="0000FF"/>
          <w:sz w:val="30"/>
          <w:szCs w:val="30"/>
          <w:highlight w:val="none"/>
          <w:lang w:val="en-US" w:eastAsia="zh-CN"/>
        </w:rPr>
        <w:t xml:space="preserve"> </w:t>
      </w:r>
    </w:p>
    <w:p w14:paraId="6D85F1D5">
      <w:pPr>
        <w:spacing w:line="360" w:lineRule="auto"/>
        <w:rPr>
          <w:rFonts w:asciiTheme="minorEastAsia" w:hAnsiTheme="minorEastAsia" w:eastAsiaTheme="minorEastAsia" w:cstheme="minorEastAsia"/>
          <w:color w:val="auto"/>
          <w:sz w:val="28"/>
          <w:szCs w:val="20"/>
          <w:highlight w:val="none"/>
        </w:rPr>
      </w:pPr>
    </w:p>
    <w:p w14:paraId="664EB6D2">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4F7FEAA1">
      <w:pPr>
        <w:spacing w:line="360" w:lineRule="auto"/>
        <w:jc w:val="center"/>
        <w:rPr>
          <w:rFonts w:asciiTheme="minorEastAsia" w:hAnsiTheme="minorEastAsia" w:eastAsiaTheme="minorEastAsia" w:cstheme="minorEastAsia"/>
          <w:b/>
          <w:color w:val="auto"/>
          <w:sz w:val="44"/>
          <w:szCs w:val="44"/>
          <w:highlight w:val="none"/>
        </w:rPr>
      </w:pPr>
    </w:p>
    <w:p w14:paraId="23B06036">
      <w:pPr>
        <w:pStyle w:val="32"/>
        <w:ind w:firstLine="560"/>
        <w:rPr>
          <w:rFonts w:asciiTheme="minorEastAsia" w:hAnsiTheme="minorEastAsia" w:eastAsiaTheme="minorEastAsia" w:cstheme="minorEastAsia"/>
          <w:color w:val="auto"/>
          <w:highlight w:val="none"/>
        </w:rPr>
      </w:pPr>
    </w:p>
    <w:p w14:paraId="7C9C7D1B">
      <w:pPr>
        <w:pStyle w:val="32"/>
        <w:ind w:firstLine="560"/>
        <w:rPr>
          <w:rFonts w:asciiTheme="minorEastAsia" w:hAnsiTheme="minorEastAsia" w:eastAsiaTheme="minorEastAsia" w:cstheme="minorEastAsia"/>
          <w:color w:val="auto"/>
          <w:highlight w:val="none"/>
        </w:rPr>
      </w:pPr>
    </w:p>
    <w:p w14:paraId="39498F5C">
      <w:pPr>
        <w:spacing w:line="360" w:lineRule="auto"/>
        <w:rPr>
          <w:rFonts w:asciiTheme="minorEastAsia" w:hAnsiTheme="minorEastAsia" w:eastAsiaTheme="minorEastAsia" w:cstheme="minorEastAsia"/>
          <w:color w:val="auto"/>
          <w:sz w:val="24"/>
          <w:highlight w:val="none"/>
        </w:rPr>
      </w:pPr>
    </w:p>
    <w:p w14:paraId="5F3D1C91">
      <w:pPr>
        <w:pStyle w:val="9"/>
        <w:rPr>
          <w:color w:val="auto"/>
          <w:highlight w:val="none"/>
        </w:rPr>
      </w:pPr>
    </w:p>
    <w:p w14:paraId="7704D8F0">
      <w:pPr>
        <w:spacing w:line="360" w:lineRule="auto"/>
        <w:jc w:val="center"/>
        <w:rPr>
          <w:rFonts w:asciiTheme="minorEastAsia" w:hAnsiTheme="minorEastAsia" w:eastAsiaTheme="minorEastAsia" w:cstheme="minorEastAsia"/>
          <w:color w:val="auto"/>
          <w:sz w:val="24"/>
          <w:highlight w:val="none"/>
        </w:rPr>
      </w:pPr>
    </w:p>
    <w:p w14:paraId="11AA3C15">
      <w:pPr>
        <w:spacing w:line="360" w:lineRule="auto"/>
        <w:rPr>
          <w:rFonts w:asciiTheme="minorEastAsia" w:hAnsiTheme="minorEastAsia" w:eastAsiaTheme="minorEastAsia" w:cstheme="minorEastAsia"/>
          <w:color w:val="auto"/>
          <w:sz w:val="32"/>
          <w:szCs w:val="32"/>
          <w:highlight w:val="none"/>
        </w:rPr>
      </w:pPr>
    </w:p>
    <w:p w14:paraId="2F811C11">
      <w:pPr>
        <w:spacing w:line="360" w:lineRule="auto"/>
        <w:ind w:firstLine="960" w:firstLineChars="3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宁波市奉化区惠海地下管线投资有限公司</w:t>
      </w:r>
    </w:p>
    <w:p w14:paraId="2C29FAD0">
      <w:pPr>
        <w:snapToGrid w:val="0"/>
        <w:spacing w:line="360" w:lineRule="auto"/>
        <w:ind w:firstLine="960" w:firstLineChars="300"/>
        <w:jc w:val="both"/>
        <w:rPr>
          <w:rFonts w:hint="default" w:asciiTheme="minorEastAsia" w:hAnsiTheme="minorEastAsia" w:eastAsiaTheme="minorEastAsia" w:cstheme="minorEastAsia"/>
          <w:bCs/>
          <w:color w:val="auto"/>
          <w:sz w:val="32"/>
          <w:szCs w:val="32"/>
          <w:highlight w:val="none"/>
          <w:lang w:val="en-US"/>
        </w:rPr>
      </w:pPr>
      <w:r>
        <w:rPr>
          <w:rFonts w:hint="eastAsia" w:asciiTheme="minorEastAsia" w:hAnsiTheme="minorEastAsia" w:eastAsiaTheme="minorEastAsia" w:cstheme="minorEastAsia"/>
          <w:bCs/>
          <w:color w:val="auto"/>
          <w:sz w:val="32"/>
          <w:szCs w:val="32"/>
          <w:highlight w:val="none"/>
        </w:rPr>
        <w:t>采购代理机构：</w:t>
      </w:r>
      <w:r>
        <w:rPr>
          <w:rFonts w:hint="eastAsia" w:asciiTheme="minorEastAsia" w:hAnsiTheme="minorEastAsia" w:eastAsiaTheme="minorEastAsia" w:cstheme="minorEastAsia"/>
          <w:bCs/>
          <w:color w:val="auto"/>
          <w:sz w:val="32"/>
          <w:szCs w:val="32"/>
          <w:highlight w:val="none"/>
          <w:lang w:val="en-US" w:eastAsia="zh-CN"/>
        </w:rPr>
        <w:t>宁波日月欣项目管理有限公司</w:t>
      </w:r>
    </w:p>
    <w:p w14:paraId="2DC2F5DA">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p>
    <w:p w14:paraId="40093648">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1ACDB971">
      <w:pPr>
        <w:spacing w:line="360" w:lineRule="auto"/>
        <w:jc w:val="center"/>
        <w:rPr>
          <w:rFonts w:asciiTheme="minorEastAsia" w:hAnsiTheme="minorEastAsia" w:eastAsiaTheme="minorEastAsia" w:cstheme="minorEastAsia"/>
          <w:color w:val="auto"/>
          <w:sz w:val="24"/>
          <w:highlight w:val="none"/>
        </w:rPr>
      </w:pPr>
    </w:p>
    <w:p w14:paraId="73EB6608">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EE47801">
      <w:pPr>
        <w:spacing w:line="360" w:lineRule="auto"/>
        <w:rPr>
          <w:rFonts w:asciiTheme="minorEastAsia" w:hAnsiTheme="minorEastAsia" w:eastAsiaTheme="minorEastAsia" w:cstheme="minorEastAsia"/>
          <w:color w:val="auto"/>
          <w:sz w:val="32"/>
          <w:szCs w:val="32"/>
          <w:highlight w:val="none"/>
        </w:rPr>
      </w:pPr>
    </w:p>
    <w:p w14:paraId="3FBF4505">
      <w:pPr>
        <w:spacing w:line="360" w:lineRule="auto"/>
        <w:rPr>
          <w:rFonts w:asciiTheme="minorEastAsia" w:hAnsiTheme="minorEastAsia" w:eastAsiaTheme="minorEastAsia" w:cstheme="minorEastAsia"/>
          <w:color w:val="auto"/>
          <w:sz w:val="32"/>
          <w:szCs w:val="32"/>
          <w:highlight w:val="none"/>
        </w:rPr>
      </w:pPr>
    </w:p>
    <w:p w14:paraId="52A9CDE9">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14:paraId="02C1C633">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37956CC7">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38D5D048">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397EB0EB">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5F7A1797">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6E555D78">
      <w:pPr>
        <w:spacing w:line="360" w:lineRule="auto"/>
        <w:ind w:firstLine="549" w:firstLineChars="229"/>
        <w:rPr>
          <w:rFonts w:asciiTheme="minorEastAsia" w:hAnsiTheme="minorEastAsia" w:eastAsiaTheme="minorEastAsia" w:cstheme="minorEastAsia"/>
          <w:color w:val="auto"/>
          <w:sz w:val="24"/>
          <w:highlight w:val="none"/>
        </w:rPr>
      </w:pPr>
    </w:p>
    <w:p w14:paraId="2E7813EF">
      <w:pPr>
        <w:spacing w:line="360" w:lineRule="auto"/>
        <w:ind w:firstLine="549" w:firstLineChars="229"/>
        <w:rPr>
          <w:rFonts w:asciiTheme="minorEastAsia" w:hAnsiTheme="minorEastAsia" w:eastAsiaTheme="minorEastAsia" w:cstheme="minorEastAsia"/>
          <w:color w:val="auto"/>
          <w:sz w:val="24"/>
          <w:highlight w:val="none"/>
        </w:rPr>
      </w:pPr>
    </w:p>
    <w:p w14:paraId="3DCE8AD7">
      <w:pPr>
        <w:spacing w:line="360" w:lineRule="auto"/>
        <w:ind w:firstLine="549" w:firstLineChars="229"/>
        <w:rPr>
          <w:rFonts w:asciiTheme="minorEastAsia" w:hAnsiTheme="minorEastAsia" w:eastAsiaTheme="minorEastAsia" w:cstheme="minorEastAsia"/>
          <w:color w:val="auto"/>
          <w:sz w:val="24"/>
          <w:highlight w:val="none"/>
        </w:rPr>
      </w:pPr>
    </w:p>
    <w:p w14:paraId="0531889A">
      <w:pPr>
        <w:spacing w:line="360" w:lineRule="auto"/>
        <w:ind w:firstLine="549" w:firstLineChars="229"/>
        <w:rPr>
          <w:rFonts w:asciiTheme="minorEastAsia" w:hAnsiTheme="minorEastAsia" w:eastAsiaTheme="minorEastAsia" w:cstheme="minorEastAsia"/>
          <w:color w:val="auto"/>
          <w:sz w:val="24"/>
          <w:highlight w:val="none"/>
        </w:rPr>
      </w:pPr>
    </w:p>
    <w:p w14:paraId="66193F72">
      <w:pPr>
        <w:spacing w:line="360" w:lineRule="auto"/>
        <w:ind w:firstLine="549" w:firstLineChars="229"/>
        <w:rPr>
          <w:rFonts w:asciiTheme="minorEastAsia" w:hAnsiTheme="minorEastAsia" w:eastAsiaTheme="minorEastAsia" w:cstheme="minorEastAsia"/>
          <w:color w:val="auto"/>
          <w:sz w:val="24"/>
          <w:highlight w:val="none"/>
        </w:rPr>
      </w:pPr>
    </w:p>
    <w:p w14:paraId="2503EB74">
      <w:pPr>
        <w:spacing w:line="360" w:lineRule="auto"/>
        <w:ind w:firstLine="549" w:firstLineChars="229"/>
        <w:rPr>
          <w:rFonts w:asciiTheme="minorEastAsia" w:hAnsiTheme="minorEastAsia" w:eastAsiaTheme="minorEastAsia" w:cstheme="minorEastAsia"/>
          <w:color w:val="auto"/>
          <w:sz w:val="24"/>
          <w:highlight w:val="none"/>
        </w:rPr>
      </w:pPr>
    </w:p>
    <w:p w14:paraId="23614D77">
      <w:pPr>
        <w:spacing w:line="360" w:lineRule="auto"/>
        <w:ind w:firstLine="549" w:firstLineChars="229"/>
        <w:rPr>
          <w:rFonts w:asciiTheme="minorEastAsia" w:hAnsiTheme="minorEastAsia" w:eastAsiaTheme="minorEastAsia" w:cstheme="minorEastAsia"/>
          <w:color w:val="auto"/>
          <w:sz w:val="24"/>
          <w:highlight w:val="none"/>
        </w:rPr>
      </w:pPr>
    </w:p>
    <w:p w14:paraId="0B9D6FEB">
      <w:pPr>
        <w:spacing w:line="360" w:lineRule="auto"/>
        <w:ind w:firstLine="549" w:firstLineChars="229"/>
        <w:rPr>
          <w:rFonts w:asciiTheme="minorEastAsia" w:hAnsiTheme="minorEastAsia" w:eastAsiaTheme="minorEastAsia" w:cstheme="minorEastAsia"/>
          <w:color w:val="auto"/>
          <w:sz w:val="24"/>
          <w:highlight w:val="none"/>
        </w:rPr>
      </w:pPr>
    </w:p>
    <w:p w14:paraId="05172C08">
      <w:pPr>
        <w:spacing w:line="360" w:lineRule="auto"/>
        <w:ind w:firstLine="549" w:firstLineChars="229"/>
        <w:rPr>
          <w:rFonts w:asciiTheme="minorEastAsia" w:hAnsiTheme="minorEastAsia" w:eastAsiaTheme="minorEastAsia" w:cstheme="minorEastAsia"/>
          <w:color w:val="auto"/>
          <w:sz w:val="24"/>
          <w:highlight w:val="none"/>
        </w:rPr>
      </w:pPr>
    </w:p>
    <w:p w14:paraId="03E47B2B">
      <w:pPr>
        <w:spacing w:line="360" w:lineRule="auto"/>
        <w:ind w:firstLine="549" w:firstLineChars="229"/>
        <w:rPr>
          <w:rFonts w:asciiTheme="minorEastAsia" w:hAnsiTheme="minorEastAsia" w:eastAsiaTheme="minorEastAsia" w:cstheme="minorEastAsia"/>
          <w:color w:val="auto"/>
          <w:sz w:val="24"/>
          <w:highlight w:val="none"/>
        </w:rPr>
      </w:pPr>
    </w:p>
    <w:p w14:paraId="7FF9F408">
      <w:pPr>
        <w:spacing w:line="360" w:lineRule="auto"/>
        <w:ind w:firstLine="549" w:firstLineChars="229"/>
        <w:rPr>
          <w:rFonts w:asciiTheme="minorEastAsia" w:hAnsiTheme="minorEastAsia" w:eastAsiaTheme="minorEastAsia" w:cstheme="minorEastAsia"/>
          <w:color w:val="auto"/>
          <w:sz w:val="24"/>
          <w:highlight w:val="none"/>
        </w:rPr>
      </w:pPr>
    </w:p>
    <w:p w14:paraId="3FCB9DA4">
      <w:pPr>
        <w:spacing w:line="360" w:lineRule="auto"/>
        <w:ind w:firstLine="549" w:firstLineChars="229"/>
        <w:rPr>
          <w:rFonts w:asciiTheme="minorEastAsia" w:hAnsiTheme="minorEastAsia" w:eastAsiaTheme="minorEastAsia" w:cstheme="minorEastAsia"/>
          <w:color w:val="auto"/>
          <w:sz w:val="24"/>
          <w:highlight w:val="none"/>
        </w:rPr>
      </w:pPr>
    </w:p>
    <w:p w14:paraId="3ACDB1B8">
      <w:pPr>
        <w:spacing w:line="360" w:lineRule="auto"/>
        <w:rPr>
          <w:rFonts w:asciiTheme="minorEastAsia" w:hAnsiTheme="minorEastAsia" w:eastAsiaTheme="minorEastAsia" w:cstheme="minorEastAsia"/>
          <w:color w:val="auto"/>
          <w:sz w:val="24"/>
          <w:highlight w:val="none"/>
        </w:rPr>
      </w:pPr>
    </w:p>
    <w:p w14:paraId="724A8C4E">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14:paraId="3EDC671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5D6B4A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X306县道（尚岭线）尚界线至葛岙水库段提升改造工程-给水迁改工程</w:t>
      </w:r>
      <w:r>
        <w:rPr>
          <w:rFonts w:hint="eastAsia" w:ascii="宋体" w:hAnsi="宋体" w:eastAsia="宋体" w:cs="宋体"/>
          <w:color w:val="auto"/>
          <w:sz w:val="21"/>
          <w:szCs w:val="21"/>
          <w:highlight w:val="none"/>
        </w:rPr>
        <w:t>的潜在供应商应在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"https://www.zcygov.cn/）获取（下载）招标文件，并于2022年00月00日14点30分00秒"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/）获取（下载）采购文件，并于202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分00秒</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14:paraId="7240D1DE">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49E00B26">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lang w:val="en-US" w:eastAsia="zh-CN"/>
        </w:rPr>
        <w:t xml:space="preserve"> FHGQZB(202</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lang w:val="en-US" w:eastAsia="zh-CN"/>
        </w:rPr>
        <w:t>)</w:t>
      </w:r>
      <w:r>
        <w:rPr>
          <w:rFonts w:hint="eastAsia" w:ascii="宋体" w:hAnsi="宋体" w:cs="宋体"/>
          <w:b/>
          <w:color w:val="auto"/>
          <w:sz w:val="21"/>
          <w:szCs w:val="21"/>
          <w:highlight w:val="none"/>
          <w:lang w:val="en-US" w:eastAsia="zh-CN"/>
        </w:rPr>
        <w:t>213</w:t>
      </w:r>
      <w:r>
        <w:rPr>
          <w:rFonts w:hint="eastAsia" w:ascii="宋体" w:hAnsi="宋体" w:eastAsia="宋体" w:cs="宋体"/>
          <w:b/>
          <w:color w:val="auto"/>
          <w:sz w:val="21"/>
          <w:szCs w:val="21"/>
          <w:highlight w:val="none"/>
          <w:lang w:val="en-US" w:eastAsia="zh-CN"/>
        </w:rPr>
        <w:t xml:space="preserve">D </w:t>
      </w:r>
    </w:p>
    <w:p w14:paraId="42B3AD48">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项目名称：</w:t>
      </w:r>
      <w:r>
        <w:rPr>
          <w:rFonts w:hint="eastAsia" w:ascii="宋体" w:hAnsi="宋体" w:eastAsia="宋体" w:cs="宋体"/>
          <w:bCs/>
          <w:snapToGrid w:val="0"/>
          <w:color w:val="auto"/>
          <w:kern w:val="2"/>
          <w:sz w:val="21"/>
          <w:szCs w:val="21"/>
          <w:highlight w:val="none"/>
          <w:lang w:val="en-US" w:eastAsia="zh-CN" w:bidi="ar-SA"/>
        </w:rPr>
        <w:t>X306县道（尚岭线）尚界线至葛岙水库段提升改造工程-给水迁改工程</w:t>
      </w:r>
    </w:p>
    <w:p w14:paraId="02ADC019">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eastAsia="宋体" w:cs="宋体"/>
          <w:b/>
          <w:color w:val="auto"/>
          <w:sz w:val="21"/>
          <w:szCs w:val="21"/>
          <w:highlight w:val="none"/>
          <w:lang w:val="en-US" w:eastAsia="zh-CN"/>
        </w:rPr>
        <w:t>3863423</w:t>
      </w:r>
    </w:p>
    <w:p w14:paraId="17EA3F21">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最高限价（元）：</w:t>
      </w:r>
      <w:r>
        <w:rPr>
          <w:rFonts w:hint="eastAsia" w:ascii="宋体" w:hAnsi="宋体" w:cs="宋体"/>
          <w:b/>
          <w:color w:val="auto"/>
          <w:sz w:val="21"/>
          <w:szCs w:val="21"/>
          <w:highlight w:val="none"/>
          <w:lang w:val="en-US" w:eastAsia="zh-CN"/>
        </w:rPr>
        <w:t>3635338</w:t>
      </w:r>
      <w:r>
        <w:rPr>
          <w:rFonts w:hint="eastAsia" w:ascii="宋体" w:hAnsi="宋体" w:eastAsia="宋体" w:cs="宋体"/>
          <w:b/>
          <w:color w:val="auto"/>
          <w:sz w:val="21"/>
          <w:szCs w:val="21"/>
          <w:highlight w:val="none"/>
          <w:lang w:val="en-US" w:eastAsia="zh-CN"/>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Cs/>
          <w:snapToGrid w:val="0"/>
          <w:color w:val="auto"/>
          <w:kern w:val="2"/>
          <w:sz w:val="21"/>
          <w:szCs w:val="21"/>
          <w:highlight w:val="none"/>
          <w:lang w:val="en-US" w:eastAsia="zh-CN" w:bidi="ar-SA"/>
        </w:rPr>
        <w:t xml:space="preserve">最高综合折扣：94%  </w:t>
      </w:r>
    </w:p>
    <w:p w14:paraId="2242A6BB">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采购需求：</w:t>
      </w:r>
      <w:r>
        <w:rPr>
          <w:rFonts w:hint="eastAsia" w:ascii="宋体" w:hAnsi="宋体" w:eastAsia="宋体" w:cs="宋体"/>
          <w:bCs/>
          <w:snapToGrid w:val="0"/>
          <w:color w:val="auto"/>
          <w:kern w:val="2"/>
          <w:sz w:val="21"/>
          <w:szCs w:val="21"/>
          <w:highlight w:val="none"/>
          <w:lang w:val="en-US" w:eastAsia="zh-CN" w:bidi="ar-SA"/>
        </w:rPr>
        <w:t>X306县道（尚岭线）尚界线至葛岙水库段提升改造工程-给水迁改工程，详见采购文件第三部分采购需求。</w:t>
      </w:r>
    </w:p>
    <w:p w14:paraId="3B2C7A7F">
      <w:pPr>
        <w:pStyle w:val="51"/>
        <w:keepNext w:val="0"/>
        <w:keepLines w:val="0"/>
        <w:pageBreakBefore w:val="0"/>
        <w:kinsoku/>
        <w:wordWrap/>
        <w:overflowPunct/>
        <w:topLinePunct w:val="0"/>
        <w:autoSpaceDE/>
        <w:autoSpaceDN/>
        <w:bidi w:val="0"/>
        <w:adjustRightInd/>
        <w:spacing w:before="0" w:line="440" w:lineRule="exact"/>
        <w:ind w:firstLine="422" w:firstLineChars="200"/>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val="en-US" w:eastAsia="zh-CN" w:bidi="ar-SA"/>
        </w:rPr>
        <w:t>详见采购文件。</w:t>
      </w:r>
    </w:p>
    <w:p w14:paraId="5DB76785">
      <w:pPr>
        <w:pStyle w:val="7"/>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是，</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641D35A7">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2DEB4552">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E683118">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 xml:space="preserve">    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02334306">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182E1BEA">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cs="宋体"/>
          <w:color w:val="auto"/>
          <w:szCs w:val="21"/>
          <w:highlight w:val="none"/>
        </w:rPr>
        <w:t>供应商须具有</w:t>
      </w:r>
      <w:r>
        <w:rPr>
          <w:rFonts w:hint="eastAsia" w:ascii="宋体" w:hAnsi="宋体" w:cs="宋体"/>
          <w:color w:val="auto"/>
          <w:szCs w:val="21"/>
          <w:highlight w:val="none"/>
          <w:lang w:val="en-US" w:eastAsia="zh-CN"/>
        </w:rPr>
        <w:t>市政公用工程施工总承包叁级</w:t>
      </w:r>
      <w:r>
        <w:rPr>
          <w:rFonts w:hint="eastAsia" w:ascii="宋体" w:hAnsi="宋体" w:cs="宋体"/>
          <w:color w:val="auto"/>
          <w:szCs w:val="21"/>
          <w:highlight w:val="none"/>
        </w:rPr>
        <w:t>及以上资质</w:t>
      </w:r>
      <w:r>
        <w:rPr>
          <w:rFonts w:hint="eastAsia" w:ascii="宋体" w:hAnsi="宋体" w:eastAsia="宋体" w:cs="宋体"/>
          <w:color w:val="auto"/>
          <w:sz w:val="21"/>
          <w:szCs w:val="21"/>
          <w:highlight w:val="none"/>
        </w:rPr>
        <w:t>；</w:t>
      </w:r>
    </w:p>
    <w:p w14:paraId="2EB72969">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3.2供应商须具有有效的建筑施工企业安全生产许可证。</w:t>
      </w:r>
    </w:p>
    <w:p w14:paraId="15B0A42F">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1428EB">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14:paraId="50F3C9F0">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 ，下午12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00至23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59（北京时间）。</w:t>
      </w:r>
    </w:p>
    <w:p w14:paraId="6159C27C">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7954D865">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 xml:space="preserve">/在线申请获取采购文件（进入“项目采购”应用，在获取采购文件菜单中选择项目，申请获取采购文件）。 </w:t>
      </w:r>
    </w:p>
    <w:p w14:paraId="55FF5817">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613ADC83">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四、首次提交响应文件截止时间、磋商时间和地点</w:t>
      </w:r>
    </w:p>
    <w:p w14:paraId="6BB1C768">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首次提交响应文件截止时间：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44670AE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提交响应文件地点（网址）：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349AF6E1">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首次提交响应文件开启时间：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rPr>
        <w:t>。</w:t>
      </w:r>
    </w:p>
    <w:p w14:paraId="6228C06D">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首次提交响应文件开启地点（网址）：</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w:t>
      </w:r>
    </w:p>
    <w:p w14:paraId="0CED6A6D">
      <w:pPr>
        <w:keepNext w:val="0"/>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首次提交响应文件开启地点（线下）：</w:t>
      </w:r>
      <w:r>
        <w:rPr>
          <w:rFonts w:hint="eastAsia" w:ascii="宋体" w:hAnsi="宋体" w:eastAsia="宋体" w:cs="宋体"/>
          <w:bCs/>
          <w:color w:val="auto"/>
          <w:sz w:val="21"/>
          <w:szCs w:val="21"/>
          <w:highlight w:val="none"/>
        </w:rPr>
        <w:t>宁波市奉化区公共资源交易中心</w:t>
      </w:r>
      <w:bookmarkStart w:id="465" w:name="_GoBack"/>
      <w:r>
        <w:rPr>
          <w:rFonts w:hint="eastAsia" w:ascii="宋体" w:hAnsi="宋体" w:eastAsia="宋体" w:cs="宋体"/>
          <w:bCs/>
          <w:color w:val="auto"/>
          <w:sz w:val="21"/>
          <w:szCs w:val="21"/>
          <w:highlight w:val="none"/>
        </w:rPr>
        <w:t>开标厅</w:t>
      </w:r>
      <w:r>
        <w:rPr>
          <w:rFonts w:hint="eastAsia" w:ascii="宋体" w:hAnsi="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w:t>
      </w:r>
      <w:bookmarkEnd w:id="465"/>
      <w:r>
        <w:rPr>
          <w:rFonts w:hint="eastAsia" w:ascii="宋体" w:hAnsi="宋体" w:eastAsia="宋体" w:cs="宋体"/>
          <w:bCs/>
          <w:color w:val="auto"/>
          <w:sz w:val="21"/>
          <w:szCs w:val="21"/>
          <w:highlight w:val="none"/>
        </w:rPr>
        <w:t>宁波市奉化区大成东路277号4楼）</w:t>
      </w:r>
    </w:p>
    <w:p w14:paraId="51BC2360">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16616DE1">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8EF085C">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41B2F9F8">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3CD97E9C">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1）需要落实的政府采购政策：包括节约资源、保护环境、支持创新、促进中小企业发展等。详见采购文件的第二部分总则。（2）电子交易的说明：①电子交易：本项目以数据电文形式，依托“政府采购云平台（</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）”进行磋商活动，不接受纸质响应文件；②磋商准备：注册账号--点击“商家入驻”，进行政府采购供应商资料填写；申领CA数字证书---申领流程详见“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-下载专区-电子交易客户端-CA驱动和申领流程”；安装“</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采云电子交易客户端”----前往“</w:t>
      </w:r>
      <w:r>
        <w:rPr>
          <w:rFonts w:hint="eastAsia" w:ascii="宋体" w:hAnsi="宋体" w:eastAsia="宋体" w:cs="宋体"/>
          <w:color w:val="auto"/>
          <w:sz w:val="21"/>
          <w:szCs w:val="21"/>
          <w:highlight w:val="none"/>
          <w:lang w:eastAsia="zh-CN"/>
        </w:rPr>
        <w:t>浙江企业采购信息服务网</w:t>
      </w:r>
      <w:r>
        <w:rPr>
          <w:rFonts w:hint="eastAsia" w:ascii="宋体" w:hAnsi="宋体" w:eastAsia="宋体" w:cs="宋体"/>
          <w:color w:val="auto"/>
          <w:sz w:val="21"/>
          <w:szCs w:val="21"/>
          <w:highlight w:val="none"/>
        </w:rPr>
        <w:t>-下载专区-电子交易客户端</w:t>
      </w:r>
      <w:r>
        <w:rPr>
          <w:rFonts w:hint="eastAsia" w:ascii="宋体" w:hAnsi="宋体" w:eastAsia="宋体" w:cs="宋体"/>
          <w:color w:val="auto"/>
          <w:sz w:val="21"/>
          <w:szCs w:val="21"/>
          <w:highlight w:val="none"/>
          <w:lang w:eastAsia="zh-CN"/>
        </w:rPr>
        <w:t>（https://b.zhengcaiyun.cn/luban/category?parentId=550045&amp;childrenCode=qicaiCategory17&amp;utm=luban.luban-PC-39026.959-pc-websitegroup-navBar-front.8.ebdec73052c711ef9ade896d008b9248）</w:t>
      </w:r>
      <w:r>
        <w:rPr>
          <w:rFonts w:hint="eastAsia" w:ascii="宋体" w:hAnsi="宋体" w:eastAsia="宋体" w:cs="宋体"/>
          <w:color w:val="auto"/>
          <w:sz w:val="21"/>
          <w:szCs w:val="21"/>
          <w:highlight w:val="none"/>
        </w:rPr>
        <w:t>”进行下载并安装；</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在磋商前应确保成为浙江省政府采购网正式注册入库供应商，并完成CA数字证书办理。完成CA数字证书办理在资料齐全的情况下预计7个工作日左右，请各</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合理预估时间，及时办理。③采购文件的获取：使用账号登录或者使用CA登录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采云平台；进入“项目采购”应用，在获取采购文件菜单中选择项目，获取采购文件；④响应文件的制作：在“</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采云电子交易客户端”中完成“填写基本信息”、“导入响应文件”、“标书关联”、“标书检查”、“电子签名”、“生成电子标书”等操作；⑤采购人、采购代理机构将依托</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按照平台提示和采购文件的规定在半小时内完成在线解密。⑨具体操作指南：详见</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采云平台“服务中心-帮助文档-项目采购-操作流程-电子招投标-政府采购项目电子交易管理操作指南-供应商”。</w:t>
      </w:r>
    </w:p>
    <w:p w14:paraId="6796FA87">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53949F93">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57FF26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称：宁波市奉化区惠海地下管线投资有限公司</w:t>
      </w:r>
    </w:p>
    <w:p w14:paraId="47B74A82">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地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址：宁波市奉化区岳林街道长汀东路558号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城开大厦3号楼北幢9层</w:t>
      </w:r>
      <w:r>
        <w:rPr>
          <w:rFonts w:hint="eastAsia" w:ascii="宋体" w:hAnsi="宋体" w:eastAsia="宋体" w:cs="宋体"/>
          <w:color w:val="auto"/>
          <w:sz w:val="21"/>
          <w:szCs w:val="21"/>
          <w:highlight w:val="none"/>
          <w:lang w:eastAsia="zh-CN"/>
        </w:rPr>
        <w:t>）</w:t>
      </w:r>
    </w:p>
    <w:p w14:paraId="2B71E91D">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真：/</w:t>
      </w:r>
    </w:p>
    <w:p w14:paraId="0A4B580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项目联系人（询问）：袁工</w:t>
      </w:r>
    </w:p>
    <w:p w14:paraId="63C4BDF9">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项目联系方式（询问）：13003743437</w:t>
      </w:r>
    </w:p>
    <w:p w14:paraId="7C85449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质疑联系人：陈工</w:t>
      </w:r>
    </w:p>
    <w:p w14:paraId="3BB5ACE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0574-88523337</w:t>
      </w:r>
      <w:r>
        <w:rPr>
          <w:rFonts w:hint="eastAsia" w:ascii="宋体" w:hAnsi="宋体" w:eastAsia="宋体" w:cs="宋体"/>
          <w:color w:val="auto"/>
          <w:sz w:val="21"/>
          <w:szCs w:val="21"/>
          <w:highlight w:val="none"/>
        </w:rPr>
        <w:t xml:space="preserve">  </w:t>
      </w:r>
    </w:p>
    <w:p w14:paraId="1805D198">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1185CE8F">
      <w:pPr>
        <w:keepNext w:val="0"/>
        <w:keepLines w:val="0"/>
        <w:pageBreakBefore w:val="0"/>
        <w:kinsoku/>
        <w:wordWrap/>
        <w:overflowPunct/>
        <w:topLinePunct w:val="0"/>
        <w:bidi w:val="0"/>
        <w:spacing w:line="440" w:lineRule="exact"/>
        <w:ind w:firstLine="48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val="en-US" w:eastAsia="zh-CN"/>
        </w:rPr>
        <w:t>宁波日月欣项目管理有限公司</w:t>
      </w:r>
    </w:p>
    <w:p w14:paraId="6F0D13A3">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址：宁波市奉化区岳林街道斗门路136号艾盛环球中心（润合大厦）七楼</w:t>
      </w:r>
    </w:p>
    <w:p w14:paraId="0FB5D6A0">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2F769854">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陈</w:t>
      </w:r>
      <w:r>
        <w:rPr>
          <w:rFonts w:hint="eastAsia" w:ascii="宋体" w:hAnsi="宋体" w:eastAsia="宋体" w:cs="宋体"/>
          <w:color w:val="auto"/>
          <w:sz w:val="21"/>
          <w:szCs w:val="21"/>
          <w:highlight w:val="none"/>
          <w:lang w:val="en-US" w:eastAsia="zh-CN"/>
        </w:rPr>
        <w:t>先生</w:t>
      </w:r>
    </w:p>
    <w:p w14:paraId="40703624">
      <w:pPr>
        <w:keepNext w:val="0"/>
        <w:keepLines w:val="0"/>
        <w:pageBreakBefore w:val="0"/>
        <w:kinsoku/>
        <w:wordWrap/>
        <w:overflowPunct/>
        <w:topLinePunct w:val="0"/>
        <w:bidi w:val="0"/>
        <w:spacing w:line="440" w:lineRule="exact"/>
        <w:ind w:firstLine="48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w:t>
      </w:r>
      <w:r>
        <w:rPr>
          <w:rFonts w:hint="eastAsia" w:ascii="宋体" w:hAnsi="宋体" w:cs="宋体"/>
          <w:color w:val="auto"/>
          <w:sz w:val="21"/>
          <w:szCs w:val="21"/>
          <w:highlight w:val="none"/>
          <w:lang w:val="en-US" w:eastAsia="zh-CN"/>
        </w:rPr>
        <w:t>88523198</w:t>
      </w:r>
    </w:p>
    <w:p w14:paraId="2AFD8BD8">
      <w:pPr>
        <w:keepNext w:val="0"/>
        <w:keepLines w:val="0"/>
        <w:pageBreakBefore w:val="0"/>
        <w:kinsoku/>
        <w:wordWrap/>
        <w:overflowPunct/>
        <w:topLinePunct w:val="0"/>
        <w:bidi w:val="0"/>
        <w:spacing w:line="44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质疑联系人： </w:t>
      </w:r>
      <w:r>
        <w:rPr>
          <w:rFonts w:hint="eastAsia" w:ascii="宋体" w:hAnsi="宋体" w:eastAsia="宋体" w:cs="宋体"/>
          <w:color w:val="auto"/>
          <w:sz w:val="21"/>
          <w:szCs w:val="21"/>
          <w:highlight w:val="none"/>
          <w:lang w:val="en-US" w:eastAsia="zh-CN"/>
        </w:rPr>
        <w:t>邹先生</w:t>
      </w:r>
    </w:p>
    <w:p w14:paraId="75C32865">
      <w:pPr>
        <w:keepNext w:val="0"/>
        <w:keepLines w:val="0"/>
        <w:pageBreakBefore w:val="0"/>
        <w:kinsoku/>
        <w:wordWrap/>
        <w:overflowPunct/>
        <w:topLinePunct w:val="0"/>
        <w:bidi w:val="0"/>
        <w:spacing w:line="440" w:lineRule="exact"/>
        <w:ind w:firstLine="48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w:t>
      </w:r>
      <w:r>
        <w:rPr>
          <w:rFonts w:hint="eastAsia" w:ascii="宋体" w:hAnsi="宋体" w:cs="宋体"/>
          <w:color w:val="auto"/>
          <w:sz w:val="21"/>
          <w:szCs w:val="21"/>
          <w:highlight w:val="none"/>
          <w:lang w:val="en-US" w:eastAsia="zh-CN"/>
        </w:rPr>
        <w:t>88523198</w:t>
      </w:r>
    </w:p>
    <w:p w14:paraId="474F85E1">
      <w:pPr>
        <w:pStyle w:val="22"/>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3.同级监督管理部门            </w:t>
      </w:r>
    </w:p>
    <w:p w14:paraId="1BDCA032">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eastAsia="宋体" w:cs="宋体"/>
          <w:bCs/>
          <w:color w:val="auto"/>
          <w:sz w:val="21"/>
          <w:szCs w:val="21"/>
          <w:highlight w:val="none"/>
        </w:rPr>
        <w:t>宁波市奉化区</w:t>
      </w:r>
      <w:r>
        <w:rPr>
          <w:rFonts w:hint="eastAsia" w:ascii="宋体" w:hAnsi="宋体" w:cs="宋体"/>
          <w:bCs/>
          <w:color w:val="auto"/>
          <w:sz w:val="21"/>
          <w:szCs w:val="21"/>
          <w:highlight w:val="none"/>
          <w:lang w:val="en-US" w:eastAsia="zh-CN"/>
        </w:rPr>
        <w:t>城市开发建设集团有限公司纪检监察室</w:t>
      </w:r>
      <w:r>
        <w:rPr>
          <w:rFonts w:hint="eastAsia" w:ascii="宋体" w:hAnsi="宋体" w:eastAsia="宋体" w:cs="宋体"/>
          <w:bCs/>
          <w:color w:val="auto"/>
          <w:sz w:val="21"/>
          <w:szCs w:val="21"/>
          <w:highlight w:val="none"/>
        </w:rPr>
        <w:t xml:space="preserve"> </w:t>
      </w:r>
    </w:p>
    <w:p w14:paraId="43FA8C2E">
      <w:pPr>
        <w:keepNext w:val="0"/>
        <w:keepLines w:val="0"/>
        <w:pageBreakBefore w:val="0"/>
        <w:kinsoku/>
        <w:wordWrap/>
        <w:overflowPunct/>
        <w:topLinePunct w:val="0"/>
        <w:bidi w:val="0"/>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    址：</w:t>
      </w:r>
      <w:r>
        <w:rPr>
          <w:rFonts w:hint="eastAsia" w:ascii="宋体" w:hAnsi="宋体" w:eastAsia="宋体" w:cs="宋体"/>
          <w:bCs/>
          <w:color w:val="auto"/>
          <w:sz w:val="21"/>
          <w:szCs w:val="21"/>
          <w:highlight w:val="none"/>
        </w:rPr>
        <w:t>宁波市奉化区</w:t>
      </w:r>
      <w:r>
        <w:rPr>
          <w:rFonts w:hint="eastAsia" w:ascii="宋体" w:hAnsi="宋体" w:cs="宋体"/>
          <w:bCs/>
          <w:color w:val="auto"/>
          <w:sz w:val="21"/>
          <w:szCs w:val="21"/>
          <w:highlight w:val="none"/>
          <w:lang w:val="en-US" w:eastAsia="zh-CN"/>
        </w:rPr>
        <w:t>中山</w:t>
      </w:r>
      <w:r>
        <w:rPr>
          <w:rFonts w:hint="eastAsia" w:ascii="宋体" w:hAnsi="宋体" w:eastAsia="宋体" w:cs="宋体"/>
          <w:bCs/>
          <w:color w:val="auto"/>
          <w:sz w:val="21"/>
          <w:szCs w:val="21"/>
          <w:highlight w:val="none"/>
        </w:rPr>
        <w:t>东路</w:t>
      </w:r>
      <w:r>
        <w:rPr>
          <w:rFonts w:hint="eastAsia" w:ascii="宋体" w:hAnsi="宋体" w:cs="宋体"/>
          <w:bCs/>
          <w:color w:val="auto"/>
          <w:sz w:val="21"/>
          <w:szCs w:val="21"/>
          <w:highlight w:val="none"/>
          <w:lang w:val="en-US" w:eastAsia="zh-CN"/>
        </w:rPr>
        <w:t>518</w:t>
      </w:r>
      <w:r>
        <w:rPr>
          <w:rFonts w:hint="eastAsia" w:ascii="宋体" w:hAnsi="宋体" w:eastAsia="宋体" w:cs="宋体"/>
          <w:bCs/>
          <w:color w:val="auto"/>
          <w:sz w:val="21"/>
          <w:szCs w:val="21"/>
          <w:highlight w:val="none"/>
        </w:rPr>
        <w:t>号</w:t>
      </w:r>
      <w:r>
        <w:rPr>
          <w:rFonts w:hint="eastAsia" w:ascii="宋体" w:hAnsi="宋体" w:cs="宋体"/>
          <w:bCs/>
          <w:color w:val="auto"/>
          <w:sz w:val="21"/>
          <w:szCs w:val="21"/>
          <w:highlight w:val="none"/>
          <w:lang w:val="en-US" w:eastAsia="zh-CN"/>
        </w:rPr>
        <w:t>金城大厦B座</w:t>
      </w:r>
    </w:p>
    <w:p w14:paraId="482B4C6A">
      <w:pPr>
        <w:keepNext w:val="0"/>
        <w:keepLines w:val="0"/>
        <w:pageBreakBefore w:val="0"/>
        <w:kinsoku/>
        <w:wordWrap/>
        <w:overflowPunct/>
        <w:topLinePunct w:val="0"/>
        <w:bidi w:val="0"/>
        <w:spacing w:line="440" w:lineRule="exact"/>
        <w:ind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传    真：</w:t>
      </w:r>
      <w:r>
        <w:rPr>
          <w:rFonts w:hint="eastAsia" w:ascii="宋体" w:hAnsi="宋体" w:eastAsia="宋体" w:cs="宋体"/>
          <w:bCs/>
          <w:color w:val="auto"/>
          <w:sz w:val="21"/>
          <w:szCs w:val="21"/>
          <w:highlight w:val="none"/>
        </w:rPr>
        <w:t>0574-</w:t>
      </w:r>
      <w:r>
        <w:rPr>
          <w:rFonts w:hint="eastAsia" w:ascii="宋体" w:hAnsi="宋体" w:cs="宋体"/>
          <w:bCs/>
          <w:color w:val="auto"/>
          <w:sz w:val="21"/>
          <w:szCs w:val="21"/>
          <w:highlight w:val="none"/>
          <w:lang w:val="en-US" w:eastAsia="zh-CN"/>
        </w:rPr>
        <w:t>88680587</w:t>
      </w:r>
    </w:p>
    <w:p w14:paraId="2CFFB4A5">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 系 人 ：</w:t>
      </w:r>
      <w:r>
        <w:rPr>
          <w:rFonts w:hint="eastAsia" w:ascii="宋体" w:hAnsi="宋体" w:cs="宋体"/>
          <w:bCs/>
          <w:color w:val="auto"/>
          <w:sz w:val="21"/>
          <w:szCs w:val="21"/>
          <w:highlight w:val="none"/>
          <w:lang w:val="en-US" w:eastAsia="zh-CN"/>
        </w:rPr>
        <w:t>应</w:t>
      </w:r>
      <w:r>
        <w:rPr>
          <w:rFonts w:hint="eastAsia" w:ascii="宋体" w:hAnsi="宋体" w:eastAsia="宋体" w:cs="宋体"/>
          <w:bCs/>
          <w:color w:val="auto"/>
          <w:sz w:val="21"/>
          <w:szCs w:val="21"/>
          <w:highlight w:val="none"/>
        </w:rPr>
        <w:t>女士</w:t>
      </w:r>
    </w:p>
    <w:p w14:paraId="2997B331">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监督投诉电话： </w:t>
      </w:r>
      <w:r>
        <w:rPr>
          <w:rFonts w:hint="eastAsia" w:ascii="宋体" w:hAnsi="宋体" w:eastAsia="宋体" w:cs="宋体"/>
          <w:bCs/>
          <w:color w:val="auto"/>
          <w:sz w:val="21"/>
          <w:szCs w:val="21"/>
          <w:highlight w:val="none"/>
        </w:rPr>
        <w:t>0574-</w:t>
      </w:r>
      <w:r>
        <w:rPr>
          <w:rFonts w:hint="eastAsia" w:ascii="宋体" w:hAnsi="宋体" w:cs="宋体"/>
          <w:bCs/>
          <w:color w:val="auto"/>
          <w:sz w:val="21"/>
          <w:szCs w:val="21"/>
          <w:highlight w:val="none"/>
          <w:lang w:val="en-US" w:eastAsia="zh-CN"/>
        </w:rPr>
        <w:t>88680587</w:t>
      </w:r>
      <w:r>
        <w:rPr>
          <w:rFonts w:hint="eastAsia" w:ascii="宋体" w:hAnsi="宋体" w:eastAsia="宋体" w:cs="宋体"/>
          <w:color w:val="0000FF"/>
          <w:sz w:val="21"/>
          <w:szCs w:val="21"/>
          <w:highlight w:val="none"/>
        </w:rPr>
        <w:t xml:space="preserve">  </w:t>
      </w:r>
      <w:r>
        <w:rPr>
          <w:rFonts w:hint="eastAsia" w:ascii="宋体" w:hAnsi="宋体" w:eastAsia="宋体" w:cs="宋体"/>
          <w:color w:val="auto"/>
          <w:sz w:val="21"/>
          <w:szCs w:val="21"/>
          <w:highlight w:val="none"/>
        </w:rPr>
        <w:t xml:space="preserve">  </w:t>
      </w:r>
    </w:p>
    <w:p w14:paraId="600709DA">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www.lecaiyun.com</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采云服务热线95763获取热线服务帮助。</w:t>
      </w:r>
    </w:p>
    <w:p w14:paraId="22A81608">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69C171EF">
      <w:pPr>
        <w:spacing w:line="360" w:lineRule="auto"/>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14:paraId="262860D4">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14:paraId="6C7DEA21">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0C98C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251706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C862FB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8972DC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8072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101F67E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23370C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7749BA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6E9441E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13996C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3005C0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9A065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1D4F8B7D">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color w:val="auto"/>
                <w:sz w:val="21"/>
                <w:szCs w:val="21"/>
                <w:highlight w:val="none"/>
              </w:rPr>
              <w:t>报价一览表是报价的唯一载体</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响应文件中</w:t>
            </w:r>
            <w:r>
              <w:rPr>
                <w:rFonts w:hint="eastAsia" w:ascii="宋体" w:hAnsi="宋体" w:cs="宋体"/>
                <w:b/>
                <w:bCs/>
                <w:color w:val="auto"/>
                <w:kern w:val="0"/>
                <w:sz w:val="21"/>
                <w:szCs w:val="21"/>
                <w:highlight w:val="none"/>
                <w:lang w:val="en-US" w:eastAsia="zh-CN"/>
              </w:rPr>
              <w:t>价格采用综合折扣报价。</w:t>
            </w:r>
          </w:p>
          <w:p w14:paraId="5BF35F2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响应报价出现下列情形的，响应无效：</w:t>
            </w:r>
          </w:p>
          <w:p w14:paraId="05E92F93">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响应文件出现不是唯一的、有选择性响应报价的；</w:t>
            </w:r>
          </w:p>
          <w:p w14:paraId="2BD3E3C8">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响应报价超过采购文件中规定的</w:t>
            </w:r>
            <w:r>
              <w:rPr>
                <w:rFonts w:hint="eastAsia" w:ascii="宋体" w:hAnsi="宋体" w:cs="宋体"/>
                <w:b/>
                <w:color w:val="auto"/>
                <w:kern w:val="0"/>
                <w:sz w:val="21"/>
                <w:szCs w:val="21"/>
                <w:highlight w:val="none"/>
                <w:lang w:val="en-US" w:eastAsia="zh-CN"/>
              </w:rPr>
              <w:t>最高综合折扣94%的</w:t>
            </w:r>
            <w:r>
              <w:rPr>
                <w:rFonts w:hint="eastAsia" w:ascii="宋体" w:hAnsi="宋体" w:eastAsia="宋体" w:cs="宋体"/>
                <w:b/>
                <w:color w:val="auto"/>
                <w:kern w:val="0"/>
                <w:sz w:val="21"/>
                <w:szCs w:val="21"/>
                <w:highlight w:val="none"/>
                <w:lang w:val="zh-CN"/>
              </w:rPr>
              <w:t>；</w:t>
            </w:r>
          </w:p>
          <w:p w14:paraId="219C486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7BA4671B">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75185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80F5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FD4004">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15D866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不同意分包。</w:t>
            </w:r>
          </w:p>
        </w:tc>
      </w:tr>
      <w:tr w14:paraId="56AE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17A5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2DABF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5D7A90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资格证明文件：见采购文件第二部分9.1。</w:t>
            </w:r>
          </w:p>
          <w:p w14:paraId="02225D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color w:val="auto"/>
                <w:sz w:val="21"/>
                <w:szCs w:val="21"/>
                <w:highlight w:val="none"/>
                <w:lang w:val="zh-CN"/>
              </w:rPr>
              <w:t>，视为供应商不具备采购文件中规定的资格要求，响应无效。</w:t>
            </w:r>
          </w:p>
        </w:tc>
      </w:tr>
      <w:tr w14:paraId="72867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92781CB">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2BAF2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7665FFD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0DB9C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7E931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E13F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534CCBB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不要求提供。</w:t>
            </w:r>
          </w:p>
        </w:tc>
      </w:tr>
      <w:tr w14:paraId="60263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B81B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8C2DC9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16CEAB5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不组织。</w:t>
            </w:r>
          </w:p>
        </w:tc>
      </w:tr>
      <w:tr w14:paraId="6B75D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EF6EE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544A8C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D22F3E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本项目不允许采购进口产品。</w:t>
            </w:r>
          </w:p>
        </w:tc>
      </w:tr>
      <w:tr w14:paraId="1C394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EB4E7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37839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3B65383D">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bCs/>
                <w:snapToGrid w:val="0"/>
                <w:color w:val="auto"/>
                <w:kern w:val="2"/>
                <w:sz w:val="21"/>
                <w:szCs w:val="21"/>
                <w:highlight w:val="none"/>
                <w:lang w:val="en-US" w:eastAsia="zh-CN" w:bidi="ar-SA"/>
              </w:rPr>
              <w:t>X306县道（尚岭线）尚界线至葛岙水库段提升改造工程-给水迁改工程</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rPr>
              <w:t>行业；</w:t>
            </w:r>
          </w:p>
        </w:tc>
      </w:tr>
      <w:tr w14:paraId="0D7E7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14:paraId="409C37F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33EE9F9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A83F53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代理机构根据国家发改委发改办价格[2003]857号通知和原国家计委计价格[2002]1980号文件规定的工程招标费率标准*0.8收取代理服务费，成交人应在本公司发出成交通知书5个工作日内向本采购代理机构支付代理服务费。代理服务费只收现金、银行票汇款、电汇款。</w:t>
            </w:r>
          </w:p>
        </w:tc>
      </w:tr>
      <w:bookmarkEnd w:id="10"/>
    </w:tbl>
    <w:p w14:paraId="7BA96790">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bookmarkStart w:id="13" w:name="第四部分"/>
      <w:r>
        <w:rPr>
          <w:rFonts w:hint="eastAsia" w:asciiTheme="minorEastAsia" w:hAnsiTheme="minorEastAsia" w:eastAsiaTheme="minorEastAsia" w:cstheme="minorEastAsia"/>
          <w:b/>
          <w:color w:val="auto"/>
          <w:sz w:val="32"/>
          <w:szCs w:val="20"/>
          <w:highlight w:val="none"/>
        </w:rPr>
        <w:t>一、总则</w:t>
      </w:r>
    </w:p>
    <w:p w14:paraId="7EF3DB9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适用范围</w:t>
      </w:r>
    </w:p>
    <w:p w14:paraId="460CCE62">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文件适用于该项目的</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响应文件开启</w:t>
      </w:r>
      <w:r>
        <w:rPr>
          <w:rFonts w:hint="eastAsia" w:asciiTheme="minorEastAsia" w:hAnsiTheme="minorEastAsia" w:eastAsiaTheme="minorEastAsia" w:cstheme="minorEastAsia"/>
          <w:color w:val="auto"/>
          <w:sz w:val="21"/>
          <w:szCs w:val="21"/>
          <w:highlight w:val="none"/>
        </w:rPr>
        <w:t>、资格审查及信用信息查询、评</w:t>
      </w:r>
      <w:r>
        <w:rPr>
          <w:rFonts w:hint="eastAsia" w:asciiTheme="minorEastAsia" w:hAnsiTheme="minorEastAsia" w:eastAsiaTheme="minorEastAsia" w:cstheme="minorEastAsia"/>
          <w:color w:val="auto"/>
          <w:sz w:val="21"/>
          <w:szCs w:val="21"/>
          <w:highlight w:val="none"/>
          <w:lang w:eastAsia="zh-CN"/>
        </w:rPr>
        <w:t>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成交供应商确定</w:t>
      </w:r>
      <w:r>
        <w:rPr>
          <w:rFonts w:hint="eastAsia" w:asciiTheme="minorEastAsia" w:hAnsiTheme="minorEastAsia" w:eastAsiaTheme="minorEastAsia" w:cstheme="minorEastAsia"/>
          <w:color w:val="auto"/>
          <w:sz w:val="21"/>
          <w:szCs w:val="21"/>
          <w:highlight w:val="none"/>
        </w:rPr>
        <w:t>、合同、验收等行为（法律、法规另有规定的，从其规定）。</w:t>
      </w:r>
    </w:p>
    <w:p w14:paraId="4C464CB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定义</w:t>
      </w:r>
    </w:p>
    <w:p w14:paraId="63C227C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“采购人”系指竞争性磋商公告中载明的本项目的采购人。</w:t>
      </w:r>
    </w:p>
    <w:p w14:paraId="48A1F64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机构”系指竞争性磋商公告中载明的本项目的采购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p>
    <w:p w14:paraId="3C7DBB3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”系指是指响应</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竞争的法人、其他组织或者自然人。</w:t>
      </w:r>
    </w:p>
    <w:p w14:paraId="61E1F28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“负责人”系指法人企业的法定负责人，或其他组织为法律、行政法规规定代表单位行使职权的主要负责人，或自然人本人。</w:t>
      </w:r>
    </w:p>
    <w:p w14:paraId="6DD8547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2.5“电子签名”系指数据电文中以电子形式所含、所附用于识别签名人身份并表明签名人认可其中内容的数据；“公章”系指单位法定名称章。</w:t>
      </w:r>
    </w:p>
    <w:p w14:paraId="1F3FCF4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2.6“电子交易平台”是指本项目政府采购活动所依托的政府采购云平台（https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w:t>
      </w:r>
    </w:p>
    <w:p w14:paraId="1F23042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 “▲” 系指实质性要求条款，“</w:t>
      </w:r>
      <w:r>
        <w:rPr>
          <w:rFonts w:hint="eastAsia" w:ascii="宋体" w:hAnsi="宋体" w:eastAsia="宋体" w:cs="宋体"/>
          <w:color w:val="auto"/>
          <w:kern w:val="0"/>
          <w:sz w:val="21"/>
          <w:szCs w:val="21"/>
          <w:highlight w:val="none"/>
        </w:rPr>
        <w:sym w:font="Wingdings" w:char="F0FE"/>
      </w:r>
      <w:r>
        <w:rPr>
          <w:rFonts w:hint="eastAsia" w:asciiTheme="minorEastAsia" w:hAnsiTheme="minorEastAsia" w:eastAsiaTheme="minorEastAsia" w:cstheme="minorEastAsia"/>
          <w:color w:val="auto"/>
          <w:sz w:val="21"/>
          <w:szCs w:val="21"/>
          <w:highlight w:val="none"/>
        </w:rPr>
        <w:t>” 系指适用本项目的要求，“</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系指不适用本项目的要求。</w:t>
      </w:r>
    </w:p>
    <w:p w14:paraId="669A457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采购项目需要落实的政府采购政策</w:t>
      </w:r>
    </w:p>
    <w:p w14:paraId="07BB981C">
      <w:pPr>
        <w:numPr>
          <w:ilvl w:val="1"/>
          <w:numId w:val="2"/>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本项目不允许采购进口产品。</w:t>
      </w:r>
    </w:p>
    <w:p w14:paraId="0F7D7B30">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支持绿色发展</w:t>
      </w:r>
    </w:p>
    <w:p w14:paraId="71852EC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3.3支持中小企业发展</w:t>
      </w:r>
    </w:p>
    <w:p w14:paraId="3FE0154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9B46E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3154C32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3.3.2</w:t>
      </w:r>
      <w:r>
        <w:rPr>
          <w:rFonts w:hint="eastAsia" w:asciiTheme="minorEastAsia" w:hAnsiTheme="minorEastAsia" w:eastAsiaTheme="minorEastAsia" w:cstheme="minorEastAsia"/>
          <w:color w:val="auto"/>
          <w:kern w:val="0"/>
          <w:sz w:val="21"/>
          <w:szCs w:val="21"/>
          <w:highlight w:val="none"/>
        </w:rPr>
        <w:t>在政府采购活动中，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提供的货物、工程或者服务符合下列情形的，享受中小企业扶持政策：</w:t>
      </w:r>
    </w:p>
    <w:p w14:paraId="46C5C30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3.3.2.1在货物采购项目中，货物由中小企业制造，即货物由中小企业生产且使用该中小企业商号或者注册商标；</w:t>
      </w:r>
    </w:p>
    <w:p w14:paraId="22650F4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3.3.2.2在工程采购项目中，工程由中小企业承建，即工程施工单位为中小企业；</w:t>
      </w:r>
    </w:p>
    <w:p w14:paraId="30ABDD1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3.3.2.3在服务采购项目中，服务由中小企业承接，即提供服务的人员为中小企业依照《中华人民共和国劳动合同法》订立劳动合同的从业人员。</w:t>
      </w:r>
    </w:p>
    <w:p w14:paraId="20B87E0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在货物采购项目中，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提供的货物既有中小企业制造货物，也有大型企业制造货物的，不享受中小企业扶持政策。</w:t>
      </w:r>
    </w:p>
    <w:p w14:paraId="538175D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76743BC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%（工程项目为 2%）的扣除，用扣除后的价格参加评审。组成联合体或者接受分包的小微企业与联合体内其他企业、分包企业之间存在直接控股、管理关系的，不享受价格扣除优惠政策。</w:t>
      </w:r>
    </w:p>
    <w:p w14:paraId="60CE4DF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3.3.4符合《关于促进残疾人就业政府采购政策的通知》（财库〔2017〕141号）规定的条件并提供《残疾人福利性单位声明函》的残疾人福利性单位视同小型、微型企业；</w:t>
      </w:r>
    </w:p>
    <w:p w14:paraId="74DF7A6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C8E48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3.3.6可享受中小企业扶持政策的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文件格式要求提供《中小企业声明函》，</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提供的《中小企业声明函》与实际情况不符的，不享受中小企业扶持政策。声明内容不实的，属于提供虚假材料谋取中标、成交的，依法承担法律责任。</w:t>
      </w:r>
    </w:p>
    <w:p w14:paraId="294E5E3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3.3.7中小企业享受扶持政策获得政府采购合同的，小微企业不得将合同分包给大中型企业，中型企业不得将合同分包给大型企业。</w:t>
      </w:r>
    </w:p>
    <w:p w14:paraId="1DEC69B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特别说明</w:t>
      </w:r>
    </w:p>
    <w:p w14:paraId="37812DDB">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关于分公司</w:t>
      </w:r>
      <w:r>
        <w:rPr>
          <w:rFonts w:hint="eastAsia" w:asciiTheme="minorEastAsia" w:hAnsiTheme="minorEastAsia" w:eastAsiaTheme="minorEastAsia" w:cstheme="minorEastAsia"/>
          <w:color w:val="auto"/>
          <w:sz w:val="21"/>
          <w:szCs w:val="21"/>
          <w:highlight w:val="none"/>
          <w:lang w:eastAsia="zh-CN"/>
        </w:rPr>
        <w:t>磋商响应</w:t>
      </w:r>
    </w:p>
    <w:p w14:paraId="587CABA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 xml:space="preserve">法人身份参加。 </w:t>
      </w:r>
    </w:p>
    <w:p w14:paraId="4CBBF24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4.2关于知识产权</w:t>
      </w:r>
    </w:p>
    <w:p w14:paraId="5F9EF2E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必须保证，采购人在中华人民共和国境内使用</w:t>
      </w:r>
      <w:r>
        <w:rPr>
          <w:rFonts w:hint="eastAsia" w:asciiTheme="minorEastAsia" w:hAnsiTheme="minorEastAsia" w:eastAsiaTheme="minorEastAsia" w:cstheme="minorEastAsia"/>
          <w:color w:val="auto"/>
          <w:sz w:val="21"/>
          <w:szCs w:val="21"/>
          <w:highlight w:val="none"/>
          <w:lang w:eastAsia="zh-CN"/>
        </w:rPr>
        <w:t>磋商响应</w:t>
      </w:r>
      <w:r>
        <w:rPr>
          <w:rFonts w:hint="eastAsia" w:asciiTheme="minorEastAsia" w:hAnsiTheme="minorEastAsia" w:eastAsiaTheme="minorEastAsia" w:cstheme="minorEastAsia"/>
          <w:color w:val="auto"/>
          <w:sz w:val="21"/>
          <w:szCs w:val="21"/>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w:t>
      </w:r>
    </w:p>
    <w:p w14:paraId="035C61B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报价应包含所有应向所有权人支付的专利权、商标权或其它知识产权的一切相关费用。</w:t>
      </w:r>
    </w:p>
    <w:p w14:paraId="40E5DD9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承担所有责任及费用。</w:t>
      </w:r>
    </w:p>
    <w:p w14:paraId="1D62552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的风险</w:t>
      </w:r>
    </w:p>
    <w:p w14:paraId="10E8EFA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应详细阅读</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中的全部内容和要求，按照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的要求提交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文件，没有按照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要求提供</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文件和资料导致的风险由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承担,并对所提供的全部资料的真实性承担法律责任。</w:t>
      </w:r>
    </w:p>
    <w:p w14:paraId="4AAE181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无论因何种原因导致本次采购活动终止致</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损失的，相关责任人均不承担任何责任。</w:t>
      </w:r>
    </w:p>
    <w:p w14:paraId="6099B55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询问、质疑、投诉</w:t>
      </w:r>
    </w:p>
    <w:p w14:paraId="2D7EA811">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.1供应商询问</w:t>
      </w:r>
    </w:p>
    <w:p w14:paraId="27C5674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05CAD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.2供应商质疑</w:t>
      </w:r>
    </w:p>
    <w:p w14:paraId="513DE4C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文件的，可以对该文件提出质疑。</w:t>
      </w:r>
    </w:p>
    <w:p w14:paraId="69FFCDC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.2供应商认为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提出质疑，否则，采购人或者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不予受理：</w:t>
      </w:r>
    </w:p>
    <w:p w14:paraId="5F45F63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5.2.2.1对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文件提出质疑的，质疑期限为供应商获得</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文件之日或者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文件公告期限届满之日起计算。</w:t>
      </w:r>
    </w:p>
    <w:p w14:paraId="557C488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5.2.2.2对采购过程提出质疑的，质疑期限为各采购程序环节结束之日起计算。</w:t>
      </w:r>
    </w:p>
    <w:p w14:paraId="718E627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5.2.2.3对采购结果提出质疑的，质疑期限自采购结果公告期限届满之日起计算。</w:t>
      </w:r>
    </w:p>
    <w:p w14:paraId="5F2DA76A">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5.2.2.4对同一采购程序环节的质疑，供应商须一次性提出。</w:t>
      </w:r>
    </w:p>
    <w:p w14:paraId="2D801B9D">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w:t>
      </w:r>
      <w:r>
        <w:rPr>
          <w:rFonts w:hint="eastAsia" w:asciiTheme="minorEastAsia" w:hAnsiTheme="minorEastAsia" w:eastAsiaTheme="minorEastAsia" w:cstheme="minorEastAsia"/>
          <w:color w:val="auto"/>
          <w:sz w:val="21"/>
          <w:szCs w:val="21"/>
          <w:highlight w:val="none"/>
          <w:lang w:val="en-US" w:eastAsia="zh-CN"/>
        </w:rPr>
        <w:t>供应商提出质疑应当提交质疑函和必要的证明材料。质疑函应当包括下列内容：</w:t>
      </w:r>
    </w:p>
    <w:p w14:paraId="3681AA5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.2.3.1供应商的姓名或者名称、地址、邮编、联系人及联系电话；</w:t>
      </w:r>
    </w:p>
    <w:p w14:paraId="7E430F5B">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.2.3.2质疑项目的名称、编号；</w:t>
      </w:r>
    </w:p>
    <w:p w14:paraId="6F342FE0">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.2.3.3具体、明确的质疑事项和与质疑事项相关的请求；</w:t>
      </w:r>
    </w:p>
    <w:p w14:paraId="23AD0E1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.2.3.4事实依据；</w:t>
      </w:r>
    </w:p>
    <w:p w14:paraId="2B7D5982">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.2.3.5必要的法律依据；</w:t>
      </w:r>
    </w:p>
    <w:p w14:paraId="7EEB2E0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.2.3.6提出质疑的日期。</w:t>
      </w:r>
    </w:p>
    <w:p w14:paraId="4EB4F73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5.2.3.7对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文件提出质疑的需要提供在政采云平台获取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文件的截图。</w:t>
      </w:r>
    </w:p>
    <w:p w14:paraId="2BBF7C3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6E45BB28">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质疑函范本请到浙江政府采购网下载专区下载。</w:t>
      </w:r>
    </w:p>
    <w:p w14:paraId="5680C21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.4采购人或者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7E35DBAD">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.5询问或者质疑事项可能影响采购结果的，采购人应当暂停签订合同，已经签订合同的，应当中止履行合同。</w:t>
      </w:r>
    </w:p>
    <w:p w14:paraId="5C593ED3">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.3供应商投诉</w:t>
      </w:r>
    </w:p>
    <w:p w14:paraId="1834B6D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5.3.1质疑供应商对采购人、采购代理机构的答复不满意或者采购人、采购代理机构未在规定的时间内作出答复的，可以在答复期满后十五个工作日内向同级政府采购监督管理部门提出投诉。</w:t>
      </w:r>
    </w:p>
    <w:p w14:paraId="07CCA5B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供应商投诉的事项不得超出已质疑事项的范围，基于质疑答复内容提出的投诉事项除外。</w:t>
      </w:r>
    </w:p>
    <w:p w14:paraId="4082198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5.3.3供应商投诉应当有明确的请求和必要的证明材料。</w:t>
      </w:r>
    </w:p>
    <w:p w14:paraId="2A6DE45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 以联合体形式参加政府采购活动的，其投诉应当由组成联合体的所有供应商共同提出。</w:t>
      </w:r>
    </w:p>
    <w:p w14:paraId="33808F3A">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5.3.5投诉人对集团纪检部门的投诉处理决定不服或集团纪检部门逾期未作处理的，可以向区国资管理中心反映。供应商或相关厉害关系人在采购过程中发现涉及违法违纪行为或造成国有资产损失的，可以向纪检监察部门和区国资管理中心反映。举报违法行为，应提供有效线索和证明材料。 </w:t>
      </w:r>
    </w:p>
    <w:p w14:paraId="3E4E9C3C">
      <w:pPr>
        <w:adjustRightInd/>
        <w:spacing w:line="360" w:lineRule="auto"/>
        <w:ind w:firstLine="420" w:firstLineChars="200"/>
        <w:jc w:val="both"/>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color w:val="auto"/>
          <w:sz w:val="21"/>
          <w:szCs w:val="21"/>
          <w:highlight w:val="none"/>
          <w:lang w:val="en-US" w:eastAsia="zh-CN"/>
        </w:rPr>
        <w:t>投诉书范本请到浙江企业采购信息服务网下载专区下载。</w:t>
      </w:r>
      <w:r>
        <w:rPr>
          <w:rFonts w:hint="eastAsia" w:asciiTheme="minorEastAsia" w:hAnsiTheme="minorEastAsia" w:eastAsiaTheme="minorEastAsia" w:cstheme="minorEastAsia"/>
          <w:b/>
          <w:color w:val="auto"/>
          <w:sz w:val="32"/>
          <w:szCs w:val="20"/>
          <w:highlight w:val="none"/>
        </w:rPr>
        <w:t xml:space="preserve">      </w:t>
      </w:r>
    </w:p>
    <w:p w14:paraId="30B681FA">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7B837283">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竞争性磋商</w:t>
      </w:r>
      <w:r>
        <w:rPr>
          <w:rFonts w:hint="eastAsia" w:asciiTheme="minorEastAsia" w:hAnsiTheme="minorEastAsia" w:eastAsiaTheme="minorEastAsia" w:cstheme="minorEastAsia"/>
          <w:b/>
          <w:color w:val="auto"/>
          <w:sz w:val="32"/>
          <w:szCs w:val="20"/>
          <w:highlight w:val="none"/>
        </w:rPr>
        <w:t>文件的构成、澄清、修改</w:t>
      </w:r>
    </w:p>
    <w:p w14:paraId="741E852A">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文件的构成</w:t>
      </w:r>
    </w:p>
    <w:p w14:paraId="62C1A6EC">
      <w:pPr>
        <w:pStyle w:val="12"/>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文件包括下列文件及附件：</w:t>
      </w:r>
    </w:p>
    <w:p w14:paraId="6CDD53AE">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6.1.1 竞争性磋商公告；</w:t>
      </w:r>
    </w:p>
    <w:p w14:paraId="494C5C62">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6.1.2 </w:t>
      </w:r>
      <w:r>
        <w:rPr>
          <w:rFonts w:hint="eastAsia" w:asciiTheme="minorEastAsia" w:hAnsiTheme="minorEastAsia" w:eastAsiaTheme="minorEastAsia" w:cstheme="minorEastAsia"/>
          <w:color w:val="auto"/>
          <w:sz w:val="21"/>
          <w:szCs w:val="21"/>
          <w:highlight w:val="none"/>
          <w:lang w:val="zh-CN" w:eastAsia="zh-CN"/>
        </w:rPr>
        <w:t>响应</w:t>
      </w:r>
      <w:r>
        <w:rPr>
          <w:rFonts w:hint="eastAsia" w:asciiTheme="minorEastAsia" w:hAnsiTheme="minorEastAsia" w:eastAsiaTheme="minorEastAsia" w:cstheme="minorEastAsia"/>
          <w:color w:val="auto"/>
          <w:sz w:val="21"/>
          <w:szCs w:val="21"/>
          <w:highlight w:val="none"/>
          <w:lang w:val="en-US" w:eastAsia="zh-CN"/>
        </w:rPr>
        <w:t>须知；</w:t>
      </w:r>
    </w:p>
    <w:p w14:paraId="493B4356">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6.1.3 采购需求；</w:t>
      </w:r>
    </w:p>
    <w:p w14:paraId="013933A8">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6.1.4 评审办法；</w:t>
      </w:r>
    </w:p>
    <w:p w14:paraId="05AFDC33">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6.1.5 拟签订的合同文本；</w:t>
      </w:r>
    </w:p>
    <w:p w14:paraId="1EFEF640">
      <w:pPr>
        <w:pStyle w:val="12"/>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6.1.6 应提交的有关格式范例。</w:t>
      </w:r>
    </w:p>
    <w:p w14:paraId="6105B94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.2与本项目有关的</w:t>
      </w:r>
      <w:r>
        <w:rPr>
          <w:rFonts w:hint="eastAsia" w:asciiTheme="minorEastAsia" w:hAnsiTheme="minorEastAsia" w:eastAsiaTheme="minorEastAsia" w:cstheme="minorEastAsia"/>
          <w:bCs/>
          <w:color w:val="auto"/>
          <w:sz w:val="21"/>
          <w:szCs w:val="21"/>
          <w:highlight w:val="none"/>
        </w:rPr>
        <w:t>澄清或者修改的内容为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bCs/>
          <w:color w:val="auto"/>
          <w:sz w:val="21"/>
          <w:szCs w:val="21"/>
          <w:highlight w:val="none"/>
        </w:rPr>
        <w:t>文件的组成部分</w:t>
      </w:r>
      <w:r>
        <w:rPr>
          <w:rFonts w:hint="eastAsia" w:asciiTheme="minorEastAsia" w:hAnsiTheme="minorEastAsia" w:eastAsiaTheme="minorEastAsia" w:cstheme="minorEastAsia"/>
          <w:color w:val="auto"/>
          <w:sz w:val="21"/>
          <w:szCs w:val="21"/>
          <w:highlight w:val="none"/>
        </w:rPr>
        <w:t>。</w:t>
      </w:r>
    </w:p>
    <w:p w14:paraId="33F632A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文件的澄清、修改</w:t>
      </w:r>
    </w:p>
    <w:p w14:paraId="6B12C82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 采购人对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14:paraId="7BF0688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 更正公告为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文件的收受人，不再采用其它方式传达相关信息, 若因未能及时了解到上述网站上发布的相关信息而导致的一切后果自行承担。</w:t>
      </w:r>
    </w:p>
    <w:p w14:paraId="429AC36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 如更正公告有重新发布电子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应下载最新发布的电子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文件制作响应文件。</w:t>
      </w:r>
    </w:p>
    <w:p w14:paraId="57CA9285">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7.4 已获取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文件的潜在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在规定的时间内未对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w:t>
      </w:r>
    </w:p>
    <w:p w14:paraId="7274C321">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w:t>
      </w:r>
      <w:r>
        <w:rPr>
          <w:rFonts w:hint="eastAsia" w:asciiTheme="minorEastAsia" w:hAnsiTheme="minorEastAsia" w:eastAsiaTheme="minorEastAsia" w:cstheme="minorEastAsia"/>
          <w:b/>
          <w:color w:val="auto"/>
          <w:sz w:val="30"/>
          <w:szCs w:val="20"/>
          <w:highlight w:val="none"/>
          <w:lang w:eastAsia="zh-CN"/>
        </w:rPr>
        <w:t>响应</w:t>
      </w:r>
    </w:p>
    <w:p w14:paraId="46BAD0E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文件的语言</w:t>
      </w:r>
    </w:p>
    <w:p w14:paraId="0656CB7F">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与采购有关的来往通知、函件和文件均应使用中文。</w:t>
      </w:r>
    </w:p>
    <w:p w14:paraId="64B06CC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文件的组成</w:t>
      </w:r>
    </w:p>
    <w:p w14:paraId="0A31B0F9">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资格文件：</w:t>
      </w:r>
    </w:p>
    <w:p w14:paraId="71ED320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9.1.1有效的企业法人营业执照（或事业法人登记证）、其他组织（个体工商户）的营业执照或者民办非企业单位登记证书；</w:t>
      </w:r>
    </w:p>
    <w:p w14:paraId="123F7B1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9.1.2符合参加政府采购活动应当具备的一般条件的承诺函(格式见第六部分)；</w:t>
      </w:r>
    </w:p>
    <w:p w14:paraId="4FB602C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9.1.3落实政府采购政策需满足的资格要求（如适用）；</w:t>
      </w:r>
    </w:p>
    <w:p w14:paraId="1F060D6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9.1.4本项目的特定资格要求。</w:t>
      </w:r>
    </w:p>
    <w:p w14:paraId="661C2158">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9.1.5其他资料（如有）</w:t>
      </w:r>
    </w:p>
    <w:p w14:paraId="28C92110">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商务技术</w:t>
      </w:r>
      <w:r>
        <w:rPr>
          <w:rFonts w:hint="eastAsia" w:asciiTheme="minorEastAsia" w:hAnsiTheme="minorEastAsia" w:eastAsiaTheme="minorEastAsia" w:cstheme="minorEastAsia"/>
          <w:b/>
          <w:bCs/>
          <w:color w:val="auto"/>
          <w:sz w:val="21"/>
          <w:szCs w:val="21"/>
          <w:highlight w:val="none"/>
          <w:lang w:val="zh-CN" w:eastAsia="zh-CN"/>
        </w:rPr>
        <w:t>文件：</w:t>
      </w:r>
    </w:p>
    <w:p w14:paraId="0D3726C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 评分索引表；</w:t>
      </w:r>
    </w:p>
    <w:p w14:paraId="707B238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9.2.2符合性自查表；</w:t>
      </w:r>
    </w:p>
    <w:p w14:paraId="5A89A7B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9.2.3 磋商函；</w:t>
      </w:r>
      <w:r>
        <w:rPr>
          <w:rFonts w:hint="eastAsia" w:asciiTheme="minorEastAsia" w:hAnsiTheme="minorEastAsia" w:eastAsiaTheme="minorEastAsia" w:cstheme="minorEastAsia"/>
          <w:color w:val="auto"/>
          <w:sz w:val="21"/>
          <w:szCs w:val="21"/>
          <w:highlight w:val="none"/>
          <w:lang w:val="zh-CN" w:eastAsia="zh-CN"/>
        </w:rPr>
        <w:t xml:space="preserve"> </w:t>
      </w:r>
    </w:p>
    <w:p w14:paraId="7FFBDCC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9.2.4 授权委托书或法定代表人（单位负责人、自然人本人）身份证明；</w:t>
      </w:r>
    </w:p>
    <w:p w14:paraId="02857E5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9.2.5 供应商情况表；</w:t>
      </w:r>
    </w:p>
    <w:p w14:paraId="106F812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9.2.6 距采购人最近或者能为本项目提供最优服务的网点情况表；</w:t>
      </w:r>
    </w:p>
    <w:p w14:paraId="6DAB32C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 评标标准相应的商务技术资料；</w:t>
      </w:r>
    </w:p>
    <w:p w14:paraId="0613E65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9.2.8 商务响应表；</w:t>
      </w:r>
    </w:p>
    <w:p w14:paraId="36B1F05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9.2.9 技术响应表；</w:t>
      </w:r>
    </w:p>
    <w:p w14:paraId="322F35C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9.2.10 同类业绩情况一览表；</w:t>
      </w:r>
    </w:p>
    <w:p w14:paraId="028F9F5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9.2.11</w:t>
      </w:r>
      <w:r>
        <w:rPr>
          <w:rFonts w:hint="eastAsia" w:asciiTheme="minorEastAsia" w:hAnsiTheme="minorEastAsia" w:eastAsiaTheme="minorEastAsia" w:cstheme="minorEastAsia"/>
          <w:color w:val="auto"/>
          <w:sz w:val="21"/>
          <w:szCs w:val="21"/>
          <w:highlight w:val="none"/>
          <w:lang w:val="zh-CN" w:eastAsia="zh-CN"/>
        </w:rPr>
        <w:t>政府采购供应商廉洁自律承诺书；</w:t>
      </w:r>
    </w:p>
    <w:p w14:paraId="7D74255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9.2.12其他资料（如有）。</w:t>
      </w:r>
    </w:p>
    <w:p w14:paraId="6350FFEF">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single"/>
          <w:lang w:val="zh-CN"/>
        </w:rPr>
      </w:pPr>
      <w:r>
        <w:rPr>
          <w:rFonts w:hint="eastAsia" w:asciiTheme="minorEastAsia" w:hAnsiTheme="minorEastAsia" w:eastAsiaTheme="minorEastAsia" w:cstheme="minorEastAsia"/>
          <w:b/>
          <w:bCs/>
          <w:color w:val="auto"/>
          <w:kern w:val="0"/>
          <w:sz w:val="21"/>
          <w:szCs w:val="21"/>
          <w:highlight w:val="none"/>
          <w:lang w:val="en-US" w:eastAsia="zh-CN"/>
        </w:rPr>
        <w:t>9</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kern w:val="0"/>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 xml:space="preserve">报价文件： </w:t>
      </w:r>
    </w:p>
    <w:p w14:paraId="5BE67A4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9.3.1 报价一览表；</w:t>
      </w:r>
    </w:p>
    <w:p w14:paraId="6E88D86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9.3.2 中小企业声明函（如有）；</w:t>
      </w:r>
    </w:p>
    <w:p w14:paraId="1D3E934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9.3.3残疾人福利性单位声明函（如有）；</w:t>
      </w:r>
    </w:p>
    <w:p w14:paraId="76593AD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9.3.4监狱企业的证明文件（如有）；</w:t>
      </w:r>
    </w:p>
    <w:p w14:paraId="5569377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9.3.5 政府采购统计基础信息表；</w:t>
      </w:r>
    </w:p>
    <w:p w14:paraId="0977357C">
      <w:pPr>
        <w:pStyle w:val="32"/>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9.3.6其他资料（如有）</w:t>
      </w:r>
    </w:p>
    <w:p w14:paraId="75FB25A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响应文件的编制</w:t>
      </w:r>
    </w:p>
    <w:p w14:paraId="4FA59DF8">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 w:val="21"/>
          <w:szCs w:val="21"/>
          <w:highlight w:val="none"/>
          <w:lang w:val="en-US" w:eastAsia="zh-CN"/>
        </w:rPr>
        <w:t>未有规定格式的资料，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1"/>
          <w:szCs w:val="21"/>
          <w:highlight w:val="none"/>
          <w:lang w:val="zh-CN"/>
        </w:rPr>
        <w:t>混乱的编排导致响应文件被误读或磋商小组查找不到有效文件是供应商的风险。</w:t>
      </w:r>
    </w:p>
    <w:p w14:paraId="7BA1DAC5">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.2供应商进行电子投标应安装客户端软件—“</w:t>
      </w:r>
      <w:r>
        <w:rPr>
          <w:rFonts w:hint="eastAsia" w:ascii="宋体" w:hAnsi="宋体" w:cs="宋体"/>
          <w:color w:val="auto"/>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w:t>
      </w:r>
      <w:r>
        <w:rPr>
          <w:rFonts w:hint="eastAsia" w:cs="仿宋" w:asciiTheme="majorEastAsia" w:hAnsiTheme="majorEastAsia" w:eastAsiaTheme="majorEastAsia"/>
          <w:kern w:val="0"/>
          <w:sz w:val="24"/>
          <w:lang w:val="zh-CN"/>
        </w:rPr>
        <w:t>（</w:t>
      </w:r>
      <w:r>
        <w:rPr>
          <w:rFonts w:hint="eastAsia" w:asciiTheme="minorEastAsia" w:hAnsiTheme="minorEastAsia" w:eastAsiaTheme="minorEastAsia" w:cstheme="minorEastAsia"/>
          <w:color w:val="auto"/>
          <w:kern w:val="0"/>
          <w:sz w:val="21"/>
          <w:szCs w:val="21"/>
          <w:highlight w:val="none"/>
          <w:lang w:val="en-US" w:eastAsia="zh-CN"/>
        </w:rPr>
        <w:t>下载地址：https://b.zhengcaiyun.cn/luban/category?parentId=550045&amp;childrenCode=qicaiCategory17&amp;utm=luban.luban-PC-39026.959-pc-websitegroup-navBar-front.8.ebdec73052c711ef9ade896d008b9248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kern w:val="0"/>
          <w:sz w:val="21"/>
          <w:szCs w:val="21"/>
          <w:highlight w:val="none"/>
          <w:lang w:val="zh-CN"/>
        </w:rPr>
        <w:t>）”，并按照竞争性磋商文件和电子交易平台的要求编制并加密响应文件。供应商未按规定加密的响应文件，电子交易平台将拒收并提示。</w:t>
      </w:r>
    </w:p>
    <w:p w14:paraId="365A4BFB">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.3使用“</w:t>
      </w:r>
      <w:r>
        <w:rPr>
          <w:rFonts w:hint="eastAsia" w:asciiTheme="minorEastAsia" w:hAnsiTheme="minorEastAsia" w:eastAsiaTheme="minorEastAsia" w:cstheme="minorEastAsia"/>
          <w:color w:val="auto"/>
          <w:kern w:val="0"/>
          <w:sz w:val="21"/>
          <w:szCs w:val="21"/>
          <w:highlight w:val="none"/>
          <w:lang w:val="en-US" w:eastAsia="zh-CN"/>
        </w:rPr>
        <w:t>乐</w:t>
      </w:r>
      <w:r>
        <w:rPr>
          <w:rFonts w:hint="eastAsia" w:asciiTheme="minorEastAsia" w:hAnsiTheme="minorEastAsia" w:eastAsiaTheme="minorEastAsia" w:cstheme="minorEastAsia"/>
          <w:color w:val="auto"/>
          <w:kern w:val="0"/>
          <w:sz w:val="21"/>
          <w:szCs w:val="21"/>
          <w:highlight w:val="none"/>
          <w:lang w:val="zh-CN"/>
        </w:rPr>
        <w:t>采云电子交易客户端”需要提前申领CA数字证书，申领流程请自行前往“浙江</w:t>
      </w:r>
      <w:r>
        <w:rPr>
          <w:rFonts w:hint="eastAsia" w:asciiTheme="minorEastAsia" w:hAnsiTheme="minorEastAsia" w:eastAsiaTheme="minorEastAsia" w:cstheme="minorEastAsia"/>
          <w:color w:val="auto"/>
          <w:kern w:val="0"/>
          <w:sz w:val="21"/>
          <w:szCs w:val="21"/>
          <w:highlight w:val="none"/>
          <w:lang w:val="en-US" w:eastAsia="zh-CN"/>
        </w:rPr>
        <w:t>企业</w:t>
      </w:r>
      <w:r>
        <w:rPr>
          <w:rFonts w:hint="eastAsia" w:asciiTheme="minorEastAsia" w:hAnsiTheme="minorEastAsia" w:eastAsiaTheme="minorEastAsia" w:cstheme="minorEastAsia"/>
          <w:color w:val="auto"/>
          <w:kern w:val="0"/>
          <w:sz w:val="21"/>
          <w:szCs w:val="21"/>
          <w:highlight w:val="none"/>
          <w:lang w:val="zh-CN"/>
        </w:rPr>
        <w:t>采购</w:t>
      </w:r>
      <w:r>
        <w:rPr>
          <w:rFonts w:hint="eastAsia" w:asciiTheme="minorEastAsia" w:hAnsiTheme="minorEastAsia" w:eastAsiaTheme="minorEastAsia" w:cstheme="minorEastAsia"/>
          <w:color w:val="auto"/>
          <w:kern w:val="0"/>
          <w:sz w:val="21"/>
          <w:szCs w:val="21"/>
          <w:highlight w:val="none"/>
          <w:lang w:val="en-US" w:eastAsia="zh-CN"/>
        </w:rPr>
        <w:t>信息服务</w:t>
      </w:r>
      <w:r>
        <w:rPr>
          <w:rFonts w:hint="eastAsia" w:asciiTheme="minorEastAsia" w:hAnsiTheme="minorEastAsia" w:eastAsiaTheme="minorEastAsia" w:cstheme="minorEastAsia"/>
          <w:color w:val="auto"/>
          <w:kern w:val="0"/>
          <w:sz w:val="21"/>
          <w:szCs w:val="21"/>
          <w:highlight w:val="none"/>
          <w:lang w:val="zh-CN"/>
        </w:rPr>
        <w:t>网-下载专区-电子交易客户端-CA驱动和申领流程”进行查阅。</w:t>
      </w:r>
    </w:p>
    <w:p w14:paraId="5FD757E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文件的签署、盖章</w:t>
      </w:r>
    </w:p>
    <w:p w14:paraId="2836212B">
      <w:pPr>
        <w:pStyle w:val="51"/>
        <w:snapToGrid w:val="0"/>
        <w:spacing w:before="0" w:line="360" w:lineRule="auto"/>
        <w:ind w:firstLine="48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文件第六部分格式要求进行签署、盖章。</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文件未按照</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文件要求签署、盖章的，其</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r>
        <w:rPr>
          <w:rFonts w:hint="eastAsia" w:asciiTheme="minorEastAsia" w:hAnsiTheme="minorEastAsia" w:eastAsiaTheme="minorEastAsia" w:cstheme="minorEastAsia"/>
          <w:color w:val="auto"/>
          <w:sz w:val="21"/>
          <w:szCs w:val="21"/>
          <w:highlight w:val="none"/>
        </w:rPr>
        <w:t>。</w:t>
      </w:r>
    </w:p>
    <w:p w14:paraId="10F5A4CD">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截止时间前完成在“政府采购云平台”的身份认证，确保在电子投标过程中能够对相关数据电文进行加密和使用电子签名。</w:t>
      </w:r>
    </w:p>
    <w:p w14:paraId="0EF94A25">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文件签署、盖章的要求适用于电子签名。</w:t>
      </w:r>
    </w:p>
    <w:p w14:paraId="2FACE19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响应文件的提交、补充、修改、撤回</w:t>
      </w:r>
    </w:p>
    <w:p w14:paraId="2F3562B0">
      <w:pPr>
        <w:pStyle w:val="51"/>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供应商应当在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文件的传输递交，并可以补充、修改或者撤回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文件。补充或者修改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截止时间前未完成传输的，视为撤回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截止时间后递交的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文件，电子交易平台将拒收。</w:t>
      </w:r>
    </w:p>
    <w:p w14:paraId="5D9C748C">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.2电子交易平台收到</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文件，将妥善保存并即时向供应商发出确认回执通知。在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截止时间前，除供应商补充、修改或者撤回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文件外，任何单位和个人不得解密或提取</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14:paraId="6E66589A">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可以视情况延长</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文件提交的截止时间。在上述情况下，</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截止期方面的全部权利、责任和义务，将适用于延长至新的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w:t>
      </w:r>
    </w:p>
    <w:p w14:paraId="396AFC5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响应有效期</w:t>
      </w:r>
    </w:p>
    <w:p w14:paraId="2A4A1BE1">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有效期为从提交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文件的截止之日起90天。▲</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文件中承诺的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有效期少于</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文件中载明的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p>
    <w:p w14:paraId="3C9A92B4">
      <w:pPr>
        <w:pStyle w:val="51"/>
        <w:spacing w:before="0" w:line="360" w:lineRule="auto"/>
        <w:ind w:firstLine="643"/>
        <w:rPr>
          <w:rFonts w:hint="eastAsia" w:asciiTheme="minorEastAsia" w:hAnsiTheme="minorEastAsia" w:eastAsiaTheme="minorEastAsia" w:cstheme="minorEastAsia"/>
          <w:b/>
          <w:color w:val="auto"/>
          <w:sz w:val="32"/>
          <w:highlight w:val="none"/>
        </w:rPr>
      </w:pPr>
    </w:p>
    <w:p w14:paraId="7D4FE6D5">
      <w:pPr>
        <w:pStyle w:val="51"/>
        <w:spacing w:before="0" w:line="360" w:lineRule="auto"/>
        <w:ind w:left="0" w:leftChars="0"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w:t>
      </w:r>
      <w:r>
        <w:rPr>
          <w:rFonts w:hint="eastAsia" w:asciiTheme="minorEastAsia" w:hAnsiTheme="minorEastAsia" w:eastAsiaTheme="minorEastAsia" w:cstheme="minorEastAsia"/>
          <w:b/>
          <w:color w:val="auto"/>
          <w:sz w:val="32"/>
          <w:highlight w:val="none"/>
          <w:lang w:eastAsia="zh-CN"/>
        </w:rPr>
        <w:t>响应文件开启</w:t>
      </w:r>
      <w:r>
        <w:rPr>
          <w:rFonts w:hint="eastAsia" w:asciiTheme="minorEastAsia" w:hAnsiTheme="minorEastAsia" w:eastAsiaTheme="minorEastAsia" w:cstheme="minorEastAsia"/>
          <w:b/>
          <w:color w:val="auto"/>
          <w:sz w:val="32"/>
          <w:highlight w:val="none"/>
        </w:rPr>
        <w:t>、资格审查与信用信息查询</w:t>
      </w:r>
    </w:p>
    <w:p w14:paraId="6743CDE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响应文件开启 </w:t>
      </w:r>
    </w:p>
    <w:p w14:paraId="1413595C">
      <w:pPr>
        <w:pStyle w:val="46"/>
        <w:spacing w:before="0" w:line="360" w:lineRule="auto"/>
        <w:ind w:left="0"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文件规定的时间通过电子交易平台组织</w:t>
      </w:r>
      <w:r>
        <w:rPr>
          <w:rFonts w:hint="eastAsia" w:asciiTheme="minorEastAsia" w:hAnsiTheme="minorEastAsia" w:eastAsiaTheme="minorEastAsia" w:cstheme="minorEastAsia"/>
          <w:color w:val="auto"/>
          <w:sz w:val="21"/>
          <w:szCs w:val="21"/>
          <w:highlight w:val="none"/>
          <w:lang w:val="en-US" w:eastAsia="zh-CN"/>
        </w:rPr>
        <w:t>响应文件开启</w:t>
      </w: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w:t>
      </w:r>
    </w:p>
    <w:p w14:paraId="7B9007C4">
      <w:pPr>
        <w:pStyle w:val="46"/>
        <w:spacing w:before="0" w:line="360" w:lineRule="auto"/>
        <w:ind w:left="0" w:firstLine="210" w:firstLineChars="1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时，电子交易平台按</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sz w:val="21"/>
          <w:szCs w:val="21"/>
          <w:highlight w:val="none"/>
        </w:rPr>
        <w:t>时间自动提取所有</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依托电子交易平台发起开始解密指令，</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文件的规定在半小时内完成在线解密。</w:t>
      </w:r>
    </w:p>
    <w:p w14:paraId="74EC77E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资格审查</w:t>
      </w:r>
    </w:p>
    <w:p w14:paraId="06B4B17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kern w:val="0"/>
          <w:sz w:val="21"/>
          <w:szCs w:val="21"/>
          <w:highlight w:val="none"/>
        </w:rPr>
        <w:t>后，采购人或</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依据法律法规和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文件的规定，对</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的资格条件进行审查。</w:t>
      </w:r>
    </w:p>
    <w:p w14:paraId="0CEBBDE4">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对未通过资格审查的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，采购人或</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告知其未通过的原因。</w:t>
      </w:r>
    </w:p>
    <w:p w14:paraId="04E5E4DA">
      <w:pPr>
        <w:pStyle w:val="51"/>
        <w:spacing w:before="0" w:line="360" w:lineRule="auto"/>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合格</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不足3家的，不再</w:t>
      </w:r>
      <w:r>
        <w:rPr>
          <w:rFonts w:hint="eastAsia" w:asciiTheme="minorEastAsia" w:hAnsiTheme="minorEastAsia" w:eastAsiaTheme="minorEastAsia" w:cstheme="minorEastAsia"/>
          <w:color w:val="auto"/>
          <w:sz w:val="21"/>
          <w:szCs w:val="21"/>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14:paraId="20CD869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信用信息查询</w:t>
      </w:r>
    </w:p>
    <w:p w14:paraId="08F2EB84">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.1信用信息查询渠道及截止时间：</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1"/>
          <w:szCs w:val="21"/>
          <w:highlight w:val="none"/>
          <w:lang w:eastAsia="zh-CN"/>
        </w:rPr>
        <w:t>供应商响应</w:t>
      </w:r>
      <w:r>
        <w:rPr>
          <w:rFonts w:hint="eastAsia" w:asciiTheme="minorEastAsia" w:hAnsiTheme="minorEastAsia" w:eastAsiaTheme="minorEastAsia" w:cstheme="minorEastAsia"/>
          <w:color w:val="auto"/>
          <w:kern w:val="0"/>
          <w:sz w:val="21"/>
          <w:szCs w:val="21"/>
          <w:highlight w:val="none"/>
        </w:rPr>
        <w:t>截止时间当天的信用记录。</w:t>
      </w:r>
    </w:p>
    <w:p w14:paraId="633E317B">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将被拒绝参与政府采购活动。</w:t>
      </w:r>
    </w:p>
    <w:p w14:paraId="1C4A81BA">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五、评</w:t>
      </w:r>
      <w:r>
        <w:rPr>
          <w:rFonts w:hint="eastAsia" w:asciiTheme="minorEastAsia" w:hAnsiTheme="minorEastAsia" w:eastAsiaTheme="minorEastAsia" w:cstheme="minorEastAsia"/>
          <w:b/>
          <w:color w:val="auto"/>
          <w:sz w:val="36"/>
          <w:szCs w:val="36"/>
          <w:highlight w:val="none"/>
          <w:lang w:eastAsia="zh-CN"/>
        </w:rPr>
        <w:t>审</w:t>
      </w:r>
    </w:p>
    <w:p w14:paraId="307F2CC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4" w:name="_Toc91899903"/>
      <w:r>
        <w:rPr>
          <w:rFonts w:hint="eastAsia" w:asciiTheme="minorEastAsia" w:hAnsiTheme="minorEastAsia" w:eastAsiaTheme="minorEastAsia" w:cstheme="minorEastAsia"/>
          <w:b/>
          <w:color w:val="auto"/>
          <w:sz w:val="21"/>
          <w:szCs w:val="21"/>
          <w:highlight w:val="none"/>
          <w:lang w:val="en-US" w:eastAsia="zh-CN"/>
        </w:rPr>
        <w:t>磋商小组</w:t>
      </w:r>
    </w:p>
    <w:p w14:paraId="57EFF40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17.1 本次采购依法组建磋商小组。磋商小组由采购人代表和评审专家组成，评审专家从专家库随机抽取。</w:t>
      </w:r>
    </w:p>
    <w:p w14:paraId="15F6878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4735169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 评审专家有下列情形之一的，受到邀请应主动提出回避，采购当事人也可以要求该评审专家回避：</w:t>
      </w:r>
    </w:p>
    <w:p w14:paraId="197F342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17.3.1 参加采购活动前三年内，与供应商存在劳动关系，或者担任过供应商的董事、监事，或者是供应商的控股股东或实际控制人；</w:t>
      </w:r>
    </w:p>
    <w:p w14:paraId="6B88D6D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17.3.2 与供应商的法定代表人或者负责人有夫妻、直系血亲、三代以内旁系血亲或者近姻亲关系；</w:t>
      </w:r>
    </w:p>
    <w:p w14:paraId="63D0AEC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17.3.3 任职单位与参加该采购项目供应商存在行政隶属关系；</w:t>
      </w:r>
    </w:p>
    <w:p w14:paraId="56230BD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17.3.4 曾经参加过该采购项目的进口产品或招标文件、采购需求、采购方式的论证和咨询服务工作；</w:t>
      </w:r>
    </w:p>
    <w:p w14:paraId="39F974ED">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17.3.5 是参加该采购项目供应商的上级主管部门、控股或参股单位的工作人员，或与该供应商存在其他经济利益关系；</w:t>
      </w:r>
    </w:p>
    <w:p w14:paraId="00747479">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17.3.6 评标委员会成员之间具有配偶、近亲属关系等；</w:t>
      </w:r>
    </w:p>
    <w:p w14:paraId="41603CA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17.3.7 法律、法规、规章规定应当回避以及其他可能影响政府采购活动公平、公正进行的关系。</w:t>
      </w:r>
    </w:p>
    <w:p w14:paraId="03EAA89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14:paraId="498423A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63B5A0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评标</w:t>
      </w:r>
    </w:p>
    <w:p w14:paraId="5B263E6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，按照评审因素的量化指标推荐综合得分排名第一的为中标候选人。</w:t>
      </w:r>
    </w:p>
    <w:p w14:paraId="17E6E07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为排名第一的中标候选人。</w:t>
      </w:r>
    </w:p>
    <w:p w14:paraId="175DCF8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详见招标文件第四部分评标办法。</w:t>
      </w:r>
    </w:p>
    <w:p w14:paraId="1658FC74">
      <w:pPr>
        <w:spacing w:line="360" w:lineRule="auto"/>
        <w:rPr>
          <w:rFonts w:hint="eastAsia" w:asciiTheme="minorEastAsia" w:hAnsiTheme="minorEastAsia" w:eastAsiaTheme="minorEastAsia" w:cstheme="minorEastAsia"/>
          <w:b/>
          <w:color w:val="auto"/>
          <w:sz w:val="24"/>
          <w:highlight w:val="none"/>
        </w:rPr>
      </w:pPr>
    </w:p>
    <w:p w14:paraId="65658F0E">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6D7C373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确定成交供应商</w:t>
      </w:r>
    </w:p>
    <w:p w14:paraId="5BC8192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color w:val="auto"/>
          <w:kern w:val="0"/>
          <w:sz w:val="21"/>
          <w:szCs w:val="21"/>
          <w:highlight w:val="none"/>
          <w:lang w:val="en-US" w:eastAsia="zh-CN"/>
        </w:rPr>
        <w:t>本项目由磋商小组直接</w:t>
      </w:r>
      <w:r>
        <w:rPr>
          <w:color w:val="auto"/>
          <w:kern w:val="0"/>
          <w:sz w:val="21"/>
          <w:szCs w:val="21"/>
          <w:highlight w:val="none"/>
        </w:rPr>
        <w:t>确定评审报告排序第一的供应商为成交供应商。</w:t>
      </w:r>
    </w:p>
    <w:p w14:paraId="10A5F81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成交通知与成交结果公告</w:t>
      </w:r>
    </w:p>
    <w:p w14:paraId="5E05ACB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14:paraId="0BF76138">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14:paraId="387C272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20.3公告期限为1个工作日。</w:t>
      </w:r>
    </w:p>
    <w:p w14:paraId="67AC361D">
      <w:pPr>
        <w:snapToGrid w:val="0"/>
        <w:spacing w:line="360" w:lineRule="auto"/>
        <w:jc w:val="both"/>
        <w:rPr>
          <w:rFonts w:hint="eastAsia" w:asciiTheme="minorEastAsia" w:hAnsiTheme="minorEastAsia" w:eastAsiaTheme="minorEastAsia" w:cstheme="minorEastAsia"/>
          <w:b/>
          <w:color w:val="auto"/>
          <w:sz w:val="32"/>
          <w:highlight w:val="none"/>
        </w:rPr>
      </w:pPr>
    </w:p>
    <w:p w14:paraId="6AE2CC8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317CE50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合同授予</w:t>
      </w:r>
    </w:p>
    <w:p w14:paraId="153BFC3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合同主要条款详见第五部分拟签订的合同文本。</w:t>
      </w:r>
    </w:p>
    <w:p w14:paraId="0C0511D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合同的签订</w:t>
      </w:r>
    </w:p>
    <w:p w14:paraId="5EB1D54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2B5905F6">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rPr>
        <w:t>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0E6E778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22.3如签订合同并生效后，供应商无故拒绝或延期，除按照合同条款处理外，列入不良行为记录名单，并给予通报。</w:t>
      </w:r>
    </w:p>
    <w:p w14:paraId="7283CA5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供应商拒绝与采购人签订合同的，列入不良行为记录名单，采购人、采购代理机构重新开展政府采购活动。</w:t>
      </w:r>
    </w:p>
    <w:p w14:paraId="47094F7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22.5采购合同由采购人与</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供应商根据竞争性磋商文件、响应文件等内容通过政府采购电子交易平台在线签订，自动备案。</w:t>
      </w:r>
    </w:p>
    <w:p w14:paraId="24A9DFDD">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2C11FA7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电子交易活动的中止</w:t>
      </w:r>
    </w:p>
    <w:p w14:paraId="528FFE0F">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可中止电子交易活动：</w:t>
      </w:r>
    </w:p>
    <w:p w14:paraId="601EBA6A">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.1电子交易平台发生故障而无法登录访问的； </w:t>
      </w:r>
    </w:p>
    <w:p w14:paraId="5FF369D2">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.2电子交易平台应用或数据库出现错误，不能进行正常操作的；</w:t>
      </w:r>
    </w:p>
    <w:p w14:paraId="148B650F">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.3电子交易平台发现严重安全漏洞，有潜在泄密危险的；</w:t>
      </w:r>
    </w:p>
    <w:p w14:paraId="02CAC55E">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.4病毒发作导致不能进行正常操作的； </w:t>
      </w:r>
    </w:p>
    <w:p w14:paraId="669F8AAD">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.5其他无法保证电子交易的公平、公正和安全的情况。</w:t>
      </w:r>
    </w:p>
    <w:p w14:paraId="6457B0B9">
      <w:pPr>
        <w:snapToGrid w:val="0"/>
        <w:spacing w:line="360" w:lineRule="auto"/>
        <w:jc w:val="both"/>
        <w:rPr>
          <w:rFonts w:hint="eastAsia" w:asciiTheme="minorEastAsia" w:hAnsiTheme="minorEastAsia" w:eastAsiaTheme="minorEastAsia" w:cstheme="minorEastAsia"/>
          <w:b/>
          <w:color w:val="auto"/>
          <w:sz w:val="32"/>
          <w:highlight w:val="none"/>
        </w:rPr>
      </w:pPr>
    </w:p>
    <w:p w14:paraId="2177444A">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3D77F5C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验收</w:t>
      </w:r>
    </w:p>
    <w:p w14:paraId="6EF25A45">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F35D7D">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严格按照采购合同开展履约验收。采购人成立验收小组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4BF1BC84">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督管理部门。</w:t>
      </w:r>
      <w:bookmarkEnd w:id="11"/>
      <w:bookmarkEnd w:id="12"/>
      <w:bookmarkEnd w:id="14"/>
      <w:bookmarkStart w:id="15" w:name="_Hlt74714665"/>
      <w:bookmarkEnd w:id="15"/>
      <w:bookmarkStart w:id="16" w:name="_Hlt68403820"/>
      <w:bookmarkEnd w:id="16"/>
      <w:bookmarkStart w:id="17" w:name="_Hlt75236011"/>
      <w:bookmarkEnd w:id="17"/>
      <w:bookmarkStart w:id="18" w:name="_Hlt74707468"/>
      <w:bookmarkEnd w:id="18"/>
      <w:bookmarkStart w:id="19" w:name="_Hlt75236290"/>
      <w:bookmarkEnd w:id="19"/>
      <w:bookmarkStart w:id="20" w:name="_Hlt74729768"/>
      <w:bookmarkEnd w:id="20"/>
      <w:bookmarkStart w:id="21" w:name="_Hlt68072990"/>
      <w:bookmarkEnd w:id="21"/>
      <w:bookmarkStart w:id="22" w:name="_Hlt74730295"/>
      <w:bookmarkEnd w:id="22"/>
      <w:bookmarkStart w:id="23" w:name="_Hlt68057669"/>
      <w:bookmarkEnd w:id="23"/>
      <w:bookmarkStart w:id="24" w:name="_Hlt68072998"/>
      <w:bookmarkEnd w:id="24"/>
      <w:bookmarkStart w:id="25" w:name="_Hlt75236101"/>
      <w:bookmarkEnd w:id="25"/>
      <w:bookmarkStart w:id="26" w:name="_Hlt68073093"/>
      <w:bookmarkEnd w:id="26"/>
    </w:p>
    <w:p w14:paraId="03587C7E">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p>
    <w:p w14:paraId="4DF657CF">
      <w:pPr>
        <w:tabs>
          <w:tab w:val="left" w:pos="0"/>
        </w:tabs>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051E322E">
      <w:pPr>
        <w:spacing w:before="156" w:beforeLines="50" w:line="360" w:lineRule="auto"/>
        <w:ind w:firstLine="422" w:firstLineChars="200"/>
        <w:rPr>
          <w:rFonts w:hint="default" w:ascii="宋体" w:hAnsi="宋体" w:cs="宋体"/>
          <w:b/>
          <w:color w:val="auto"/>
          <w:sz w:val="21"/>
          <w:szCs w:val="21"/>
          <w:highlight w:val="none"/>
          <w:lang w:val="en-US" w:eastAsia="zh-CN"/>
        </w:rPr>
      </w:pPr>
      <w:bookmarkStart w:id="27" w:name="_Hlk128151554"/>
      <w:r>
        <w:rPr>
          <w:rFonts w:hint="eastAsia" w:ascii="宋体" w:hAnsi="宋体" w:cs="宋体"/>
          <w:b/>
          <w:color w:val="auto"/>
          <w:sz w:val="21"/>
          <w:szCs w:val="21"/>
          <w:highlight w:val="none"/>
          <w:lang w:val="en-US" w:eastAsia="zh-CN"/>
        </w:rPr>
        <w:t>（一）采购范围</w:t>
      </w:r>
    </w:p>
    <w:p w14:paraId="26ABB36D">
      <w:pPr>
        <w:pStyle w:val="9"/>
        <w:tabs>
          <w:tab w:val="left" w:pos="420"/>
        </w:tabs>
        <w:spacing w:line="360" w:lineRule="auto"/>
        <w:ind w:firstLine="420" w:firstLineChars="200"/>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施工图范围内的给水工程</w:t>
      </w:r>
      <w:r>
        <w:rPr>
          <w:rFonts w:hint="eastAsia" w:hAnsi="宋体" w:cs="宋体"/>
          <w:b w:val="0"/>
          <w:bCs/>
          <w:snapToGrid/>
          <w:color w:val="auto"/>
          <w:kern w:val="2"/>
          <w:sz w:val="21"/>
          <w:szCs w:val="21"/>
          <w:highlight w:val="none"/>
          <w:lang w:val="en-US" w:eastAsia="zh-CN" w:bidi="ar-SA"/>
        </w:rPr>
        <w:t>等</w:t>
      </w:r>
      <w:r>
        <w:rPr>
          <w:rFonts w:hint="eastAsia" w:ascii="宋体" w:hAnsi="宋体" w:eastAsia="宋体" w:cs="宋体"/>
          <w:b w:val="0"/>
          <w:bCs/>
          <w:snapToGrid/>
          <w:color w:val="auto"/>
          <w:kern w:val="2"/>
          <w:sz w:val="21"/>
          <w:szCs w:val="21"/>
          <w:highlight w:val="none"/>
          <w:lang w:val="en-US" w:eastAsia="zh-CN" w:bidi="ar-SA"/>
        </w:rPr>
        <w:t>。</w:t>
      </w:r>
    </w:p>
    <w:p w14:paraId="17515A7F">
      <w:pPr>
        <w:spacing w:before="156" w:beforeLines="50" w:line="360" w:lineRule="auto"/>
        <w:ind w:firstLine="422" w:firstLineChars="20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（二）施工图设计情况：</w:t>
      </w:r>
    </w:p>
    <w:p w14:paraId="094C1674">
      <w:pPr>
        <w:spacing w:before="156" w:beforeLines="50" w:line="360" w:lineRule="auto"/>
        <w:ind w:firstLine="420" w:firstLineChars="200"/>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敷设DN400球墨管约700m，敷设DN300球墨管约1794m，敷设DN200球墨管约1835m，敷设D426*10螺旋焊接钢管约7m，敷设D219*8螺旋焊接钢管约66m，敷设D159*6直缝钢管约197m，敷设D108*6直缝钢管约47m，敷设D57*4直缝钢管约113m，PE实壁管dn32约78m，PE实壁管dn100约120m，与现状给水支管的连接，上述管线上的附属设施包括排污排气阀、阀门井、水泵房一座等。</w:t>
      </w:r>
    </w:p>
    <w:p w14:paraId="0E71E162">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8A1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04B86B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60C3E713">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507A040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44A00B2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2754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A57DD3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5D75C2B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6FB1CDB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25F056D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2C5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3B3221C">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4ABE5F7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118EEC6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321A1AE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BE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D245D06">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20117766">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7285E86F">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72D9A1D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yellow"/>
                <w:vertAlign w:val="baseline"/>
                <w:lang w:val="en-US" w:eastAsia="zh-CN"/>
              </w:rPr>
            </w:pPr>
          </w:p>
        </w:tc>
      </w:tr>
      <w:tr w14:paraId="5E09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2035D23">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5BA6FC64">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3D06A641">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7BBD1DFB">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4F0E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EDD02E6">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08D5B84D">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396AE0A4">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37D4F1EF">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7B5F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5B40A0E">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27343692">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22F73DE7">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072B931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yellow"/>
                <w:vertAlign w:val="baseline"/>
                <w:lang w:val="en-US" w:eastAsia="zh-CN"/>
              </w:rPr>
            </w:pPr>
          </w:p>
        </w:tc>
      </w:tr>
      <w:tr w14:paraId="5E0E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21CD56A1">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tcPr>
          <w:p w14:paraId="5BAD378D">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14:paraId="311B8979">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14:paraId="067C72EB">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14:paraId="4CCC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675F0636">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14:paraId="530E5215">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14:paraId="5342B7ED">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2D2B20F5">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4B6C9E64">
      <w:pPr>
        <w:spacing w:before="156" w:beforeLines="50"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79BCE145">
      <w:pPr>
        <w:spacing w:before="156" w:beforeLines="50" w:line="360" w:lineRule="auto"/>
        <w:ind w:firstLine="422" w:firstLineChars="200"/>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0C3D3492">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7B668247">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59B7A6F4">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21854515">
      <w:pPr>
        <w:spacing w:before="156" w:beforeLines="50"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15136F2">
      <w:pPr>
        <w:spacing w:before="156" w:beforeLines="50"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w:t>
      </w:r>
      <w:r>
        <w:rPr>
          <w:rFonts w:hint="eastAsia" w:ascii="宋体" w:hAnsi="宋体" w:eastAsia="宋体" w:cs="宋体"/>
          <w:b w:val="0"/>
          <w:bCs/>
          <w:color w:val="auto"/>
          <w:sz w:val="21"/>
          <w:szCs w:val="21"/>
          <w:highlight w:val="none"/>
          <w:lang w:val="en-US" w:eastAsia="zh-CN"/>
        </w:rPr>
        <w:t>实际工程量调整。</w:t>
      </w:r>
    </w:p>
    <w:p w14:paraId="15432ECD">
      <w:pPr>
        <w:pStyle w:val="35"/>
        <w:ind w:left="0" w:leftChars="0" w:firstLine="0" w:firstLineChars="0"/>
        <w:rPr>
          <w:rFonts w:hint="eastAsia"/>
          <w:lang w:val="en-US" w:eastAsia="zh-CN"/>
        </w:rPr>
      </w:pPr>
    </w:p>
    <w:p w14:paraId="40A87BCD">
      <w:pPr>
        <w:pageBreakBefore w:val="0"/>
        <w:numPr>
          <w:ilvl w:val="0"/>
          <w:numId w:val="3"/>
        </w:numPr>
        <w:tabs>
          <w:tab w:val="left" w:pos="4915"/>
        </w:tabs>
        <w:kinsoku/>
        <w:wordWrap/>
        <w:overflowPunct/>
        <w:topLinePunct w:val="0"/>
        <w:bidi w:val="0"/>
        <w:spacing w:line="360" w:lineRule="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主要人员要求</w:t>
      </w:r>
    </w:p>
    <w:p w14:paraId="68B35C02">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630" w:firstLineChars="300"/>
        <w:textAlignment w:val="auto"/>
        <w:rPr>
          <w:rFonts w:hint="eastAsia" w:ascii="Times New Roman" w:hAnsi="Times New Roman" w:cs="宋体"/>
          <w:color w:val="auto"/>
          <w:szCs w:val="21"/>
          <w:highlight w:val="none"/>
          <w:lang w:val="en-US" w:eastAsia="zh-CN"/>
        </w:rPr>
      </w:pPr>
      <w:r>
        <w:rPr>
          <w:rFonts w:hint="eastAsia" w:ascii="Times New Roman" w:hAnsi="Times New Roman" w:cs="宋体"/>
          <w:color w:val="auto"/>
          <w:szCs w:val="21"/>
          <w:highlight w:val="none"/>
          <w:lang w:val="en-US" w:eastAsia="zh-CN"/>
        </w:rPr>
        <w:t>▲5.1项目经理：具有市政公用工程专业注册建造师贰级及以上证书，并具有建设主管部门颁发的有效《安全生产考核合格证书》（B类）；（投标文件中提供相关证书证明材料）</w:t>
      </w:r>
    </w:p>
    <w:p w14:paraId="1EC8B781">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630" w:firstLineChars="300"/>
        <w:textAlignment w:val="auto"/>
        <w:rPr>
          <w:rFonts w:hint="eastAsia" w:ascii="宋体" w:hAnsi="宋体" w:cs="宋体"/>
          <w:b w:val="0"/>
          <w:bCs/>
          <w:color w:val="auto"/>
          <w:sz w:val="21"/>
          <w:szCs w:val="21"/>
          <w:highlight w:val="none"/>
          <w:lang w:val="en-US" w:eastAsia="zh-CN"/>
        </w:rPr>
      </w:pPr>
      <w:r>
        <w:rPr>
          <w:rFonts w:hint="eastAsia" w:ascii="Times New Roman" w:hAnsi="Times New Roman" w:cs="宋体"/>
          <w:color w:val="auto"/>
          <w:szCs w:val="21"/>
          <w:highlight w:val="none"/>
          <w:lang w:val="en-US" w:eastAsia="zh-CN"/>
        </w:rPr>
        <w:t>▲5.2项目专职安全员1名，具有建设主管部门颁发的有效《安全生产考核合格证书》（C类）；（投标文件中提供相关证书证明资料）</w:t>
      </w:r>
    </w:p>
    <w:p w14:paraId="467C0CDA">
      <w:pPr>
        <w:keepNext w:val="0"/>
        <w:keepLines w:val="0"/>
        <w:pageBreakBefore w:val="0"/>
        <w:widowControl w:val="0"/>
        <w:shd w:val="clear"/>
        <w:tabs>
          <w:tab w:val="left" w:pos="4915"/>
        </w:tabs>
        <w:kinsoku/>
        <w:wordWrap/>
        <w:overflowPunct/>
        <w:topLinePunct w:val="0"/>
        <w:autoSpaceDE/>
        <w:autoSpaceDN/>
        <w:bidi w:val="0"/>
        <w:adjustRightInd/>
        <w:snapToGrid/>
        <w:spacing w:line="440" w:lineRule="exact"/>
        <w:ind w:firstLine="630" w:firstLineChars="300"/>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5.3其它人员：提供针对本项目拟配备的其它人员（如施工员、质量员、安全员等）。（投标文件中提供相关证书证明材料）</w:t>
      </w:r>
    </w:p>
    <w:p w14:paraId="44CFE021">
      <w:pPr>
        <w:pStyle w:val="32"/>
        <w:rPr>
          <w:rFonts w:hint="default"/>
          <w:lang w:val="en-US" w:eastAsia="zh-CN"/>
        </w:rPr>
      </w:pPr>
    </w:p>
    <w:p w14:paraId="13694DC5">
      <w:pPr>
        <w:spacing w:before="156" w:beforeLines="50"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color w:val="auto"/>
          <w:sz w:val="21"/>
          <w:szCs w:val="21"/>
          <w:highlight w:val="none"/>
          <w:lang w:val="en-US" w:eastAsia="zh-CN"/>
        </w:rPr>
        <w:t>（六）系统设计说明：详见图纸</w:t>
      </w:r>
    </w:p>
    <w:p w14:paraId="5858C737">
      <w:pPr>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br w:type="page"/>
      </w:r>
    </w:p>
    <w:p w14:paraId="6F32FEDB">
      <w:pPr>
        <w:spacing w:before="156" w:beforeLines="50"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lang w:val="en-US" w:eastAsia="zh-CN"/>
        </w:rPr>
        <w:t>商务要求</w:t>
      </w:r>
    </w:p>
    <w:bookmarkEnd w:id="27"/>
    <w:tbl>
      <w:tblPr>
        <w:tblStyle w:val="2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6D81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29261BA">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9046" w:type="dxa"/>
            <w:noWrap w:val="0"/>
            <w:vAlign w:val="center"/>
          </w:tcPr>
          <w:p w14:paraId="50FBB9CC">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r>
      <w:tr w14:paraId="1AB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62" w:type="dxa"/>
            <w:noWrap w:val="0"/>
            <w:vAlign w:val="center"/>
          </w:tcPr>
          <w:p w14:paraId="5A8E09DB">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9046" w:type="dxa"/>
            <w:noWrap w:val="0"/>
            <w:vAlign w:val="center"/>
          </w:tcPr>
          <w:p w14:paraId="591D38D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r>
      <w:tr w14:paraId="62AB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62" w:type="dxa"/>
            <w:noWrap w:val="0"/>
            <w:vAlign w:val="center"/>
          </w:tcPr>
          <w:p w14:paraId="6FA54C72">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9046" w:type="dxa"/>
            <w:noWrap w:val="0"/>
            <w:vAlign w:val="center"/>
          </w:tcPr>
          <w:p w14:paraId="4EE31981">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730262AB">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安全等级要求：合格</w:t>
            </w:r>
          </w:p>
        </w:tc>
      </w:tr>
      <w:tr w14:paraId="42AE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 w:type="dxa"/>
            <w:noWrap w:val="0"/>
            <w:vAlign w:val="center"/>
          </w:tcPr>
          <w:p w14:paraId="5E274F28">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9046" w:type="dxa"/>
            <w:noWrap w:val="0"/>
            <w:vAlign w:val="center"/>
          </w:tcPr>
          <w:p w14:paraId="36885E76">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r>
      <w:tr w14:paraId="4A9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62" w:type="dxa"/>
            <w:noWrap w:val="0"/>
            <w:vAlign w:val="center"/>
          </w:tcPr>
          <w:p w14:paraId="2824D8D4">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9046" w:type="dxa"/>
            <w:noWrap w:val="0"/>
            <w:vAlign w:val="center"/>
          </w:tcPr>
          <w:p w14:paraId="7C5A50FE">
            <w:pPr>
              <w:keepNext w:val="0"/>
              <w:keepLines w:val="0"/>
              <w:pageBreakBefore w:val="0"/>
              <w:widowControl w:val="0"/>
              <w:kinsoku/>
              <w:wordWrap/>
              <w:overflowPunct/>
              <w:topLinePunct w:val="0"/>
              <w:bidi w:val="0"/>
              <w:adjustRightInd/>
              <w:spacing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付清。每次付款前，承包人需提供全额增值税专用发票，否则发包人有权延期付款且不承担违约责任。</w:t>
            </w:r>
          </w:p>
        </w:tc>
      </w:tr>
      <w:tr w14:paraId="066F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62" w:type="dxa"/>
            <w:noWrap w:val="0"/>
            <w:vAlign w:val="center"/>
          </w:tcPr>
          <w:p w14:paraId="0D79DE77">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w:t>
            </w:r>
          </w:p>
        </w:tc>
        <w:tc>
          <w:tcPr>
            <w:tcW w:w="9046" w:type="dxa"/>
            <w:noWrap w:val="0"/>
            <w:vAlign w:val="center"/>
          </w:tcPr>
          <w:p w14:paraId="6F7E61C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500</w:t>
            </w:r>
            <w:r>
              <w:rPr>
                <w:rFonts w:hint="eastAsia" w:ascii="宋体" w:hAnsi="宋体" w:eastAsia="宋体" w:cs="宋体"/>
                <w:b w:val="0"/>
                <w:bCs/>
                <w:color w:val="auto"/>
                <w:sz w:val="21"/>
                <w:szCs w:val="21"/>
                <w:highlight w:val="none"/>
                <w:lang w:val="en-US" w:eastAsia="zh-CN"/>
              </w:rPr>
              <w:t>日历天内完工</w:t>
            </w:r>
          </w:p>
          <w:p w14:paraId="14AE8290">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施工地点：</w:t>
            </w:r>
            <w:r>
              <w:rPr>
                <w:rFonts w:hint="eastAsia" w:ascii="宋体" w:hAnsi="宋体" w:cs="宋体"/>
                <w:b w:val="0"/>
                <w:bCs/>
                <w:color w:val="auto"/>
                <w:sz w:val="21"/>
                <w:szCs w:val="21"/>
                <w:highlight w:val="none"/>
                <w:lang w:val="en-US" w:eastAsia="zh-CN"/>
              </w:rPr>
              <w:t>业主指定地点</w:t>
            </w:r>
            <w:r>
              <w:rPr>
                <w:rFonts w:hint="eastAsia" w:ascii="宋体" w:hAnsi="宋体" w:eastAsia="宋体" w:cs="宋体"/>
                <w:b w:val="0"/>
                <w:bCs/>
                <w:color w:val="auto"/>
                <w:sz w:val="21"/>
                <w:szCs w:val="21"/>
                <w:highlight w:val="none"/>
                <w:lang w:val="en-US" w:eastAsia="zh-CN"/>
              </w:rPr>
              <w:t>。</w:t>
            </w:r>
          </w:p>
        </w:tc>
      </w:tr>
      <w:tr w14:paraId="2E0B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62" w:type="dxa"/>
            <w:noWrap w:val="0"/>
            <w:vAlign w:val="center"/>
          </w:tcPr>
          <w:p w14:paraId="65E4F91D">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p>
        </w:tc>
        <w:tc>
          <w:tcPr>
            <w:tcW w:w="9046" w:type="dxa"/>
            <w:noWrap w:val="0"/>
            <w:vAlign w:val="center"/>
          </w:tcPr>
          <w:p w14:paraId="4D49926A">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3E146BAA">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本项目为可调价格合同，工程量按实结算</w:t>
            </w:r>
          </w:p>
        </w:tc>
      </w:tr>
      <w:tr w14:paraId="335E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62" w:type="dxa"/>
            <w:noWrap w:val="0"/>
            <w:vAlign w:val="center"/>
          </w:tcPr>
          <w:p w14:paraId="159CC569">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w:t>
            </w:r>
          </w:p>
        </w:tc>
        <w:tc>
          <w:tcPr>
            <w:tcW w:w="9046" w:type="dxa"/>
            <w:noWrap w:val="0"/>
            <w:vAlign w:val="center"/>
          </w:tcPr>
          <w:p w14:paraId="479B1C09">
            <w:pPr>
              <w:spacing w:before="156" w:beforeLines="50"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本项目签约合同价计算公式：</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预算金额</w:t>
            </w:r>
            <w:r>
              <w:rPr>
                <w:rFonts w:hint="eastAsia" w:ascii="宋体" w:hAnsi="宋体" w:cs="宋体"/>
                <w:b w:val="0"/>
                <w:bCs/>
                <w:color w:val="auto"/>
                <w:sz w:val="21"/>
                <w:szCs w:val="21"/>
                <w:highlight w:val="none"/>
                <w:lang w:val="en-US" w:eastAsia="zh-CN"/>
              </w:rPr>
              <w:t>-暂估价62000元）</w:t>
            </w:r>
            <w:r>
              <w:rPr>
                <w:rFonts w:hint="eastAsia" w:ascii="宋体" w:hAnsi="宋体" w:eastAsia="宋体" w:cs="宋体"/>
                <w:b w:val="0"/>
                <w:bCs/>
                <w:color w:val="auto"/>
                <w:sz w:val="21"/>
                <w:szCs w:val="21"/>
                <w:highlight w:val="none"/>
                <w:lang w:val="en-US" w:eastAsia="zh-CN"/>
              </w:rPr>
              <w:t>*中标综合折扣</w:t>
            </w:r>
            <w:r>
              <w:rPr>
                <w:rFonts w:hint="eastAsia" w:ascii="宋体" w:hAnsi="宋体" w:cs="宋体"/>
                <w:b w:val="0"/>
                <w:bCs/>
                <w:color w:val="auto"/>
                <w:sz w:val="21"/>
                <w:szCs w:val="21"/>
                <w:highlight w:val="none"/>
                <w:lang w:val="en-US" w:eastAsia="zh-CN"/>
              </w:rPr>
              <w:t>+暂估价62000元</w:t>
            </w:r>
          </w:p>
        </w:tc>
      </w:tr>
    </w:tbl>
    <w:p w14:paraId="18062131">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6FB02680">
      <w:pPr>
        <w:ind w:firstLine="2891" w:firstLineChars="800"/>
        <w:jc w:val="both"/>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3261"/>
      <w:bookmarkEnd w:id="28"/>
      <w:bookmarkStart w:id="29" w:name="_Toc184314425"/>
      <w:bookmarkEnd w:id="29"/>
      <w:bookmarkStart w:id="30" w:name="_Toc184312110"/>
      <w:bookmarkEnd w:id="30"/>
      <w:bookmarkStart w:id="31" w:name="_Toc184313274"/>
      <w:bookmarkEnd w:id="31"/>
      <w:bookmarkStart w:id="32" w:name="_Toc184308077"/>
      <w:bookmarkEnd w:id="32"/>
      <w:bookmarkStart w:id="33" w:name="_Toc184312098"/>
      <w:bookmarkEnd w:id="33"/>
      <w:bookmarkStart w:id="34" w:name="_Toc184312084"/>
      <w:bookmarkEnd w:id="34"/>
      <w:bookmarkStart w:id="35" w:name="_Toc184310288"/>
      <w:bookmarkEnd w:id="35"/>
      <w:bookmarkStart w:id="36" w:name="_Toc184314439"/>
      <w:bookmarkEnd w:id="36"/>
      <w:bookmarkStart w:id="37" w:name="_Toc184312137"/>
      <w:bookmarkEnd w:id="37"/>
      <w:bookmarkStart w:id="38" w:name="_Toc184308091"/>
      <w:bookmarkEnd w:id="38"/>
      <w:bookmarkStart w:id="39" w:name="_Toc184313293"/>
      <w:bookmarkEnd w:id="39"/>
      <w:bookmarkStart w:id="40" w:name="_Toc184312067"/>
      <w:bookmarkEnd w:id="40"/>
      <w:bookmarkStart w:id="41" w:name="_Toc184313306"/>
      <w:bookmarkEnd w:id="41"/>
      <w:bookmarkStart w:id="42" w:name="_Toc184308085"/>
      <w:bookmarkEnd w:id="42"/>
      <w:bookmarkStart w:id="43" w:name="_Toc184314480"/>
      <w:bookmarkEnd w:id="43"/>
      <w:bookmarkStart w:id="44" w:name="_Toc184310315"/>
      <w:bookmarkEnd w:id="44"/>
      <w:bookmarkStart w:id="45" w:name="_Toc184314464"/>
      <w:bookmarkEnd w:id="45"/>
      <w:bookmarkStart w:id="46" w:name="_Toc184310291"/>
      <w:bookmarkEnd w:id="46"/>
      <w:bookmarkStart w:id="47" w:name="_Toc184310324"/>
      <w:bookmarkEnd w:id="47"/>
      <w:bookmarkStart w:id="48" w:name="_Toc184310284"/>
      <w:bookmarkEnd w:id="48"/>
      <w:bookmarkStart w:id="49" w:name="_Toc184312108"/>
      <w:bookmarkEnd w:id="49"/>
      <w:bookmarkStart w:id="50" w:name="_Toc184313295"/>
      <w:bookmarkEnd w:id="50"/>
      <w:bookmarkStart w:id="51" w:name="_Toc184314479"/>
      <w:bookmarkEnd w:id="51"/>
      <w:bookmarkStart w:id="52" w:name="_Toc184308058"/>
      <w:bookmarkEnd w:id="52"/>
      <w:bookmarkStart w:id="53" w:name="_Toc184313299"/>
      <w:bookmarkEnd w:id="53"/>
      <w:bookmarkStart w:id="54" w:name="_Toc184310304"/>
      <w:bookmarkEnd w:id="54"/>
      <w:bookmarkStart w:id="55" w:name="_Toc184310302"/>
      <w:bookmarkEnd w:id="55"/>
      <w:bookmarkStart w:id="56" w:name="_Toc184313264"/>
      <w:bookmarkEnd w:id="56"/>
      <w:bookmarkStart w:id="57" w:name="_Toc184310317"/>
      <w:bookmarkEnd w:id="57"/>
      <w:bookmarkStart w:id="58" w:name="_Toc184310322"/>
      <w:bookmarkEnd w:id="58"/>
      <w:bookmarkStart w:id="59" w:name="_Toc184313286"/>
      <w:bookmarkEnd w:id="59"/>
      <w:bookmarkStart w:id="60" w:name="_Toc184310330"/>
      <w:bookmarkEnd w:id="60"/>
      <w:bookmarkStart w:id="61" w:name="_Toc184313253"/>
      <w:bookmarkEnd w:id="61"/>
      <w:bookmarkStart w:id="62" w:name="_Toc184314459"/>
      <w:bookmarkEnd w:id="62"/>
      <w:bookmarkStart w:id="63" w:name="_Toc184314412"/>
      <w:bookmarkEnd w:id="63"/>
      <w:bookmarkStart w:id="64" w:name="_Toc184310335"/>
      <w:bookmarkEnd w:id="64"/>
      <w:bookmarkStart w:id="65" w:name="_Toc184313241"/>
      <w:bookmarkEnd w:id="65"/>
      <w:bookmarkStart w:id="66" w:name="_Toc184308094"/>
      <w:bookmarkEnd w:id="66"/>
      <w:bookmarkStart w:id="67" w:name="_Toc184312075"/>
      <w:bookmarkEnd w:id="67"/>
      <w:bookmarkStart w:id="68" w:name="_Toc184312103"/>
      <w:bookmarkEnd w:id="68"/>
      <w:bookmarkStart w:id="69" w:name="_Toc184314455"/>
      <w:bookmarkEnd w:id="69"/>
      <w:bookmarkStart w:id="70" w:name="_Toc184313260"/>
      <w:bookmarkEnd w:id="70"/>
      <w:bookmarkStart w:id="71" w:name="_Toc184314462"/>
      <w:bookmarkEnd w:id="71"/>
      <w:bookmarkStart w:id="72" w:name="_Toc184313307"/>
      <w:bookmarkEnd w:id="72"/>
      <w:bookmarkStart w:id="73" w:name="_Toc184314450"/>
      <w:bookmarkEnd w:id="73"/>
      <w:bookmarkStart w:id="74" w:name="_Toc184310301"/>
      <w:bookmarkEnd w:id="74"/>
      <w:bookmarkStart w:id="75" w:name="_Toc184308052"/>
      <w:bookmarkEnd w:id="75"/>
      <w:bookmarkStart w:id="76" w:name="_Toc184310327"/>
      <w:bookmarkEnd w:id="76"/>
      <w:bookmarkStart w:id="77" w:name="_Toc184312113"/>
      <w:bookmarkEnd w:id="77"/>
      <w:bookmarkStart w:id="78" w:name="_Toc184308068"/>
      <w:bookmarkEnd w:id="78"/>
      <w:bookmarkStart w:id="79" w:name="_Toc184308049"/>
      <w:bookmarkEnd w:id="79"/>
      <w:bookmarkStart w:id="80" w:name="_Toc184313283"/>
      <w:bookmarkEnd w:id="80"/>
      <w:bookmarkStart w:id="81" w:name="_Toc184312072"/>
      <w:bookmarkEnd w:id="81"/>
      <w:bookmarkStart w:id="82" w:name="_Toc184312121"/>
      <w:bookmarkEnd w:id="82"/>
      <w:bookmarkStart w:id="83" w:name="_Toc184310344"/>
      <w:bookmarkEnd w:id="83"/>
      <w:bookmarkStart w:id="84" w:name="_Toc184308098"/>
      <w:bookmarkEnd w:id="84"/>
      <w:bookmarkStart w:id="85" w:name="_Toc184310340"/>
      <w:bookmarkEnd w:id="85"/>
      <w:bookmarkStart w:id="86" w:name="_Toc184308087"/>
      <w:bookmarkEnd w:id="86"/>
      <w:bookmarkStart w:id="87" w:name="_Toc184313272"/>
      <w:bookmarkEnd w:id="87"/>
      <w:bookmarkStart w:id="88" w:name="_Toc184314428"/>
      <w:bookmarkEnd w:id="88"/>
      <w:bookmarkStart w:id="89" w:name="_Toc184312104"/>
      <w:bookmarkEnd w:id="89"/>
      <w:bookmarkStart w:id="90" w:name="_Toc184314422"/>
      <w:bookmarkEnd w:id="90"/>
      <w:bookmarkStart w:id="91" w:name="_Toc184313273"/>
      <w:bookmarkEnd w:id="91"/>
      <w:bookmarkStart w:id="92" w:name="_Toc184310329"/>
      <w:bookmarkEnd w:id="92"/>
      <w:bookmarkStart w:id="93" w:name="_Toc184314478"/>
      <w:bookmarkEnd w:id="93"/>
      <w:bookmarkStart w:id="94" w:name="_Toc184308071"/>
      <w:bookmarkEnd w:id="94"/>
      <w:bookmarkStart w:id="95" w:name="_Toc184314471"/>
      <w:bookmarkEnd w:id="95"/>
      <w:bookmarkStart w:id="96" w:name="_Toc184314473"/>
      <w:bookmarkEnd w:id="96"/>
      <w:bookmarkStart w:id="97" w:name="_Toc184314427"/>
      <w:bookmarkEnd w:id="97"/>
      <w:bookmarkStart w:id="98" w:name="_Toc184308054"/>
      <w:bookmarkEnd w:id="98"/>
      <w:bookmarkStart w:id="99" w:name="_Toc184312102"/>
      <w:bookmarkEnd w:id="99"/>
      <w:bookmarkStart w:id="100" w:name="_Toc184308044"/>
      <w:bookmarkEnd w:id="100"/>
      <w:bookmarkStart w:id="101" w:name="_Toc184313247"/>
      <w:bookmarkEnd w:id="101"/>
      <w:bookmarkStart w:id="102" w:name="_Toc184312134"/>
      <w:bookmarkEnd w:id="102"/>
      <w:bookmarkStart w:id="103" w:name="_Toc184313284"/>
      <w:bookmarkEnd w:id="103"/>
      <w:bookmarkStart w:id="104" w:name="_Toc184310296"/>
      <w:bookmarkEnd w:id="104"/>
      <w:bookmarkStart w:id="105" w:name="_Toc184308037"/>
      <w:bookmarkEnd w:id="105"/>
      <w:bookmarkStart w:id="106" w:name="_Toc184310297"/>
      <w:bookmarkEnd w:id="106"/>
      <w:bookmarkStart w:id="107" w:name="_Toc184310287"/>
      <w:bookmarkEnd w:id="107"/>
      <w:bookmarkStart w:id="108" w:name="_Toc184312125"/>
      <w:bookmarkEnd w:id="108"/>
      <w:bookmarkStart w:id="109" w:name="_Toc184308095"/>
      <w:bookmarkEnd w:id="109"/>
      <w:bookmarkStart w:id="110" w:name="_Toc184310314"/>
      <w:bookmarkEnd w:id="110"/>
      <w:bookmarkStart w:id="111" w:name="_Toc184312112"/>
      <w:bookmarkEnd w:id="111"/>
      <w:bookmarkStart w:id="112" w:name="_Toc184310342"/>
      <w:bookmarkEnd w:id="112"/>
      <w:bookmarkStart w:id="113" w:name="_Toc184313294"/>
      <w:bookmarkEnd w:id="113"/>
      <w:bookmarkStart w:id="114" w:name="_Toc184308080"/>
      <w:bookmarkEnd w:id="114"/>
      <w:bookmarkStart w:id="115" w:name="_Toc184310299"/>
      <w:bookmarkEnd w:id="115"/>
      <w:bookmarkStart w:id="116" w:name="_Toc184310305"/>
      <w:bookmarkEnd w:id="116"/>
      <w:bookmarkStart w:id="117" w:name="_Toc184312138"/>
      <w:bookmarkEnd w:id="117"/>
      <w:bookmarkStart w:id="118" w:name="_Toc184313279"/>
      <w:bookmarkEnd w:id="118"/>
      <w:bookmarkStart w:id="119" w:name="_Toc184308066"/>
      <w:bookmarkEnd w:id="119"/>
      <w:bookmarkStart w:id="120" w:name="_Toc184314470"/>
      <w:bookmarkEnd w:id="120"/>
      <w:bookmarkStart w:id="121" w:name="_Toc184310289"/>
      <w:bookmarkEnd w:id="121"/>
      <w:bookmarkStart w:id="122" w:name="_Toc184314445"/>
      <w:bookmarkEnd w:id="122"/>
      <w:bookmarkStart w:id="123" w:name="_Toc184308101"/>
      <w:bookmarkEnd w:id="123"/>
      <w:bookmarkStart w:id="124" w:name="_Toc184312099"/>
      <w:bookmarkEnd w:id="124"/>
      <w:bookmarkStart w:id="125" w:name="_Toc184308086"/>
      <w:bookmarkEnd w:id="125"/>
      <w:bookmarkStart w:id="126" w:name="_Toc184308075"/>
      <w:bookmarkEnd w:id="126"/>
      <w:bookmarkStart w:id="127" w:name="_Toc184313289"/>
      <w:bookmarkEnd w:id="127"/>
      <w:bookmarkStart w:id="128" w:name="_Toc184314419"/>
      <w:bookmarkEnd w:id="128"/>
      <w:bookmarkStart w:id="129" w:name="_Toc184313291"/>
      <w:bookmarkEnd w:id="129"/>
      <w:bookmarkStart w:id="130" w:name="_Toc184312109"/>
      <w:bookmarkEnd w:id="130"/>
      <w:bookmarkStart w:id="131" w:name="_Toc184308064"/>
      <w:bookmarkEnd w:id="131"/>
      <w:bookmarkStart w:id="132" w:name="_Toc184313282"/>
      <w:bookmarkEnd w:id="132"/>
      <w:bookmarkStart w:id="133" w:name="_Toc184313300"/>
      <w:bookmarkEnd w:id="133"/>
      <w:bookmarkStart w:id="134" w:name="_Toc184313302"/>
      <w:bookmarkEnd w:id="134"/>
      <w:bookmarkStart w:id="135" w:name="_Toc184312090"/>
      <w:bookmarkEnd w:id="135"/>
      <w:bookmarkStart w:id="136" w:name="_Toc184314416"/>
      <w:bookmarkEnd w:id="136"/>
      <w:bookmarkStart w:id="137" w:name="_Toc184308099"/>
      <w:bookmarkEnd w:id="137"/>
      <w:bookmarkStart w:id="138" w:name="_Toc184313298"/>
      <w:bookmarkEnd w:id="138"/>
      <w:bookmarkStart w:id="139" w:name="_Toc184313290"/>
      <w:bookmarkEnd w:id="139"/>
      <w:bookmarkStart w:id="140" w:name="_Toc184314417"/>
      <w:bookmarkEnd w:id="140"/>
      <w:bookmarkStart w:id="141" w:name="_Toc184310272"/>
      <w:bookmarkEnd w:id="141"/>
      <w:bookmarkStart w:id="142" w:name="_Toc184314411"/>
      <w:bookmarkEnd w:id="142"/>
      <w:bookmarkStart w:id="143" w:name="_Toc184313239"/>
      <w:bookmarkEnd w:id="143"/>
      <w:bookmarkStart w:id="144" w:name="_Toc184308081"/>
      <w:bookmarkEnd w:id="144"/>
      <w:bookmarkStart w:id="145" w:name="_Toc184313303"/>
      <w:bookmarkEnd w:id="145"/>
      <w:bookmarkStart w:id="146" w:name="_Toc184310274"/>
      <w:bookmarkEnd w:id="146"/>
      <w:bookmarkStart w:id="147" w:name="_Toc184312079"/>
      <w:bookmarkEnd w:id="147"/>
      <w:bookmarkStart w:id="148" w:name="_Toc184312107"/>
      <w:bookmarkEnd w:id="148"/>
      <w:bookmarkStart w:id="149" w:name="_Toc184310328"/>
      <w:bookmarkEnd w:id="149"/>
      <w:bookmarkStart w:id="150" w:name="_Toc184312114"/>
      <w:bookmarkEnd w:id="150"/>
      <w:bookmarkStart w:id="151" w:name="_Toc184308070"/>
      <w:bookmarkEnd w:id="151"/>
      <w:bookmarkStart w:id="152" w:name="_Toc184310292"/>
      <w:bookmarkEnd w:id="152"/>
      <w:bookmarkStart w:id="153" w:name="_Toc184312092"/>
      <w:bookmarkEnd w:id="153"/>
      <w:bookmarkStart w:id="154" w:name="_Toc184310333"/>
      <w:bookmarkEnd w:id="154"/>
      <w:bookmarkStart w:id="155" w:name="_Toc184314438"/>
      <w:bookmarkEnd w:id="155"/>
      <w:bookmarkStart w:id="156" w:name="_Toc184313276"/>
      <w:bookmarkEnd w:id="156"/>
      <w:bookmarkStart w:id="157" w:name="_Toc184314476"/>
      <w:bookmarkEnd w:id="157"/>
      <w:bookmarkStart w:id="158" w:name="_Toc184314461"/>
      <w:bookmarkEnd w:id="158"/>
      <w:bookmarkStart w:id="159" w:name="_Toc184313304"/>
      <w:bookmarkEnd w:id="159"/>
      <w:bookmarkStart w:id="160" w:name="_Toc184310298"/>
      <w:bookmarkEnd w:id="160"/>
      <w:bookmarkStart w:id="161" w:name="_Toc184313259"/>
      <w:bookmarkEnd w:id="161"/>
      <w:bookmarkStart w:id="162" w:name="_Toc184312083"/>
      <w:bookmarkEnd w:id="162"/>
      <w:bookmarkStart w:id="163" w:name="_Toc184314453"/>
      <w:bookmarkEnd w:id="163"/>
      <w:bookmarkStart w:id="164" w:name="_Toc184313248"/>
      <w:bookmarkEnd w:id="164"/>
      <w:bookmarkStart w:id="165" w:name="_Toc184310337"/>
      <w:bookmarkEnd w:id="165"/>
      <w:bookmarkStart w:id="166" w:name="_Toc184308108"/>
      <w:bookmarkEnd w:id="166"/>
      <w:bookmarkStart w:id="167" w:name="_Toc184310279"/>
      <w:bookmarkEnd w:id="167"/>
      <w:bookmarkStart w:id="168" w:name="_Toc184308103"/>
      <w:bookmarkEnd w:id="168"/>
      <w:bookmarkStart w:id="169" w:name="_Toc184313278"/>
      <w:bookmarkEnd w:id="169"/>
      <w:bookmarkStart w:id="170" w:name="_Toc184313285"/>
      <w:bookmarkEnd w:id="170"/>
      <w:bookmarkStart w:id="171" w:name="_Toc184308088"/>
      <w:bookmarkEnd w:id="171"/>
      <w:bookmarkStart w:id="172" w:name="_Toc184313271"/>
      <w:bookmarkEnd w:id="172"/>
      <w:bookmarkStart w:id="173" w:name="_Toc184312136"/>
      <w:bookmarkEnd w:id="173"/>
      <w:bookmarkStart w:id="174" w:name="_Toc184310313"/>
      <w:bookmarkEnd w:id="174"/>
      <w:bookmarkStart w:id="175" w:name="_Toc184312081"/>
      <w:bookmarkEnd w:id="175"/>
      <w:bookmarkStart w:id="176" w:name="_Toc184312069"/>
      <w:bookmarkEnd w:id="176"/>
      <w:bookmarkStart w:id="177" w:name="_Toc184313301"/>
      <w:bookmarkEnd w:id="177"/>
      <w:bookmarkStart w:id="178" w:name="_Toc184312080"/>
      <w:bookmarkEnd w:id="178"/>
      <w:bookmarkStart w:id="179" w:name="_Toc184312130"/>
      <w:bookmarkEnd w:id="179"/>
      <w:bookmarkStart w:id="180" w:name="_Toc184312128"/>
      <w:bookmarkEnd w:id="180"/>
      <w:bookmarkStart w:id="181" w:name="_Toc184314444"/>
      <w:bookmarkEnd w:id="181"/>
      <w:bookmarkStart w:id="182" w:name="_Toc184313280"/>
      <w:bookmarkEnd w:id="182"/>
      <w:bookmarkStart w:id="183" w:name="_Toc184314452"/>
      <w:bookmarkEnd w:id="183"/>
      <w:bookmarkStart w:id="184" w:name="_Toc184310311"/>
      <w:bookmarkEnd w:id="184"/>
      <w:bookmarkStart w:id="185" w:name="_Toc184314460"/>
      <w:bookmarkEnd w:id="185"/>
      <w:bookmarkStart w:id="186" w:name="_Toc184308102"/>
      <w:bookmarkEnd w:id="186"/>
      <w:bookmarkStart w:id="187" w:name="_Toc184312118"/>
      <w:bookmarkEnd w:id="187"/>
      <w:bookmarkStart w:id="188" w:name="_Toc184310295"/>
      <w:bookmarkEnd w:id="188"/>
      <w:bookmarkStart w:id="189" w:name="_Toc184310300"/>
      <w:bookmarkEnd w:id="189"/>
      <w:bookmarkStart w:id="190" w:name="_Toc184308046"/>
      <w:bookmarkEnd w:id="190"/>
      <w:bookmarkStart w:id="191" w:name="_Toc184314423"/>
      <w:bookmarkEnd w:id="191"/>
      <w:bookmarkStart w:id="192" w:name="_Toc184314441"/>
      <w:bookmarkEnd w:id="192"/>
      <w:bookmarkStart w:id="193" w:name="_Toc184312068"/>
      <w:bookmarkEnd w:id="193"/>
      <w:bookmarkStart w:id="194" w:name="_Toc184313281"/>
      <w:bookmarkEnd w:id="194"/>
      <w:bookmarkStart w:id="195" w:name="_Toc184310308"/>
      <w:bookmarkEnd w:id="195"/>
      <w:bookmarkStart w:id="196" w:name="_Toc184314426"/>
      <w:bookmarkEnd w:id="196"/>
      <w:bookmarkStart w:id="197" w:name="_Toc184314443"/>
      <w:bookmarkEnd w:id="197"/>
      <w:bookmarkStart w:id="198" w:name="_Toc184308096"/>
      <w:bookmarkEnd w:id="198"/>
      <w:bookmarkStart w:id="199" w:name="_Toc184310285"/>
      <w:bookmarkEnd w:id="199"/>
      <w:bookmarkStart w:id="200" w:name="_Toc184312101"/>
      <w:bookmarkEnd w:id="200"/>
      <w:bookmarkStart w:id="201" w:name="_Toc184308084"/>
      <w:bookmarkEnd w:id="201"/>
      <w:bookmarkStart w:id="202" w:name="_Toc184312116"/>
      <w:bookmarkEnd w:id="202"/>
      <w:bookmarkStart w:id="203" w:name="_Toc184310318"/>
      <w:bookmarkEnd w:id="203"/>
      <w:bookmarkStart w:id="204" w:name="_Toc184310341"/>
      <w:bookmarkEnd w:id="204"/>
      <w:bookmarkStart w:id="205" w:name="_Toc184312124"/>
      <w:bookmarkEnd w:id="205"/>
      <w:bookmarkStart w:id="206" w:name="_Toc184312126"/>
      <w:bookmarkEnd w:id="206"/>
      <w:bookmarkStart w:id="207" w:name="_Toc184308083"/>
      <w:bookmarkEnd w:id="207"/>
      <w:bookmarkStart w:id="208" w:name="_Toc184308089"/>
      <w:bookmarkEnd w:id="208"/>
      <w:bookmarkStart w:id="209" w:name="_Toc184313249"/>
      <w:bookmarkEnd w:id="209"/>
      <w:bookmarkStart w:id="210" w:name="_Toc184310343"/>
      <w:bookmarkEnd w:id="210"/>
      <w:bookmarkStart w:id="211" w:name="_Toc184314456"/>
      <w:bookmarkEnd w:id="211"/>
      <w:bookmarkStart w:id="212" w:name="_Toc184310294"/>
      <w:bookmarkEnd w:id="212"/>
      <w:bookmarkStart w:id="213" w:name="_Toc184313310"/>
      <w:bookmarkEnd w:id="213"/>
      <w:bookmarkStart w:id="214" w:name="_Toc184308061"/>
      <w:bookmarkEnd w:id="214"/>
      <w:bookmarkStart w:id="215" w:name="_Toc184312085"/>
      <w:bookmarkEnd w:id="215"/>
      <w:bookmarkStart w:id="216" w:name="_Toc184312087"/>
      <w:bookmarkEnd w:id="216"/>
      <w:bookmarkStart w:id="217" w:name="_Toc184313267"/>
      <w:bookmarkEnd w:id="217"/>
      <w:bookmarkStart w:id="218" w:name="_Toc184308041"/>
      <w:bookmarkEnd w:id="218"/>
      <w:bookmarkStart w:id="219" w:name="_Toc184308051"/>
      <w:bookmarkEnd w:id="219"/>
      <w:bookmarkStart w:id="220" w:name="_Toc184308092"/>
      <w:bookmarkEnd w:id="220"/>
      <w:bookmarkStart w:id="221" w:name="_Toc184310273"/>
      <w:bookmarkEnd w:id="221"/>
      <w:bookmarkStart w:id="222" w:name="_Toc184308047"/>
      <w:bookmarkEnd w:id="222"/>
      <w:bookmarkStart w:id="223" w:name="_Toc184314435"/>
      <w:bookmarkEnd w:id="223"/>
      <w:bookmarkStart w:id="224" w:name="_Toc184313254"/>
      <w:bookmarkEnd w:id="224"/>
      <w:bookmarkStart w:id="225" w:name="_Toc184310331"/>
      <w:bookmarkEnd w:id="225"/>
      <w:bookmarkStart w:id="226" w:name="_Toc184314410"/>
      <w:bookmarkEnd w:id="226"/>
      <w:bookmarkStart w:id="227" w:name="_Toc184314415"/>
      <w:bookmarkEnd w:id="227"/>
      <w:bookmarkStart w:id="228" w:name="_Toc184314465"/>
      <w:bookmarkEnd w:id="228"/>
      <w:bookmarkStart w:id="229" w:name="_Toc184312123"/>
      <w:bookmarkEnd w:id="229"/>
      <w:bookmarkStart w:id="230" w:name="_Toc184308100"/>
      <w:bookmarkEnd w:id="230"/>
      <w:bookmarkStart w:id="231" w:name="_Toc184312135"/>
      <w:bookmarkEnd w:id="231"/>
      <w:bookmarkStart w:id="232" w:name="_Toc184310339"/>
      <w:bookmarkEnd w:id="232"/>
      <w:bookmarkStart w:id="233" w:name="_Toc184314472"/>
      <w:bookmarkEnd w:id="233"/>
      <w:bookmarkStart w:id="234" w:name="_Toc184310336"/>
      <w:bookmarkEnd w:id="234"/>
      <w:bookmarkStart w:id="235" w:name="_Toc184314437"/>
      <w:bookmarkEnd w:id="235"/>
      <w:bookmarkStart w:id="236" w:name="_Toc184310275"/>
      <w:bookmarkEnd w:id="236"/>
      <w:bookmarkStart w:id="237" w:name="_Toc184314466"/>
      <w:bookmarkEnd w:id="237"/>
      <w:bookmarkStart w:id="238" w:name="_Toc184313238"/>
      <w:bookmarkEnd w:id="238"/>
      <w:bookmarkStart w:id="239" w:name="_Toc184314440"/>
      <w:bookmarkEnd w:id="239"/>
      <w:bookmarkStart w:id="240" w:name="_Toc184308063"/>
      <w:bookmarkEnd w:id="240"/>
      <w:bookmarkStart w:id="241" w:name="_Toc184314458"/>
      <w:bookmarkEnd w:id="241"/>
      <w:bookmarkStart w:id="242" w:name="_Toc184313240"/>
      <w:bookmarkEnd w:id="242"/>
      <w:bookmarkStart w:id="243" w:name="_Toc184312105"/>
      <w:bookmarkEnd w:id="243"/>
      <w:bookmarkStart w:id="244" w:name="_Toc184312096"/>
      <w:bookmarkEnd w:id="244"/>
      <w:bookmarkStart w:id="245" w:name="_Toc184314434"/>
      <w:bookmarkEnd w:id="245"/>
      <w:bookmarkStart w:id="246" w:name="_Toc184314418"/>
      <w:bookmarkEnd w:id="246"/>
      <w:bookmarkStart w:id="247" w:name="_Toc184312120"/>
      <w:bookmarkEnd w:id="247"/>
      <w:bookmarkStart w:id="248" w:name="_Toc184310320"/>
      <w:bookmarkEnd w:id="248"/>
      <w:bookmarkStart w:id="249" w:name="_Toc184308082"/>
      <w:bookmarkEnd w:id="249"/>
      <w:bookmarkStart w:id="250" w:name="_Toc184312111"/>
      <w:bookmarkEnd w:id="250"/>
      <w:bookmarkStart w:id="251" w:name="_Toc184314429"/>
      <w:bookmarkEnd w:id="251"/>
      <w:bookmarkStart w:id="252" w:name="_Toc184308107"/>
      <w:bookmarkEnd w:id="252"/>
      <w:bookmarkStart w:id="253" w:name="_Toc184310303"/>
      <w:bookmarkEnd w:id="253"/>
      <w:bookmarkStart w:id="254" w:name="_Toc184312071"/>
      <w:bookmarkEnd w:id="254"/>
      <w:bookmarkStart w:id="255" w:name="_Toc184313257"/>
      <w:bookmarkEnd w:id="255"/>
      <w:bookmarkStart w:id="256" w:name="_Toc184308050"/>
      <w:bookmarkEnd w:id="256"/>
      <w:bookmarkStart w:id="257" w:name="_Toc184313287"/>
      <w:bookmarkEnd w:id="257"/>
      <w:bookmarkStart w:id="258" w:name="_Toc184313305"/>
      <w:bookmarkEnd w:id="258"/>
      <w:bookmarkStart w:id="259" w:name="_Toc184314481"/>
      <w:bookmarkEnd w:id="259"/>
      <w:bookmarkStart w:id="260" w:name="_Toc184310310"/>
      <w:bookmarkEnd w:id="260"/>
      <w:bookmarkStart w:id="261" w:name="_Toc184314421"/>
      <w:bookmarkEnd w:id="261"/>
      <w:bookmarkStart w:id="262" w:name="_Toc184314468"/>
      <w:bookmarkEnd w:id="262"/>
      <w:bookmarkStart w:id="263" w:name="_Toc184312122"/>
      <w:bookmarkEnd w:id="263"/>
      <w:bookmarkStart w:id="264" w:name="_Toc184312074"/>
      <w:bookmarkEnd w:id="264"/>
      <w:bookmarkStart w:id="265" w:name="_Toc184310323"/>
      <w:bookmarkEnd w:id="265"/>
      <w:bookmarkStart w:id="266" w:name="_Toc184313242"/>
      <w:bookmarkEnd w:id="266"/>
      <w:bookmarkStart w:id="267" w:name="_Toc184308105"/>
      <w:bookmarkEnd w:id="267"/>
      <w:bookmarkStart w:id="268" w:name="_Toc184312077"/>
      <w:bookmarkEnd w:id="268"/>
      <w:bookmarkStart w:id="269" w:name="_Toc184314442"/>
      <w:bookmarkEnd w:id="269"/>
      <w:bookmarkStart w:id="270" w:name="_Toc184313292"/>
      <w:bookmarkEnd w:id="270"/>
      <w:bookmarkStart w:id="271" w:name="_Toc184312094"/>
      <w:bookmarkEnd w:id="271"/>
      <w:bookmarkStart w:id="272" w:name="_Toc184313250"/>
      <w:bookmarkEnd w:id="272"/>
      <w:bookmarkStart w:id="273" w:name="_Toc184308040"/>
      <w:bookmarkEnd w:id="273"/>
      <w:bookmarkStart w:id="274" w:name="_Toc184308079"/>
      <w:bookmarkEnd w:id="274"/>
      <w:bookmarkStart w:id="275" w:name="_Toc184313309"/>
      <w:bookmarkEnd w:id="275"/>
      <w:bookmarkStart w:id="276" w:name="_Toc184312117"/>
      <w:bookmarkEnd w:id="276"/>
      <w:bookmarkStart w:id="277" w:name="_Toc184312106"/>
      <w:bookmarkEnd w:id="277"/>
      <w:bookmarkStart w:id="278" w:name="_Toc184314424"/>
      <w:bookmarkEnd w:id="278"/>
      <w:bookmarkStart w:id="279" w:name="_Toc184310278"/>
      <w:bookmarkEnd w:id="279"/>
      <w:bookmarkStart w:id="280" w:name="_Toc184312133"/>
      <w:bookmarkEnd w:id="280"/>
      <w:bookmarkStart w:id="281" w:name="_Toc184310282"/>
      <w:bookmarkEnd w:id="281"/>
      <w:bookmarkStart w:id="282" w:name="_Toc184313266"/>
      <w:bookmarkEnd w:id="282"/>
      <w:bookmarkStart w:id="283" w:name="_Toc184312088"/>
      <w:bookmarkEnd w:id="283"/>
      <w:bookmarkStart w:id="284" w:name="_Toc184308090"/>
      <w:bookmarkEnd w:id="284"/>
      <w:bookmarkStart w:id="285" w:name="_Toc184313277"/>
      <w:bookmarkEnd w:id="285"/>
      <w:bookmarkStart w:id="286" w:name="_Toc184308043"/>
      <w:bookmarkEnd w:id="286"/>
      <w:bookmarkStart w:id="287" w:name="_Toc184312100"/>
      <w:bookmarkEnd w:id="287"/>
      <w:bookmarkStart w:id="288" w:name="_Toc184313255"/>
      <w:bookmarkEnd w:id="288"/>
      <w:bookmarkStart w:id="289" w:name="_Toc184313244"/>
      <w:bookmarkEnd w:id="289"/>
      <w:bookmarkStart w:id="290" w:name="_Toc184310306"/>
      <w:bookmarkEnd w:id="290"/>
      <w:bookmarkStart w:id="291" w:name="_Toc184313308"/>
      <w:bookmarkEnd w:id="291"/>
      <w:bookmarkStart w:id="292" w:name="_Toc184308097"/>
      <w:bookmarkEnd w:id="292"/>
      <w:bookmarkStart w:id="293" w:name="_Toc184314482"/>
      <w:bookmarkEnd w:id="293"/>
      <w:bookmarkStart w:id="294" w:name="_Toc184313252"/>
      <w:bookmarkEnd w:id="294"/>
      <w:bookmarkStart w:id="295" w:name="_Toc184314433"/>
      <w:bookmarkEnd w:id="295"/>
      <w:bookmarkStart w:id="296" w:name="_Toc184308048"/>
      <w:bookmarkEnd w:id="296"/>
      <w:bookmarkStart w:id="297" w:name="_Toc184312070"/>
      <w:bookmarkEnd w:id="297"/>
      <w:bookmarkStart w:id="298" w:name="_Toc184314447"/>
      <w:bookmarkEnd w:id="298"/>
      <w:bookmarkStart w:id="299" w:name="_Toc184313243"/>
      <w:bookmarkEnd w:id="299"/>
      <w:bookmarkStart w:id="300" w:name="_Toc184308062"/>
      <w:bookmarkEnd w:id="300"/>
      <w:bookmarkStart w:id="301" w:name="_Toc184308057"/>
      <w:bookmarkEnd w:id="301"/>
      <w:bookmarkStart w:id="302" w:name="_Toc184312076"/>
      <w:bookmarkEnd w:id="302"/>
      <w:bookmarkStart w:id="303" w:name="_Toc184308067"/>
      <w:bookmarkEnd w:id="303"/>
      <w:bookmarkStart w:id="304" w:name="_Toc184310332"/>
      <w:bookmarkEnd w:id="304"/>
      <w:bookmarkStart w:id="305" w:name="_Toc184313263"/>
      <w:bookmarkEnd w:id="305"/>
      <w:bookmarkStart w:id="306" w:name="_Toc184313288"/>
      <w:bookmarkEnd w:id="306"/>
      <w:bookmarkStart w:id="307" w:name="_Toc184312132"/>
      <w:bookmarkEnd w:id="307"/>
      <w:bookmarkStart w:id="308" w:name="_Toc184314449"/>
      <w:bookmarkEnd w:id="308"/>
      <w:bookmarkStart w:id="309" w:name="_Toc184314451"/>
      <w:bookmarkEnd w:id="309"/>
      <w:bookmarkStart w:id="310" w:name="_Toc184313258"/>
      <w:bookmarkEnd w:id="310"/>
      <w:bookmarkStart w:id="311" w:name="_Toc184312086"/>
      <w:bookmarkEnd w:id="311"/>
      <w:bookmarkStart w:id="312" w:name="_Toc184310280"/>
      <w:bookmarkEnd w:id="312"/>
      <w:bookmarkStart w:id="313" w:name="_Toc184310309"/>
      <w:bookmarkEnd w:id="313"/>
      <w:bookmarkStart w:id="314" w:name="_Toc184314467"/>
      <w:bookmarkEnd w:id="314"/>
      <w:bookmarkStart w:id="315" w:name="_Toc184313269"/>
      <w:bookmarkEnd w:id="315"/>
      <w:bookmarkStart w:id="316" w:name="_Toc184313296"/>
      <w:bookmarkEnd w:id="316"/>
      <w:bookmarkStart w:id="317" w:name="_Toc184312127"/>
      <w:bookmarkEnd w:id="317"/>
      <w:bookmarkStart w:id="318" w:name="_Toc184310326"/>
      <w:bookmarkEnd w:id="318"/>
      <w:bookmarkStart w:id="319" w:name="_Toc184312089"/>
      <w:bookmarkEnd w:id="319"/>
      <w:bookmarkStart w:id="320" w:name="_Toc184313268"/>
      <w:bookmarkEnd w:id="320"/>
      <w:bookmarkStart w:id="321" w:name="_Toc184310325"/>
      <w:bookmarkEnd w:id="321"/>
      <w:bookmarkStart w:id="322" w:name="_Toc184310334"/>
      <w:bookmarkEnd w:id="322"/>
      <w:bookmarkStart w:id="323" w:name="_Toc184310312"/>
      <w:bookmarkEnd w:id="323"/>
      <w:bookmarkStart w:id="324" w:name="_Toc184308074"/>
      <w:bookmarkEnd w:id="324"/>
      <w:bookmarkStart w:id="325" w:name="_Toc184308038"/>
      <w:bookmarkEnd w:id="325"/>
      <w:bookmarkStart w:id="326" w:name="_Toc184312129"/>
      <w:bookmarkEnd w:id="326"/>
      <w:bookmarkStart w:id="327" w:name="_Toc184313246"/>
      <w:bookmarkEnd w:id="327"/>
      <w:bookmarkStart w:id="328" w:name="_Toc184314420"/>
      <w:bookmarkEnd w:id="328"/>
      <w:bookmarkStart w:id="329" w:name="_Toc184310276"/>
      <w:bookmarkEnd w:id="329"/>
      <w:bookmarkStart w:id="330" w:name="_Toc184308045"/>
      <w:bookmarkEnd w:id="330"/>
      <w:bookmarkStart w:id="331" w:name="_Toc184308076"/>
      <w:bookmarkEnd w:id="331"/>
      <w:bookmarkStart w:id="332" w:name="_Toc184308056"/>
      <w:bookmarkEnd w:id="332"/>
      <w:bookmarkStart w:id="333" w:name="_Toc184310307"/>
      <w:bookmarkEnd w:id="333"/>
      <w:bookmarkStart w:id="334" w:name="_Toc184314477"/>
      <w:bookmarkEnd w:id="334"/>
      <w:bookmarkStart w:id="335" w:name="_Toc184308106"/>
      <w:bookmarkEnd w:id="335"/>
      <w:bookmarkStart w:id="336" w:name="_Toc184308053"/>
      <w:bookmarkEnd w:id="336"/>
      <w:bookmarkStart w:id="337" w:name="_Toc184314475"/>
      <w:bookmarkEnd w:id="337"/>
      <w:bookmarkStart w:id="338" w:name="_Toc184312139"/>
      <w:bookmarkEnd w:id="338"/>
      <w:bookmarkStart w:id="339" w:name="_Toc184314431"/>
      <w:bookmarkEnd w:id="339"/>
      <w:bookmarkStart w:id="340" w:name="_Toc184308042"/>
      <w:bookmarkEnd w:id="340"/>
      <w:bookmarkStart w:id="341" w:name="_Toc184314463"/>
      <w:bookmarkEnd w:id="341"/>
      <w:bookmarkStart w:id="342" w:name="_Toc184314446"/>
      <w:bookmarkEnd w:id="342"/>
      <w:bookmarkStart w:id="343" w:name="_Toc184314432"/>
      <w:bookmarkEnd w:id="343"/>
      <w:bookmarkStart w:id="344" w:name="_Toc184312095"/>
      <w:bookmarkEnd w:id="344"/>
      <w:bookmarkStart w:id="345" w:name="_Toc184314413"/>
      <w:bookmarkEnd w:id="345"/>
      <w:bookmarkStart w:id="346" w:name="_Toc184313275"/>
      <w:bookmarkEnd w:id="346"/>
      <w:bookmarkStart w:id="347" w:name="_Toc184308059"/>
      <w:bookmarkEnd w:id="347"/>
      <w:bookmarkStart w:id="348" w:name="_Toc184310283"/>
      <w:bookmarkEnd w:id="348"/>
      <w:bookmarkStart w:id="349" w:name="_Toc184313245"/>
      <w:bookmarkEnd w:id="349"/>
      <w:bookmarkStart w:id="350" w:name="_Toc184313297"/>
      <w:bookmarkEnd w:id="350"/>
      <w:bookmarkStart w:id="351" w:name="_Toc184310293"/>
      <w:bookmarkEnd w:id="351"/>
      <w:bookmarkStart w:id="352" w:name="_Toc184314436"/>
      <w:bookmarkEnd w:id="352"/>
      <w:bookmarkStart w:id="353" w:name="_Toc184313262"/>
      <w:bookmarkEnd w:id="353"/>
      <w:bookmarkStart w:id="354" w:name="_Toc184312073"/>
      <w:bookmarkEnd w:id="354"/>
      <w:bookmarkStart w:id="355" w:name="_Toc184312078"/>
      <w:bookmarkEnd w:id="355"/>
      <w:bookmarkStart w:id="356" w:name="_Toc184312115"/>
      <w:bookmarkEnd w:id="356"/>
      <w:bookmarkStart w:id="357" w:name="_Toc184308060"/>
      <w:bookmarkEnd w:id="357"/>
      <w:bookmarkStart w:id="358" w:name="_Toc184312097"/>
      <w:bookmarkEnd w:id="358"/>
      <w:bookmarkStart w:id="359" w:name="_Toc184312131"/>
      <w:bookmarkEnd w:id="359"/>
      <w:bookmarkStart w:id="360" w:name="_Toc184310290"/>
      <w:bookmarkEnd w:id="360"/>
      <w:bookmarkStart w:id="361" w:name="_Toc184308072"/>
      <w:bookmarkEnd w:id="361"/>
      <w:bookmarkStart w:id="362" w:name="_Toc184313270"/>
      <w:bookmarkEnd w:id="362"/>
      <w:bookmarkStart w:id="363" w:name="_Toc184313251"/>
      <w:bookmarkEnd w:id="363"/>
      <w:bookmarkStart w:id="364" w:name="_Toc184310281"/>
      <w:bookmarkEnd w:id="364"/>
      <w:bookmarkStart w:id="365" w:name="_Toc184310319"/>
      <w:bookmarkEnd w:id="365"/>
      <w:bookmarkStart w:id="366" w:name="_Toc184308104"/>
      <w:bookmarkEnd w:id="366"/>
      <w:bookmarkStart w:id="367" w:name="_Toc184312119"/>
      <w:bookmarkEnd w:id="367"/>
      <w:bookmarkStart w:id="368" w:name="_Toc184314414"/>
      <w:bookmarkEnd w:id="368"/>
      <w:bookmarkStart w:id="369" w:name="_Toc184314430"/>
      <w:bookmarkEnd w:id="369"/>
      <w:bookmarkStart w:id="370" w:name="_Toc184308036"/>
      <w:bookmarkEnd w:id="370"/>
      <w:bookmarkStart w:id="371" w:name="_Toc184312082"/>
      <w:bookmarkEnd w:id="371"/>
      <w:bookmarkStart w:id="372" w:name="_Toc184308078"/>
      <w:bookmarkEnd w:id="372"/>
      <w:bookmarkStart w:id="373" w:name="_Toc184310277"/>
      <w:bookmarkEnd w:id="373"/>
      <w:bookmarkStart w:id="374" w:name="_Toc184314454"/>
      <w:bookmarkEnd w:id="374"/>
      <w:bookmarkStart w:id="375" w:name="_Toc184314448"/>
      <w:bookmarkEnd w:id="375"/>
      <w:bookmarkStart w:id="376" w:name="_Toc184313265"/>
      <w:bookmarkEnd w:id="376"/>
      <w:bookmarkStart w:id="377" w:name="_Toc184308093"/>
      <w:bookmarkEnd w:id="377"/>
      <w:bookmarkStart w:id="378" w:name="_Toc184313256"/>
      <w:bookmarkEnd w:id="378"/>
      <w:bookmarkStart w:id="379" w:name="_Toc184310338"/>
      <w:bookmarkEnd w:id="379"/>
      <w:bookmarkStart w:id="380" w:name="_Toc184310321"/>
      <w:bookmarkEnd w:id="380"/>
      <w:bookmarkStart w:id="381" w:name="_Toc184312093"/>
      <w:bookmarkEnd w:id="381"/>
      <w:bookmarkStart w:id="382" w:name="_Toc184312091"/>
      <w:bookmarkEnd w:id="382"/>
      <w:bookmarkStart w:id="383" w:name="_Toc184310286"/>
      <w:bookmarkEnd w:id="383"/>
      <w:bookmarkStart w:id="384" w:name="_Toc184308065"/>
      <w:bookmarkEnd w:id="384"/>
      <w:bookmarkStart w:id="385" w:name="_Toc184308073"/>
      <w:bookmarkEnd w:id="385"/>
      <w:bookmarkStart w:id="386" w:name="_Toc184314469"/>
      <w:bookmarkEnd w:id="386"/>
      <w:bookmarkStart w:id="387" w:name="_Toc184308055"/>
      <w:bookmarkEnd w:id="387"/>
      <w:bookmarkStart w:id="388" w:name="_Toc184314457"/>
      <w:bookmarkEnd w:id="388"/>
      <w:bookmarkStart w:id="389" w:name="_Toc184308069"/>
      <w:bookmarkEnd w:id="389"/>
      <w:bookmarkStart w:id="390" w:name="_Toc184308039"/>
      <w:bookmarkEnd w:id="390"/>
      <w:bookmarkStart w:id="391" w:name="_Toc184310316"/>
      <w:bookmarkEnd w:id="391"/>
      <w:bookmarkStart w:id="392" w:name="_Toc184314474"/>
      <w:bookmarkEnd w:id="392"/>
      <w:r>
        <w:rPr>
          <w:rFonts w:hint="eastAsia" w:asciiTheme="minorEastAsia" w:hAnsiTheme="minorEastAsia" w:eastAsiaTheme="minorEastAsia" w:cstheme="minorEastAsia"/>
          <w:b/>
          <w:color w:val="auto"/>
          <w:sz w:val="36"/>
          <w:szCs w:val="36"/>
          <w:highlight w:val="none"/>
        </w:rPr>
        <w:t>评审办法</w:t>
      </w:r>
    </w:p>
    <w:p w14:paraId="734902ED">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4"/>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7442"/>
      </w:tblGrid>
      <w:tr w14:paraId="26583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5FA583D5">
            <w:pPr>
              <w:pageBreakBefore w:val="0"/>
              <w:kinsoku/>
              <w:wordWrap/>
              <w:overflowPunct/>
              <w:topLinePunct w:val="0"/>
              <w:bidi w:val="0"/>
              <w:spacing w:line="360" w:lineRule="auto"/>
              <w:rPr>
                <w:color w:val="auto"/>
                <w:szCs w:val="21"/>
                <w:highlight w:val="none"/>
              </w:rPr>
            </w:pPr>
          </w:p>
        </w:tc>
        <w:tc>
          <w:tcPr>
            <w:tcW w:w="1195" w:type="dxa"/>
            <w:noWrap w:val="0"/>
            <w:vAlign w:val="center"/>
          </w:tcPr>
          <w:p w14:paraId="6A186166">
            <w:pPr>
              <w:pageBreakBefore w:val="0"/>
              <w:kinsoku/>
              <w:wordWrap/>
              <w:overflowPunct/>
              <w:topLinePunct w:val="0"/>
              <w:bidi w:val="0"/>
              <w:spacing w:line="360" w:lineRule="auto"/>
              <w:jc w:val="center"/>
              <w:rPr>
                <w:color w:val="auto"/>
                <w:szCs w:val="21"/>
                <w:highlight w:val="none"/>
              </w:rPr>
            </w:pPr>
            <w:r>
              <w:rPr>
                <w:rFonts w:hint="eastAsia"/>
                <w:color w:val="auto"/>
                <w:highlight w:val="none"/>
              </w:rPr>
              <w:t>项目</w:t>
            </w:r>
          </w:p>
        </w:tc>
        <w:tc>
          <w:tcPr>
            <w:tcW w:w="7442" w:type="dxa"/>
            <w:noWrap w:val="0"/>
            <w:vAlign w:val="center"/>
          </w:tcPr>
          <w:p w14:paraId="3E096240">
            <w:pPr>
              <w:pageBreakBefore w:val="0"/>
              <w:tabs>
                <w:tab w:val="left" w:pos="4915"/>
              </w:tabs>
              <w:kinsoku/>
              <w:wordWrap/>
              <w:overflowPunct/>
              <w:topLinePunct w:val="0"/>
              <w:bidi w:val="0"/>
              <w:spacing w:line="360" w:lineRule="auto"/>
              <w:jc w:val="center"/>
              <w:rPr>
                <w:color w:val="auto"/>
                <w:szCs w:val="21"/>
                <w:highlight w:val="none"/>
              </w:rPr>
            </w:pPr>
            <w:r>
              <w:rPr>
                <w:rFonts w:hint="eastAsia"/>
                <w:color w:val="auto"/>
                <w:highlight w:val="none"/>
              </w:rPr>
              <w:t>评分细则</w:t>
            </w:r>
          </w:p>
        </w:tc>
      </w:tr>
      <w:tr w14:paraId="0264A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748" w:type="dxa"/>
            <w:vMerge w:val="restart"/>
            <w:noWrap w:val="0"/>
            <w:vAlign w:val="center"/>
          </w:tcPr>
          <w:p w14:paraId="1BE3DAE7">
            <w:pPr>
              <w:pageBreakBefore w:val="0"/>
              <w:kinsoku/>
              <w:wordWrap/>
              <w:overflowPunct/>
              <w:topLinePunct w:val="0"/>
              <w:bidi w:val="0"/>
              <w:spacing w:line="360" w:lineRule="auto"/>
              <w:rPr>
                <w:color w:val="auto"/>
                <w:szCs w:val="21"/>
                <w:highlight w:val="none"/>
              </w:rPr>
            </w:pPr>
            <w:r>
              <w:rPr>
                <w:color w:val="auto"/>
                <w:szCs w:val="21"/>
                <w:highlight w:val="none"/>
              </w:rPr>
              <w:t>技术资信</w:t>
            </w:r>
            <w:r>
              <w:rPr>
                <w:rFonts w:hint="eastAsia"/>
                <w:color w:val="auto"/>
                <w:szCs w:val="21"/>
                <w:highlight w:val="none"/>
              </w:rPr>
              <w:t>部分</w:t>
            </w:r>
            <w:r>
              <w:rPr>
                <w:rFonts w:hint="eastAsia"/>
                <w:color w:val="auto"/>
                <w:szCs w:val="21"/>
                <w:highlight w:val="none"/>
                <w:lang w:val="en-US" w:eastAsia="zh-CN"/>
              </w:rPr>
              <w:t>65</w:t>
            </w:r>
            <w:r>
              <w:rPr>
                <w:color w:val="auto"/>
                <w:szCs w:val="21"/>
                <w:highlight w:val="none"/>
              </w:rPr>
              <w:t>分</w:t>
            </w:r>
          </w:p>
        </w:tc>
        <w:tc>
          <w:tcPr>
            <w:tcW w:w="1195" w:type="dxa"/>
            <w:noWrap w:val="0"/>
            <w:vAlign w:val="center"/>
          </w:tcPr>
          <w:p w14:paraId="6EF7C441">
            <w:pPr>
              <w:pageBreakBefore w:val="0"/>
              <w:kinsoku/>
              <w:wordWrap/>
              <w:overflowPunct/>
              <w:topLinePunct w:val="0"/>
              <w:bidi w:val="0"/>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项目主要</w:t>
            </w:r>
            <w:r>
              <w:rPr>
                <w:color w:val="auto"/>
                <w:szCs w:val="21"/>
                <w:highlight w:val="none"/>
              </w:rPr>
              <w:t>技术</w:t>
            </w:r>
            <w:r>
              <w:rPr>
                <w:rFonts w:hint="eastAsia"/>
                <w:color w:val="auto"/>
                <w:szCs w:val="21"/>
                <w:highlight w:val="none"/>
                <w:lang w:val="en-US" w:eastAsia="zh-CN"/>
              </w:rPr>
              <w:t>要求</w:t>
            </w:r>
          </w:p>
          <w:p w14:paraId="2202B9F3">
            <w:pPr>
              <w:pageBreakBefore w:val="0"/>
              <w:kinsoku/>
              <w:wordWrap/>
              <w:overflowPunct/>
              <w:topLinePunct w:val="0"/>
              <w:bidi w:val="0"/>
              <w:spacing w:line="360" w:lineRule="auto"/>
              <w:jc w:val="center"/>
              <w:rPr>
                <w:color w:val="auto"/>
                <w:szCs w:val="21"/>
                <w:highlight w:val="none"/>
              </w:rPr>
            </w:pPr>
            <w:r>
              <w:rPr>
                <w:color w:val="auto"/>
                <w:szCs w:val="21"/>
                <w:highlight w:val="none"/>
              </w:rPr>
              <w:t>响应情况</w:t>
            </w:r>
          </w:p>
          <w:p w14:paraId="0ADDB29A">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13</w:t>
            </w:r>
            <w:r>
              <w:rPr>
                <w:color w:val="auto"/>
                <w:szCs w:val="21"/>
                <w:highlight w:val="none"/>
              </w:rPr>
              <w:t>分）</w:t>
            </w:r>
          </w:p>
        </w:tc>
        <w:tc>
          <w:tcPr>
            <w:tcW w:w="7442" w:type="dxa"/>
            <w:noWrap w:val="0"/>
            <w:vAlign w:val="center"/>
          </w:tcPr>
          <w:p w14:paraId="66DEAAC6">
            <w:pPr>
              <w:pageBreakBefore w:val="0"/>
              <w:numPr>
                <w:ilvl w:val="0"/>
                <w:numId w:val="0"/>
              </w:numPr>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1、项目技术要求</w:t>
            </w:r>
            <w:r>
              <w:rPr>
                <w:rFonts w:hint="eastAsia" w:cs="宋体"/>
                <w:color w:val="auto"/>
                <w:szCs w:val="21"/>
                <w:highlight w:val="none"/>
              </w:rPr>
              <w:t>响应情况（</w:t>
            </w:r>
            <w:r>
              <w:rPr>
                <w:rFonts w:hint="eastAsia" w:cs="宋体"/>
                <w:color w:val="auto"/>
                <w:szCs w:val="21"/>
                <w:highlight w:val="none"/>
                <w:lang w:val="en-US" w:eastAsia="zh-CN"/>
              </w:rPr>
              <w:t>13</w:t>
            </w:r>
            <w:r>
              <w:rPr>
                <w:rFonts w:hint="eastAsia" w:cs="宋体"/>
                <w:color w:val="auto"/>
                <w:szCs w:val="21"/>
                <w:highlight w:val="none"/>
              </w:rPr>
              <w:t>分）</w:t>
            </w:r>
          </w:p>
          <w:p w14:paraId="637A2941">
            <w:pPr>
              <w:pageBreakBefore w:val="0"/>
              <w:numPr>
                <w:ilvl w:val="0"/>
                <w:numId w:val="0"/>
              </w:numPr>
              <w:tabs>
                <w:tab w:val="left" w:pos="4915"/>
              </w:tabs>
              <w:kinsoku/>
              <w:wordWrap/>
              <w:overflowPunct/>
              <w:topLinePunct w:val="0"/>
              <w:bidi w:val="0"/>
              <w:spacing w:line="360" w:lineRule="auto"/>
              <w:rPr>
                <w:rFonts w:hint="default" w:cs="宋体"/>
                <w:color w:val="auto"/>
                <w:szCs w:val="21"/>
                <w:highlight w:val="none"/>
                <w:lang w:val="en-US" w:eastAsia="zh-CN"/>
              </w:rPr>
            </w:pPr>
            <w:r>
              <w:rPr>
                <w:rFonts w:hint="eastAsia" w:ascii="Calibri" w:hAnsi="Calibri" w:eastAsia="宋体" w:cs="宋体"/>
                <w:color w:val="auto"/>
                <w:kern w:val="2"/>
                <w:sz w:val="21"/>
                <w:szCs w:val="21"/>
                <w:highlight w:val="none"/>
                <w:lang w:val="en-US" w:eastAsia="zh-CN" w:bidi="ar-SA"/>
              </w:rPr>
              <w:t>响应文件对“采购文件第三部分采购需求”的响应情况：全部满足采购文件要求的得</w:t>
            </w:r>
            <w:r>
              <w:rPr>
                <w:rFonts w:hint="eastAsia" w:cs="宋体"/>
                <w:color w:val="auto"/>
                <w:kern w:val="2"/>
                <w:sz w:val="21"/>
                <w:szCs w:val="21"/>
                <w:highlight w:val="none"/>
                <w:lang w:val="en-US" w:eastAsia="zh-CN" w:bidi="ar-SA"/>
              </w:rPr>
              <w:t>13</w:t>
            </w:r>
            <w:r>
              <w:rPr>
                <w:rFonts w:hint="eastAsia" w:ascii="Calibri" w:hAnsi="Calibri" w:eastAsia="宋体" w:cs="宋体"/>
                <w:color w:val="auto"/>
                <w:kern w:val="2"/>
                <w:sz w:val="21"/>
                <w:szCs w:val="21"/>
                <w:highlight w:val="none"/>
                <w:lang w:val="en-US" w:eastAsia="zh-CN" w:bidi="ar-SA"/>
              </w:rPr>
              <w:t>分，每负偏离一项扣1分，扣完为止。标有“▲”的</w:t>
            </w:r>
            <w:r>
              <w:rPr>
                <w:rFonts w:hint="eastAsia" w:eastAsia="宋体" w:cs="宋体"/>
                <w:color w:val="auto"/>
                <w:kern w:val="2"/>
                <w:sz w:val="21"/>
                <w:szCs w:val="21"/>
                <w:highlight w:val="none"/>
                <w:lang w:val="en-US" w:eastAsia="zh-CN" w:bidi="ar-SA"/>
              </w:rPr>
              <w:t>服务要求有</w:t>
            </w:r>
            <w:r>
              <w:rPr>
                <w:rFonts w:hint="eastAsia" w:ascii="Calibri" w:hAnsi="Calibri" w:eastAsia="宋体" w:cs="宋体"/>
                <w:color w:val="auto"/>
                <w:kern w:val="2"/>
                <w:sz w:val="21"/>
                <w:szCs w:val="21"/>
                <w:highlight w:val="none"/>
                <w:lang w:val="en-US" w:eastAsia="zh-CN" w:bidi="ar-SA"/>
              </w:rPr>
              <w:t>负偏离</w:t>
            </w:r>
            <w:r>
              <w:rPr>
                <w:rFonts w:hint="eastAsia" w:eastAsia="宋体" w:cs="宋体"/>
                <w:color w:val="auto"/>
                <w:kern w:val="2"/>
                <w:sz w:val="21"/>
                <w:szCs w:val="21"/>
                <w:highlight w:val="none"/>
                <w:lang w:val="en-US" w:eastAsia="zh-CN" w:bidi="ar-SA"/>
              </w:rPr>
              <w:t>的</w:t>
            </w:r>
            <w:r>
              <w:rPr>
                <w:rFonts w:hint="eastAsia" w:ascii="Calibri" w:hAnsi="Calibri" w:eastAsia="宋体" w:cs="宋体"/>
                <w:color w:val="auto"/>
                <w:kern w:val="2"/>
                <w:sz w:val="21"/>
                <w:szCs w:val="21"/>
                <w:highlight w:val="none"/>
                <w:lang w:val="en-US" w:eastAsia="zh-CN" w:bidi="ar-SA"/>
              </w:rPr>
              <w:t>作无效标处理。</w:t>
            </w:r>
          </w:p>
        </w:tc>
      </w:tr>
      <w:tr w14:paraId="013A6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748" w:type="dxa"/>
            <w:vMerge w:val="continue"/>
            <w:noWrap w:val="0"/>
            <w:vAlign w:val="center"/>
          </w:tcPr>
          <w:p w14:paraId="0C34F074">
            <w:pPr>
              <w:pageBreakBefore w:val="0"/>
              <w:widowControl/>
              <w:kinsoku/>
              <w:wordWrap/>
              <w:overflowPunct/>
              <w:topLinePunct w:val="0"/>
              <w:bidi w:val="0"/>
              <w:spacing w:line="360" w:lineRule="auto"/>
              <w:jc w:val="left"/>
              <w:rPr>
                <w:color w:val="auto"/>
                <w:szCs w:val="21"/>
                <w:highlight w:val="none"/>
              </w:rPr>
            </w:pPr>
          </w:p>
        </w:tc>
        <w:tc>
          <w:tcPr>
            <w:tcW w:w="1195" w:type="dxa"/>
            <w:vMerge w:val="restart"/>
            <w:noWrap w:val="0"/>
            <w:vAlign w:val="center"/>
          </w:tcPr>
          <w:p w14:paraId="2A7591C6">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施工组织方案</w:t>
            </w:r>
          </w:p>
          <w:p w14:paraId="13375573">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rPr>
              <w:t>3</w:t>
            </w:r>
            <w:r>
              <w:rPr>
                <w:rFonts w:hint="eastAsia"/>
                <w:color w:val="auto"/>
                <w:szCs w:val="21"/>
                <w:highlight w:val="none"/>
                <w:lang w:val="en-US" w:eastAsia="zh-CN"/>
              </w:rPr>
              <w:t>5</w:t>
            </w:r>
            <w:r>
              <w:rPr>
                <w:color w:val="auto"/>
                <w:szCs w:val="21"/>
                <w:highlight w:val="none"/>
              </w:rPr>
              <w:t>分）</w:t>
            </w:r>
          </w:p>
        </w:tc>
        <w:tc>
          <w:tcPr>
            <w:tcW w:w="7442" w:type="dxa"/>
            <w:noWrap w:val="0"/>
            <w:vAlign w:val="center"/>
          </w:tcPr>
          <w:p w14:paraId="076F980C">
            <w:pPr>
              <w:pageBreakBefore w:val="0"/>
              <w:numPr>
                <w:ilvl w:val="0"/>
                <w:numId w:val="4"/>
              </w:numPr>
              <w:tabs>
                <w:tab w:val="left" w:pos="4915"/>
              </w:tabs>
              <w:kinsoku/>
              <w:wordWrap/>
              <w:overflowPunct/>
              <w:topLinePunct w:val="0"/>
              <w:bidi w:val="0"/>
              <w:spacing w:line="360" w:lineRule="auto"/>
              <w:rPr>
                <w:rFonts w:hint="eastAsia" w:cs="宋体"/>
                <w:color w:val="auto"/>
                <w:szCs w:val="21"/>
                <w:highlight w:val="none"/>
                <w:lang w:val="en-US" w:eastAsia="zh-CN"/>
              </w:rPr>
            </w:pPr>
            <w:r>
              <w:rPr>
                <w:rFonts w:hint="eastAsia" w:cs="宋体"/>
                <w:color w:val="auto"/>
                <w:szCs w:val="21"/>
                <w:highlight w:val="none"/>
                <w:lang w:val="en-US" w:eastAsia="zh-CN"/>
              </w:rPr>
              <w:t>项目背景调查（5分）</w:t>
            </w:r>
          </w:p>
          <w:p w14:paraId="7298C1A3">
            <w:pPr>
              <w:pageBreakBefore w:val="0"/>
              <w:numPr>
                <w:ilvl w:val="0"/>
                <w:numId w:val="0"/>
              </w:numPr>
              <w:tabs>
                <w:tab w:val="left" w:pos="4915"/>
              </w:tabs>
              <w:kinsoku/>
              <w:wordWrap/>
              <w:overflowPunct/>
              <w:topLinePunct w:val="0"/>
              <w:bidi w:val="0"/>
              <w:spacing w:line="360" w:lineRule="auto"/>
              <w:rPr>
                <w:rFonts w:hint="default" w:eastAsia="宋体" w:cs="宋体"/>
                <w:color w:val="auto"/>
                <w:szCs w:val="21"/>
                <w:highlight w:val="none"/>
                <w:lang w:val="en-US" w:eastAsia="zh-CN"/>
              </w:rPr>
            </w:pPr>
            <w:r>
              <w:rPr>
                <w:rFonts w:hint="eastAsia" w:cs="宋体"/>
                <w:color w:val="auto"/>
                <w:szCs w:val="21"/>
                <w:highlight w:val="none"/>
              </w:rPr>
              <w:t>评委对</w:t>
            </w:r>
            <w:r>
              <w:rPr>
                <w:rFonts w:hint="eastAsia" w:cs="宋体"/>
                <w:color w:val="auto"/>
                <w:szCs w:val="21"/>
                <w:highlight w:val="none"/>
                <w:lang w:val="en-US" w:eastAsia="zh-CN"/>
              </w:rPr>
              <w:t>供应商根据目前项目情况所进行的调查和分析</w:t>
            </w:r>
            <w:r>
              <w:rPr>
                <w:rFonts w:hint="eastAsia" w:cs="宋体"/>
                <w:color w:val="auto"/>
                <w:szCs w:val="21"/>
                <w:highlight w:val="none"/>
              </w:rPr>
              <w:t>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调查充分、分析全面</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调查不够充分、分析不够全面</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05CB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748" w:type="dxa"/>
            <w:vMerge w:val="continue"/>
            <w:noWrap w:val="0"/>
            <w:vAlign w:val="center"/>
          </w:tcPr>
          <w:p w14:paraId="1FAAFEC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53F87BDE">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7EB7168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施工组织方案</w:t>
            </w:r>
            <w:r>
              <w:rPr>
                <w:rFonts w:hint="eastAsia" w:cs="宋体"/>
                <w:color w:val="auto"/>
                <w:szCs w:val="21"/>
                <w:highlight w:val="none"/>
                <w:lang w:val="en-US" w:eastAsia="zh-CN"/>
              </w:rPr>
              <w:t>实施</w:t>
            </w:r>
            <w:r>
              <w:rPr>
                <w:rFonts w:hint="eastAsia" w:cs="宋体"/>
                <w:color w:val="auto"/>
                <w:szCs w:val="21"/>
                <w:highlight w:val="none"/>
              </w:rPr>
              <w:t>（5分）</w:t>
            </w:r>
          </w:p>
          <w:p w14:paraId="37A84544">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评委对整体施工组织方案进行综合评议并打分：方案完全符合本项目需求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工程关键节点分析准确、把控得当</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工程关键节点把控不够明确</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951C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noWrap w:val="0"/>
            <w:vAlign w:val="center"/>
          </w:tcPr>
          <w:p w14:paraId="36C904E6">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1DB17A2E">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4F6C1D49">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4、</w:t>
            </w:r>
            <w:r>
              <w:rPr>
                <w:rFonts w:hint="eastAsia" w:cs="宋体"/>
                <w:color w:val="auto"/>
                <w:szCs w:val="21"/>
                <w:highlight w:val="none"/>
              </w:rPr>
              <w:t>工程质量保证措施（5分）</w:t>
            </w:r>
          </w:p>
          <w:p w14:paraId="43CE4316">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评委对工程质量保证措施进行综合评议并打分：</w:t>
            </w:r>
            <w:r>
              <w:rPr>
                <w:rFonts w:hint="eastAsia" w:cs="宋体"/>
                <w:color w:val="auto"/>
                <w:szCs w:val="21"/>
                <w:highlight w:val="none"/>
                <w:lang w:val="en-US" w:eastAsia="zh-CN"/>
              </w:rPr>
              <w:t>各项保证</w:t>
            </w:r>
            <w:r>
              <w:rPr>
                <w:rFonts w:hint="eastAsia" w:cs="宋体"/>
                <w:color w:val="auto"/>
                <w:szCs w:val="21"/>
                <w:highlight w:val="none"/>
              </w:rPr>
              <w:t>措施有力</w:t>
            </w:r>
            <w:r>
              <w:rPr>
                <w:rFonts w:hint="eastAsia" w:cs="宋体"/>
                <w:color w:val="auto"/>
                <w:szCs w:val="21"/>
                <w:highlight w:val="none"/>
                <w:lang w:eastAsia="zh-CN"/>
              </w:rPr>
              <w:t>、</w:t>
            </w:r>
            <w:r>
              <w:rPr>
                <w:rFonts w:hint="eastAsia" w:cs="宋体"/>
                <w:color w:val="auto"/>
                <w:szCs w:val="21"/>
                <w:highlight w:val="none"/>
                <w:lang w:val="en-US" w:eastAsia="zh-CN"/>
              </w:rPr>
              <w:t>符合行业规范</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上有主体内容的缺项</w:t>
            </w:r>
            <w:r>
              <w:rPr>
                <w:rFonts w:hint="eastAsia" w:cs="宋体"/>
                <w:color w:val="auto"/>
                <w:szCs w:val="21"/>
                <w:highlight w:val="none"/>
              </w:rPr>
              <w:t>或缺少具体</w:t>
            </w:r>
            <w:r>
              <w:rPr>
                <w:rFonts w:hint="eastAsia" w:cs="宋体"/>
                <w:color w:val="auto"/>
                <w:szCs w:val="21"/>
                <w:highlight w:val="none"/>
                <w:lang w:val="en-US" w:eastAsia="zh-CN"/>
              </w:rPr>
              <w:t>有效的保证措施</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保证满足项目需求的得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FDCF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noWrap w:val="0"/>
            <w:vAlign w:val="center"/>
          </w:tcPr>
          <w:p w14:paraId="4E1F5D37">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0374092">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3AB9AB41">
            <w:pPr>
              <w:keepNext w:val="0"/>
              <w:keepLines w:val="0"/>
              <w:pageBreakBefore w:val="0"/>
              <w:widowControl w:val="0"/>
              <w:tabs>
                <w:tab w:val="left" w:pos="4915"/>
              </w:tabs>
              <w:kinsoku/>
              <w:wordWrap/>
              <w:overflowPunct/>
              <w:topLinePunct w:val="0"/>
              <w:autoSpaceDE/>
              <w:autoSpaceDN/>
              <w:bidi w:val="0"/>
              <w:adjustRightInd/>
              <w:snapToGrid/>
              <w:spacing w:line="400" w:lineRule="exact"/>
              <w:textAlignment w:val="auto"/>
              <w:rPr>
                <w:rFonts w:hint="eastAsia" w:cs="宋体"/>
                <w:color w:val="auto"/>
                <w:szCs w:val="21"/>
                <w:highlight w:val="none"/>
              </w:rPr>
            </w:pPr>
            <w:r>
              <w:rPr>
                <w:rFonts w:hint="eastAsia" w:cs="宋体"/>
                <w:color w:val="auto"/>
                <w:szCs w:val="21"/>
                <w:highlight w:val="none"/>
                <w:lang w:val="en-US" w:eastAsia="zh-CN"/>
              </w:rPr>
              <w:t>5、</w:t>
            </w:r>
            <w:r>
              <w:rPr>
                <w:rFonts w:hint="eastAsia" w:cs="宋体"/>
                <w:color w:val="auto"/>
                <w:szCs w:val="21"/>
                <w:highlight w:val="none"/>
              </w:rPr>
              <w:t>施工进度管理与控制（5分）</w:t>
            </w:r>
          </w:p>
          <w:p w14:paraId="23A92698">
            <w:pPr>
              <w:keepNext w:val="0"/>
              <w:keepLines w:val="0"/>
              <w:pageBreakBefore w:val="0"/>
              <w:widowControl w:val="0"/>
              <w:tabs>
                <w:tab w:val="left" w:pos="4915"/>
              </w:tabs>
              <w:kinsoku/>
              <w:wordWrap/>
              <w:overflowPunct/>
              <w:topLinePunct w:val="0"/>
              <w:autoSpaceDE/>
              <w:autoSpaceDN/>
              <w:bidi w:val="0"/>
              <w:adjustRightInd/>
              <w:snapToGrid/>
              <w:spacing w:line="400" w:lineRule="exact"/>
              <w:textAlignment w:val="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评委对施工进度管理与控制进行综合评议并打分：</w:t>
            </w:r>
            <w:r>
              <w:rPr>
                <w:rFonts w:hint="eastAsia" w:cs="宋体"/>
                <w:color w:val="auto"/>
                <w:szCs w:val="21"/>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8C18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48" w:type="dxa"/>
            <w:vMerge w:val="continue"/>
            <w:noWrap w:val="0"/>
            <w:vAlign w:val="center"/>
          </w:tcPr>
          <w:p w14:paraId="15FD7D87">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1A00AA6">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18B9EEE0">
            <w:pPr>
              <w:keepNext w:val="0"/>
              <w:keepLines w:val="0"/>
              <w:pageBreakBefore w:val="0"/>
              <w:widowControl w:val="0"/>
              <w:tabs>
                <w:tab w:val="left" w:pos="4915"/>
              </w:tabs>
              <w:kinsoku/>
              <w:wordWrap/>
              <w:overflowPunct/>
              <w:topLinePunct w:val="0"/>
              <w:autoSpaceDE/>
              <w:autoSpaceDN/>
              <w:bidi w:val="0"/>
              <w:adjustRightInd/>
              <w:snapToGrid/>
              <w:spacing w:line="400" w:lineRule="exact"/>
              <w:textAlignment w:val="auto"/>
              <w:rPr>
                <w:rFonts w:hint="eastAsia"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安全生产、文明施工措施（5分）</w:t>
            </w:r>
          </w:p>
          <w:p w14:paraId="4035398C">
            <w:pPr>
              <w:keepNext w:val="0"/>
              <w:keepLines w:val="0"/>
              <w:pageBreakBefore w:val="0"/>
              <w:widowControl w:val="0"/>
              <w:tabs>
                <w:tab w:val="left" w:pos="4915"/>
              </w:tabs>
              <w:kinsoku/>
              <w:wordWrap/>
              <w:overflowPunct/>
              <w:topLinePunct w:val="0"/>
              <w:autoSpaceDE/>
              <w:autoSpaceDN/>
              <w:bidi w:val="0"/>
              <w:adjustRightInd/>
              <w:snapToGrid/>
              <w:spacing w:line="400" w:lineRule="exact"/>
              <w:textAlignment w:val="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评委对安全生产、文明施工措施进行综合评议并打分：</w:t>
            </w:r>
            <w:r>
              <w:rPr>
                <w:rFonts w:hint="eastAsia" w:cs="宋体"/>
                <w:color w:val="auto"/>
                <w:szCs w:val="21"/>
                <w:highlight w:val="none"/>
                <w:lang w:val="en-US" w:eastAsia="zh-CN"/>
              </w:rPr>
              <w:t>对施工噪音、施工震动、施工扬尘等防治</w:t>
            </w:r>
            <w:r>
              <w:rPr>
                <w:rFonts w:hint="eastAsia" w:cs="宋体"/>
                <w:color w:val="auto"/>
                <w:szCs w:val="21"/>
                <w:highlight w:val="none"/>
              </w:rPr>
              <w:t>措施</w:t>
            </w:r>
            <w:r>
              <w:rPr>
                <w:rFonts w:hint="eastAsia" w:cs="宋体"/>
                <w:color w:val="auto"/>
                <w:szCs w:val="21"/>
                <w:highlight w:val="none"/>
                <w:lang w:val="en-US" w:eastAsia="zh-CN"/>
              </w:rPr>
              <w:t>具体有效</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w:t>
            </w:r>
            <w:r>
              <w:rPr>
                <w:rFonts w:hint="eastAsia" w:cs="宋体"/>
                <w:color w:val="auto"/>
                <w:szCs w:val="21"/>
                <w:highlight w:val="none"/>
                <w:lang w:val="en-US" w:eastAsia="zh-CN"/>
              </w:rPr>
              <w:t>存在细节</w:t>
            </w:r>
            <w:r>
              <w:rPr>
                <w:rFonts w:hint="eastAsia" w:cs="宋体"/>
                <w:color w:val="auto"/>
                <w:szCs w:val="21"/>
                <w:highlight w:val="none"/>
              </w:rPr>
              <w:t>部分欠缺，</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有缺项</w:t>
            </w:r>
            <w:r>
              <w:rPr>
                <w:rFonts w:hint="eastAsia" w:cs="宋体"/>
                <w:color w:val="auto"/>
                <w:szCs w:val="21"/>
                <w:highlight w:val="none"/>
              </w:rPr>
              <w:t>或缺少</w:t>
            </w:r>
            <w:r>
              <w:rPr>
                <w:rFonts w:hint="eastAsia" w:cs="宋体"/>
                <w:color w:val="auto"/>
                <w:szCs w:val="21"/>
                <w:highlight w:val="none"/>
                <w:lang w:val="en-US" w:eastAsia="zh-CN"/>
              </w:rPr>
              <w:t>有效防治手段</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2EAD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48" w:type="dxa"/>
            <w:vMerge w:val="continue"/>
            <w:noWrap w:val="0"/>
            <w:vAlign w:val="center"/>
          </w:tcPr>
          <w:p w14:paraId="5FE0CB1E">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03B67FB">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69A661B3">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eastAsia="宋体" w:cs="Times New Roman"/>
                <w:color w:val="auto"/>
                <w:szCs w:val="21"/>
                <w:highlight w:val="none"/>
                <w:lang w:val="en-US" w:eastAsia="zh-CN"/>
              </w:rPr>
            </w:pPr>
            <w:r>
              <w:rPr>
                <w:rFonts w:hint="eastAsia" w:eastAsia="宋体" w:cs="Times New Roman"/>
                <w:color w:val="auto"/>
                <w:szCs w:val="21"/>
                <w:highlight w:val="none"/>
                <w:lang w:val="en-US" w:eastAsia="zh-CN"/>
              </w:rPr>
              <w:t>7、环保管理体系和措施（5分）</w:t>
            </w:r>
          </w:p>
          <w:p w14:paraId="030732DC">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ascii="Times New Roman" w:hAnsi="Times New Roman" w:eastAsia="宋体" w:cs="宋体"/>
                <w:color w:val="auto"/>
                <w:kern w:val="2"/>
                <w:sz w:val="21"/>
                <w:szCs w:val="21"/>
                <w:highlight w:val="none"/>
                <w:lang w:val="en-US" w:eastAsia="zh-CN" w:bidi="ar-SA"/>
              </w:rPr>
            </w:pPr>
            <w:r>
              <w:rPr>
                <w:rFonts w:hint="eastAsia" w:eastAsia="宋体" w:cs="Times New Roman"/>
                <w:color w:val="auto"/>
                <w:szCs w:val="21"/>
                <w:highlight w:val="none"/>
                <w:lang w:val="en-US" w:eastAsia="zh-CN"/>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的得0分。</w:t>
            </w:r>
          </w:p>
        </w:tc>
      </w:tr>
      <w:tr w14:paraId="67CF9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48" w:type="dxa"/>
            <w:vMerge w:val="continue"/>
            <w:noWrap w:val="0"/>
            <w:vAlign w:val="center"/>
          </w:tcPr>
          <w:p w14:paraId="05C3360E">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233D6394">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24D58E08">
            <w:pPr>
              <w:keepNext w:val="0"/>
              <w:keepLines w:val="0"/>
              <w:pageBreakBefore w:val="0"/>
              <w:widowControl w:val="0"/>
              <w:tabs>
                <w:tab w:val="left" w:pos="4915"/>
              </w:tabs>
              <w:kinsoku/>
              <w:wordWrap/>
              <w:overflowPunct/>
              <w:topLinePunct w:val="0"/>
              <w:autoSpaceDE/>
              <w:autoSpaceDN/>
              <w:bidi w:val="0"/>
              <w:adjustRightInd/>
              <w:snapToGrid/>
              <w:spacing w:line="396" w:lineRule="exact"/>
              <w:textAlignment w:val="auto"/>
              <w:rPr>
                <w:rFonts w:hint="eastAsia" w:cs="宋体"/>
                <w:color w:val="auto"/>
                <w:szCs w:val="21"/>
                <w:highlight w:val="none"/>
                <w:lang w:val="en-US" w:eastAsia="zh-CN"/>
              </w:rPr>
            </w:pPr>
            <w:r>
              <w:rPr>
                <w:rFonts w:hint="eastAsia" w:cs="宋体"/>
                <w:color w:val="auto"/>
                <w:szCs w:val="21"/>
                <w:highlight w:val="none"/>
                <w:lang w:val="en-US" w:eastAsia="zh-CN"/>
              </w:rPr>
              <w:t>8、重难点分析及解决方案（5分）</w:t>
            </w:r>
          </w:p>
          <w:p w14:paraId="2006AA5D">
            <w:pPr>
              <w:keepNext w:val="0"/>
              <w:keepLines w:val="0"/>
              <w:pageBreakBefore w:val="0"/>
              <w:widowControl w:val="0"/>
              <w:tabs>
                <w:tab w:val="left" w:pos="4915"/>
              </w:tabs>
              <w:kinsoku/>
              <w:wordWrap/>
              <w:overflowPunct/>
              <w:topLinePunct w:val="0"/>
              <w:autoSpaceDE/>
              <w:autoSpaceDN/>
              <w:bidi w:val="0"/>
              <w:adjustRightInd/>
              <w:snapToGrid/>
              <w:spacing w:line="396" w:lineRule="exact"/>
              <w:textAlignment w:val="auto"/>
              <w:rPr>
                <w:rFonts w:hint="eastAsia" w:eastAsia="宋体" w:cs="宋体"/>
                <w:color w:val="auto"/>
                <w:szCs w:val="21"/>
                <w:highlight w:val="none"/>
                <w:lang w:val="en-US" w:eastAsia="zh-CN"/>
              </w:rPr>
            </w:pPr>
            <w:r>
              <w:rPr>
                <w:rFonts w:hint="eastAsia" w:cs="宋体"/>
                <w:color w:val="auto"/>
                <w:szCs w:val="21"/>
                <w:highlight w:val="none"/>
                <w:lang w:val="en-US" w:eastAsia="zh-CN"/>
              </w:rPr>
              <w:t>根据投标人提供的重难点分析及解决方案进行评议：重难点分析内容详细、科学、合理，解决措施完善且具有较强的操作性得5分；重难点分析内容细节部分欠缺，解决措施操作性一般的得3分；重难点分析内容有明显的不合理处、操作性差难以保证项目实施的得1分；未提供的得0分</w:t>
            </w:r>
            <w:r>
              <w:rPr>
                <w:rFonts w:hint="eastAsia" w:cs="宋体"/>
                <w:color w:val="auto"/>
                <w:szCs w:val="21"/>
                <w:highlight w:val="none"/>
              </w:rPr>
              <w:t>。</w:t>
            </w:r>
          </w:p>
        </w:tc>
      </w:tr>
      <w:tr w14:paraId="25BAB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748" w:type="dxa"/>
            <w:vMerge w:val="continue"/>
            <w:noWrap w:val="0"/>
            <w:vAlign w:val="center"/>
          </w:tcPr>
          <w:p w14:paraId="0795D857">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11359784">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项目团队（</w:t>
            </w:r>
            <w:r>
              <w:rPr>
                <w:rFonts w:hint="eastAsia"/>
                <w:color w:val="auto"/>
                <w:szCs w:val="21"/>
                <w:highlight w:val="none"/>
                <w:lang w:val="en-US" w:eastAsia="zh-CN"/>
              </w:rPr>
              <w:t>5</w:t>
            </w:r>
            <w:r>
              <w:rPr>
                <w:rFonts w:hint="eastAsia"/>
                <w:color w:val="auto"/>
                <w:szCs w:val="21"/>
                <w:highlight w:val="none"/>
              </w:rPr>
              <w:t>分）</w:t>
            </w:r>
          </w:p>
        </w:tc>
        <w:tc>
          <w:tcPr>
            <w:tcW w:w="7442" w:type="dxa"/>
            <w:noWrap w:val="0"/>
            <w:vAlign w:val="center"/>
          </w:tcPr>
          <w:p w14:paraId="2BA4E46A">
            <w:pPr>
              <w:keepNext w:val="0"/>
              <w:keepLines w:val="0"/>
              <w:pageBreakBefore w:val="0"/>
              <w:widowControl w:val="0"/>
              <w:tabs>
                <w:tab w:val="left" w:pos="4915"/>
              </w:tabs>
              <w:kinsoku/>
              <w:wordWrap/>
              <w:overflowPunct/>
              <w:topLinePunct w:val="0"/>
              <w:autoSpaceDE/>
              <w:autoSpaceDN/>
              <w:bidi w:val="0"/>
              <w:adjustRightInd/>
              <w:snapToGrid/>
              <w:spacing w:line="396" w:lineRule="exact"/>
              <w:textAlignment w:val="auto"/>
              <w:rPr>
                <w:rFonts w:hint="eastAsia" w:cs="宋体"/>
                <w:color w:val="auto"/>
                <w:szCs w:val="21"/>
                <w:highlight w:val="none"/>
              </w:rPr>
            </w:pPr>
            <w:r>
              <w:rPr>
                <w:rFonts w:hint="eastAsia" w:cs="宋体"/>
                <w:color w:val="auto"/>
                <w:szCs w:val="21"/>
                <w:highlight w:val="none"/>
                <w:lang w:val="en-US" w:eastAsia="zh-CN"/>
              </w:rPr>
              <w:t>9、</w:t>
            </w:r>
            <w:r>
              <w:rPr>
                <w:rFonts w:hint="eastAsia" w:cs="宋体"/>
                <w:color w:val="auto"/>
                <w:szCs w:val="21"/>
                <w:highlight w:val="none"/>
              </w:rPr>
              <w:t>其他施工人员配备（</w:t>
            </w:r>
            <w:r>
              <w:rPr>
                <w:rFonts w:hint="eastAsia" w:cs="宋体"/>
                <w:color w:val="auto"/>
                <w:szCs w:val="21"/>
                <w:highlight w:val="none"/>
                <w:lang w:val="en-US" w:eastAsia="zh-CN"/>
              </w:rPr>
              <w:t>5</w:t>
            </w:r>
            <w:r>
              <w:rPr>
                <w:rFonts w:hint="eastAsia" w:cs="宋体"/>
                <w:color w:val="auto"/>
                <w:szCs w:val="21"/>
                <w:highlight w:val="none"/>
              </w:rPr>
              <w:t>分）</w:t>
            </w:r>
          </w:p>
          <w:p w14:paraId="1BB842AF">
            <w:pPr>
              <w:keepNext w:val="0"/>
              <w:keepLines w:val="0"/>
              <w:pageBreakBefore w:val="0"/>
              <w:widowControl w:val="0"/>
              <w:tabs>
                <w:tab w:val="left" w:pos="4915"/>
              </w:tabs>
              <w:kinsoku/>
              <w:wordWrap/>
              <w:overflowPunct/>
              <w:topLinePunct w:val="0"/>
              <w:autoSpaceDE/>
              <w:autoSpaceDN/>
              <w:bidi w:val="0"/>
              <w:adjustRightInd/>
              <w:snapToGrid/>
              <w:spacing w:line="396" w:lineRule="exact"/>
              <w:textAlignment w:val="auto"/>
              <w:rPr>
                <w:rFonts w:hint="eastAsia" w:cs="宋体"/>
                <w:color w:val="auto"/>
                <w:szCs w:val="21"/>
                <w:highlight w:val="none"/>
              </w:rPr>
            </w:pPr>
            <w:r>
              <w:rPr>
                <w:rFonts w:hint="eastAsia" w:cs="宋体"/>
                <w:color w:val="auto"/>
                <w:szCs w:val="21"/>
                <w:highlight w:val="none"/>
              </w:rPr>
              <w:t>评委对其他施工人员配备进行综合评议并打分：人员配置</w:t>
            </w:r>
            <w:r>
              <w:rPr>
                <w:rFonts w:hint="eastAsia" w:cs="宋体"/>
                <w:color w:val="auto"/>
                <w:szCs w:val="21"/>
                <w:highlight w:val="none"/>
                <w:lang w:val="en-US" w:eastAsia="zh-CN"/>
              </w:rPr>
              <w:t>满足</w:t>
            </w:r>
            <w:r>
              <w:rPr>
                <w:rFonts w:hint="eastAsia" w:cs="宋体"/>
                <w:color w:val="auto"/>
                <w:szCs w:val="21"/>
                <w:highlight w:val="none"/>
              </w:rPr>
              <w:t>项目需求、人员经过</w:t>
            </w:r>
            <w:r>
              <w:rPr>
                <w:rFonts w:hint="eastAsia" w:cs="宋体"/>
                <w:color w:val="auto"/>
                <w:szCs w:val="21"/>
                <w:highlight w:val="none"/>
                <w:lang w:val="en-US" w:eastAsia="zh-CN"/>
              </w:rPr>
              <w:t>规范</w:t>
            </w:r>
            <w:r>
              <w:rPr>
                <w:rFonts w:hint="eastAsia" w:cs="宋体"/>
                <w:color w:val="auto"/>
                <w:szCs w:val="21"/>
                <w:highlight w:val="none"/>
              </w:rPr>
              <w:t>的上岗前培训</w:t>
            </w:r>
            <w:r>
              <w:rPr>
                <w:rFonts w:hint="eastAsia" w:cs="宋体"/>
                <w:color w:val="auto"/>
                <w:szCs w:val="21"/>
                <w:highlight w:val="none"/>
                <w:lang w:val="en-US" w:eastAsia="zh-CN"/>
              </w:rPr>
              <w:t>并考试合格</w:t>
            </w:r>
            <w:r>
              <w:rPr>
                <w:rFonts w:hint="eastAsia" w:cs="宋体"/>
                <w:color w:val="auto"/>
                <w:szCs w:val="21"/>
                <w:highlight w:val="none"/>
              </w:rPr>
              <w:t>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人员配置满足项目需求的、上岗培训不足的得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w:t>
            </w:r>
            <w:r>
              <w:rPr>
                <w:rFonts w:hint="eastAsia" w:cs="宋体"/>
                <w:color w:val="auto"/>
                <w:szCs w:val="21"/>
                <w:highlight w:val="none"/>
                <w:lang w:val="en-US" w:eastAsia="zh-CN"/>
              </w:rPr>
              <w:t>难以</w:t>
            </w:r>
            <w:r>
              <w:rPr>
                <w:rFonts w:hint="eastAsia" w:cs="宋体"/>
                <w:color w:val="auto"/>
                <w:szCs w:val="21"/>
                <w:highlight w:val="none"/>
              </w:rPr>
              <w:t>满足项目需求、或未经上岗前培训的得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A143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748" w:type="dxa"/>
            <w:vMerge w:val="continue"/>
            <w:noWrap w:val="0"/>
            <w:vAlign w:val="center"/>
          </w:tcPr>
          <w:p w14:paraId="375A907A">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E9116CE">
            <w:pPr>
              <w:pageBreakBefore w:val="0"/>
              <w:kinsoku/>
              <w:wordWrap/>
              <w:overflowPunct/>
              <w:topLinePunct w:val="0"/>
              <w:bidi w:val="0"/>
              <w:spacing w:line="360" w:lineRule="auto"/>
              <w:rPr>
                <w:rFonts w:ascii="Calibri" w:hAnsi="Calibri" w:cs="Calibri"/>
                <w:color w:val="auto"/>
                <w:szCs w:val="21"/>
                <w:highlight w:val="none"/>
              </w:rPr>
            </w:pPr>
            <w:r>
              <w:rPr>
                <w:rFonts w:hint="eastAsia" w:ascii="Calibri" w:hAnsi="Calibri" w:cs="Calibri"/>
                <w:color w:val="auto"/>
                <w:szCs w:val="21"/>
                <w:highlight w:val="none"/>
              </w:rPr>
              <w:t>售后服务方案（</w:t>
            </w:r>
            <w:r>
              <w:rPr>
                <w:rFonts w:hint="eastAsia" w:ascii="Calibri" w:hAnsi="Calibri" w:cs="Calibri"/>
                <w:color w:val="auto"/>
                <w:szCs w:val="21"/>
                <w:highlight w:val="none"/>
                <w:lang w:val="en-US" w:eastAsia="zh-CN"/>
              </w:rPr>
              <w:t>5</w:t>
            </w:r>
            <w:r>
              <w:rPr>
                <w:rFonts w:hint="eastAsia" w:ascii="Calibri" w:hAnsi="Calibri" w:cs="Calibri"/>
                <w:color w:val="auto"/>
                <w:szCs w:val="21"/>
                <w:highlight w:val="none"/>
              </w:rPr>
              <w:t>分）</w:t>
            </w:r>
          </w:p>
        </w:tc>
        <w:tc>
          <w:tcPr>
            <w:tcW w:w="7442" w:type="dxa"/>
            <w:noWrap w:val="0"/>
            <w:vAlign w:val="center"/>
          </w:tcPr>
          <w:p w14:paraId="64CC528A">
            <w:pPr>
              <w:keepNext w:val="0"/>
              <w:keepLines w:val="0"/>
              <w:pageBreakBefore w:val="0"/>
              <w:widowControl w:val="0"/>
              <w:tabs>
                <w:tab w:val="left" w:pos="4915"/>
              </w:tabs>
              <w:kinsoku/>
              <w:wordWrap/>
              <w:overflowPunct/>
              <w:topLinePunct w:val="0"/>
              <w:autoSpaceDE/>
              <w:autoSpaceDN/>
              <w:bidi w:val="0"/>
              <w:adjustRightInd/>
              <w:snapToGrid/>
              <w:spacing w:line="396" w:lineRule="exact"/>
              <w:textAlignment w:val="auto"/>
              <w:rPr>
                <w:rFonts w:hint="eastAsia" w:cs="宋体"/>
                <w:color w:val="auto"/>
                <w:szCs w:val="21"/>
                <w:highlight w:val="none"/>
              </w:rPr>
            </w:pPr>
            <w:r>
              <w:rPr>
                <w:rFonts w:hint="eastAsia" w:cs="Calibri"/>
                <w:color w:val="auto"/>
                <w:szCs w:val="21"/>
                <w:highlight w:val="none"/>
                <w:lang w:val="en-US" w:eastAsia="zh-CN"/>
              </w:rPr>
              <w:t>10</w:t>
            </w:r>
            <w:r>
              <w:rPr>
                <w:rFonts w:hint="eastAsia" w:ascii="Calibri" w:hAnsi="Calibri" w:cs="Calibri"/>
                <w:color w:val="auto"/>
                <w:szCs w:val="21"/>
                <w:highlight w:val="none"/>
                <w:lang w:val="en-US" w:eastAsia="zh-CN"/>
              </w:rPr>
              <w:t>、</w:t>
            </w:r>
            <w:r>
              <w:rPr>
                <w:rFonts w:hint="eastAsia" w:ascii="Calibri" w:hAnsi="Calibri" w:cs="Calibri"/>
                <w:color w:val="auto"/>
                <w:szCs w:val="21"/>
                <w:highlight w:val="none"/>
              </w:rPr>
              <w:t>售后服务方案</w:t>
            </w:r>
            <w:r>
              <w:rPr>
                <w:rFonts w:hint="eastAsia" w:cs="宋体"/>
                <w:color w:val="auto"/>
                <w:szCs w:val="21"/>
                <w:highlight w:val="none"/>
              </w:rPr>
              <w:t>（</w:t>
            </w:r>
            <w:r>
              <w:rPr>
                <w:rFonts w:hint="eastAsia" w:cs="宋体"/>
                <w:color w:val="auto"/>
                <w:szCs w:val="21"/>
                <w:highlight w:val="none"/>
                <w:lang w:val="en-US" w:eastAsia="zh-CN"/>
              </w:rPr>
              <w:t>5</w:t>
            </w:r>
            <w:r>
              <w:rPr>
                <w:rFonts w:hint="eastAsia" w:cs="宋体"/>
                <w:color w:val="auto"/>
                <w:szCs w:val="21"/>
                <w:highlight w:val="none"/>
              </w:rPr>
              <w:t>分）</w:t>
            </w:r>
          </w:p>
          <w:p w14:paraId="43F13B68">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cs="宋体"/>
                <w:color w:val="auto"/>
                <w:szCs w:val="21"/>
                <w:highlight w:val="none"/>
              </w:rPr>
            </w:pPr>
            <w:r>
              <w:rPr>
                <w:rFonts w:hint="eastAsia" w:cs="宋体"/>
                <w:color w:val="auto"/>
                <w:szCs w:val="21"/>
                <w:highlight w:val="none"/>
                <w:lang w:val="en-US" w:eastAsia="zh-CN"/>
              </w:rPr>
              <w:t>评委对</w:t>
            </w:r>
            <w:r>
              <w:rPr>
                <w:rFonts w:hint="eastAsia" w:cs="宋体"/>
                <w:color w:val="auto"/>
                <w:szCs w:val="21"/>
                <w:highlight w:val="none"/>
              </w:rPr>
              <w:t>售后服务</w:t>
            </w:r>
            <w:r>
              <w:rPr>
                <w:rFonts w:hint="eastAsia" w:cs="宋体"/>
                <w:color w:val="auto"/>
                <w:szCs w:val="21"/>
                <w:highlight w:val="none"/>
                <w:lang w:val="en-US" w:eastAsia="zh-CN"/>
              </w:rPr>
              <w:t>方案进行综合评议并打分</w:t>
            </w:r>
            <w:r>
              <w:rPr>
                <w:rFonts w:hint="eastAsia" w:cs="宋体"/>
                <w:color w:val="auto"/>
                <w:szCs w:val="21"/>
                <w:highlight w:val="none"/>
              </w:rPr>
              <w:t>：</w:t>
            </w:r>
            <w:r>
              <w:rPr>
                <w:rFonts w:hint="eastAsia" w:cs="宋体"/>
                <w:color w:val="auto"/>
                <w:szCs w:val="21"/>
                <w:highlight w:val="none"/>
                <w:lang w:val="en-US" w:eastAsia="zh-CN"/>
              </w:rPr>
              <w:t>服务</w:t>
            </w:r>
            <w:r>
              <w:rPr>
                <w:rFonts w:hint="eastAsia" w:cs="宋体"/>
                <w:color w:val="auto"/>
                <w:szCs w:val="21"/>
                <w:highlight w:val="none"/>
              </w:rPr>
              <w:t>保障</w:t>
            </w:r>
            <w:r>
              <w:rPr>
                <w:rFonts w:hint="eastAsia" w:cs="宋体"/>
                <w:color w:val="auto"/>
                <w:szCs w:val="21"/>
                <w:highlight w:val="none"/>
                <w:lang w:val="en-US" w:eastAsia="zh-CN"/>
              </w:rPr>
              <w:t>体系完备、方</w:t>
            </w:r>
            <w:r>
              <w:rPr>
                <w:rFonts w:hint="eastAsia" w:cs="宋体"/>
                <w:color w:val="auto"/>
                <w:szCs w:val="21"/>
                <w:highlight w:val="none"/>
              </w:rPr>
              <w:t>案内容完全符合本项目需求得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有服务保障体系但部分</w:t>
            </w:r>
            <w:r>
              <w:rPr>
                <w:rFonts w:hint="eastAsia" w:cs="宋体"/>
                <w:color w:val="auto"/>
                <w:szCs w:val="21"/>
                <w:highlight w:val="none"/>
              </w:rPr>
              <w:t>内容有欠缺、但尚不影响履约得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val="en-US" w:eastAsia="zh-CN"/>
              </w:rPr>
              <w:t>没有服务保障体系或方案</w:t>
            </w:r>
            <w:r>
              <w:rPr>
                <w:rFonts w:hint="eastAsia" w:cs="宋体"/>
                <w:color w:val="auto"/>
                <w:szCs w:val="21"/>
                <w:highlight w:val="none"/>
              </w:rPr>
              <w:t>内容</w:t>
            </w:r>
            <w:r>
              <w:rPr>
                <w:rFonts w:hint="eastAsia" w:cs="宋体"/>
                <w:color w:val="auto"/>
                <w:szCs w:val="21"/>
                <w:highlight w:val="none"/>
                <w:lang w:val="en-US" w:eastAsia="zh-CN"/>
              </w:rPr>
              <w:t>存在明显缺漏项</w:t>
            </w:r>
            <w:r>
              <w:rPr>
                <w:rFonts w:hint="eastAsia" w:cs="宋体"/>
                <w:color w:val="auto"/>
                <w:szCs w:val="21"/>
                <w:highlight w:val="none"/>
              </w:rPr>
              <w:t>、不</w:t>
            </w:r>
            <w:r>
              <w:rPr>
                <w:rFonts w:hint="eastAsia" w:cs="宋体"/>
                <w:color w:val="auto"/>
                <w:szCs w:val="21"/>
                <w:highlight w:val="none"/>
                <w:lang w:val="en-US" w:eastAsia="zh-CN"/>
              </w:rPr>
              <w:t>符合规范的</w:t>
            </w:r>
            <w:r>
              <w:rPr>
                <w:rFonts w:hint="eastAsia" w:cs="宋体"/>
                <w:color w:val="auto"/>
                <w:szCs w:val="21"/>
                <w:highlight w:val="none"/>
              </w:rPr>
              <w:t>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2FFEA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748" w:type="dxa"/>
            <w:vMerge w:val="continue"/>
            <w:noWrap w:val="0"/>
            <w:vAlign w:val="center"/>
          </w:tcPr>
          <w:p w14:paraId="0DEE6F60">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69877E6">
            <w:pPr>
              <w:pageBreakBefore w:val="0"/>
              <w:tabs>
                <w:tab w:val="left" w:pos="4915"/>
              </w:tabs>
              <w:kinsoku/>
              <w:wordWrap/>
              <w:overflowPunct/>
              <w:topLinePunct w:val="0"/>
              <w:bidi w:val="0"/>
              <w:spacing w:line="360" w:lineRule="auto"/>
              <w:rPr>
                <w:rFonts w:hint="eastAsia" w:ascii="Calibri" w:hAnsi="Calibri" w:cs="Calibri"/>
                <w:color w:val="auto"/>
                <w:szCs w:val="21"/>
                <w:highlight w:val="none"/>
              </w:rPr>
            </w:pPr>
            <w:r>
              <w:rPr>
                <w:rFonts w:hint="eastAsia" w:ascii="Calibri" w:hAnsi="Calibri" w:cs="Calibri"/>
                <w:color w:val="auto"/>
                <w:szCs w:val="21"/>
                <w:highlight w:val="none"/>
              </w:rPr>
              <w:t>突发性事件应急预案</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5分</w:t>
            </w:r>
            <w:r>
              <w:rPr>
                <w:rFonts w:hint="eastAsia" w:ascii="Calibri" w:hAnsi="Calibri" w:cs="Calibri"/>
                <w:color w:val="auto"/>
                <w:szCs w:val="21"/>
                <w:highlight w:val="none"/>
                <w:lang w:eastAsia="zh-CN"/>
              </w:rPr>
              <w:t>）</w:t>
            </w:r>
          </w:p>
        </w:tc>
        <w:tc>
          <w:tcPr>
            <w:tcW w:w="7442" w:type="dxa"/>
            <w:noWrap w:val="0"/>
            <w:vAlign w:val="center"/>
          </w:tcPr>
          <w:p w14:paraId="1FED934C">
            <w:pPr>
              <w:keepNext w:val="0"/>
              <w:keepLines w:val="0"/>
              <w:pageBreakBefore w:val="0"/>
              <w:widowControl w:val="0"/>
              <w:kinsoku/>
              <w:wordWrap/>
              <w:overflowPunct/>
              <w:topLinePunct w:val="0"/>
              <w:autoSpaceDE/>
              <w:autoSpaceDN/>
              <w:bidi w:val="0"/>
              <w:adjustRightInd/>
              <w:snapToGrid/>
              <w:spacing w:line="396" w:lineRule="exact"/>
              <w:textAlignment w:val="auto"/>
              <w:rPr>
                <w:color w:val="auto"/>
                <w:szCs w:val="21"/>
                <w:highlight w:val="none"/>
              </w:rPr>
            </w:pPr>
            <w:r>
              <w:rPr>
                <w:rFonts w:hint="eastAsia" w:cs="宋体"/>
                <w:color w:val="auto"/>
                <w:szCs w:val="21"/>
                <w:highlight w:val="none"/>
                <w:lang w:val="en-US" w:eastAsia="zh-CN"/>
              </w:rPr>
              <w:t>11、</w:t>
            </w:r>
            <w:r>
              <w:rPr>
                <w:rFonts w:hint="eastAsia" w:cs="宋体"/>
                <w:color w:val="auto"/>
                <w:szCs w:val="21"/>
                <w:highlight w:val="none"/>
              </w:rPr>
              <w:t>评委对突发性事件应急预案进行综合评议并打分</w:t>
            </w:r>
            <w:r>
              <w:rPr>
                <w:rFonts w:hint="eastAsia" w:cs="宋体"/>
                <w:color w:val="auto"/>
                <w:szCs w:val="21"/>
                <w:highlight w:val="none"/>
                <w:lang w:eastAsia="zh-CN"/>
              </w:rPr>
              <w:t>：</w:t>
            </w:r>
            <w:r>
              <w:rPr>
                <w:rFonts w:hint="eastAsia" w:cs="宋体"/>
                <w:color w:val="auto"/>
                <w:szCs w:val="21"/>
                <w:highlight w:val="none"/>
              </w:rPr>
              <w:t>应急预案内容完全符合本项目需求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应急</w:t>
            </w:r>
            <w:r>
              <w:rPr>
                <w:rFonts w:hint="eastAsia" w:cs="宋体"/>
                <w:color w:val="auto"/>
                <w:szCs w:val="21"/>
                <w:highlight w:val="none"/>
              </w:rPr>
              <w:t>保障</w:t>
            </w:r>
            <w:r>
              <w:rPr>
                <w:rFonts w:hint="eastAsia" w:cs="宋体"/>
                <w:color w:val="auto"/>
                <w:szCs w:val="21"/>
                <w:highlight w:val="none"/>
                <w:lang w:val="en-US" w:eastAsia="zh-CN"/>
              </w:rPr>
              <w:t>体系完备得5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w:t>
            </w:r>
            <w:r>
              <w:rPr>
                <w:rFonts w:hint="eastAsia" w:cs="宋体"/>
                <w:color w:val="auto"/>
                <w:szCs w:val="21"/>
                <w:highlight w:val="none"/>
              </w:rPr>
              <w:t>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预案不全</w:t>
            </w:r>
            <w:r>
              <w:rPr>
                <w:rFonts w:hint="eastAsia" w:cs="宋体"/>
                <w:color w:val="auto"/>
                <w:szCs w:val="21"/>
                <w:highlight w:val="none"/>
              </w:rPr>
              <w:t>或</w:t>
            </w:r>
            <w:r>
              <w:rPr>
                <w:rFonts w:hint="eastAsia" w:cs="宋体"/>
                <w:color w:val="auto"/>
                <w:szCs w:val="21"/>
                <w:highlight w:val="none"/>
                <w:lang w:val="en-US" w:eastAsia="zh-CN"/>
              </w:rPr>
              <w:t>过于笼统</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132B0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48" w:type="dxa"/>
            <w:vMerge w:val="continue"/>
            <w:noWrap w:val="0"/>
            <w:vAlign w:val="center"/>
          </w:tcPr>
          <w:p w14:paraId="45A5E4AD">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B441A26">
            <w:pPr>
              <w:pageBreakBefore w:val="0"/>
              <w:kinsoku/>
              <w:wordWrap/>
              <w:overflowPunct/>
              <w:topLinePunct w:val="0"/>
              <w:bidi w:val="0"/>
              <w:spacing w:line="360" w:lineRule="auto"/>
              <w:jc w:val="center"/>
              <w:rPr>
                <w:rFonts w:hint="eastAsia" w:cs="宋体"/>
                <w:color w:val="auto"/>
                <w:szCs w:val="21"/>
                <w:highlight w:val="none"/>
              </w:rPr>
            </w:pPr>
            <w:r>
              <w:rPr>
                <w:color w:val="auto"/>
                <w:szCs w:val="21"/>
                <w:highlight w:val="none"/>
              </w:rPr>
              <w:t>合理化建议（</w:t>
            </w:r>
            <w:r>
              <w:rPr>
                <w:rFonts w:hint="eastAsia"/>
                <w:color w:val="auto"/>
                <w:szCs w:val="21"/>
                <w:highlight w:val="none"/>
                <w:lang w:val="en-US" w:eastAsia="zh-CN"/>
              </w:rPr>
              <w:t>1</w:t>
            </w:r>
            <w:r>
              <w:rPr>
                <w:color w:val="auto"/>
                <w:szCs w:val="21"/>
                <w:highlight w:val="none"/>
              </w:rPr>
              <w:t>分）</w:t>
            </w:r>
          </w:p>
        </w:tc>
        <w:tc>
          <w:tcPr>
            <w:tcW w:w="7442" w:type="dxa"/>
            <w:noWrap w:val="0"/>
            <w:vAlign w:val="center"/>
          </w:tcPr>
          <w:p w14:paraId="67E7610F">
            <w:pPr>
              <w:keepNext w:val="0"/>
              <w:keepLines w:val="0"/>
              <w:pageBreakBefore w:val="0"/>
              <w:widowControl w:val="0"/>
              <w:kinsoku/>
              <w:wordWrap/>
              <w:overflowPunct/>
              <w:topLinePunct w:val="0"/>
              <w:autoSpaceDE/>
              <w:autoSpaceDN/>
              <w:bidi w:val="0"/>
              <w:adjustRightInd/>
              <w:snapToGrid/>
              <w:spacing w:line="396" w:lineRule="exact"/>
              <w:textAlignment w:val="auto"/>
              <w:rPr>
                <w:color w:val="auto"/>
                <w:szCs w:val="21"/>
                <w:highlight w:val="none"/>
              </w:rPr>
            </w:pPr>
            <w:r>
              <w:rPr>
                <w:rFonts w:hint="eastAsia"/>
                <w:color w:val="auto"/>
                <w:szCs w:val="21"/>
                <w:highlight w:val="none"/>
                <w:lang w:val="en-US" w:eastAsia="zh-CN"/>
              </w:rPr>
              <w:t>12、</w:t>
            </w:r>
            <w:r>
              <w:rPr>
                <w:color w:val="auto"/>
                <w:szCs w:val="21"/>
                <w:highlight w:val="none"/>
              </w:rPr>
              <w:t>根据</w:t>
            </w:r>
            <w:r>
              <w:rPr>
                <w:rFonts w:hint="eastAsia"/>
                <w:color w:val="auto"/>
                <w:szCs w:val="21"/>
                <w:highlight w:val="none"/>
              </w:rPr>
              <w:t>供应商</w:t>
            </w:r>
            <w:r>
              <w:rPr>
                <w:color w:val="auto"/>
                <w:szCs w:val="21"/>
                <w:highlight w:val="none"/>
              </w:rPr>
              <w:t>提出的针对本项目的合理化建议与承诺进行评议（</w:t>
            </w:r>
            <w:r>
              <w:rPr>
                <w:rFonts w:hint="eastAsia"/>
                <w:color w:val="auto"/>
                <w:szCs w:val="21"/>
                <w:highlight w:val="none"/>
                <w:lang w:val="en-US" w:eastAsia="zh-CN"/>
              </w:rPr>
              <w:t>1</w:t>
            </w:r>
            <w:r>
              <w:rPr>
                <w:color w:val="auto"/>
                <w:szCs w:val="21"/>
                <w:highlight w:val="none"/>
              </w:rPr>
              <w:t>分）</w:t>
            </w:r>
          </w:p>
          <w:p w14:paraId="7F8954CE">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cs="宋体"/>
                <w:color w:val="auto"/>
                <w:szCs w:val="21"/>
                <w:highlight w:val="none"/>
              </w:rPr>
            </w:pPr>
            <w:r>
              <w:rPr>
                <w:color w:val="auto"/>
                <w:szCs w:val="21"/>
                <w:highlight w:val="none"/>
              </w:rPr>
              <w:t>提出的建议与承诺具有实际意义</w:t>
            </w:r>
            <w:r>
              <w:rPr>
                <w:rFonts w:hint="eastAsia"/>
                <w:color w:val="auto"/>
                <w:szCs w:val="21"/>
                <w:highlight w:val="none"/>
              </w:rPr>
              <w:t>并得到采纳</w:t>
            </w:r>
            <w:r>
              <w:rPr>
                <w:color w:val="auto"/>
                <w:szCs w:val="21"/>
                <w:highlight w:val="none"/>
              </w:rPr>
              <w:t>，每项得</w:t>
            </w:r>
            <w:r>
              <w:rPr>
                <w:rFonts w:hint="eastAsia"/>
                <w:color w:val="auto"/>
                <w:szCs w:val="21"/>
                <w:highlight w:val="none"/>
                <w:lang w:val="en-US" w:eastAsia="zh-CN"/>
              </w:rPr>
              <w:t>0.5分</w:t>
            </w:r>
            <w:r>
              <w:rPr>
                <w:color w:val="auto"/>
                <w:szCs w:val="21"/>
                <w:highlight w:val="none"/>
              </w:rPr>
              <w:t>，最高得</w:t>
            </w:r>
            <w:r>
              <w:rPr>
                <w:rFonts w:hint="eastAsia"/>
                <w:color w:val="auto"/>
                <w:szCs w:val="21"/>
                <w:highlight w:val="none"/>
                <w:lang w:val="en-US" w:eastAsia="zh-CN"/>
              </w:rPr>
              <w:t>1</w:t>
            </w:r>
            <w:r>
              <w:rPr>
                <w:color w:val="auto"/>
                <w:szCs w:val="21"/>
                <w:highlight w:val="none"/>
              </w:rPr>
              <w:t>分。与本项目</w:t>
            </w:r>
            <w:r>
              <w:rPr>
                <w:rFonts w:hint="eastAsia"/>
                <w:color w:val="auto"/>
                <w:szCs w:val="21"/>
                <w:highlight w:val="none"/>
                <w:lang w:val="en-US" w:eastAsia="zh-CN"/>
              </w:rPr>
              <w:t>履约</w:t>
            </w:r>
            <w:r>
              <w:rPr>
                <w:color w:val="auto"/>
                <w:szCs w:val="21"/>
                <w:highlight w:val="none"/>
              </w:rPr>
              <w:t>无关的建议</w:t>
            </w:r>
            <w:r>
              <w:rPr>
                <w:rFonts w:hint="eastAsia"/>
                <w:color w:val="auto"/>
                <w:szCs w:val="21"/>
                <w:highlight w:val="none"/>
                <w:lang w:val="en-US" w:eastAsia="zh-CN"/>
              </w:rPr>
              <w:t>与承诺</w:t>
            </w:r>
            <w:r>
              <w:rPr>
                <w:color w:val="auto"/>
                <w:szCs w:val="21"/>
                <w:highlight w:val="none"/>
              </w:rPr>
              <w:t>不予认可。</w:t>
            </w:r>
          </w:p>
        </w:tc>
      </w:tr>
      <w:tr w14:paraId="3F281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noWrap w:val="0"/>
            <w:vAlign w:val="center"/>
          </w:tcPr>
          <w:p w14:paraId="6523BB4C">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260FBA6">
            <w:pPr>
              <w:pageBreakBefore w:val="0"/>
              <w:kinsoku/>
              <w:wordWrap/>
              <w:overflowPunct/>
              <w:topLinePunct w:val="0"/>
              <w:bidi w:val="0"/>
              <w:spacing w:line="360" w:lineRule="auto"/>
              <w:jc w:val="center"/>
              <w:rPr>
                <w:color w:val="auto"/>
                <w:szCs w:val="21"/>
                <w:highlight w:val="none"/>
              </w:rPr>
            </w:pPr>
            <w:r>
              <w:rPr>
                <w:rFonts w:hint="eastAsia" w:hAnsi="宋体" w:cs="Calibri"/>
                <w:color w:val="auto"/>
                <w:szCs w:val="21"/>
                <w:highlight w:val="none"/>
              </w:rPr>
              <w:t>政策性加分（1分）</w:t>
            </w:r>
          </w:p>
        </w:tc>
        <w:tc>
          <w:tcPr>
            <w:tcW w:w="7442" w:type="dxa"/>
            <w:noWrap w:val="0"/>
            <w:vAlign w:val="center"/>
          </w:tcPr>
          <w:p w14:paraId="2AA6A49E">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ascii="Times New Roman" w:hAnsi="Times New Roman" w:eastAsia="宋体" w:cs="Times New Roman"/>
                <w:color w:val="auto"/>
                <w:szCs w:val="21"/>
                <w:highlight w:val="none"/>
              </w:rPr>
            </w:pPr>
            <w:r>
              <w:rPr>
                <w:rFonts w:hint="eastAsia"/>
                <w:color w:val="auto"/>
                <w:szCs w:val="21"/>
                <w:highlight w:val="none"/>
                <w:lang w:val="en-US" w:eastAsia="zh-CN"/>
              </w:rPr>
              <w:t>13、</w:t>
            </w:r>
            <w:r>
              <w:rPr>
                <w:rFonts w:hint="eastAsia" w:ascii="Times New Roman" w:hAnsi="Times New Roman" w:eastAsia="宋体" w:cs="Times New Roman"/>
                <w:color w:val="auto"/>
                <w:szCs w:val="21"/>
                <w:highlight w:val="none"/>
              </w:rPr>
              <w:t>供应商是国家认定的少数民族地区企业的加</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p w14:paraId="69C92878">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eastAsia="宋体"/>
                <w:color w:val="auto"/>
                <w:szCs w:val="21"/>
                <w:highlight w:val="none"/>
                <w:lang w:eastAsia="zh-CN"/>
              </w:rPr>
            </w:pPr>
            <w:r>
              <w:rPr>
                <w:rFonts w:hint="eastAsia" w:ascii="Times New Roman" w:hAnsi="Times New Roman" w:eastAsia="宋体" w:cs="Times New Roman"/>
                <w:color w:val="auto"/>
                <w:szCs w:val="21"/>
                <w:highlight w:val="none"/>
              </w:rPr>
              <w:t>提供证明文件复印件并加盖公章。</w:t>
            </w:r>
          </w:p>
        </w:tc>
      </w:tr>
      <w:tr w14:paraId="01D81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48" w:type="dxa"/>
            <w:noWrap w:val="0"/>
            <w:vAlign w:val="center"/>
          </w:tcPr>
          <w:p w14:paraId="599AD169">
            <w:pPr>
              <w:pageBreakBefore w:val="0"/>
              <w:widowControl/>
              <w:kinsoku/>
              <w:wordWrap/>
              <w:overflowPunct/>
              <w:topLinePunct w:val="0"/>
              <w:bidi w:val="0"/>
              <w:spacing w:line="360" w:lineRule="auto"/>
              <w:jc w:val="left"/>
              <w:rPr>
                <w:color w:val="auto"/>
                <w:szCs w:val="21"/>
                <w:highlight w:val="none"/>
              </w:rPr>
            </w:pPr>
            <w:r>
              <w:rPr>
                <w:color w:val="auto"/>
                <w:szCs w:val="21"/>
                <w:highlight w:val="none"/>
              </w:rPr>
              <w:t>价格</w:t>
            </w:r>
            <w:r>
              <w:rPr>
                <w:rFonts w:hint="eastAsia"/>
                <w:color w:val="auto"/>
                <w:szCs w:val="21"/>
                <w:highlight w:val="none"/>
              </w:rPr>
              <w:t>部分</w:t>
            </w:r>
            <w:r>
              <w:rPr>
                <w:rFonts w:hint="eastAsia"/>
                <w:color w:val="auto"/>
                <w:szCs w:val="21"/>
                <w:highlight w:val="none"/>
                <w:lang w:val="en-US" w:eastAsia="zh-CN"/>
              </w:rPr>
              <w:t>35</w:t>
            </w:r>
            <w:r>
              <w:rPr>
                <w:color w:val="auto"/>
                <w:szCs w:val="21"/>
                <w:highlight w:val="none"/>
              </w:rPr>
              <w:t>分</w:t>
            </w:r>
          </w:p>
        </w:tc>
        <w:tc>
          <w:tcPr>
            <w:tcW w:w="1195" w:type="dxa"/>
            <w:noWrap w:val="0"/>
            <w:vAlign w:val="center"/>
          </w:tcPr>
          <w:p w14:paraId="69052C22">
            <w:pPr>
              <w:pageBreakBefore w:val="0"/>
              <w:kinsoku/>
              <w:wordWrap/>
              <w:overflowPunct/>
              <w:topLinePunct w:val="0"/>
              <w:bidi w:val="0"/>
              <w:spacing w:line="360" w:lineRule="auto"/>
              <w:jc w:val="center"/>
              <w:rPr>
                <w:color w:val="auto"/>
                <w:szCs w:val="21"/>
                <w:highlight w:val="none"/>
              </w:rPr>
            </w:pPr>
            <w:r>
              <w:rPr>
                <w:color w:val="auto"/>
                <w:szCs w:val="21"/>
                <w:highlight w:val="none"/>
              </w:rPr>
              <w:t>投标报价（</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14:paraId="052FF3D4">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满足磋商文件要求且最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最低的价格为磋商基准价，其价格分为满分。其他供应商的价格分统一按照下列公式计算：</w:t>
            </w:r>
          </w:p>
          <w:p w14:paraId="03F51DA0">
            <w:pPr>
              <w:keepNext w:val="0"/>
              <w:keepLines w:val="0"/>
              <w:pageBreakBefore w:val="0"/>
              <w:widowControl w:val="0"/>
              <w:kinsoku/>
              <w:wordWrap/>
              <w:overflowPunct/>
              <w:topLinePunct w:val="0"/>
              <w:autoSpaceDE/>
              <w:autoSpaceDN/>
              <w:bidi w:val="0"/>
              <w:adjustRightInd/>
              <w:snapToGrid/>
              <w:spacing w:line="396" w:lineRule="exact"/>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磋商报价得分=（磋商基准价/</w:t>
            </w:r>
            <w:r>
              <w:rPr>
                <w:rFonts w:hint="eastAsia" w:ascii="Times New Roman" w:hAnsi="Times New Roman" w:cs="Times New Roman"/>
                <w:color w:val="auto"/>
                <w:szCs w:val="21"/>
                <w:highlight w:val="none"/>
                <w:lang w:val="en-US" w:eastAsia="zh-CN"/>
              </w:rPr>
              <w:t>参与评审的</w:t>
            </w:r>
            <w:r>
              <w:rPr>
                <w:rFonts w:hint="eastAsia" w:ascii="Times New Roman" w:hAnsi="Times New Roman" w:eastAsia="宋体" w:cs="Times New Roman"/>
                <w:color w:val="auto"/>
                <w:szCs w:val="21"/>
                <w:highlight w:val="none"/>
              </w:rPr>
              <w:t>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 xml:space="preserve">）×价格权值×100 </w:t>
            </w:r>
          </w:p>
          <w:p w14:paraId="52688A51">
            <w:pPr>
              <w:pStyle w:val="32"/>
              <w:keepNext w:val="0"/>
              <w:keepLines w:val="0"/>
              <w:pageBreakBefore w:val="0"/>
              <w:widowControl w:val="0"/>
              <w:kinsoku/>
              <w:wordWrap/>
              <w:overflowPunct/>
              <w:topLinePunct w:val="0"/>
              <w:autoSpaceDE/>
              <w:autoSpaceDN/>
              <w:bidi w:val="0"/>
              <w:adjustRightInd/>
              <w:snapToGrid/>
              <w:spacing w:line="396" w:lineRule="exact"/>
              <w:ind w:left="0" w:leftChars="0" w:firstLine="0" w:firstLineChars="0"/>
              <w:textAlignment w:val="auto"/>
              <w:rPr>
                <w:rFonts w:hint="eastAsia" w:eastAsia="宋体"/>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参与评审的最终综合折扣=投标报价×（1-小微企业价格扣除优惠值）</w:t>
            </w:r>
          </w:p>
        </w:tc>
      </w:tr>
      <w:tr w14:paraId="402C0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48" w:type="dxa"/>
            <w:noWrap w:val="0"/>
            <w:vAlign w:val="center"/>
          </w:tcPr>
          <w:p w14:paraId="72556A0B">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5B092A16">
            <w:pPr>
              <w:pageBreakBefore w:val="0"/>
              <w:kinsoku/>
              <w:wordWrap/>
              <w:overflowPunct/>
              <w:topLinePunct w:val="0"/>
              <w:bidi w:val="0"/>
              <w:spacing w:line="360" w:lineRule="auto"/>
              <w:jc w:val="center"/>
              <w:rPr>
                <w:color w:val="auto"/>
                <w:szCs w:val="21"/>
                <w:highlight w:val="none"/>
              </w:rPr>
            </w:pPr>
            <w:r>
              <w:rPr>
                <w:color w:val="auto"/>
                <w:szCs w:val="21"/>
                <w:highlight w:val="none"/>
              </w:rPr>
              <w:t>总</w:t>
            </w:r>
            <w:r>
              <w:rPr>
                <w:rFonts w:hint="eastAsia"/>
                <w:color w:val="auto"/>
                <w:szCs w:val="21"/>
                <w:highlight w:val="none"/>
              </w:rPr>
              <w:t xml:space="preserve"> </w:t>
            </w:r>
            <w:r>
              <w:rPr>
                <w:color w:val="auto"/>
                <w:szCs w:val="21"/>
                <w:highlight w:val="none"/>
              </w:rPr>
              <w:t>分</w:t>
            </w:r>
          </w:p>
        </w:tc>
        <w:tc>
          <w:tcPr>
            <w:tcW w:w="7442" w:type="dxa"/>
            <w:noWrap w:val="0"/>
            <w:vAlign w:val="center"/>
          </w:tcPr>
          <w:p w14:paraId="25998B3A">
            <w:pPr>
              <w:pStyle w:val="7"/>
              <w:pageBreakBefore w:val="0"/>
              <w:kinsoku/>
              <w:wordWrap/>
              <w:overflowPunct/>
              <w:topLinePunct w:val="0"/>
              <w:bidi w:val="0"/>
              <w:spacing w:line="360" w:lineRule="auto"/>
              <w:ind w:firstLine="0" w:firstLineChars="0"/>
              <w:rPr>
                <w:color w:val="auto"/>
                <w:szCs w:val="21"/>
                <w:highlight w:val="none"/>
              </w:rPr>
            </w:pPr>
          </w:p>
        </w:tc>
      </w:tr>
    </w:tbl>
    <w:p w14:paraId="1C02BD16">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color w:val="auto"/>
          <w:kern w:val="0"/>
          <w:sz w:val="21"/>
          <w:szCs w:val="21"/>
          <w:highlight w:val="none"/>
          <w:lang w:val="zh-CN"/>
        </w:rPr>
        <w:t>供应商编制响应文件（商务技术文件部分）时，建议按此目录（序号和内容）提供评标标准相应的商务技术资料。</w:t>
      </w:r>
    </w:p>
    <w:p w14:paraId="52DDD772">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14:paraId="6FABD15D">
      <w:pPr>
        <w:adjustRightInd/>
        <w:spacing w:line="360" w:lineRule="auto"/>
        <w:ind w:firstLine="413" w:firstLineChars="196"/>
        <w:rPr>
          <w:rFonts w:hint="eastAsia" w:asciiTheme="minorEastAsia" w:hAnsiTheme="minorEastAsia" w:eastAsiaTheme="minorEastAsia" w:cstheme="minorEastAsia"/>
          <w:color w:val="auto"/>
          <w:kern w:val="0"/>
          <w:sz w:val="21"/>
          <w:szCs w:val="21"/>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1"/>
          <w:szCs w:val="21"/>
          <w:highlight w:val="none"/>
        </w:rPr>
        <w:t>1.本项目采用综合评分法。</w:t>
      </w:r>
      <w:r>
        <w:rPr>
          <w:rFonts w:hint="eastAsia" w:asciiTheme="minorEastAsia" w:hAnsiTheme="minorEastAsia" w:eastAsiaTheme="minorEastAsia" w:cstheme="minorEastAsia"/>
          <w:color w:val="auto"/>
          <w:kern w:val="0"/>
          <w:sz w:val="21"/>
          <w:szCs w:val="21"/>
          <w:highlight w:val="none"/>
        </w:rPr>
        <w:t>综合评分法，是指</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eastAsiaTheme="minorEastAsia" w:cstheme="minorEastAsia"/>
          <w:color w:val="auto"/>
          <w:kern w:val="0"/>
          <w:sz w:val="21"/>
          <w:szCs w:val="21"/>
          <w:highlight w:val="none"/>
          <w:lang w:eastAsia="zh-CN"/>
        </w:rPr>
        <w:t>成交候选供应商</w:t>
      </w:r>
      <w:r>
        <w:rPr>
          <w:rFonts w:hint="eastAsia" w:asciiTheme="minorEastAsia" w:hAnsiTheme="minorEastAsia" w:eastAsiaTheme="minorEastAsia" w:cstheme="minorEastAsia"/>
          <w:color w:val="auto"/>
          <w:kern w:val="0"/>
          <w:sz w:val="21"/>
          <w:szCs w:val="21"/>
          <w:highlight w:val="none"/>
        </w:rPr>
        <w:t>的评标方法。</w:t>
      </w:r>
    </w:p>
    <w:p w14:paraId="76996BD5">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二、评标标准</w:t>
      </w:r>
    </w:p>
    <w:p w14:paraId="4DF6A92C">
      <w:pPr>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评标标准：</w:t>
      </w:r>
      <w:r>
        <w:rPr>
          <w:rFonts w:hint="eastAsia" w:asciiTheme="minorEastAsia" w:hAnsiTheme="minorEastAsia" w:eastAsiaTheme="minorEastAsia" w:cstheme="minorEastAsia"/>
          <w:color w:val="auto"/>
          <w:kern w:val="0"/>
          <w:sz w:val="21"/>
          <w:szCs w:val="21"/>
          <w:highlight w:val="none"/>
        </w:rPr>
        <w:t>见评标办法前附表。</w:t>
      </w:r>
    </w:p>
    <w:p w14:paraId="2312067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14:paraId="6A555DF2">
      <w:pPr>
        <w:snapToGrid w:val="0"/>
        <w:spacing w:line="360" w:lineRule="auto"/>
        <w:ind w:left="120" w:leftChars="57" w:firstLine="315" w:firstLineChars="15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3.1 资格审查。采购人或代理机构应当对</w:t>
      </w:r>
      <w:r>
        <w:rPr>
          <w:rFonts w:hint="eastAsia" w:asciiTheme="minorEastAsia" w:hAnsiTheme="minorEastAsia" w:eastAsiaTheme="minorEastAsia" w:cstheme="minorEastAsia"/>
          <w:color w:val="auto"/>
          <w:kern w:val="0"/>
          <w:sz w:val="21"/>
          <w:szCs w:val="21"/>
          <w:highlight w:val="none"/>
          <w:lang w:val="zh-CN" w:eastAsia="zh-CN" w:bidi="ar-SA"/>
        </w:rPr>
        <w:t>供应商</w:t>
      </w:r>
      <w:r>
        <w:rPr>
          <w:rFonts w:hint="eastAsia" w:asciiTheme="minorEastAsia" w:hAnsiTheme="minorEastAsia" w:eastAsiaTheme="minorEastAsia" w:cstheme="minorEastAsia"/>
          <w:color w:val="auto"/>
          <w:kern w:val="0"/>
          <w:sz w:val="21"/>
          <w:szCs w:val="21"/>
          <w:highlight w:val="none"/>
          <w:lang w:val="en-US" w:eastAsia="zh-CN" w:bidi="ar-SA"/>
        </w:rPr>
        <w:t>的资格响应文件进行审查，以确定其是否满足</w:t>
      </w:r>
    </w:p>
    <w:p w14:paraId="48C7D5B8">
      <w:pPr>
        <w:snapToGrid w:val="0"/>
        <w:spacing w:line="360" w:lineRule="auto"/>
        <w:jc w:val="both"/>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竞争性磋商文件的实质性要求。不满足竞争性磋商文件的实质性要求的，响应无效。</w:t>
      </w:r>
    </w:p>
    <w:p w14:paraId="7306C4B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2 </w:t>
      </w:r>
      <w:r>
        <w:rPr>
          <w:rFonts w:hint="eastAsia" w:asciiTheme="minorEastAsia" w:hAnsiTheme="minorEastAsia" w:eastAsiaTheme="minorEastAsia" w:cstheme="minorEastAsia"/>
          <w:b/>
          <w:color w:val="auto"/>
          <w:kern w:val="0"/>
          <w:sz w:val="21"/>
          <w:szCs w:val="21"/>
          <w:highlight w:val="none"/>
        </w:rPr>
        <w:t>符合性审查。</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应当对符合资格的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文件进行符合性审查，以确定其是否满足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文件的实质性要求。不满足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7A33DA0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磋商</w:t>
      </w:r>
    </w:p>
    <w:p w14:paraId="6228F6F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1"/>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 w:val="21"/>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4CB97C8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3.3.2</w:t>
      </w:r>
      <w:r>
        <w:rPr>
          <w:rFonts w:hint="eastAsia" w:asciiTheme="minorEastAsia" w:hAnsiTheme="minorEastAsia" w:eastAsiaTheme="minorEastAsia" w:cstheme="minorEastAsia"/>
          <w:b/>
          <w:bCs/>
          <w:color w:val="auto"/>
          <w:kern w:val="0"/>
          <w:sz w:val="21"/>
          <w:szCs w:val="21"/>
          <w:highlight w:val="none"/>
        </w:rPr>
        <w:t>各有效供应商在</w:t>
      </w:r>
      <w:r>
        <w:rPr>
          <w:rFonts w:hint="eastAsia" w:asciiTheme="minorEastAsia" w:hAnsiTheme="minorEastAsia" w:eastAsiaTheme="minorEastAsia" w:cstheme="minorEastAsia"/>
          <w:b/>
          <w:bCs/>
          <w:color w:val="auto"/>
          <w:kern w:val="0"/>
          <w:sz w:val="21"/>
          <w:szCs w:val="21"/>
          <w:highlight w:val="none"/>
          <w:lang w:val="en-US" w:eastAsia="zh-CN"/>
        </w:rPr>
        <w:t>30分钟内</w:t>
      </w:r>
      <w:r>
        <w:rPr>
          <w:rFonts w:hint="eastAsia" w:asciiTheme="minorEastAsia" w:hAnsiTheme="minorEastAsia" w:eastAsiaTheme="minorEastAsia" w:cstheme="minorEastAsia"/>
          <w:b/>
          <w:bCs/>
          <w:color w:val="auto"/>
          <w:kern w:val="0"/>
          <w:sz w:val="21"/>
          <w:szCs w:val="21"/>
          <w:highlight w:val="none"/>
        </w:rPr>
        <w:t>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1"/>
          <w:szCs w:val="21"/>
          <w:highlight w:val="none"/>
        </w:rPr>
        <w:t>。已提交响应文件的供应商，在提交最终报价之前，可以根据磋商情况退出磋商。</w:t>
      </w:r>
    </w:p>
    <w:p w14:paraId="0D3568C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.3经磋商确定最终采购需求和提交最后报价的供应商后，由磋商小组采用综合评分法对提交最后报价的供应商的响应文件和最后报价进行综合评分。</w:t>
      </w:r>
    </w:p>
    <w:p w14:paraId="2F1E833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 xml:space="preserve"> </w:t>
      </w:r>
      <w:r>
        <w:rPr>
          <w:rFonts w:hint="eastAsia" w:asciiTheme="minorEastAsia" w:hAnsiTheme="minorEastAsia" w:eastAsiaTheme="minorEastAsia" w:cstheme="minorEastAsia"/>
          <w:b/>
          <w:color w:val="auto"/>
          <w:kern w:val="0"/>
          <w:sz w:val="21"/>
          <w:szCs w:val="21"/>
          <w:highlight w:val="none"/>
          <w:lang w:eastAsia="zh-CN"/>
        </w:rPr>
        <w:t>商务技术</w:t>
      </w:r>
      <w:r>
        <w:rPr>
          <w:rFonts w:hint="eastAsia" w:asciiTheme="minorEastAsia" w:hAnsiTheme="minorEastAsia" w:eastAsiaTheme="minorEastAsia" w:cstheme="minorEastAsia"/>
          <w:b/>
          <w:color w:val="auto"/>
          <w:kern w:val="0"/>
          <w:sz w:val="21"/>
          <w:szCs w:val="21"/>
          <w:highlight w:val="none"/>
        </w:rPr>
        <w:t>评</w:t>
      </w:r>
      <w:r>
        <w:rPr>
          <w:rFonts w:hint="eastAsia" w:asciiTheme="minorEastAsia" w:hAnsiTheme="minorEastAsia" w:eastAsiaTheme="minorEastAsia" w:cstheme="minorEastAsia"/>
          <w:b/>
          <w:color w:val="auto"/>
          <w:kern w:val="0"/>
          <w:sz w:val="21"/>
          <w:szCs w:val="21"/>
          <w:highlight w:val="none"/>
          <w:lang w:eastAsia="zh-CN"/>
        </w:rPr>
        <w:t>审</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文件中规定的评标方法和标准，对符合性审查合格的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文件进行商务和技术评估。</w:t>
      </w:r>
    </w:p>
    <w:p w14:paraId="5F914B4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5 </w:t>
      </w:r>
      <w:r>
        <w:rPr>
          <w:rFonts w:hint="eastAsia" w:asciiTheme="minorEastAsia" w:hAnsiTheme="minorEastAsia" w:eastAsiaTheme="minorEastAsia" w:cstheme="minorEastAsia"/>
          <w:b/>
          <w:color w:val="auto"/>
          <w:kern w:val="0"/>
          <w:sz w:val="21"/>
          <w:szCs w:val="21"/>
          <w:highlight w:val="none"/>
        </w:rPr>
        <w:t>汇总商务技术得分。</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各成员应当独立对每个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的商务和技术文件进行评价，并汇总商务技术得分情况。</w:t>
      </w:r>
    </w:p>
    <w:p w14:paraId="35BCCD94">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 xml:space="preserve">6 </w:t>
      </w:r>
      <w:r>
        <w:rPr>
          <w:rFonts w:hint="eastAsia" w:asciiTheme="minorEastAsia" w:hAnsiTheme="minorEastAsia" w:eastAsiaTheme="minorEastAsia" w:cstheme="minorEastAsia"/>
          <w:b/>
          <w:color w:val="auto"/>
          <w:kern w:val="0"/>
          <w:sz w:val="21"/>
          <w:szCs w:val="21"/>
          <w:highlight w:val="none"/>
        </w:rPr>
        <w:t>报价评审。</w:t>
      </w:r>
    </w:p>
    <w:p w14:paraId="4524454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磋商小组对供应商提交的报价进行评审。</w:t>
      </w:r>
    </w:p>
    <w:p w14:paraId="10A51040">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文件报价出现前后不一致的，按照下列规定修正：</w:t>
      </w:r>
    </w:p>
    <w:p w14:paraId="6471FF55">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val="en-US" w:eastAsia="zh-CN"/>
        </w:rPr>
        <w:t>电子交易平台生成的开标记录表</w:t>
      </w:r>
      <w:r>
        <w:rPr>
          <w:rFonts w:hint="eastAsia" w:asciiTheme="minorEastAsia" w:hAnsiTheme="minorEastAsia" w:eastAsiaTheme="minorEastAsia" w:cstheme="minorEastAsia"/>
          <w:color w:val="auto"/>
          <w:kern w:val="0"/>
          <w:sz w:val="21"/>
          <w:szCs w:val="21"/>
          <w:highlight w:val="none"/>
        </w:rPr>
        <w:t>(报价表)内容</w:t>
      </w:r>
      <w:r>
        <w:rPr>
          <w:rFonts w:hint="eastAsia" w:asciiTheme="minorEastAsia" w:hAnsiTheme="minorEastAsia" w:eastAsiaTheme="minorEastAsia" w:cstheme="minorEastAsia"/>
          <w:color w:val="auto"/>
          <w:kern w:val="0"/>
          <w:sz w:val="21"/>
          <w:szCs w:val="21"/>
          <w:highlight w:val="none"/>
          <w:lang w:val="en-US" w:eastAsia="zh-CN"/>
        </w:rPr>
        <w:t>与响应文件中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不一致的，以响应文件中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为准</w:t>
      </w:r>
      <w:r>
        <w:rPr>
          <w:rFonts w:hint="eastAsia" w:asciiTheme="minorEastAsia" w:hAnsiTheme="minorEastAsia" w:eastAsiaTheme="minorEastAsia" w:cstheme="minorEastAsia"/>
          <w:color w:val="auto"/>
          <w:kern w:val="0"/>
          <w:sz w:val="21"/>
          <w:szCs w:val="21"/>
          <w:highlight w:val="none"/>
          <w:lang w:eastAsia="zh-CN"/>
        </w:rPr>
        <w:t>；</w:t>
      </w:r>
    </w:p>
    <w:p w14:paraId="3C91CBB8">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(报价表)内容与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文件中相应内容不一致的，以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(报价表)为准</w:t>
      </w:r>
      <w:r>
        <w:rPr>
          <w:rFonts w:hint="eastAsia" w:asciiTheme="minorEastAsia" w:hAnsiTheme="minorEastAsia" w:eastAsiaTheme="minorEastAsia" w:cstheme="minorEastAsia"/>
          <w:color w:val="auto"/>
          <w:kern w:val="0"/>
          <w:sz w:val="21"/>
          <w:szCs w:val="21"/>
          <w:highlight w:val="none"/>
          <w:lang w:eastAsia="zh-CN"/>
        </w:rPr>
        <w:t>；</w:t>
      </w:r>
    </w:p>
    <w:p w14:paraId="6586415E">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大写金额和小写金额不一致的，以大写金额为准;</w:t>
      </w:r>
    </w:p>
    <w:p w14:paraId="6A1F077A">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单价金额小数点或者百分比有明显错位的，以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的总价为准，并修改单价;</w:t>
      </w:r>
    </w:p>
    <w:p w14:paraId="2A69B5D9">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3.6.1.5</w:t>
      </w:r>
      <w:r>
        <w:rPr>
          <w:rFonts w:hint="eastAsia" w:asciiTheme="minorEastAsia" w:hAnsiTheme="minorEastAsia" w:eastAsiaTheme="minorEastAsia" w:cstheme="minorEastAsia"/>
          <w:color w:val="auto"/>
          <w:kern w:val="0"/>
          <w:sz w:val="21"/>
          <w:szCs w:val="21"/>
          <w:highlight w:val="none"/>
        </w:rPr>
        <w:t>同时出现两种以上不一致的，按照3.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01B8E86B">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文件出现不是唯一的、有选择性</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129C3C3B">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报价超过</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文件中规定的预算金额或者最高限价的，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6B386D21">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1"/>
          <w:szCs w:val="21"/>
          <w:highlight w:val="none"/>
          <w:lang w:val="en-US" w:eastAsia="zh-CN"/>
        </w:rPr>
        <w:t>30分钟</w:t>
      </w:r>
      <w:r>
        <w:rPr>
          <w:rFonts w:hint="eastAsia" w:asciiTheme="minorEastAsia" w:hAnsiTheme="minorEastAsia" w:eastAsiaTheme="minorEastAsia" w:cstheme="minorEastAsia"/>
          <w:color w:val="auto"/>
          <w:kern w:val="0"/>
          <w:sz w:val="21"/>
          <w:szCs w:val="21"/>
          <w:highlight w:val="none"/>
        </w:rPr>
        <w:t>内提供书面说明</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rPr>
        <w:t>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应当将其作为无效</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处理。</w:t>
      </w:r>
    </w:p>
    <w:p w14:paraId="1EA3F00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lang w:val="en-US" w:eastAsia="zh-CN" w:bidi="ar-SA"/>
        </w:rPr>
        <w:t>综合评议。</w:t>
      </w:r>
      <w:r>
        <w:rPr>
          <w:rFonts w:hint="eastAsia" w:asciiTheme="minorEastAsia" w:hAnsiTheme="minorEastAsia" w:eastAsiaTheme="minorEastAsia" w:cstheme="minorEastAsia"/>
          <w:color w:val="auto"/>
          <w:kern w:val="0"/>
          <w:sz w:val="21"/>
          <w:szCs w:val="21"/>
          <w:highlight w:val="none"/>
          <w:lang w:val="en-US" w:eastAsia="zh-CN" w:bidi="ar-SA"/>
        </w:rPr>
        <w:t>评分汇总（汇总各评委的评分，计算所有评委评出的总分的算术平均值作为供应商的综合得分）；按综合得分从高到低排序。</w:t>
      </w:r>
    </w:p>
    <w:p w14:paraId="531C61A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lang w:val="en-US" w:eastAsia="zh-CN" w:bidi="ar-SA"/>
        </w:rPr>
        <w:t>磋商小组根据综合评分情况</w:t>
      </w:r>
      <w:r>
        <w:rPr>
          <w:rFonts w:hint="eastAsia" w:asciiTheme="minorEastAsia" w:hAnsiTheme="minorEastAsia" w:eastAsiaTheme="minorEastAsia" w:cstheme="minorEastAsia"/>
          <w:color w:val="auto"/>
          <w:kern w:val="0"/>
          <w:sz w:val="21"/>
          <w:szCs w:val="21"/>
          <w:highlight w:val="none"/>
          <w:lang w:val="en-US" w:eastAsia="zh-CN" w:bidi="ar-SA"/>
        </w:rPr>
        <w:t>，按照评审得分由高到低顺序推荐3名成交候选供应商。评审得分相同的，按照最后报价由低到高的顺序推荐。评审得分且最后报价相同的，按照技术指标优劣顺序推荐。</w:t>
      </w:r>
    </w:p>
    <w:p w14:paraId="606D88B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编写评标报告。</w:t>
      </w:r>
      <w:r>
        <w:rPr>
          <w:rFonts w:hint="eastAsia" w:asciiTheme="minorEastAsia" w:hAnsiTheme="minorEastAsia" w:eastAsiaTheme="minorEastAsia" w:cstheme="minorEastAsia"/>
          <w:color w:val="auto"/>
          <w:kern w:val="0"/>
          <w:sz w:val="21"/>
          <w:szCs w:val="21"/>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44FD32">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4FE9C5CC">
      <w:pPr>
        <w:pStyle w:val="51"/>
        <w:keepNext w:val="0"/>
        <w:keepLines w:val="0"/>
        <w:pageBreakBefore w:val="0"/>
        <w:kinsoku/>
        <w:wordWrap/>
        <w:overflowPunct/>
        <w:topLinePunct w:val="0"/>
        <w:autoSpaceDE/>
        <w:autoSpaceDN/>
        <w:bidi w:val="0"/>
        <w:spacing w:before="0"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澄清、说明或者补正。</w:t>
      </w:r>
      <w:r>
        <w:rPr>
          <w:rFonts w:hint="eastAsia" w:asciiTheme="minorEastAsia" w:hAnsiTheme="minorEastAsia" w:eastAsiaTheme="minorEastAsia" w:cstheme="minorEastAsia"/>
          <w:color w:val="auto"/>
          <w:kern w:val="0"/>
          <w:sz w:val="21"/>
          <w:szCs w:val="21"/>
          <w:highlight w:val="none"/>
        </w:rPr>
        <w:t>对于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文件的范围或者改变</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文件的实质性内容。</w:t>
      </w:r>
    </w:p>
    <w:p w14:paraId="5F9F54B4">
      <w:pPr>
        <w:pStyle w:val="10"/>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无效</w:t>
      </w:r>
      <w:r>
        <w:rPr>
          <w:rFonts w:hint="eastAsia" w:asciiTheme="minorEastAsia" w:hAnsiTheme="minorEastAsia" w:eastAsiaTheme="minorEastAsia" w:cstheme="minorEastAsia"/>
          <w:b/>
          <w:color w:val="auto"/>
          <w:kern w:val="0"/>
          <w:sz w:val="21"/>
          <w:szCs w:val="21"/>
          <w:highlight w:val="none"/>
          <w:lang w:val="en-US" w:eastAsia="zh-CN"/>
        </w:rPr>
        <w:t>的情形</w:t>
      </w:r>
      <w:r>
        <w:rPr>
          <w:rFonts w:hint="eastAsia" w:asciiTheme="minorEastAsia" w:hAnsiTheme="minorEastAsia" w:eastAsiaTheme="minorEastAsia" w:cstheme="minorEastAsia"/>
          <w:b/>
          <w:color w:val="auto"/>
          <w:kern w:val="0"/>
          <w:sz w:val="21"/>
          <w:szCs w:val="21"/>
          <w:highlight w:val="none"/>
        </w:rPr>
        <w:t>。</w:t>
      </w:r>
    </w:p>
    <w:p w14:paraId="090FA3D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没有响应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文件要求的，应认定其响应无效。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修改、补正响应文件后，不影响磋商小组对其响应文件所作的评价和评分结果。</w:t>
      </w:r>
    </w:p>
    <w:p w14:paraId="1FD7E99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 在电子开评标时，如发现下列情形之一的，将被视为无效响应文件：</w:t>
      </w:r>
    </w:p>
    <w:p w14:paraId="280A4C0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4.2.2.1电子投标文件解密失败的；</w:t>
      </w:r>
    </w:p>
    <w:p w14:paraId="2C39544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4.2.2.2响应文件未按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文件要求加密、签字、盖章的；</w:t>
      </w:r>
    </w:p>
    <w:p w14:paraId="4A2940D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 在资格审查、符合性审查和商务评审时，如发现下列情形之一的，将被视为无效响应文件：</w:t>
      </w:r>
    </w:p>
    <w:p w14:paraId="7D0292A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 资格证明文件不全的或者不符合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文件标明的资格要求的；</w:t>
      </w:r>
    </w:p>
    <w:p w14:paraId="5908F47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4.2.3.2 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文件要求签署、盖章的；</w:t>
      </w:r>
    </w:p>
    <w:p w14:paraId="2D28488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4.2.3.3 响应代表人未能出具身份证明或身份证明与法定代表授权委托书不符的。</w:t>
      </w:r>
    </w:p>
    <w:p w14:paraId="5E850A5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4.2.3.4 响应文件格式不规范、项目不齐全或者内容虚假的；</w:t>
      </w:r>
    </w:p>
    <w:p w14:paraId="5695958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文件要求的（经磋商小组认定并允许其当场更正的笔误除外）；</w:t>
      </w:r>
    </w:p>
    <w:p w14:paraId="3092430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w:t>
      </w:r>
    </w:p>
    <w:p w14:paraId="0CB6EA9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4.2.3.7 带“▲”的条款不能满足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文件要求、未实质性响应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文件要求或者响应文件有采购人不能接受的附加条件的；</w:t>
      </w:r>
    </w:p>
    <w:p w14:paraId="4593A2C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4.2.3.8 单位负责人为同一人或者存在直接控股、管理关系的不同供应商参加同一合同项下的政府采购活动的；</w:t>
      </w:r>
    </w:p>
    <w:p w14:paraId="27FE5A7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4.2.3.9 为采购项目提供整体设计、规范编制或者项目管理、监理、检测等服务的供应商参加该采购项目的其他采购活动的；</w:t>
      </w:r>
    </w:p>
    <w:p w14:paraId="37B8DD4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4.2.3.10 商务技术文件中出现本项目磋商报价或单价的。</w:t>
      </w:r>
    </w:p>
    <w:p w14:paraId="2729175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4.3.在技术评审时，如发现下列情形之一的，将被视为无效响应文件：</w:t>
      </w:r>
    </w:p>
    <w:p w14:paraId="4998EA7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4.3.1未提供或未如实提供磋商货物的技术参数，或者响应文件标明的响应或偏离与事实不符或虚假响应的；</w:t>
      </w:r>
    </w:p>
    <w:p w14:paraId="28C8FCF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4.3.2 明显不符合竞争性磋商文件要求的规格型号、质量标准，或者与竞争性磋商文件中标“▲”的技术指标、主要功能项目发生实质性偏离的；</w:t>
      </w:r>
    </w:p>
    <w:p w14:paraId="369B8B3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4.3.3 允许偏离的技术、性能指标或辅助功能项目发生负偏离达/项（含）以上的；</w:t>
      </w:r>
    </w:p>
    <w:p w14:paraId="6CD7C7C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4.3.4 技术方案不明确，存在一个或一个以上备选（替代）技术方案的；</w:t>
      </w:r>
    </w:p>
    <w:p w14:paraId="06B0EB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4.3.5 与其他参加本次磋商</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的响应文件（技术文件）的文字表述内容差错相同2处以上的；</w:t>
      </w:r>
    </w:p>
    <w:p w14:paraId="417BF3C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未按竞争性磋商文件要求提供国家确定的认证机构出具的、处于有效期之内的节能产品认证证书的。</w:t>
      </w:r>
    </w:p>
    <w:p w14:paraId="0F1E041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 在报价评审时，如发现下列情形之一的，响应文件将被视为无效：</w:t>
      </w:r>
    </w:p>
    <w:p w14:paraId="678DDAF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4.4.1 未采用人民币报价或者未按照竞争性磋商文件标明的币种报价的；</w:t>
      </w:r>
    </w:p>
    <w:p w14:paraId="217D6B2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4.4.2 报价超出最高综合折扣的；</w:t>
      </w:r>
    </w:p>
    <w:p w14:paraId="626E57C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4.4.3 磋商报价具有选择性的；</w:t>
      </w:r>
    </w:p>
    <w:p w14:paraId="4443C5F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4.4.4 磋商报价中出现缺项、漏项或被磋商小组认定为有可能影响产品质量或者不能诚信履约的且不能在合理的时间内证明其报价合理性的；</w:t>
      </w:r>
    </w:p>
    <w:p w14:paraId="02549B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4.4.5供应商对根据修正原则修正后的报价不确认的。</w:t>
      </w:r>
    </w:p>
    <w:p w14:paraId="15D9C62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4.5其他无效情形：</w:t>
      </w:r>
    </w:p>
    <w:p w14:paraId="6D3E97C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4.5.1 不同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的响应文件出自同一终端设备或在相同Internet主机分配地址（相同IP地址）进行网上报名、磋商的；</w:t>
      </w:r>
    </w:p>
    <w:p w14:paraId="3027EFD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4.5.2 </w:t>
      </w:r>
      <w:r>
        <w:rPr>
          <w:rFonts w:hint="eastAsia" w:asciiTheme="minorEastAsia" w:hAnsiTheme="minorEastAsia" w:eastAsiaTheme="minorEastAsia" w:cstheme="minorEastAsia"/>
          <w:color w:val="auto"/>
          <w:kern w:val="0"/>
          <w:sz w:val="21"/>
          <w:szCs w:val="21"/>
          <w:highlight w:val="none"/>
        </w:rPr>
        <w:t>法律、法规、规章（适用本市的）及省级以上规范性文件（适用本市的）规定的其他无效情形。</w:t>
      </w:r>
    </w:p>
    <w:p w14:paraId="10FAFE0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5.采购终止的情形。</w:t>
      </w:r>
      <w:r>
        <w:rPr>
          <w:rFonts w:hint="eastAsia" w:asciiTheme="minorEastAsia" w:hAnsiTheme="minorEastAsia" w:eastAsiaTheme="minorEastAsia" w:cstheme="minorEastAsia"/>
          <w:color w:val="auto"/>
          <w:kern w:val="0"/>
          <w:sz w:val="21"/>
          <w:szCs w:val="21"/>
          <w:highlight w:val="none"/>
        </w:rPr>
        <w:t>在本项目磋商采购中，出现下列情形之一的，应当终止竞争性磋商采购活动，发布项目终止公告并说明原因，重新开展采购活动：</w:t>
      </w:r>
    </w:p>
    <w:p w14:paraId="291A7FC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5.1因情况变化，不再符合规定的竞争性磋商采购方式适用情形的；</w:t>
      </w:r>
    </w:p>
    <w:p w14:paraId="31F4C26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5.2出现影响采购公正的违法、违规行为的；</w:t>
      </w:r>
    </w:p>
    <w:p w14:paraId="5EE2C21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50F1BA6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5.4电子交易平台无法正常运行，无法保证电子交易的公平、公正和安全的情况。</w:t>
      </w:r>
    </w:p>
    <w:p w14:paraId="66CC6479">
      <w:pPr>
        <w:pStyle w:val="10"/>
        <w:keepNext w:val="0"/>
        <w:keepLines w:val="0"/>
        <w:pageBreakBefore w:val="0"/>
        <w:kinsoku/>
        <w:wordWrap/>
        <w:overflowPunct/>
        <w:topLinePunct w:val="0"/>
        <w:autoSpaceDE/>
        <w:autoSpaceDN/>
        <w:bidi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文件，重新组织采购活动。</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文件存在歧义、重大缺陷导致评标工作无法进行，或者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文件内容违反国家有关强制性规定的，将停止评标工作，并与采购人、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沟通并作书面记录。采购人、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确认后，将修改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文件，重新组织采购活动。</w:t>
      </w:r>
    </w:p>
    <w:p w14:paraId="4A54472A">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5DB89F21">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人的，终止本次政府采购活动，重新开展政府采购活动。</w:t>
      </w:r>
    </w:p>
    <w:p w14:paraId="69599C24">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人但尚未签订政府采购合同的，</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或者成交结果无效，重新开展政府采购活动。</w:t>
      </w:r>
    </w:p>
    <w:p w14:paraId="580CCABB">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7.3政府采购合同已签订但尚未履行的，撤销合同，重新开展政府采购活动。</w:t>
      </w:r>
    </w:p>
    <w:p w14:paraId="7E94A78B">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7.4政府采购合同已经履行，给采购人、供应商造成损失的，由责任人承担赔偿责任。</w:t>
      </w:r>
    </w:p>
    <w:p w14:paraId="74A4AA9A">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21"/>
          <w:szCs w:val="21"/>
          <w:highlight w:val="none"/>
        </w:rPr>
        <w:t>7.5政府采购当事人有其他违反政府采购法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14:paraId="65BCECD0">
      <w:pPr>
        <w:pStyle w:val="10"/>
        <w:numPr>
          <w:ilvl w:val="0"/>
          <w:numId w:val="5"/>
        </w:numP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rPr>
        <w:t>合同文本（</w:t>
      </w:r>
      <w:r>
        <w:rPr>
          <w:rFonts w:hint="eastAsia" w:asciiTheme="minorEastAsia" w:hAnsiTheme="minorEastAsia" w:eastAsiaTheme="minorEastAsia" w:cstheme="minorEastAsia"/>
          <w:b/>
          <w:color w:val="auto"/>
          <w:sz w:val="36"/>
          <w:szCs w:val="36"/>
          <w:highlight w:val="none"/>
          <w:lang w:val="en-US" w:eastAsia="zh-CN"/>
        </w:rPr>
        <w:t>工程类</w:t>
      </w:r>
      <w:r>
        <w:rPr>
          <w:rFonts w:hint="eastAsia" w:asciiTheme="minorEastAsia" w:hAnsiTheme="minorEastAsia" w:eastAsiaTheme="minorEastAsia" w:cstheme="minorEastAsia"/>
          <w:b/>
          <w:color w:val="auto"/>
          <w:sz w:val="36"/>
          <w:szCs w:val="36"/>
          <w:highlight w:val="none"/>
        </w:rPr>
        <w:t>）</w:t>
      </w:r>
    </w:p>
    <w:p w14:paraId="33EE0370">
      <w:pPr>
        <w:pStyle w:val="52"/>
        <w:ind w:left="0" w:leftChars="0" w:firstLine="0" w:firstLineChars="0"/>
        <w:rPr>
          <w:rFonts w:asciiTheme="minorEastAsia" w:hAnsiTheme="minorEastAsia" w:eastAsiaTheme="minorEastAsia" w:cstheme="minorEastAsia"/>
          <w:color w:val="auto"/>
          <w:szCs w:val="24"/>
          <w:highlight w:val="none"/>
        </w:rPr>
      </w:pPr>
    </w:p>
    <w:p w14:paraId="4BD9C090">
      <w:pPr>
        <w:pStyle w:val="52"/>
        <w:rPr>
          <w:rFonts w:asciiTheme="minorEastAsia" w:hAnsiTheme="minorEastAsia" w:eastAsiaTheme="minorEastAsia" w:cstheme="minorEastAsia"/>
          <w:color w:val="auto"/>
          <w:szCs w:val="24"/>
          <w:highlight w:val="none"/>
        </w:rPr>
      </w:pPr>
    </w:p>
    <w:p w14:paraId="1AD99B53">
      <w:pPr>
        <w:pStyle w:val="52"/>
        <w:ind w:left="0" w:leftChars="0" w:firstLine="0" w:firstLineChars="0"/>
        <w:rPr>
          <w:rFonts w:asciiTheme="minorEastAsia" w:hAnsiTheme="minorEastAsia" w:eastAsiaTheme="minorEastAsia" w:cstheme="minorEastAsia"/>
          <w:color w:val="auto"/>
          <w:szCs w:val="24"/>
          <w:highlight w:val="none"/>
        </w:rPr>
      </w:pPr>
    </w:p>
    <w:p w14:paraId="1E25A04F">
      <w:pPr>
        <w:spacing w:before="120" w:line="360" w:lineRule="auto"/>
        <w:rPr>
          <w:rFonts w:asciiTheme="minorEastAsia" w:hAnsiTheme="minorEastAsia" w:eastAsiaTheme="minorEastAsia" w:cstheme="minorEastAsia"/>
          <w:color w:val="auto"/>
          <w:sz w:val="24"/>
          <w:highlight w:val="none"/>
        </w:rPr>
      </w:pPr>
    </w:p>
    <w:p w14:paraId="65BD7989">
      <w:pPr>
        <w:spacing w:before="120" w:line="360" w:lineRule="auto"/>
        <w:ind w:left="960" w:firstLine="720" w:firstLineChars="3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p>
    <w:p w14:paraId="55AF9591">
      <w:pPr>
        <w:pStyle w:val="44"/>
        <w:spacing w:before="120"/>
        <w:rPr>
          <w:rFonts w:asciiTheme="minorEastAsia" w:hAnsiTheme="minorEastAsia" w:eastAsiaTheme="minorEastAsia" w:cstheme="minorEastAsia"/>
          <w:color w:val="auto"/>
          <w:szCs w:val="24"/>
          <w:highlight w:val="none"/>
        </w:rPr>
      </w:pPr>
    </w:p>
    <w:p w14:paraId="1B7392CD">
      <w:pPr>
        <w:pStyle w:val="44"/>
        <w:spacing w:before="120"/>
        <w:rPr>
          <w:rFonts w:asciiTheme="minorEastAsia" w:hAnsiTheme="minorEastAsia" w:eastAsiaTheme="minorEastAsia" w:cstheme="minorEastAsia"/>
          <w:color w:val="auto"/>
          <w:szCs w:val="24"/>
          <w:highlight w:val="none"/>
        </w:rPr>
      </w:pPr>
    </w:p>
    <w:p w14:paraId="7E41ECF2">
      <w:pPr>
        <w:spacing w:line="360" w:lineRule="auto"/>
        <w:rPr>
          <w:rFonts w:asciiTheme="minorEastAsia" w:hAnsiTheme="minorEastAsia" w:eastAsiaTheme="minorEastAsia" w:cstheme="minorEastAsia"/>
          <w:color w:val="auto"/>
          <w:sz w:val="24"/>
          <w:highlight w:val="none"/>
        </w:rPr>
      </w:pPr>
    </w:p>
    <w:p w14:paraId="6CB5BD5E">
      <w:pPr>
        <w:spacing w:before="120" w:line="600" w:lineRule="auto"/>
        <w:ind w:left="960" w:firstLine="720" w:firstLineChars="3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lang w:val="en-US" w:eastAsia="zh-CN"/>
        </w:rPr>
        <w:t xml:space="preserve">                                   </w:t>
      </w:r>
    </w:p>
    <w:p w14:paraId="600075C9">
      <w:pP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21508A78">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088DDAEB">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5CAEAD56">
      <w:pPr>
        <w:spacing w:line="360" w:lineRule="auto"/>
        <w:jc w:val="center"/>
        <w:outlineLvl w:val="1"/>
        <w:rPr>
          <w:rFonts w:hint="eastAsia" w:ascii="宋体" w:hAnsi="宋体" w:cs="宋体"/>
          <w:color w:val="auto"/>
          <w:sz w:val="30"/>
          <w:szCs w:val="30"/>
          <w:highlight w:val="none"/>
        </w:rPr>
      </w:pPr>
      <w:r>
        <w:rPr>
          <w:rFonts w:hint="eastAsia" w:asciiTheme="minorEastAsia" w:hAnsiTheme="minorEastAsia" w:eastAsiaTheme="minorEastAsia" w:cstheme="minorEastAsia"/>
          <w:color w:val="auto"/>
          <w:sz w:val="24"/>
          <w:highlight w:val="none"/>
          <w:u w:val="single"/>
          <w:lang w:val="zh-CN"/>
        </w:rPr>
        <w:br w:type="page"/>
      </w:r>
      <w:r>
        <w:rPr>
          <w:rFonts w:hint="eastAsia" w:ascii="宋体" w:hAnsi="宋体" w:cs="宋体"/>
          <w:color w:val="auto"/>
          <w:sz w:val="30"/>
          <w:szCs w:val="30"/>
          <w:highlight w:val="none"/>
        </w:rPr>
        <w:t>第一部分  协 议 书</w:t>
      </w:r>
    </w:p>
    <w:p w14:paraId="50ABE6FF">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发包人（甲方）</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宁波市奉化区惠海地下管线投资有限公司 </w:t>
      </w:r>
    </w:p>
    <w:p w14:paraId="18E53A83">
      <w:pPr>
        <w:spacing w:line="360" w:lineRule="auto"/>
        <w:rPr>
          <w:rFonts w:hint="default" w:ascii="宋体" w:hAnsi="宋体" w:eastAsia="宋体" w:cs="宋体"/>
          <w:color w:val="auto"/>
          <w:sz w:val="21"/>
          <w:szCs w:val="21"/>
          <w:highlight w:val="none"/>
          <w:u w:val="single"/>
          <w:lang w:val="en-US"/>
        </w:rPr>
      </w:pPr>
      <w:r>
        <w:rPr>
          <w:rFonts w:hint="eastAsia" w:ascii="宋体" w:hAnsi="宋体" w:cs="宋体"/>
          <w:color w:val="auto"/>
          <w:sz w:val="21"/>
          <w:szCs w:val="21"/>
          <w:highlight w:val="none"/>
        </w:rPr>
        <w:t>承包人（乙方）：</w:t>
      </w:r>
      <w:r>
        <w:rPr>
          <w:rFonts w:hint="eastAsia" w:ascii="宋体" w:hAnsi="宋体" w:eastAsia="宋体" w:cs="宋体"/>
          <w:color w:val="auto"/>
          <w:sz w:val="21"/>
          <w:szCs w:val="21"/>
          <w:highlight w:val="none"/>
          <w:u w:val="single"/>
          <w:lang w:val="en-US" w:eastAsia="zh-CN"/>
        </w:rPr>
        <w:t xml:space="preserve">                                    </w:t>
      </w:r>
    </w:p>
    <w:p w14:paraId="789AC07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依照《中华人民共和国</w:t>
      </w:r>
      <w:r>
        <w:rPr>
          <w:rFonts w:hint="eastAsia" w:ascii="宋体" w:hAnsi="宋体" w:cs="宋体"/>
          <w:color w:val="auto"/>
          <w:sz w:val="21"/>
          <w:szCs w:val="21"/>
          <w:highlight w:val="none"/>
          <w:lang w:eastAsia="zh-CN"/>
        </w:rPr>
        <w:t>民法典</w:t>
      </w:r>
      <w:r>
        <w:rPr>
          <w:rFonts w:hint="eastAsia" w:ascii="宋体" w:hAnsi="宋体" w:cs="宋体"/>
          <w:color w:val="auto"/>
          <w:sz w:val="21"/>
          <w:szCs w:val="21"/>
          <w:highlight w:val="none"/>
        </w:rPr>
        <w:t>》、《中华人民共和国建筑法》及其他有关法律、行政法规、遵循平等、自愿、公平和诚实信用的原则，发包人和承包人本着平等互利的原则，根据</w:t>
      </w:r>
      <w:r>
        <w:rPr>
          <w:rFonts w:hint="eastAsia" w:ascii="宋体" w:hAnsi="宋体" w:cs="宋体"/>
          <w:color w:val="auto"/>
          <w:sz w:val="21"/>
          <w:szCs w:val="21"/>
          <w:highlight w:val="none"/>
          <w:lang w:val="en-US" w:eastAsia="zh-CN"/>
        </w:rPr>
        <w:t>交易须知</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CN"/>
        </w:rPr>
        <w:t>成交确认书</w:t>
      </w:r>
      <w:r>
        <w:rPr>
          <w:rFonts w:hint="eastAsia" w:ascii="宋体" w:hAnsi="宋体" w:cs="宋体"/>
          <w:color w:val="auto"/>
          <w:sz w:val="21"/>
          <w:szCs w:val="21"/>
          <w:highlight w:val="none"/>
        </w:rPr>
        <w:t>，按下述条款和条件签署本合同。</w:t>
      </w:r>
    </w:p>
    <w:p w14:paraId="0B0B1E50">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一、工程概况</w:t>
      </w:r>
    </w:p>
    <w:p w14:paraId="790A1150">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工程名称：</w:t>
      </w:r>
      <w:r>
        <w:rPr>
          <w:rFonts w:hint="eastAsia" w:ascii="宋体" w:hAnsi="宋体" w:eastAsia="宋体" w:cs="Times New Roman"/>
          <w:color w:val="auto"/>
          <w:sz w:val="21"/>
          <w:szCs w:val="21"/>
          <w:highlight w:val="none"/>
          <w:u w:val="single"/>
          <w:lang w:val="en-US" w:eastAsia="zh-CN"/>
        </w:rPr>
        <w:t>X306县道（尚岭线）尚界线至葛岙水库段提升改造工程-给水迁改工程</w:t>
      </w:r>
    </w:p>
    <w:p w14:paraId="5B1FFAF3">
      <w:pPr>
        <w:spacing w:line="360" w:lineRule="auto"/>
        <w:ind w:left="1529" w:leftChars="228" w:hanging="1050" w:hangingChars="5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工程地点：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位于奉化区</w:t>
      </w:r>
      <w:r>
        <w:rPr>
          <w:rFonts w:hint="eastAsia" w:ascii="宋体" w:hAnsi="宋体" w:cs="Times New Roman"/>
          <w:color w:val="auto"/>
          <w:sz w:val="21"/>
          <w:szCs w:val="21"/>
          <w:highlight w:val="none"/>
          <w:u w:val="single"/>
          <w:lang w:val="en-US" w:eastAsia="zh-CN"/>
        </w:rPr>
        <w:t xml:space="preserve"> </w:t>
      </w:r>
    </w:p>
    <w:p w14:paraId="381AB5F2">
      <w:pPr>
        <w:spacing w:line="360" w:lineRule="auto"/>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none"/>
          <w:lang w:eastAsia="zh-CN"/>
        </w:rPr>
        <w:t>工程内容：</w:t>
      </w:r>
      <w:r>
        <w:rPr>
          <w:rFonts w:hint="eastAsia" w:ascii="宋体" w:hAnsi="宋体" w:eastAsia="宋体" w:cs="Times New Roman"/>
          <w:color w:val="auto"/>
          <w:sz w:val="21"/>
          <w:szCs w:val="21"/>
          <w:highlight w:val="none"/>
          <w:u w:val="single"/>
          <w:lang w:eastAsia="zh-CN"/>
        </w:rPr>
        <w:t>详见图纸</w:t>
      </w:r>
    </w:p>
    <w:p w14:paraId="1156A233">
      <w:pPr>
        <w:spacing w:line="360" w:lineRule="auto"/>
        <w:ind w:left="1739" w:leftChars="228" w:hanging="1260" w:hangingChars="6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工程立项批准文号：</w:t>
      </w:r>
      <w:r>
        <w:rPr>
          <w:rFonts w:hint="eastAsia" w:ascii="宋体" w:hAnsi="宋体" w:eastAsia="宋体" w:cs="宋体"/>
          <w:color w:val="auto"/>
          <w:sz w:val="21"/>
          <w:szCs w:val="21"/>
          <w:highlight w:val="none"/>
          <w:u w:val="single"/>
          <w:lang w:val="en-US" w:eastAsia="zh-CN"/>
        </w:rPr>
        <w:t>奉发改投〔2024〕28号</w:t>
      </w:r>
    </w:p>
    <w:p w14:paraId="6D118E79">
      <w:pPr>
        <w:spacing w:line="360" w:lineRule="auto"/>
        <w:ind w:left="1739" w:leftChars="228" w:hanging="1260" w:hangingChars="6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资金来源：</w:t>
      </w:r>
      <w:r>
        <w:rPr>
          <w:rFonts w:hint="eastAsia" w:ascii="宋体" w:hAnsi="宋体" w:cs="宋体"/>
          <w:color w:val="auto"/>
          <w:sz w:val="21"/>
          <w:szCs w:val="21"/>
          <w:highlight w:val="none"/>
          <w:u w:val="single"/>
          <w:lang w:val="en-US" w:eastAsia="zh-CN"/>
        </w:rPr>
        <w:t xml:space="preserve">  自筹   </w:t>
      </w:r>
    </w:p>
    <w:p w14:paraId="0EE18E55">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二、工程承包范围</w:t>
      </w:r>
    </w:p>
    <w:p w14:paraId="7FCB67C6">
      <w:pPr>
        <w:spacing w:line="360" w:lineRule="auto"/>
        <w:ind w:firstLine="420" w:firstLineChars="200"/>
        <w:rPr>
          <w:rFonts w:hint="default" w:ascii="宋体" w:hAnsi="宋体" w:eastAsia="宋体" w:cs="Times New Roman"/>
          <w:color w:val="auto"/>
          <w:sz w:val="21"/>
          <w:szCs w:val="21"/>
          <w:highlight w:val="none"/>
          <w:u w:val="single"/>
          <w:lang w:val="en-US" w:eastAsia="zh-CN"/>
        </w:rPr>
      </w:pPr>
      <w:r>
        <w:rPr>
          <w:rFonts w:hint="eastAsia" w:ascii="宋体" w:hAnsi="宋体" w:eastAsia="宋体" w:cs="宋体"/>
          <w:color w:val="auto"/>
          <w:sz w:val="21"/>
          <w:szCs w:val="21"/>
          <w:highlight w:val="none"/>
        </w:rPr>
        <w:t>承包范围</w:t>
      </w:r>
      <w:r>
        <w:rPr>
          <w:rFonts w:hint="eastAsia" w:ascii="宋体" w:hAnsi="宋体" w:eastAsia="宋体" w:cs="宋体"/>
          <w:color w:val="auto"/>
          <w:sz w:val="21"/>
          <w:szCs w:val="21"/>
          <w:highlight w:val="none"/>
          <w:u w:val="none"/>
          <w:lang w:val="en-US" w:eastAsia="zh-CN"/>
        </w:rPr>
        <w:t>：</w:t>
      </w:r>
      <w:r>
        <w:rPr>
          <w:rFonts w:hint="eastAsia" w:ascii="宋体" w:hAnsi="宋体" w:eastAsia="宋体" w:cs="Times New Roman"/>
          <w:color w:val="auto"/>
          <w:sz w:val="21"/>
          <w:szCs w:val="21"/>
          <w:highlight w:val="none"/>
          <w:u w:val="single"/>
          <w:lang w:val="en-US" w:eastAsia="zh-CN"/>
        </w:rPr>
        <w:t>施工图范围内的</w:t>
      </w:r>
      <w:r>
        <w:rPr>
          <w:rFonts w:hint="eastAsia" w:ascii="宋体" w:hAnsi="宋体" w:eastAsia="宋体" w:cs="宋体"/>
          <w:color w:val="auto"/>
          <w:sz w:val="21"/>
          <w:szCs w:val="21"/>
          <w:highlight w:val="none"/>
          <w:u w:val="single"/>
          <w:lang w:val="en-US" w:eastAsia="zh-CN"/>
        </w:rPr>
        <w:t xml:space="preserve">给水工程等 </w:t>
      </w:r>
    </w:p>
    <w:p w14:paraId="2D7E339C">
      <w:pPr>
        <w:pStyle w:val="66"/>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三、合同工期</w:t>
      </w:r>
    </w:p>
    <w:p w14:paraId="65048B87">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计划开工日期：</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日(具体以监理开工</w:t>
      </w:r>
      <w:r>
        <w:rPr>
          <w:rFonts w:hint="eastAsia" w:ascii="宋体" w:hAnsi="宋体" w:cs="宋体"/>
          <w:color w:val="auto"/>
          <w:sz w:val="21"/>
          <w:szCs w:val="21"/>
          <w:highlight w:val="none"/>
          <w:lang w:eastAsia="zh-CN"/>
        </w:rPr>
        <w:t>令</w:t>
      </w:r>
      <w:r>
        <w:rPr>
          <w:rFonts w:hint="eastAsia" w:ascii="宋体" w:hAnsi="宋体" w:cs="宋体"/>
          <w:color w:val="auto"/>
          <w:sz w:val="21"/>
          <w:szCs w:val="21"/>
          <w:highlight w:val="none"/>
        </w:rPr>
        <w:t>为准)</w:t>
      </w:r>
    </w:p>
    <w:p w14:paraId="333F3CE3">
      <w:pPr>
        <w:spacing w:line="360" w:lineRule="auto"/>
        <w:ind w:firstLine="403" w:firstLineChars="192"/>
        <w:rPr>
          <w:rFonts w:hint="eastAsia" w:ascii="宋体" w:hAnsi="宋体" w:cs="宋体"/>
          <w:color w:val="auto"/>
          <w:sz w:val="21"/>
          <w:szCs w:val="21"/>
          <w:highlight w:val="none"/>
        </w:rPr>
      </w:pPr>
      <w:r>
        <w:rPr>
          <w:rFonts w:hint="eastAsia" w:ascii="宋体" w:hAnsi="宋体" w:cs="宋体"/>
          <w:color w:val="auto"/>
          <w:sz w:val="21"/>
          <w:szCs w:val="21"/>
          <w:highlight w:val="none"/>
        </w:rPr>
        <w:t>合同工期总日历天数：</w:t>
      </w:r>
      <w:r>
        <w:rPr>
          <w:rFonts w:hint="eastAsia" w:ascii="宋体" w:hAnsi="宋体" w:cs="宋体"/>
          <w:color w:val="auto"/>
          <w:sz w:val="21"/>
          <w:szCs w:val="21"/>
          <w:highlight w:val="none"/>
          <w:u w:val="single"/>
          <w:lang w:val="en-US" w:eastAsia="zh-CN"/>
        </w:rPr>
        <w:t>500</w:t>
      </w:r>
      <w:r>
        <w:rPr>
          <w:rFonts w:hint="eastAsia" w:ascii="宋体" w:hAnsi="宋体" w:cs="宋体"/>
          <w:color w:val="auto"/>
          <w:sz w:val="21"/>
          <w:szCs w:val="21"/>
          <w:highlight w:val="none"/>
          <w:u w:val="none"/>
          <w:lang w:eastAsia="zh-CN"/>
        </w:rPr>
        <w:t>日历</w:t>
      </w:r>
      <w:r>
        <w:rPr>
          <w:rFonts w:hint="eastAsia" w:ascii="宋体" w:hAnsi="宋体" w:cs="宋体"/>
          <w:color w:val="auto"/>
          <w:sz w:val="21"/>
          <w:szCs w:val="21"/>
          <w:highlight w:val="none"/>
        </w:rPr>
        <w:t>天。</w:t>
      </w:r>
    </w:p>
    <w:p w14:paraId="640439CF">
      <w:pPr>
        <w:spacing w:line="360" w:lineRule="auto"/>
        <w:ind w:firstLine="403" w:firstLineChars="192"/>
        <w:rPr>
          <w:rFonts w:hint="eastAsia" w:ascii="宋体" w:hAnsi="宋体" w:cs="宋体"/>
          <w:b/>
          <w:color w:val="auto"/>
          <w:sz w:val="21"/>
          <w:szCs w:val="21"/>
          <w:highlight w:val="none"/>
        </w:rPr>
      </w:pPr>
      <w:r>
        <w:rPr>
          <w:rFonts w:hint="eastAsia" w:ascii="宋体" w:hAnsi="宋体" w:cs="宋体"/>
          <w:color w:val="auto"/>
          <w:sz w:val="21"/>
          <w:szCs w:val="21"/>
          <w:highlight w:val="none"/>
        </w:rPr>
        <w:t>若实际开工日期由于甲方原因或不可抗力因素造成滞后,则以甲方正式批准的实际开工之日为准。</w:t>
      </w:r>
    </w:p>
    <w:p w14:paraId="7F94BDFC">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四、质量与安全要求</w:t>
      </w:r>
    </w:p>
    <w:p w14:paraId="593CBC61">
      <w:pPr>
        <w:spacing w:line="360" w:lineRule="auto"/>
        <w:ind w:firstLine="476" w:firstLineChars="227"/>
        <w:rPr>
          <w:rFonts w:hint="eastAsia" w:ascii="宋体" w:hAnsi="宋体" w:cs="宋体"/>
          <w:color w:val="auto"/>
          <w:sz w:val="21"/>
          <w:szCs w:val="21"/>
          <w:highlight w:val="none"/>
        </w:rPr>
      </w:pPr>
      <w:r>
        <w:rPr>
          <w:rFonts w:hint="eastAsia" w:ascii="宋体" w:hAnsi="宋体" w:cs="宋体"/>
          <w:color w:val="auto"/>
          <w:sz w:val="21"/>
          <w:szCs w:val="21"/>
          <w:highlight w:val="none"/>
        </w:rPr>
        <w:t>1、达到国家和行业施工验收规范一次性验收合格。</w:t>
      </w:r>
    </w:p>
    <w:p w14:paraId="4A14DB0D">
      <w:pPr>
        <w:spacing w:line="360" w:lineRule="auto"/>
        <w:ind w:firstLine="457" w:firstLineChars="218"/>
        <w:rPr>
          <w:rFonts w:hint="eastAsia" w:ascii="宋体" w:hAnsi="宋体" w:cs="宋体"/>
          <w:color w:val="auto"/>
          <w:sz w:val="21"/>
          <w:szCs w:val="21"/>
          <w:highlight w:val="none"/>
        </w:rPr>
      </w:pPr>
      <w:r>
        <w:rPr>
          <w:rFonts w:hint="eastAsia" w:ascii="宋体" w:hAnsi="宋体" w:cs="宋体"/>
          <w:color w:val="auto"/>
          <w:sz w:val="21"/>
          <w:szCs w:val="21"/>
          <w:highlight w:val="none"/>
        </w:rPr>
        <w:t>2、工程安全要求：合格。</w:t>
      </w:r>
    </w:p>
    <w:p w14:paraId="2EA1F7E7">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五、合同价款</w:t>
      </w:r>
    </w:p>
    <w:p w14:paraId="3A689527">
      <w:pPr>
        <w:spacing w:line="360" w:lineRule="auto"/>
        <w:ind w:firstLine="403" w:firstLineChars="192"/>
        <w:rPr>
          <w:rFonts w:hint="eastAsia" w:ascii="宋体" w:hAnsi="宋体" w:cs="宋体"/>
          <w:color w:val="auto"/>
          <w:sz w:val="21"/>
          <w:szCs w:val="21"/>
          <w:highlight w:val="none"/>
          <w:u w:val="none"/>
        </w:rPr>
      </w:pPr>
      <w:r>
        <w:rPr>
          <w:rFonts w:hint="eastAsia" w:ascii="宋体" w:hAnsi="宋体" w:cs="宋体"/>
          <w:color w:val="auto"/>
          <w:sz w:val="21"/>
          <w:szCs w:val="21"/>
          <w:highlight w:val="none"/>
        </w:rPr>
        <w:t>金额（大写）：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rPr>
        <w:t xml:space="preserve">整 </w:t>
      </w:r>
      <w:r>
        <w:rPr>
          <w:rFonts w:hint="eastAsia" w:ascii="宋体" w:hAnsi="宋体" w:cs="宋体"/>
          <w:color w:val="auto"/>
          <w:sz w:val="21"/>
          <w:szCs w:val="21"/>
          <w:highlight w:val="none"/>
        </w:rPr>
        <w:t>，</w:t>
      </w:r>
      <w:r>
        <w:rPr>
          <w:rFonts w:hint="eastAsia" w:ascii="宋体" w:hAnsi="宋体" w:cs="宋体"/>
          <w:color w:val="auto"/>
          <w:spacing w:val="14"/>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val="en-US" w:eastAsia="zh-CN"/>
        </w:rPr>
        <w:t>综合折扣</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r>
        <w:rPr>
          <w:rFonts w:hint="eastAsia" w:ascii="宋体" w:hAnsi="宋体" w:cs="宋体"/>
          <w:color w:val="auto"/>
          <w:sz w:val="21"/>
          <w:szCs w:val="21"/>
          <w:highlight w:val="none"/>
          <w:u w:val="none"/>
        </w:rPr>
        <w:t>。</w:t>
      </w:r>
    </w:p>
    <w:p w14:paraId="1A732847">
      <w:pPr>
        <w:spacing w:line="360" w:lineRule="auto"/>
        <w:ind w:firstLine="403" w:firstLineChars="192"/>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合同价格类型：</w:t>
      </w:r>
      <w:r>
        <w:rPr>
          <w:rFonts w:hint="eastAsia" w:ascii="宋体" w:hAnsi="宋体" w:cs="宋体"/>
          <w:color w:val="auto"/>
          <w:sz w:val="21"/>
          <w:szCs w:val="21"/>
          <w:highlight w:val="none"/>
          <w:u w:val="single"/>
          <w:lang w:val="en-US" w:eastAsia="zh-CN"/>
        </w:rPr>
        <w:t>单价</w:t>
      </w:r>
      <w:r>
        <w:rPr>
          <w:rFonts w:hint="eastAsia" w:ascii="宋体" w:hAnsi="宋体" w:eastAsia="宋体" w:cs="宋体"/>
          <w:color w:val="auto"/>
          <w:sz w:val="21"/>
          <w:szCs w:val="21"/>
          <w:highlight w:val="none"/>
          <w:u w:val="single"/>
        </w:rPr>
        <w:t>合同</w:t>
      </w:r>
      <w:r>
        <w:rPr>
          <w:rFonts w:hint="eastAsia" w:ascii="宋体" w:hAnsi="宋体" w:cs="宋体"/>
          <w:color w:val="auto"/>
          <w:sz w:val="21"/>
          <w:szCs w:val="21"/>
          <w:highlight w:val="none"/>
          <w:u w:val="single"/>
        </w:rPr>
        <w:t>。</w:t>
      </w:r>
    </w:p>
    <w:p w14:paraId="024C373C">
      <w:pPr>
        <w:spacing w:line="360" w:lineRule="auto"/>
        <w:ind w:left="551"/>
        <w:rPr>
          <w:rFonts w:hint="eastAsia" w:ascii="宋体" w:hAnsi="宋体" w:cs="宋体"/>
          <w:color w:val="auto"/>
          <w:sz w:val="21"/>
          <w:szCs w:val="21"/>
          <w:highlight w:val="none"/>
        </w:rPr>
      </w:pPr>
      <w:r>
        <w:rPr>
          <w:rFonts w:hint="eastAsia" w:ascii="宋体" w:hAnsi="宋体" w:cs="宋体"/>
          <w:color w:val="auto"/>
          <w:sz w:val="21"/>
          <w:szCs w:val="21"/>
          <w:highlight w:val="none"/>
        </w:rPr>
        <w:t>六、组成合同的文件</w:t>
      </w:r>
    </w:p>
    <w:p w14:paraId="7DF82F3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组成本合同的文件包括：</w:t>
      </w:r>
    </w:p>
    <w:p w14:paraId="79F8AAE9">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1、本协议书</w:t>
      </w:r>
    </w:p>
    <w:p w14:paraId="572F652C">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2、成交确认书</w:t>
      </w:r>
    </w:p>
    <w:p w14:paraId="35BED660">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3、本合同专用条款及其附件</w:t>
      </w:r>
    </w:p>
    <w:p w14:paraId="1F3FD722">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交易公告</w:t>
      </w:r>
      <w:r>
        <w:rPr>
          <w:rFonts w:hint="eastAsia" w:ascii="宋体" w:hAnsi="宋体" w:cs="宋体"/>
          <w:color w:val="auto"/>
          <w:sz w:val="21"/>
          <w:szCs w:val="21"/>
          <w:highlight w:val="none"/>
        </w:rPr>
        <w:t>及其附件</w:t>
      </w:r>
    </w:p>
    <w:p w14:paraId="292BF4B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5、本合同通用条款</w:t>
      </w:r>
    </w:p>
    <w:p w14:paraId="690A3BC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6、标准、规范及有关技术文件</w:t>
      </w:r>
    </w:p>
    <w:p w14:paraId="57723BAB">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14:paraId="546A7F34">
      <w:pPr>
        <w:keepNext w:val="0"/>
        <w:keepLines w:val="0"/>
        <w:pageBreakBefore w:val="0"/>
        <w:widowControl w:val="0"/>
        <w:kinsoku/>
        <w:wordWrap/>
        <w:overflowPunct/>
        <w:topLinePunct w:val="0"/>
        <w:bidi w:val="0"/>
        <w:snapToGrid/>
        <w:spacing w:line="440" w:lineRule="exact"/>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8、工程量清单或预算书</w:t>
      </w:r>
    </w:p>
    <w:p w14:paraId="3CC3246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双方有关工程的洽商、变更等书面协议或文件视为本合同的组成部分。</w:t>
      </w:r>
    </w:p>
    <w:p w14:paraId="3BA82939">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七</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本协议书中有关词语含义与本合同第二部分《通用条款》中分别赋予它们的定义相同。</w:t>
      </w:r>
    </w:p>
    <w:p w14:paraId="1D060037">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八、承包人向发包人承诺按照合同约定进行施工、竣工并在质量保修期内承担工程质量保修责任。</w:t>
      </w:r>
    </w:p>
    <w:p w14:paraId="015B926A">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九、发包人向承包人承诺按照合同约定的期限和方式支付合同价款及其他应当支付的款项。</w:t>
      </w:r>
    </w:p>
    <w:p w14:paraId="735F9C6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十、合同生效</w:t>
      </w:r>
    </w:p>
    <w:p w14:paraId="3A13B92C">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日 </w:t>
      </w:r>
    </w:p>
    <w:p w14:paraId="2FFE1AD2">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合同订立地点：宁波市奉化区 </w:t>
      </w:r>
    </w:p>
    <w:p w14:paraId="0C563BB0">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本合同双方约定</w:t>
      </w:r>
      <w:r>
        <w:rPr>
          <w:rFonts w:hint="eastAsia" w:ascii="宋体" w:hAnsi="宋体" w:cs="宋体"/>
          <w:color w:val="auto"/>
          <w:sz w:val="21"/>
          <w:szCs w:val="21"/>
          <w:highlight w:val="none"/>
          <w:u w:val="single"/>
        </w:rPr>
        <w:t>加盖双方单位印章并经法定代表人或其委托代理人签字，并按约定提供履约担保</w:t>
      </w:r>
      <w:r>
        <w:rPr>
          <w:rFonts w:hint="eastAsia" w:ascii="宋体" w:hAnsi="宋体" w:cs="宋体"/>
          <w:color w:val="auto"/>
          <w:sz w:val="21"/>
          <w:szCs w:val="21"/>
          <w:highlight w:val="none"/>
        </w:rPr>
        <w:t>后生效。</w:t>
      </w:r>
    </w:p>
    <w:p w14:paraId="6B7BBF5F">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十一、合同份数</w:t>
      </w:r>
    </w:p>
    <w:p w14:paraId="68829BFC">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olor w:val="auto"/>
          <w:sz w:val="21"/>
          <w:szCs w:val="21"/>
          <w:highlight w:val="none"/>
        </w:rPr>
        <w:t>本合同一式陆份，发包方贰份，承包方肆份。</w:t>
      </w:r>
    </w:p>
    <w:p w14:paraId="28001186">
      <w:pPr>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p>
    <w:p w14:paraId="11EB9055">
      <w:pPr>
        <w:autoSpaceDE w:val="0"/>
        <w:autoSpaceDN w:val="0"/>
        <w:adjustRightInd w:val="0"/>
        <w:spacing w:line="38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kern w:val="0"/>
          <w:sz w:val="21"/>
          <w:szCs w:val="21"/>
          <w:highlight w:val="none"/>
          <w:lang w:val="zh-CN"/>
        </w:rPr>
        <w:t>宁波市奉化区惠海</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kern w:val="0"/>
          <w:sz w:val="21"/>
          <w:szCs w:val="21"/>
          <w:highlight w:val="none"/>
          <w:lang w:val="en-US" w:eastAsia="zh-CN"/>
        </w:rPr>
        <w:t xml:space="preserve">              </w:t>
      </w:r>
    </w:p>
    <w:p w14:paraId="1C682E99">
      <w:pPr>
        <w:autoSpaceDE w:val="0"/>
        <w:autoSpaceDN w:val="0"/>
        <w:adjustRightInd w:val="0"/>
        <w:spacing w:line="380" w:lineRule="exact"/>
        <w:ind w:firstLine="1470" w:firstLineChars="7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地下管线投资有限公司</w:t>
      </w:r>
    </w:p>
    <w:p w14:paraId="4BA1029F">
      <w:pPr>
        <w:autoSpaceDE w:val="0"/>
        <w:autoSpaceDN w:val="0"/>
        <w:adjustRightInd w:val="0"/>
        <w:spacing w:line="380" w:lineRule="exact"/>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宁波市奉化区岳林街道长汀东路558号</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p>
    <w:p w14:paraId="5E4AF017">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（城开大厦3号楼北幢9层</w:t>
      </w:r>
      <w:r>
        <w:rPr>
          <w:rFonts w:hint="eastAsia" w:ascii="宋体" w:hAnsi="宋体" w:cs="宋体"/>
          <w:color w:val="auto"/>
          <w:sz w:val="21"/>
          <w:szCs w:val="21"/>
          <w:highlight w:val="none"/>
          <w:lang w:eastAsia="zh-CN"/>
        </w:rPr>
        <w:t>）</w:t>
      </w:r>
    </w:p>
    <w:p w14:paraId="65E69F69">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法定代表人</w:t>
      </w:r>
      <w:r>
        <w:rPr>
          <w:rFonts w:hint="eastAsia" w:ascii="宋体" w:hAnsi="宋体" w:eastAsia="宋体" w:cs="宋体"/>
          <w:color w:val="auto"/>
          <w:kern w:val="0"/>
          <w:sz w:val="21"/>
          <w:szCs w:val="21"/>
          <w:highlight w:val="none"/>
        </w:rPr>
        <w:t xml:space="preserve">： </w:t>
      </w:r>
    </w:p>
    <w:p w14:paraId="7E5E9DA2">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委托代理人</w:t>
      </w:r>
      <w:r>
        <w:rPr>
          <w:rFonts w:hint="eastAsia" w:ascii="宋体" w:hAnsi="宋体" w:eastAsia="宋体" w:cs="宋体"/>
          <w:color w:val="auto"/>
          <w:kern w:val="0"/>
          <w:sz w:val="21"/>
          <w:szCs w:val="21"/>
          <w:highlight w:val="none"/>
        </w:rPr>
        <w:t>：</w:t>
      </w:r>
    </w:p>
    <w:p w14:paraId="50BF45BF">
      <w:pPr>
        <w:autoSpaceDE w:val="0"/>
        <w:autoSpaceDN w:val="0"/>
        <w:adjustRightInd w:val="0"/>
        <w:spacing w:line="440" w:lineRule="exact"/>
        <w:ind w:firstLine="457" w:firstLineChars="218"/>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rPr>
        <w:t>电话：0574-88967016</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电话：</w:t>
      </w:r>
      <w:r>
        <w:rPr>
          <w:rFonts w:hint="eastAsia" w:ascii="宋体" w:hAnsi="宋体" w:eastAsia="宋体" w:cs="宋体"/>
          <w:color w:val="auto"/>
          <w:kern w:val="0"/>
          <w:sz w:val="21"/>
          <w:szCs w:val="21"/>
          <w:highlight w:val="none"/>
          <w:lang w:val="en-US" w:eastAsia="zh-CN"/>
        </w:rPr>
        <w:t xml:space="preserve"> </w:t>
      </w:r>
    </w:p>
    <w:p w14:paraId="23349965">
      <w:pPr>
        <w:autoSpaceDE w:val="0"/>
        <w:autoSpaceDN w:val="0"/>
        <w:adjustRightInd w:val="0"/>
        <w:spacing w:line="440" w:lineRule="exact"/>
        <w:ind w:left="479" w:leftChars="228" w:firstLine="35" w:firstLineChars="17"/>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开户银行：宁波银行股份有限公司岳林支行  开户银行：</w:t>
      </w:r>
      <w:r>
        <w:rPr>
          <w:rFonts w:hint="eastAsia" w:ascii="宋体" w:hAnsi="宋体" w:eastAsia="宋体" w:cs="宋体"/>
          <w:color w:val="auto"/>
          <w:kern w:val="0"/>
          <w:sz w:val="21"/>
          <w:szCs w:val="21"/>
          <w:highlight w:val="none"/>
          <w:lang w:val="en-US" w:eastAsia="zh-CN"/>
        </w:rPr>
        <w:t xml:space="preserve">    </w:t>
      </w:r>
    </w:p>
    <w:p w14:paraId="38947B6B">
      <w:pPr>
        <w:autoSpaceDE w:val="0"/>
        <w:autoSpaceDN w:val="0"/>
        <w:adjustRightInd w:val="0"/>
        <w:spacing w:line="440" w:lineRule="exact"/>
        <w:ind w:left="479" w:leftChars="228" w:firstLine="35" w:firstLineChars="17"/>
        <w:jc w:val="left"/>
        <w:rPr>
          <w:rFonts w:hint="default" w:eastAsia="宋体"/>
          <w:color w:val="auto"/>
          <w:sz w:val="21"/>
          <w:szCs w:val="21"/>
          <w:highlight w:val="none"/>
          <w:lang w:val="en-US" w:eastAsia="zh-CN"/>
        </w:rPr>
      </w:pPr>
      <w:r>
        <w:rPr>
          <w:rFonts w:hint="eastAsia" w:ascii="宋体" w:hAnsi="宋体" w:eastAsia="宋体" w:cs="宋体"/>
          <w:color w:val="auto"/>
          <w:kern w:val="0"/>
          <w:sz w:val="21"/>
          <w:szCs w:val="21"/>
          <w:highlight w:val="none"/>
          <w:lang w:val="zh-CN"/>
        </w:rPr>
        <w:t xml:space="preserve">账号：64040122 000030230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lang w:val="en-US" w:eastAsia="zh-CN"/>
        </w:rPr>
        <w:t xml:space="preserve">           </w:t>
      </w:r>
    </w:p>
    <w:p w14:paraId="65ED3511">
      <w:pPr>
        <w:spacing w:line="360" w:lineRule="auto"/>
        <w:jc w:val="center"/>
        <w:rPr>
          <w:rFonts w:hint="eastAsia" w:ascii="宋体" w:hAnsi="宋体" w:cs="宋体"/>
          <w:b/>
          <w:bCs/>
          <w:color w:val="auto"/>
          <w:sz w:val="21"/>
          <w:szCs w:val="21"/>
          <w:highlight w:val="none"/>
        </w:rPr>
      </w:pPr>
    </w:p>
    <w:p w14:paraId="78DA7E84">
      <w:pPr>
        <w:spacing w:line="360" w:lineRule="auto"/>
        <w:jc w:val="center"/>
        <w:rPr>
          <w:rFonts w:hint="eastAsia" w:ascii="宋体" w:hAnsi="宋体" w:cs="宋体"/>
          <w:b/>
          <w:bCs/>
          <w:color w:val="auto"/>
          <w:sz w:val="21"/>
          <w:szCs w:val="21"/>
          <w:highlight w:val="none"/>
        </w:rPr>
      </w:pPr>
    </w:p>
    <w:p w14:paraId="42FD2635">
      <w:pPr>
        <w:spacing w:line="360" w:lineRule="auto"/>
        <w:jc w:val="center"/>
        <w:rPr>
          <w:rFonts w:hint="eastAsia" w:ascii="宋体" w:hAnsi="宋体" w:cs="宋体"/>
          <w:b/>
          <w:bCs/>
          <w:color w:val="auto"/>
          <w:sz w:val="21"/>
          <w:szCs w:val="21"/>
          <w:highlight w:val="none"/>
        </w:rPr>
      </w:pPr>
    </w:p>
    <w:p w14:paraId="7B669134">
      <w:pPr>
        <w:spacing w:line="360" w:lineRule="auto"/>
        <w:jc w:val="center"/>
        <w:rPr>
          <w:rFonts w:hint="eastAsia" w:ascii="宋体" w:hAnsi="宋体" w:cs="宋体"/>
          <w:b/>
          <w:bCs/>
          <w:color w:val="auto"/>
          <w:sz w:val="21"/>
          <w:szCs w:val="21"/>
          <w:highlight w:val="none"/>
        </w:rPr>
      </w:pPr>
    </w:p>
    <w:p w14:paraId="4AE6D4B8">
      <w:pPr>
        <w:spacing w:line="360" w:lineRule="auto"/>
        <w:jc w:val="center"/>
        <w:rPr>
          <w:rFonts w:hint="eastAsia" w:ascii="宋体" w:hAnsi="宋体" w:cs="宋体"/>
          <w:b/>
          <w:bCs/>
          <w:color w:val="auto"/>
          <w:sz w:val="21"/>
          <w:szCs w:val="21"/>
          <w:highlight w:val="none"/>
        </w:rPr>
      </w:pPr>
    </w:p>
    <w:p w14:paraId="28C8822E">
      <w:pPr>
        <w:spacing w:line="360" w:lineRule="auto"/>
        <w:jc w:val="center"/>
        <w:rPr>
          <w:rFonts w:hint="eastAsia" w:ascii="宋体" w:hAnsi="宋体" w:cs="宋体"/>
          <w:b/>
          <w:bCs/>
          <w:color w:val="auto"/>
          <w:sz w:val="21"/>
          <w:szCs w:val="21"/>
          <w:highlight w:val="none"/>
        </w:rPr>
      </w:pPr>
    </w:p>
    <w:p w14:paraId="64948D70">
      <w:pPr>
        <w:spacing w:line="360" w:lineRule="auto"/>
        <w:jc w:val="center"/>
        <w:rPr>
          <w:rFonts w:hint="eastAsia" w:ascii="宋体" w:hAnsi="宋体" w:cs="宋体"/>
          <w:b/>
          <w:bCs/>
          <w:color w:val="auto"/>
          <w:sz w:val="21"/>
          <w:szCs w:val="21"/>
          <w:highlight w:val="none"/>
        </w:rPr>
      </w:pPr>
    </w:p>
    <w:p w14:paraId="27A9614B">
      <w:pPr>
        <w:spacing w:line="360" w:lineRule="auto"/>
        <w:jc w:val="center"/>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第二部分</w:t>
      </w:r>
      <w:r>
        <w:rPr>
          <w:rFonts w:hint="eastAsia" w:ascii="宋体" w:hAnsi="宋体" w:cs="宋体"/>
          <w:b/>
          <w:color w:val="auto"/>
          <w:sz w:val="21"/>
          <w:szCs w:val="21"/>
          <w:highlight w:val="none"/>
        </w:rPr>
        <w:t xml:space="preserve"> 通用合同条款</w:t>
      </w:r>
    </w:p>
    <w:p w14:paraId="684A4C53">
      <w:pPr>
        <w:spacing w:line="420" w:lineRule="exact"/>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通用合同条款直接引用建市[2017]214号“住房城乡建设部、工商总局关于印发建设工程施工合同（示范文本）的通知”附件《建设工程施工合同（示范文本）（GF-2017-0201）第二部分“通用合同条款”内容。</w:t>
      </w:r>
    </w:p>
    <w:p w14:paraId="169C95DD">
      <w:pPr>
        <w:spacing w:line="360" w:lineRule="auto"/>
        <w:rPr>
          <w:rFonts w:hint="eastAsia" w:ascii="宋体" w:hAnsi="宋体" w:cs="宋体"/>
          <w:color w:val="auto"/>
          <w:sz w:val="21"/>
          <w:szCs w:val="21"/>
          <w:highlight w:val="none"/>
        </w:rPr>
      </w:pPr>
    </w:p>
    <w:p w14:paraId="1114F834">
      <w:pPr>
        <w:pStyle w:val="4"/>
        <w:spacing w:before="120" w:line="360" w:lineRule="auto"/>
        <w:jc w:val="center"/>
        <w:rPr>
          <w:rFonts w:hint="eastAsia" w:ascii="宋体" w:hAnsi="宋体" w:cs="宋体"/>
          <w:color w:val="auto"/>
          <w:sz w:val="21"/>
          <w:szCs w:val="21"/>
          <w:highlight w:val="none"/>
        </w:rPr>
      </w:pPr>
      <w:bookmarkStart w:id="395" w:name="_Toc364853223"/>
      <w:r>
        <w:rPr>
          <w:rFonts w:hint="eastAsia" w:ascii="宋体" w:hAnsi="宋体" w:cs="宋体"/>
          <w:color w:val="auto"/>
          <w:sz w:val="21"/>
          <w:szCs w:val="21"/>
          <w:highlight w:val="none"/>
        </w:rPr>
        <w:t>第三部分 专用合同条款</w:t>
      </w:r>
      <w:bookmarkEnd w:id="395"/>
    </w:p>
    <w:p w14:paraId="17BF5CAE">
      <w:pPr>
        <w:spacing w:line="420" w:lineRule="exact"/>
        <w:ind w:firstLine="420" w:firstLineChars="200"/>
        <w:rPr>
          <w:rFonts w:hint="eastAsia" w:ascii="宋体" w:hAnsi="宋体"/>
          <w:color w:val="auto"/>
          <w:kern w:val="0"/>
          <w:sz w:val="21"/>
          <w:szCs w:val="21"/>
          <w:highlight w:val="none"/>
        </w:rPr>
      </w:pPr>
      <w:bookmarkStart w:id="396" w:name="_Toc364853224"/>
      <w:r>
        <w:rPr>
          <w:rFonts w:hint="eastAsia" w:ascii="宋体" w:hAnsi="宋体"/>
          <w:color w:val="auto"/>
          <w:kern w:val="0"/>
          <w:sz w:val="21"/>
          <w:szCs w:val="21"/>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0FD395CA">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 一般约定</w:t>
      </w:r>
      <w:bookmarkEnd w:id="396"/>
    </w:p>
    <w:p w14:paraId="2BE14FF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14:paraId="54909EF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适用于合同的其他规范性文件：浙江省、宁波市有关工程建设的法规、规章及规范性文件。</w:t>
      </w:r>
    </w:p>
    <w:p w14:paraId="4FBFC25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1.4 标准和规范</w:t>
      </w:r>
    </w:p>
    <w:p w14:paraId="2F259AF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1.4.1适用于工程的标准规范包括：浙江省、宁波市工程建设相关的施工及验收规范和标准。</w:t>
      </w:r>
    </w:p>
    <w:p w14:paraId="3496D00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14:paraId="5B5FE53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合同文件的优先解释顺序执行通用条款。</w:t>
      </w:r>
    </w:p>
    <w:p w14:paraId="6C9E499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14:paraId="6CE3F8D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1.6.1图纸的提供</w:t>
      </w:r>
    </w:p>
    <w:p w14:paraId="259A664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发包人向承包人提供图纸的期限：向承包人发出成交确认书后3天内；</w:t>
      </w:r>
    </w:p>
    <w:p w14:paraId="6F42C40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发包人向承包人提供图纸的数量：一式五套；</w:t>
      </w:r>
    </w:p>
    <w:p w14:paraId="23ACB9A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发包人向承包人提供图纸的内容：工程承包范围内的各专业工程。</w:t>
      </w:r>
    </w:p>
    <w:p w14:paraId="530C2C4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1.6.4 承包人文件</w:t>
      </w:r>
    </w:p>
    <w:p w14:paraId="52CCB10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需要由承包人提供的文件，包括：施工组织设计、工程进度计划、专项施工方案、加工图、大样图、协调配合图等；</w:t>
      </w:r>
    </w:p>
    <w:p w14:paraId="39A92F4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承包人提供的文件的期限为：施工组织设计、工程进度计划在工程开工前7天，其他文件在相应专项工程或部位施工前7天；</w:t>
      </w:r>
    </w:p>
    <w:p w14:paraId="37F56F4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承包人提供的文件的数量为：一式五套；</w:t>
      </w:r>
    </w:p>
    <w:p w14:paraId="5D0269D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1.6.5 现场图纸准备</w:t>
      </w:r>
    </w:p>
    <w:p w14:paraId="086A02F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关于现场图纸准备的约定：承包人在施工现场保存至少一套完整的图纸和承包人文件。</w:t>
      </w:r>
    </w:p>
    <w:p w14:paraId="34C179DE">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1.7联络</w:t>
      </w:r>
    </w:p>
    <w:p w14:paraId="61A01FF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1.7.1发包人和承包人应当在通用条款规定的时间内将与合同有关的通知、批准、证明、证书、指示、指令、要求、请求、同意、意见、确定和决定等书面函件送达对方当事人。</w:t>
      </w:r>
    </w:p>
    <w:p w14:paraId="304579BB">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1.7.2发包人接收文件的地点：</w:t>
      </w:r>
      <w:r>
        <w:rPr>
          <w:rFonts w:hint="eastAsia" w:ascii="宋体" w:hAnsi="宋体" w:cs="宋体"/>
          <w:color w:val="auto"/>
          <w:sz w:val="21"/>
          <w:szCs w:val="21"/>
          <w:highlight w:val="none"/>
          <w:u w:val="single"/>
        </w:rPr>
        <w:t>发包人驻项目办公所在地</w:t>
      </w:r>
      <w:r>
        <w:rPr>
          <w:rFonts w:hint="eastAsia" w:ascii="宋体" w:hAnsi="宋体" w:cs="宋体"/>
          <w:color w:val="auto"/>
          <w:sz w:val="21"/>
          <w:szCs w:val="21"/>
          <w:highlight w:val="none"/>
        </w:rPr>
        <w:t>；</w:t>
      </w:r>
    </w:p>
    <w:p w14:paraId="1D2B2C07">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3CA1EDD">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747F84A5">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27DE60">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126EFD2C">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8BF866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1.10 交通运输</w:t>
      </w:r>
    </w:p>
    <w:p w14:paraId="124F8D4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1.10.1 出入现场的权利：执行通用条款。</w:t>
      </w:r>
    </w:p>
    <w:p w14:paraId="4B739BA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1.10.3 关于场外交通和场内交通边界的约定：</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76B063B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14:paraId="18ADBEB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 xml:space="preserve">承担。 </w:t>
      </w:r>
    </w:p>
    <w:p w14:paraId="25212FF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知识产权</w:t>
      </w:r>
    </w:p>
    <w:p w14:paraId="55BD75B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关于本合同的知识产权、使用及使用费用约定：执行通用条款。</w:t>
      </w:r>
    </w:p>
    <w:p w14:paraId="7BA4B46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1.13工程量清单错误的修正</w:t>
      </w:r>
    </w:p>
    <w:p w14:paraId="79B8209E">
      <w:pPr>
        <w:spacing w:line="450" w:lineRule="exact"/>
        <w:ind w:firstLine="420" w:firstLineChars="200"/>
        <w:rPr>
          <w:rFonts w:hint="eastAsia" w:ascii="宋体" w:hAnsi="宋体" w:cs="宋体"/>
          <w:color w:val="auto"/>
          <w:sz w:val="21"/>
          <w:szCs w:val="21"/>
          <w:highlight w:val="none"/>
        </w:rPr>
      </w:pPr>
      <w:bookmarkStart w:id="397" w:name="_Toc364853225"/>
      <w:r>
        <w:rPr>
          <w:rFonts w:hint="eastAsia" w:ascii="宋体" w:hAnsi="宋体" w:cs="宋体"/>
          <w:color w:val="auto"/>
          <w:sz w:val="21"/>
          <w:szCs w:val="21"/>
          <w:highlight w:val="none"/>
        </w:rPr>
        <w:t>允许对下列工程量清单的错误进行调整：（1）工程量清单存在缺项、漏项；（2）任一招标工程量清单项目的工程量有偏差；（3）未按照国家现行计量规范强制性规定计量。</w:t>
      </w:r>
    </w:p>
    <w:p w14:paraId="5B8874F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 发包人</w:t>
      </w:r>
      <w:bookmarkEnd w:id="397"/>
    </w:p>
    <w:p w14:paraId="6FE1B31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2.2 发包人代表</w:t>
      </w:r>
    </w:p>
    <w:p w14:paraId="09BCC1DB">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发包人代表姓名：</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51D190CD">
      <w:pPr>
        <w:pStyle w:val="67"/>
        <w:spacing w:before="120" w:line="360" w:lineRule="auto"/>
        <w:ind w:firstLine="401" w:firstLineChars="190"/>
        <w:rPr>
          <w:rFonts w:hint="eastAsia" w:ascii="仿宋_GB2312" w:hAnsi="宋体" w:eastAsia="仿宋_GB2312"/>
          <w:color w:val="auto"/>
          <w:sz w:val="21"/>
          <w:szCs w:val="21"/>
          <w:highlight w:val="none"/>
          <w:u w:val="single"/>
        </w:rPr>
      </w:pPr>
      <w:r>
        <w:rPr>
          <w:rFonts w:hint="eastAsia" w:ascii="仿宋_GB2312" w:hAnsi="宋体" w:eastAsia="仿宋_GB2312"/>
          <w:color w:val="auto"/>
          <w:sz w:val="21"/>
          <w:szCs w:val="21"/>
          <w:highlight w:val="none"/>
        </w:rPr>
        <w:t>身份证号码：</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16282121">
      <w:pPr>
        <w:pStyle w:val="67"/>
        <w:spacing w:before="120" w:line="360" w:lineRule="auto"/>
        <w:ind w:firstLine="401" w:firstLineChars="190"/>
        <w:rPr>
          <w:rFonts w:hint="eastAsia" w:ascii="仿宋_GB2312" w:hAnsi="宋体" w:eastAsia="仿宋_GB2312"/>
          <w:color w:val="auto"/>
          <w:sz w:val="21"/>
          <w:szCs w:val="21"/>
          <w:highlight w:val="none"/>
        </w:rPr>
      </w:pPr>
      <w:r>
        <w:rPr>
          <w:rFonts w:hint="eastAsia" w:ascii="仿宋_GB2312" w:hAnsi="宋体" w:eastAsia="仿宋_GB2312"/>
          <w:color w:val="auto"/>
          <w:sz w:val="21"/>
          <w:szCs w:val="21"/>
          <w:highlight w:val="none"/>
        </w:rPr>
        <w:t>联系电话</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1C78FB6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7BB2CB9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2.5 资金来源证明及支付担保</w:t>
      </w:r>
    </w:p>
    <w:p w14:paraId="0041AE9F">
      <w:pPr>
        <w:spacing w:line="450" w:lineRule="exact"/>
        <w:ind w:firstLine="420" w:firstLineChars="200"/>
        <w:rPr>
          <w:rFonts w:hint="eastAsia" w:ascii="宋体" w:hAnsi="宋体" w:cs="宋体"/>
          <w:color w:val="auto"/>
          <w:sz w:val="21"/>
          <w:szCs w:val="21"/>
          <w:highlight w:val="none"/>
        </w:rPr>
      </w:pPr>
      <w:bookmarkStart w:id="398" w:name="_Toc364853226"/>
      <w:r>
        <w:rPr>
          <w:rFonts w:hint="eastAsia" w:ascii="宋体" w:hAnsi="宋体" w:cs="宋体"/>
          <w:color w:val="auto"/>
          <w:sz w:val="21"/>
          <w:szCs w:val="21"/>
          <w:highlight w:val="none"/>
        </w:rPr>
        <w:t>按《宁波市房屋建筑和市政基础设施工程担保管理办法（试行）》规定，发包人</w:t>
      </w:r>
      <w:r>
        <w:rPr>
          <w:rFonts w:hint="eastAsia" w:ascii="宋体" w:hAnsi="宋体" w:cs="宋体"/>
          <w:color w:val="auto"/>
          <w:kern w:val="0"/>
          <w:sz w:val="21"/>
          <w:szCs w:val="21"/>
          <w:highlight w:val="none"/>
          <w:u w:val="single"/>
        </w:rPr>
        <w:t xml:space="preserve">不需 </w:t>
      </w:r>
      <w:r>
        <w:rPr>
          <w:rFonts w:hint="eastAsia" w:ascii="宋体" w:hAnsi="宋体" w:cs="宋体"/>
          <w:color w:val="auto"/>
          <w:sz w:val="21"/>
          <w:szCs w:val="21"/>
          <w:highlight w:val="none"/>
        </w:rPr>
        <w:t>向承包人提供合同款的支付担保。</w:t>
      </w:r>
    </w:p>
    <w:p w14:paraId="28C94CC3">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 承包人</w:t>
      </w:r>
      <w:bookmarkEnd w:id="398"/>
    </w:p>
    <w:p w14:paraId="1CCF490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14:paraId="4C8585F6">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承包人应在具备竣工验收合格条件后2个月内按宁波市奉化区城建档案归档要求向发包人提交竣工资料，至少包括纸质及电子资料各3套，为此产生的费用由承包人承担。</w:t>
      </w:r>
    </w:p>
    <w:p w14:paraId="59D9D4B6">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3.2 项目经理</w:t>
      </w:r>
    </w:p>
    <w:p w14:paraId="7D3EDF77">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项目经理姓名：</w:t>
      </w:r>
      <w:r>
        <w:rPr>
          <w:rFonts w:hint="eastAsia" w:hAnsi="宋体" w:cs="宋体"/>
          <w:color w:val="auto"/>
          <w:sz w:val="21"/>
          <w:szCs w:val="21"/>
          <w:highlight w:val="none"/>
          <w:u w:val="single"/>
          <w:lang w:val="en-US" w:eastAsia="zh-CN"/>
        </w:rPr>
        <w:t xml:space="preserve">                      </w:t>
      </w:r>
    </w:p>
    <w:p w14:paraId="242F0436">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lang w:val="en-US" w:eastAsia="zh-CN"/>
        </w:rPr>
        <w:t xml:space="preserve">                      </w:t>
      </w:r>
    </w:p>
    <w:p w14:paraId="3DEDCBD8">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29ACC1B9">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安全员姓名：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14:paraId="04FA0F45">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9ADC2DB">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5B7FC2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3.2.1承包人委派的项目</w:t>
      </w:r>
      <w:r>
        <w:rPr>
          <w:rFonts w:hint="eastAsia" w:ascii="宋体" w:hAnsi="宋体" w:cs="宋体"/>
          <w:color w:val="auto"/>
          <w:sz w:val="21"/>
          <w:szCs w:val="21"/>
          <w:highlight w:val="none"/>
        </w:rPr>
        <w:t>经理</w:t>
      </w:r>
      <w:r>
        <w:rPr>
          <w:rFonts w:hint="eastAsia" w:ascii="宋体" w:hAnsi="宋体" w:cs="宋体"/>
          <w:color w:val="auto"/>
          <w:kern w:val="0"/>
          <w:sz w:val="21"/>
          <w:szCs w:val="21"/>
          <w:highlight w:val="none"/>
        </w:rPr>
        <w:t>及其执业行为应遵守通用条款约定，违反约定的，按本专用条款约定，承担违约责任。</w:t>
      </w:r>
    </w:p>
    <w:p w14:paraId="4E0F12D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759F2407">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（2）承包人对项目经理的授权范围如下：在承</w:t>
      </w:r>
      <w:r>
        <w:rPr>
          <w:rFonts w:hint="eastAsia" w:ascii="宋体" w:hAnsi="宋体" w:cs="宋体"/>
          <w:color w:val="auto"/>
          <w:kern w:val="0"/>
          <w:sz w:val="21"/>
          <w:szCs w:val="21"/>
          <w:highlight w:val="none"/>
        </w:rPr>
        <w:t>包人授权范围内履行承包人的职权，对工程建设的质量、安全、工期以及工程造价控制负责，所有上报给发包人的文件均需项目经理签字。</w:t>
      </w:r>
    </w:p>
    <w:p w14:paraId="1F9F4414">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（3）承包人未提交劳动合同，以及没有为项目经理缴纳社会保险证明的违约责任：发包人有权解除合同，由此造成的费用增加和工期延误损失均由承包人承担。</w:t>
      </w:r>
    </w:p>
    <w:p w14:paraId="26A9767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（4）关于项目经理每月在施工现场的时间要求：每月在施工现场时间不得少于</w:t>
      </w:r>
      <w:r>
        <w:rPr>
          <w:rFonts w:hint="eastAsia" w:ascii="宋体" w:hAnsi="宋体" w:cs="宋体"/>
          <w:color w:val="auto"/>
          <w:kern w:val="0"/>
          <w:sz w:val="21"/>
          <w:szCs w:val="21"/>
          <w:highlight w:val="none"/>
          <w:u w:val="single"/>
        </w:rPr>
        <w:t xml:space="preserve"> 25</w:t>
      </w:r>
      <w:r>
        <w:rPr>
          <w:rFonts w:hint="eastAsia" w:ascii="宋体" w:hAnsi="宋体" w:cs="宋体"/>
          <w:color w:val="auto"/>
          <w:kern w:val="0"/>
          <w:sz w:val="21"/>
          <w:szCs w:val="21"/>
          <w:highlight w:val="none"/>
        </w:rPr>
        <w:t>天，每天工作时间不得少于</w:t>
      </w:r>
      <w:r>
        <w:rPr>
          <w:rFonts w:hint="eastAsia" w:ascii="宋体" w:hAnsi="宋体" w:cs="宋体"/>
          <w:color w:val="auto"/>
          <w:kern w:val="0"/>
          <w:sz w:val="21"/>
          <w:szCs w:val="21"/>
          <w:highlight w:val="none"/>
          <w:u w:val="single"/>
        </w:rPr>
        <w:t xml:space="preserve"> 8 </w:t>
      </w:r>
      <w:r>
        <w:rPr>
          <w:rFonts w:hint="eastAsia" w:ascii="宋体" w:hAnsi="宋体" w:cs="宋体"/>
          <w:color w:val="auto"/>
          <w:kern w:val="0"/>
          <w:sz w:val="21"/>
          <w:szCs w:val="21"/>
          <w:highlight w:val="none"/>
        </w:rPr>
        <w:t>小时，且重要工程例会及验收环节等必须由项目经理参加。</w:t>
      </w:r>
    </w:p>
    <w:p w14:paraId="78577A2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（5）项目经理未经批准，擅自离开施工现场的违约责任：处违约金</w:t>
      </w:r>
      <w:r>
        <w:rPr>
          <w:rFonts w:hint="eastAsia" w:ascii="宋体" w:hAnsi="宋体" w:cs="宋体"/>
          <w:color w:val="auto"/>
          <w:kern w:val="0"/>
          <w:sz w:val="21"/>
          <w:szCs w:val="21"/>
          <w:highlight w:val="none"/>
          <w:u w:val="single"/>
        </w:rPr>
        <w:t>1000</w:t>
      </w:r>
      <w:r>
        <w:rPr>
          <w:rFonts w:hint="eastAsia" w:ascii="宋体" w:hAnsi="宋体" w:cs="宋体"/>
          <w:color w:val="auto"/>
          <w:kern w:val="0"/>
          <w:sz w:val="21"/>
          <w:szCs w:val="21"/>
          <w:highlight w:val="none"/>
        </w:rPr>
        <w:t>元/次，违约金从投标函附录中承诺的“未履行项目经理及主要施工管理人员到场承诺违约金限额”中扣除，该项限额不足时，发包人有权向承包人追偿。</w:t>
      </w:r>
    </w:p>
    <w:p w14:paraId="0536173B">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发包人对项目经理擅自离开施工现场的违约处理，应根据监理人对项目经理的考勤结果进行。</w:t>
      </w:r>
    </w:p>
    <w:p w14:paraId="29E1E78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3.2.3 承包人擅自更换项目经理的违约责任：处违约金</w:t>
      </w:r>
      <w:r>
        <w:rPr>
          <w:rFonts w:hint="eastAsia" w:ascii="宋体" w:hAnsi="宋体" w:cs="宋体"/>
          <w:color w:val="auto"/>
          <w:kern w:val="0"/>
          <w:sz w:val="21"/>
          <w:szCs w:val="21"/>
          <w:highlight w:val="none"/>
          <w:u w:val="single"/>
        </w:rPr>
        <w:t xml:space="preserve"> 10000 </w:t>
      </w:r>
      <w:r>
        <w:rPr>
          <w:rFonts w:hint="eastAsia" w:ascii="宋体" w:hAnsi="宋体" w:cs="宋体"/>
          <w:color w:val="auto"/>
          <w:kern w:val="0"/>
          <w:sz w:val="21"/>
          <w:szCs w:val="21"/>
          <w:highlight w:val="none"/>
        </w:rPr>
        <w:t>元/次，违约金从投标函附录中承诺的“未履行项目经理及主要施工管理人员到场承诺违约金限额”中扣除，该项限额不足时，发包人有权向承包人追偿，且有权拒绝接受其擅自更换的项目经理。</w:t>
      </w:r>
    </w:p>
    <w:p w14:paraId="61F808CC">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投标函附录中承诺的“未履行项目经理及主要施工管理人员到场承诺违约金限额”。情节严重的，发包人有权解除合同，由此造成的一切损失由承包人承担。</w:t>
      </w:r>
    </w:p>
    <w:p w14:paraId="20AE531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3.3 承包人人员</w:t>
      </w:r>
    </w:p>
    <w:p w14:paraId="14A145C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承包人应接到开工通知后7天内提交与</w:t>
      </w:r>
      <w:r>
        <w:rPr>
          <w:rFonts w:hint="eastAsia" w:ascii="宋体" w:hAnsi="宋体" w:cs="宋体"/>
          <w:color w:val="auto"/>
          <w:sz w:val="21"/>
          <w:szCs w:val="21"/>
          <w:highlight w:val="none"/>
        </w:rPr>
        <w:t>投标时所承诺的人员一致的</w:t>
      </w:r>
      <w:r>
        <w:rPr>
          <w:rFonts w:hint="eastAsia" w:ascii="宋体" w:hAnsi="宋体" w:cs="宋体"/>
          <w:color w:val="auto"/>
          <w:kern w:val="0"/>
          <w:sz w:val="21"/>
          <w:szCs w:val="21"/>
          <w:highlight w:val="none"/>
        </w:rPr>
        <w:t>项目管理机构及施工现场管理人员安排报告。</w:t>
      </w:r>
    </w:p>
    <w:p w14:paraId="5009354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投标函附录中承诺中的“未履行项目经理及主要施工管理人员到场承诺违约金限额”。</w:t>
      </w:r>
    </w:p>
    <w:p w14:paraId="01F2120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0CFB93B2">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3.3.5 承包人擅自更换主要施工管理人员的违约责任：处违约金5000元/人/次，违约金从投标函附录中承诺中的“未履行项目经理及主要施工管理人员到场承诺违约金限额”中扣除，该项限额不足时，发包人有权向承包人追偿，且有权拒绝接受其擅自更换的主要施工管理人员。</w:t>
      </w:r>
    </w:p>
    <w:p w14:paraId="20B58DD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主要施工管理人员擅自离开施工现场的违约责任：处违约金2000元/人/次，违约金从投标函附录中承诺的“未履行项目经理及主要施工管理人员到场承诺违约金限额”中扣除，该项限额不足时，发包人有权向承包人追偿。</w:t>
      </w:r>
    </w:p>
    <w:p w14:paraId="5C509A8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3.5 分包</w:t>
      </w:r>
    </w:p>
    <w:p w14:paraId="1E974A65">
      <w:pPr>
        <w:pStyle w:val="67"/>
        <w:spacing w:before="120" w:line="450" w:lineRule="exact"/>
        <w:ind w:firstLine="399" w:firstLineChars="190"/>
        <w:rPr>
          <w:rFonts w:hint="eastAsia" w:hAnsi="宋体" w:cs="宋体"/>
          <w:b w:val="0"/>
          <w:bCs/>
          <w:color w:val="auto"/>
          <w:kern w:val="0"/>
          <w:sz w:val="21"/>
          <w:szCs w:val="21"/>
          <w:highlight w:val="none"/>
        </w:rPr>
      </w:pPr>
      <w:r>
        <w:rPr>
          <w:rFonts w:hint="eastAsia" w:hAnsi="宋体" w:cs="宋体"/>
          <w:b w:val="0"/>
          <w:bCs/>
          <w:color w:val="auto"/>
          <w:kern w:val="0"/>
          <w:sz w:val="21"/>
          <w:szCs w:val="21"/>
          <w:highlight w:val="none"/>
        </w:rPr>
        <w:t>不允许。</w:t>
      </w:r>
    </w:p>
    <w:p w14:paraId="118E3FC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14:paraId="0365F91A">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工程照管与成品、半成品保护有关约定：执行通用条款。</w:t>
      </w:r>
    </w:p>
    <w:p w14:paraId="2BDE4B5F">
      <w:pPr>
        <w:pStyle w:val="67"/>
        <w:spacing w:before="120" w:line="450" w:lineRule="exact"/>
        <w:ind w:firstLine="401" w:firstLineChars="190"/>
        <w:rPr>
          <w:rFonts w:hint="eastAsia" w:hAnsi="宋体" w:cs="宋体"/>
          <w:color w:val="auto"/>
          <w:sz w:val="21"/>
          <w:szCs w:val="21"/>
          <w:highlight w:val="none"/>
        </w:rPr>
      </w:pPr>
      <w:bookmarkStart w:id="399" w:name="_Toc364853227"/>
      <w:r>
        <w:rPr>
          <w:rFonts w:hint="eastAsia" w:hAnsi="宋体" w:cs="宋体"/>
          <w:color w:val="auto"/>
          <w:sz w:val="21"/>
          <w:szCs w:val="21"/>
          <w:highlight w:val="none"/>
        </w:rPr>
        <w:t>3.7 履约担保</w:t>
      </w:r>
    </w:p>
    <w:p w14:paraId="7AD60462">
      <w:pPr>
        <w:pStyle w:val="67"/>
        <w:spacing w:before="120" w:line="450" w:lineRule="exact"/>
        <w:ind w:left="120" w:hanging="105" w:hanging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（1）承包人提供的履约担保形式为</w:t>
      </w:r>
      <w:r>
        <w:rPr>
          <w:rFonts w:hint="eastAsia" w:hAnsi="宋体" w:cs="宋体"/>
          <w:b w:val="0"/>
          <w:color w:val="auto"/>
          <w:kern w:val="0"/>
          <w:sz w:val="21"/>
          <w:szCs w:val="21"/>
          <w:highlight w:val="none"/>
          <w:u w:val="single"/>
        </w:rPr>
        <w:t xml:space="preserve">  </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rPr>
        <w:t xml:space="preserve">（ A、履约保函；/  B、履约保证金电汇、/  </w:t>
      </w:r>
      <w:r>
        <w:rPr>
          <w:rFonts w:hint="eastAsia" w:hAnsi="宋体" w:cs="宋体"/>
          <w:b w:val="0"/>
          <w:color w:val="auto"/>
          <w:kern w:val="0"/>
          <w:sz w:val="21"/>
          <w:szCs w:val="21"/>
          <w:highlight w:val="none"/>
          <w:lang w:val="en-US" w:eastAsia="zh-CN"/>
        </w:rPr>
        <w:t>C</w:t>
      </w:r>
      <w:r>
        <w:rPr>
          <w:rFonts w:hint="eastAsia" w:hAnsi="宋体" w:cs="宋体"/>
          <w:b w:val="0"/>
          <w:color w:val="auto"/>
          <w:kern w:val="0"/>
          <w:sz w:val="21"/>
          <w:szCs w:val="21"/>
          <w:highlight w:val="none"/>
        </w:rPr>
        <w:t xml:space="preserve">、银行支票、/ </w:t>
      </w:r>
      <w:r>
        <w:rPr>
          <w:rFonts w:hint="eastAsia" w:hAnsi="宋体" w:cs="宋体"/>
          <w:b w:val="0"/>
          <w:color w:val="auto"/>
          <w:kern w:val="0"/>
          <w:sz w:val="21"/>
          <w:szCs w:val="21"/>
          <w:highlight w:val="none"/>
          <w:lang w:val="en-US" w:eastAsia="zh-CN"/>
        </w:rPr>
        <w:t>D</w:t>
      </w:r>
      <w:r>
        <w:rPr>
          <w:rFonts w:hint="eastAsia" w:hAnsi="宋体" w:cs="宋体"/>
          <w:b w:val="0"/>
          <w:color w:val="auto"/>
          <w:kern w:val="0"/>
          <w:sz w:val="21"/>
          <w:szCs w:val="21"/>
          <w:highlight w:val="none"/>
        </w:rPr>
        <w:t xml:space="preserve">、银行保函、/  </w:t>
      </w:r>
      <w:r>
        <w:rPr>
          <w:rFonts w:hint="eastAsia" w:hAnsi="宋体" w:cs="宋体"/>
          <w:b w:val="0"/>
          <w:color w:val="auto"/>
          <w:kern w:val="0"/>
          <w:sz w:val="21"/>
          <w:szCs w:val="21"/>
          <w:highlight w:val="none"/>
          <w:lang w:val="en-US" w:eastAsia="zh-CN"/>
        </w:rPr>
        <w:t>E</w:t>
      </w:r>
      <w:r>
        <w:rPr>
          <w:rFonts w:hint="eastAsia" w:hAnsi="宋体" w:cs="宋体"/>
          <w:b w:val="0"/>
          <w:color w:val="auto"/>
          <w:kern w:val="0"/>
          <w:sz w:val="21"/>
          <w:szCs w:val="21"/>
          <w:highlight w:val="none"/>
        </w:rPr>
        <w:t xml:space="preserve">、保险公司担保）。                </w:t>
      </w:r>
    </w:p>
    <w:p w14:paraId="6C5B238F">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① 如提供履约保函的，将向发包人提供符合本合同附件6格式的履约保函一份。</w:t>
      </w:r>
    </w:p>
    <w:p w14:paraId="53579FB4">
      <w:pPr>
        <w:pStyle w:val="67"/>
        <w:spacing w:before="120" w:line="450" w:lineRule="exact"/>
        <w:ind w:left="554" w:leftChars="114" w:hanging="315" w:hangingChars="1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②提供履约保证金的，承包人在签订合同</w:t>
      </w:r>
      <w:r>
        <w:rPr>
          <w:rFonts w:hint="eastAsia" w:hAnsi="宋体" w:cs="宋体"/>
          <w:b w:val="0"/>
          <w:color w:val="auto"/>
          <w:kern w:val="0"/>
          <w:sz w:val="21"/>
          <w:szCs w:val="21"/>
          <w:highlight w:val="none"/>
          <w:lang w:eastAsia="zh-CN"/>
        </w:rPr>
        <w:t>的</w:t>
      </w:r>
      <w:r>
        <w:rPr>
          <w:rFonts w:hint="eastAsia" w:hAnsi="宋体" w:cs="宋体"/>
          <w:b w:val="0"/>
          <w:color w:val="auto"/>
          <w:kern w:val="0"/>
          <w:sz w:val="21"/>
          <w:szCs w:val="21"/>
          <w:highlight w:val="none"/>
          <w:lang w:val="en-US" w:eastAsia="zh-CN"/>
        </w:rPr>
        <w:t>同时</w:t>
      </w:r>
      <w:r>
        <w:rPr>
          <w:rFonts w:hint="eastAsia" w:hAnsi="宋体" w:cs="宋体"/>
          <w:b w:val="0"/>
          <w:color w:val="auto"/>
          <w:kern w:val="0"/>
          <w:sz w:val="21"/>
          <w:szCs w:val="21"/>
          <w:highlight w:val="none"/>
        </w:rPr>
        <w:t>向发包人提交合同价款的</w:t>
      </w:r>
      <w:r>
        <w:rPr>
          <w:rFonts w:hint="eastAsia" w:hAnsi="宋体" w:cs="宋体"/>
          <w:b w:val="0"/>
          <w:color w:val="auto"/>
          <w:kern w:val="0"/>
          <w:sz w:val="21"/>
          <w:szCs w:val="21"/>
          <w:highlight w:val="none"/>
          <w:lang w:val="en-US" w:eastAsia="zh-CN"/>
        </w:rPr>
        <w:t>2</w:t>
      </w:r>
      <w:r>
        <w:rPr>
          <w:rFonts w:hint="eastAsia" w:hAnsi="宋体" w:cs="宋体"/>
          <w:b w:val="0"/>
          <w:color w:val="auto"/>
          <w:kern w:val="0"/>
          <w:sz w:val="21"/>
          <w:szCs w:val="21"/>
          <w:highlight w:val="none"/>
        </w:rPr>
        <w:t>%</w:t>
      </w:r>
      <w:r>
        <w:rPr>
          <w:rFonts w:hint="eastAsia" w:hAnsi="宋体" w:cs="宋体"/>
          <w:b w:val="0"/>
          <w:color w:val="auto"/>
          <w:kern w:val="0"/>
          <w:sz w:val="21"/>
          <w:szCs w:val="21"/>
          <w:highlight w:val="none"/>
          <w:lang w:eastAsia="zh-CN"/>
        </w:rPr>
        <w:t>（即</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lang w:val="en-US" w:eastAsia="zh-CN"/>
        </w:rPr>
        <w:t>元</w:t>
      </w:r>
      <w:r>
        <w:rPr>
          <w:rFonts w:hint="eastAsia" w:hAnsi="宋体" w:cs="宋体"/>
          <w:b w:val="0"/>
          <w:color w:val="auto"/>
          <w:kern w:val="0"/>
          <w:sz w:val="21"/>
          <w:szCs w:val="21"/>
          <w:highlight w:val="none"/>
          <w:lang w:eastAsia="zh-CN"/>
        </w:rPr>
        <w:t>）</w:t>
      </w:r>
      <w:r>
        <w:rPr>
          <w:rFonts w:hint="eastAsia" w:hAnsi="宋体" w:cs="宋体"/>
          <w:b w:val="0"/>
          <w:color w:val="auto"/>
          <w:kern w:val="0"/>
          <w:sz w:val="21"/>
          <w:szCs w:val="21"/>
          <w:highlight w:val="none"/>
        </w:rPr>
        <w:t>的履约保证金；</w:t>
      </w:r>
    </w:p>
    <w:p w14:paraId="34641EEA">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（2）履约担保期限自合同生效之日起至发包人签认并由监理人向承包人出具工程接收证书之日止。</w:t>
      </w:r>
    </w:p>
    <w:p w14:paraId="198D073D">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4FA0B742">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（4）履约担保在工程竣工验收合格后28天内予以退还。</w:t>
      </w:r>
    </w:p>
    <w:p w14:paraId="3F25683F">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color w:val="auto"/>
          <w:sz w:val="21"/>
          <w:szCs w:val="21"/>
          <w:highlight w:val="none"/>
        </w:rPr>
        <w:t>4. 监理人</w:t>
      </w:r>
      <w:bookmarkEnd w:id="399"/>
    </w:p>
    <w:p w14:paraId="51AE8D2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14:paraId="6A1FB37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关于监理人的监理内容：工程建设监理合同授予监理人的权利。</w:t>
      </w:r>
    </w:p>
    <w:p w14:paraId="4B6B029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关于监理人的监理权限：涉及费用、工期、图纸更改等工程变更指令和付款、暂停工程施工指令的下达权需取得发包人书面批准方可执行。 </w:t>
      </w:r>
    </w:p>
    <w:p w14:paraId="0812E967">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关于监理人在施工现场的办公场所、生活场所的提供和费用承担的约定：执行通用条款。</w:t>
      </w:r>
    </w:p>
    <w:p w14:paraId="134CB8A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4.4 商定或确定</w:t>
      </w:r>
    </w:p>
    <w:p w14:paraId="0785BF0D">
      <w:pPr>
        <w:spacing w:line="450" w:lineRule="exact"/>
        <w:ind w:firstLine="441" w:firstLineChars="210"/>
        <w:rPr>
          <w:rFonts w:hint="eastAsia" w:ascii="宋体" w:hAnsi="宋体" w:cs="宋体"/>
          <w:color w:val="auto"/>
          <w:kern w:val="0"/>
          <w:sz w:val="21"/>
          <w:szCs w:val="21"/>
          <w:highlight w:val="none"/>
        </w:rPr>
      </w:pPr>
      <w:bookmarkStart w:id="400" w:name="_Toc364853228"/>
      <w:r>
        <w:rPr>
          <w:rFonts w:hint="eastAsia" w:ascii="宋体" w:hAnsi="宋体" w:cs="宋体"/>
          <w:color w:val="auto"/>
          <w:kern w:val="0"/>
          <w:sz w:val="21"/>
          <w:szCs w:val="21"/>
          <w:highlight w:val="none"/>
        </w:rPr>
        <w:t>当合同当事人对需要商定或确定的事项不能达成一致时，总监理工程师应按照合同约定作出公正确定，应在合同当事人会商之日起 7 天内提供书面确定意见。</w:t>
      </w:r>
    </w:p>
    <w:p w14:paraId="7EF7E145">
      <w:pPr>
        <w:spacing w:line="450" w:lineRule="exact"/>
        <w:ind w:firstLine="103" w:firstLineChars="4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5. 工程质量</w:t>
      </w:r>
      <w:bookmarkEnd w:id="400"/>
    </w:p>
    <w:p w14:paraId="019C3AD9">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 质量要求:</w:t>
      </w:r>
      <w:r>
        <w:rPr>
          <w:rFonts w:hint="eastAsia" w:ascii="宋体" w:hAnsi="宋体" w:cs="宋体"/>
          <w:color w:val="auto"/>
          <w:kern w:val="0"/>
          <w:sz w:val="21"/>
          <w:szCs w:val="21"/>
          <w:highlight w:val="none"/>
          <w:u w:val="single"/>
        </w:rPr>
        <w:t>达到国家和行业施工验收规范一次性验收合格</w:t>
      </w:r>
    </w:p>
    <w:p w14:paraId="2B36D6CB">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5.1.1 特殊质量标准和要求：</w:t>
      </w:r>
      <w:r>
        <w:rPr>
          <w:rFonts w:hint="eastAsia" w:ascii="宋体" w:hAnsi="宋体" w:cs="宋体"/>
          <w:color w:val="auto"/>
          <w:kern w:val="0"/>
          <w:sz w:val="21"/>
          <w:szCs w:val="21"/>
          <w:highlight w:val="none"/>
          <w:u w:val="single"/>
        </w:rPr>
        <w:t xml:space="preserve">     无   </w:t>
      </w:r>
      <w:r>
        <w:rPr>
          <w:rFonts w:hint="eastAsia" w:ascii="宋体" w:hAnsi="宋体" w:cs="宋体"/>
          <w:color w:val="auto"/>
          <w:kern w:val="0"/>
          <w:sz w:val="21"/>
          <w:szCs w:val="21"/>
          <w:highlight w:val="none"/>
        </w:rPr>
        <w:t>。</w:t>
      </w:r>
    </w:p>
    <w:p w14:paraId="5A14C6AC">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5.3 隐蔽工程检查</w:t>
      </w:r>
    </w:p>
    <w:p w14:paraId="6B923541">
      <w:pPr>
        <w:spacing w:line="450" w:lineRule="exact"/>
        <w:ind w:firstLine="441" w:firstLineChars="210"/>
        <w:rPr>
          <w:rFonts w:hint="eastAsia" w:ascii="宋体" w:hAnsi="宋体" w:cs="宋体"/>
          <w:color w:val="auto"/>
          <w:kern w:val="0"/>
          <w:sz w:val="21"/>
          <w:szCs w:val="21"/>
          <w:highlight w:val="none"/>
        </w:rPr>
      </w:pPr>
      <w:bookmarkStart w:id="401" w:name="_Toc364853229"/>
      <w:r>
        <w:rPr>
          <w:rFonts w:hint="eastAsia" w:ascii="宋体" w:hAnsi="宋体" w:cs="宋体"/>
          <w:color w:val="auto"/>
          <w:kern w:val="0"/>
          <w:sz w:val="21"/>
          <w:szCs w:val="21"/>
          <w:highlight w:val="none"/>
        </w:rPr>
        <w:t>5.3.2承包人提前通知监理人隐蔽工程检查的期限的约定：承包人应在共同检查前</w:t>
      </w:r>
      <w:r>
        <w:rPr>
          <w:rFonts w:hint="eastAsia" w:ascii="宋体" w:hAnsi="宋体" w:cs="宋体"/>
          <w:color w:val="auto"/>
          <w:kern w:val="0"/>
          <w:sz w:val="21"/>
          <w:szCs w:val="21"/>
          <w:highlight w:val="none"/>
          <w:u w:val="single"/>
        </w:rPr>
        <w:t xml:space="preserve">24 </w:t>
      </w:r>
      <w:r>
        <w:rPr>
          <w:rFonts w:hint="eastAsia" w:ascii="宋体" w:hAnsi="宋体" w:cs="宋体"/>
          <w:color w:val="auto"/>
          <w:kern w:val="0"/>
          <w:sz w:val="21"/>
          <w:szCs w:val="21"/>
          <w:highlight w:val="none"/>
        </w:rPr>
        <w:t>小时书面通知监理人检查。</w:t>
      </w:r>
    </w:p>
    <w:p w14:paraId="546E1FB7">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监理人不能按时进行检查时，应提前</w:t>
      </w:r>
      <w:r>
        <w:rPr>
          <w:rFonts w:hint="eastAsia" w:ascii="宋体" w:hAnsi="宋体" w:cs="宋体"/>
          <w:color w:val="auto"/>
          <w:kern w:val="0"/>
          <w:sz w:val="21"/>
          <w:szCs w:val="21"/>
          <w:highlight w:val="none"/>
          <w:u w:val="single"/>
        </w:rPr>
        <w:t xml:space="preserve">  24 </w:t>
      </w:r>
      <w:r>
        <w:rPr>
          <w:rFonts w:hint="eastAsia" w:ascii="宋体" w:hAnsi="宋体" w:cs="宋体"/>
          <w:color w:val="auto"/>
          <w:kern w:val="0"/>
          <w:sz w:val="21"/>
          <w:szCs w:val="21"/>
          <w:highlight w:val="none"/>
        </w:rPr>
        <w:t>小时提交书面延期要求。延期最长不得超过：</w:t>
      </w:r>
      <w:r>
        <w:rPr>
          <w:rFonts w:hint="eastAsia" w:ascii="宋体" w:hAnsi="宋体" w:cs="宋体"/>
          <w:color w:val="auto"/>
          <w:kern w:val="0"/>
          <w:sz w:val="21"/>
          <w:szCs w:val="21"/>
          <w:highlight w:val="none"/>
          <w:u w:val="single"/>
        </w:rPr>
        <w:t xml:space="preserve"> 48</w:t>
      </w:r>
      <w:r>
        <w:rPr>
          <w:rFonts w:hint="eastAsia" w:ascii="宋体" w:hAnsi="宋体" w:cs="宋体"/>
          <w:color w:val="auto"/>
          <w:kern w:val="0"/>
          <w:sz w:val="21"/>
          <w:szCs w:val="21"/>
          <w:highlight w:val="none"/>
        </w:rPr>
        <w:t>小时。</w:t>
      </w:r>
    </w:p>
    <w:p w14:paraId="47B12B5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 安全文明施工与环境保护</w:t>
      </w:r>
      <w:bookmarkEnd w:id="401"/>
    </w:p>
    <w:p w14:paraId="4BE564D7">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6.1安全文明施工</w:t>
      </w:r>
    </w:p>
    <w:p w14:paraId="09E06675">
      <w:pPr>
        <w:spacing w:line="450" w:lineRule="exact"/>
        <w:ind w:firstLine="420" w:firstLineChars="200"/>
        <w:rPr>
          <w:rFonts w:hint="eastAsia" w:ascii="宋体" w:hAnsi="宋体" w:cs="宋体"/>
          <w:color w:val="auto"/>
          <w:kern w:val="0"/>
          <w:sz w:val="21"/>
          <w:szCs w:val="21"/>
          <w:highlight w:val="none"/>
        </w:rPr>
      </w:pPr>
      <w:bookmarkStart w:id="402" w:name="_Toc364853230"/>
      <w:r>
        <w:rPr>
          <w:rFonts w:hint="eastAsia" w:ascii="宋体" w:hAnsi="宋体" w:cs="宋体"/>
          <w:color w:val="auto"/>
          <w:kern w:val="0"/>
          <w:sz w:val="21"/>
          <w:szCs w:val="21"/>
          <w:highlight w:val="none"/>
        </w:rPr>
        <w:t>6.1.1 项目安全生产的达标目标及相应事项的约定：</w:t>
      </w:r>
      <w:r>
        <w:rPr>
          <w:rFonts w:hint="eastAsia" w:ascii="宋体" w:hAnsi="宋体" w:cs="宋体"/>
          <w:color w:val="auto"/>
          <w:sz w:val="21"/>
          <w:szCs w:val="21"/>
          <w:highlight w:val="none"/>
          <w:u w:val="single"/>
        </w:rPr>
        <w:t>合格</w:t>
      </w:r>
      <w:r>
        <w:rPr>
          <w:rFonts w:hint="eastAsia" w:ascii="宋体" w:hAnsi="宋体" w:cs="宋体"/>
          <w:color w:val="auto"/>
          <w:kern w:val="0"/>
          <w:sz w:val="21"/>
          <w:szCs w:val="21"/>
          <w:highlight w:val="none"/>
        </w:rPr>
        <w:t>。</w:t>
      </w:r>
    </w:p>
    <w:p w14:paraId="4895AD78">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施工期间由于承包人违反安全操作规范，发生重大死亡及其它事故，发包人将根据事故的严重程度对承包人予以处罚；被政府部门处罚的，承包人承担一切责任。</w:t>
      </w:r>
    </w:p>
    <w:p w14:paraId="03A2C217">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6.1.1.1 承包方未履行安全文明施工发生以下情况之一的，视为承包方未履行安全生产文明施工违约，承包方须支付合同价款的1% ：</w:t>
      </w:r>
    </w:p>
    <w:p w14:paraId="50A47D16">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(1)未达到合同要求的安全等级要求（安全等级以宁波市奉化区住房和城乡建设局文件和上级文件为准）；</w:t>
      </w:r>
    </w:p>
    <w:p w14:paraId="13A46AD4">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（2）在施工期间，施工单位发生事故等级为一般事故及以上生产安全责任事故（事故等级和责任按按国务院第493号令和行政部门的事故调查报告认定）；</w:t>
      </w:r>
    </w:p>
    <w:p w14:paraId="7089587E">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6.1.1.2</w:t>
      </w:r>
      <w:r>
        <w:rPr>
          <w:rFonts w:hint="eastAsia" w:ascii="宋体" w:hAnsi="宋体" w:cs="宋体"/>
          <w:b/>
          <w:bCs/>
          <w:color w:val="auto"/>
          <w:kern w:val="0"/>
          <w:szCs w:val="21"/>
          <w:highlight w:val="none"/>
        </w:rPr>
        <w:t>在施工期间，发现承包方现场管理混乱</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每发现一次扣除合同价款的0.3% （上述条款每次扣款金额如低于3000元/次的，则按3000元/次扣除）。</w:t>
      </w:r>
    </w:p>
    <w:p w14:paraId="1FEB4C8A">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6.1.1.3</w:t>
      </w:r>
      <w:r>
        <w:rPr>
          <w:rFonts w:hint="eastAsia" w:ascii="宋体" w:hAnsi="宋体" w:cs="宋体"/>
          <w:b/>
          <w:bCs/>
          <w:color w:val="auto"/>
          <w:kern w:val="0"/>
          <w:szCs w:val="21"/>
          <w:highlight w:val="none"/>
        </w:rPr>
        <w:t>承包方</w:t>
      </w:r>
      <w:r>
        <w:rPr>
          <w:rFonts w:hint="eastAsia" w:ascii="宋体" w:hAnsi="宋体" w:cs="宋体"/>
          <w:b/>
          <w:bCs/>
          <w:color w:val="auto"/>
          <w:kern w:val="0"/>
          <w:szCs w:val="21"/>
          <w:highlight w:val="none"/>
          <w:lang w:val="en-US" w:eastAsia="zh-CN"/>
        </w:rPr>
        <w:t>对</w:t>
      </w:r>
      <w:r>
        <w:rPr>
          <w:rFonts w:hint="eastAsia" w:ascii="宋体" w:hAnsi="宋体" w:cs="宋体"/>
          <w:b/>
          <w:bCs/>
          <w:color w:val="auto"/>
          <w:kern w:val="0"/>
          <w:szCs w:val="21"/>
          <w:highlight w:val="none"/>
        </w:rPr>
        <w:t>安全隐患整改不力，对发包方、监理单位及上级部门提出的安全隐患整改不到位</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每发现一次扣合同价款的0.3%（上述条款每次扣款金额如低于3000元/次的，则按3000元/次扣除）。</w:t>
      </w:r>
    </w:p>
    <w:p w14:paraId="2AD1A8B2">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注：以上（6.1.1.2和6.1.1.3）条款出现累计</w:t>
      </w:r>
      <w:r>
        <w:rPr>
          <w:rFonts w:hint="eastAsia" w:ascii="宋体" w:hAnsi="宋体" w:cs="宋体"/>
          <w:b/>
          <w:bCs/>
          <w:color w:val="auto"/>
          <w:kern w:val="0"/>
          <w:szCs w:val="21"/>
          <w:highlight w:val="none"/>
        </w:rPr>
        <w:t>三次及以上</w:t>
      </w:r>
      <w:r>
        <w:rPr>
          <w:rFonts w:hint="eastAsia" w:ascii="宋体" w:hAnsi="宋体" w:cs="宋体"/>
          <w:b/>
          <w:bCs/>
          <w:color w:val="auto"/>
          <w:kern w:val="0"/>
          <w:szCs w:val="21"/>
          <w:highlight w:val="none"/>
          <w:lang w:val="en-US" w:eastAsia="zh-CN"/>
        </w:rPr>
        <w:t>相同问题或情况的，除执行上述条款约定的扣款外，还须另行扣除合同价款的1% （扣款金额如低于2000元的，则按2000元扣除）。</w:t>
      </w:r>
    </w:p>
    <w:p w14:paraId="55A75AE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6.1.4 关于治安保卫的特别约定：执行通用条款。</w:t>
      </w:r>
    </w:p>
    <w:p w14:paraId="4B1A0A0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6.1.5文明施工应按《宁波市建设工程文明施工管理规定》文件要求执行。</w:t>
      </w:r>
    </w:p>
    <w:p w14:paraId="32925387">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6.1.6 关于安全文明施工费相关约定：</w:t>
      </w:r>
      <w:r>
        <w:rPr>
          <w:rFonts w:hint="eastAsia" w:ascii="宋体" w:hAnsi="宋体" w:cs="宋体"/>
          <w:color w:val="auto"/>
          <w:kern w:val="0"/>
          <w:sz w:val="21"/>
          <w:szCs w:val="21"/>
          <w:highlight w:val="none"/>
          <w:lang w:val="en-US" w:eastAsia="zh-CN"/>
        </w:rPr>
        <w:t>/</w:t>
      </w:r>
      <w:r>
        <w:rPr>
          <w:rFonts w:hint="eastAsia" w:ascii="宋体" w:eastAsia="宋体" w:cs="Times New Roman"/>
          <w:b w:val="0"/>
          <w:bCs w:val="0"/>
          <w:color w:val="auto"/>
          <w:sz w:val="21"/>
          <w:szCs w:val="21"/>
          <w:highlight w:val="none"/>
          <w:lang w:eastAsia="zh-CN"/>
        </w:rPr>
        <w:t>。</w:t>
      </w:r>
    </w:p>
    <w:p w14:paraId="247368A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 工期和进度</w:t>
      </w:r>
      <w:bookmarkEnd w:id="402"/>
    </w:p>
    <w:p w14:paraId="5098D6C2">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7.1 施工组织设计</w:t>
      </w:r>
    </w:p>
    <w:p w14:paraId="65B59C45">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7.1.1 合同当事人约定的施工组织设计应包括的其他内容：</w:t>
      </w:r>
      <w:r>
        <w:rPr>
          <w:rFonts w:hint="eastAsia" w:ascii="宋体" w:hAnsi="宋体" w:cs="宋体"/>
          <w:color w:val="auto"/>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1"/>
          <w:szCs w:val="21"/>
          <w:highlight w:val="none"/>
        </w:rPr>
        <w:t>。</w:t>
      </w:r>
    </w:p>
    <w:p w14:paraId="4F9339C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7.1.2 施工组织设计的提交和修改：按通用条款约定执行。</w:t>
      </w:r>
    </w:p>
    <w:p w14:paraId="200DC82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7.2 施工进度计划</w:t>
      </w:r>
    </w:p>
    <w:p w14:paraId="5EF33EB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施工进度计划的编制和修订：按通用条款约定执行。</w:t>
      </w:r>
    </w:p>
    <w:p w14:paraId="0A9DDDC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7.3 开工</w:t>
      </w:r>
    </w:p>
    <w:p w14:paraId="6010D1CD">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7.3.1 开工准备</w:t>
      </w:r>
    </w:p>
    <w:p w14:paraId="49A6D49B">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关于承包人提交工程开工报审表的期限：按第7.1款[施工组织设计]约定的时间。</w:t>
      </w:r>
    </w:p>
    <w:p w14:paraId="1D9AA4F0">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关于发包人应完成的其他开工准备工作及期限：在第7.3.2项[开工通知]载明的开工日期前7天获得开工所需的各项行政审批和许可手续。</w:t>
      </w:r>
    </w:p>
    <w:p w14:paraId="25B590A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关于承包人应完成的其他开工准备工作及期限： 在第7.3.2项[开工通知]载明的开工日期前7天签订材料、工程设备、周转材料等的采购合同，确定劳动力、材料、机械的进场安排。</w:t>
      </w:r>
    </w:p>
    <w:p w14:paraId="00BEC55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7.3.2 开工通知</w:t>
      </w:r>
    </w:p>
    <w:p w14:paraId="5E10FCC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因发包人原因造成监理人未能在通用条款规定的期限内发出开工通知的，承包人有权提出价格调整要求，或者解除合同。</w:t>
      </w:r>
    </w:p>
    <w:p w14:paraId="051547C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7.4 测量放线</w:t>
      </w:r>
    </w:p>
    <w:p w14:paraId="2FBB8372">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7.4.1 发包人通过监理人向承包人提供测量基准点、基准线和水准点及其书面资料的期限：不得晚于在第7.3.2项[开工通知]载明的开工日期前7天。</w:t>
      </w:r>
    </w:p>
    <w:p w14:paraId="0D995A3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7.5 工期延误</w:t>
      </w:r>
    </w:p>
    <w:p w14:paraId="6D58515C">
      <w:pPr>
        <w:pStyle w:val="67"/>
        <w:spacing w:before="120" w:line="450" w:lineRule="exact"/>
        <w:ind w:firstLine="401" w:firstLineChars="190"/>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14:paraId="217FF7EC">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sz w:val="21"/>
          <w:szCs w:val="21"/>
          <w:highlight w:val="none"/>
        </w:rPr>
        <w:t>（7）因发包人原因导致工期延误的其他情形：</w:t>
      </w:r>
      <w:r>
        <w:rPr>
          <w:rFonts w:hint="eastAsia" w:hAnsi="宋体" w:cs="宋体"/>
          <w:b w:val="0"/>
          <w:color w:val="auto"/>
          <w:sz w:val="21"/>
          <w:szCs w:val="21"/>
          <w:highlight w:val="none"/>
          <w:u w:val="single"/>
        </w:rPr>
        <w:t xml:space="preserve">  无  </w:t>
      </w:r>
      <w:r>
        <w:rPr>
          <w:rFonts w:hint="eastAsia" w:hAnsi="宋体" w:cs="宋体"/>
          <w:b w:val="0"/>
          <w:color w:val="auto"/>
          <w:sz w:val="21"/>
          <w:szCs w:val="21"/>
          <w:highlight w:val="none"/>
        </w:rPr>
        <w:t>。</w:t>
      </w:r>
    </w:p>
    <w:p w14:paraId="6E975447">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7.5.2 因承包人原因导致工期延误</w:t>
      </w:r>
    </w:p>
    <w:p w14:paraId="1716CF6A">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因承包人原因造成工期延误，逾期竣工违约金的计算方法根据“投标函附录”承诺确定，为</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000</w:t>
      </w:r>
      <w:r>
        <w:rPr>
          <w:rFonts w:hint="eastAsia" w:ascii="宋体" w:hAnsi="宋体" w:cs="宋体"/>
          <w:color w:val="auto"/>
          <w:kern w:val="0"/>
          <w:sz w:val="21"/>
          <w:szCs w:val="21"/>
          <w:highlight w:val="none"/>
        </w:rPr>
        <w:t>元/天。</w:t>
      </w:r>
    </w:p>
    <w:p w14:paraId="6BC7D6DC">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因承包人原因造成工期延误，逾期竣工违约金的上限根据“投标函附录”承诺确定，为合同价款的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2D7ED28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7.6 不利物质条件</w:t>
      </w:r>
    </w:p>
    <w:p w14:paraId="0168991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不利物质条件的其他情形和有关约定：地勘资料未设计的地下管道、地雷、岩层等，但不包括气候条件。</w:t>
      </w:r>
    </w:p>
    <w:p w14:paraId="0BC2502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14:paraId="3DB5213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发包人和承包人同意以下情形视为异常恶劣的气候条件：</w:t>
      </w:r>
    </w:p>
    <w:p w14:paraId="6C722EB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（1）12小时内降雨量达到50mm以上；</w:t>
      </w:r>
    </w:p>
    <w:p w14:paraId="3227665D">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（2）风速达到8级及以上的热带风暴（或台风）；</w:t>
      </w:r>
    </w:p>
    <w:p w14:paraId="319DE6C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（3）日最高气温超过38度或低于零下10度；</w:t>
      </w:r>
    </w:p>
    <w:p w14:paraId="62B2A8D5">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（4）造成工程损坏的冰雹和12小时内降雪量达到4mm及以上的大雪灾害。</w:t>
      </w:r>
    </w:p>
    <w:p w14:paraId="0C37B62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（5）政府有关部门通知停工的其它恶劣气候条件。</w:t>
      </w:r>
    </w:p>
    <w:p w14:paraId="73192C1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7.9 提前竣工的奖励</w:t>
      </w:r>
    </w:p>
    <w:p w14:paraId="6023B346">
      <w:pPr>
        <w:autoSpaceDE w:val="0"/>
        <w:autoSpaceDN w:val="0"/>
        <w:adjustRightInd w:val="0"/>
        <w:spacing w:line="450" w:lineRule="exact"/>
        <w:ind w:left="630" w:leftChars="200" w:hanging="210" w:hangingChars="1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7.9.2 提前竣工的奖励：根据“投标函附录”承诺，提前竣工奖励为</w:t>
      </w:r>
      <w:r>
        <w:rPr>
          <w:rFonts w:hint="eastAsia" w:ascii="宋体" w:hAnsi="宋体" w:cs="宋体"/>
          <w:color w:val="auto"/>
          <w:kern w:val="0"/>
          <w:sz w:val="21"/>
          <w:szCs w:val="21"/>
          <w:highlight w:val="none"/>
          <w:u w:val="single"/>
        </w:rPr>
        <w:t xml:space="preserve">  0 </w:t>
      </w:r>
      <w:r>
        <w:rPr>
          <w:rFonts w:hint="eastAsia" w:ascii="宋体" w:hAnsi="宋体" w:cs="宋体"/>
          <w:color w:val="auto"/>
          <w:kern w:val="0"/>
          <w:sz w:val="21"/>
          <w:szCs w:val="21"/>
          <w:highlight w:val="none"/>
        </w:rPr>
        <w:t>元/天。</w:t>
      </w:r>
      <w:bookmarkStart w:id="403" w:name="_Toc364853231"/>
    </w:p>
    <w:p w14:paraId="05443D58">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 材料与设备</w:t>
      </w:r>
      <w:bookmarkEnd w:id="403"/>
    </w:p>
    <w:p w14:paraId="7D7C091F">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 xml:space="preserve"> 8.2承包人采购材料与工程设备</w:t>
      </w:r>
    </w:p>
    <w:p w14:paraId="555C48DE">
      <w:pPr>
        <w:pStyle w:val="67"/>
        <w:spacing w:before="120" w:line="450" w:lineRule="exact"/>
        <w:ind w:firstLine="480"/>
        <w:rPr>
          <w:rFonts w:hint="eastAsia" w:hAnsi="宋体" w:cs="宋体"/>
          <w:b w:val="0"/>
          <w:color w:val="auto"/>
          <w:sz w:val="21"/>
          <w:szCs w:val="21"/>
          <w:highlight w:val="none"/>
        </w:rPr>
      </w:pPr>
      <w:r>
        <w:rPr>
          <w:rFonts w:hint="eastAsia" w:hAnsi="宋体" w:cs="宋体"/>
          <w:b w:val="0"/>
          <w:color w:val="auto"/>
          <w:sz w:val="21"/>
          <w:szCs w:val="21"/>
          <w:highlight w:val="none"/>
        </w:rPr>
        <w:t>承包人负责采购材料、工程设备的，应按照设计和有关标准要求采购，并提供产品合格证明及出厂证明，对材料、工程设备质量负责。</w:t>
      </w:r>
    </w:p>
    <w:p w14:paraId="082C9B7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8.4材料与工程设备的保管与使用</w:t>
      </w:r>
    </w:p>
    <w:p w14:paraId="60142E13">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bookmarkStart w:id="404" w:name="_Toc292559373"/>
      <w:bookmarkStart w:id="405" w:name="_Toc292559878"/>
      <w:r>
        <w:rPr>
          <w:rFonts w:hint="eastAsia" w:ascii="宋体" w:hAnsi="宋体" w:cs="宋体"/>
          <w:color w:val="auto"/>
          <w:kern w:val="0"/>
          <w:sz w:val="21"/>
          <w:szCs w:val="21"/>
          <w:highlight w:val="none"/>
        </w:rPr>
        <w:t>.4.1保管费用承担：执行通用条款。</w:t>
      </w:r>
      <w:bookmarkEnd w:id="404"/>
      <w:bookmarkEnd w:id="405"/>
    </w:p>
    <w:p w14:paraId="36ADCEA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14:paraId="27219518">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8.8.1 承包人提供的施工设备和临时设施</w:t>
      </w:r>
    </w:p>
    <w:p w14:paraId="73CAF4C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关于修建临时设施费用承担的约定：执行通用条款。</w:t>
      </w:r>
      <w:bookmarkStart w:id="406" w:name="_Toc364853232"/>
    </w:p>
    <w:bookmarkEnd w:id="406"/>
    <w:p w14:paraId="4BC6D68F">
      <w:pPr>
        <w:pStyle w:val="5"/>
        <w:spacing w:line="450" w:lineRule="exact"/>
        <w:rPr>
          <w:rFonts w:hint="eastAsia" w:ascii="宋体" w:hAnsi="宋体" w:cs="宋体"/>
          <w:sz w:val="24"/>
          <w:szCs w:val="24"/>
        </w:rPr>
      </w:pPr>
      <w:bookmarkStart w:id="407" w:name="_Toc364853233"/>
      <w:r>
        <w:rPr>
          <w:rFonts w:hint="eastAsia" w:ascii="宋体" w:hAnsi="宋体" w:cs="宋体"/>
          <w:sz w:val="24"/>
          <w:szCs w:val="24"/>
        </w:rPr>
        <w:t>10. 变更</w:t>
      </w:r>
    </w:p>
    <w:p w14:paraId="5C12BCC3">
      <w:pPr>
        <w:pStyle w:val="67"/>
        <w:spacing w:before="120" w:line="450" w:lineRule="exact"/>
        <w:ind w:firstLine="458" w:firstLineChars="190"/>
        <w:rPr>
          <w:rFonts w:hint="eastAsia" w:hAnsi="宋体" w:cs="宋体"/>
          <w:szCs w:val="24"/>
          <w:highlight w:val="none"/>
        </w:rPr>
      </w:pPr>
      <w:r>
        <w:rPr>
          <w:rFonts w:hint="eastAsia" w:hAnsi="宋体" w:cs="宋体"/>
          <w:szCs w:val="24"/>
          <w:highlight w:val="none"/>
        </w:rPr>
        <w:t>10.1变更的范围</w:t>
      </w:r>
    </w:p>
    <w:p w14:paraId="1E4711C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合同双方当事人约定：合同履行过程中发生以下情形时，应按照本条约定进行合同变更。</w:t>
      </w:r>
    </w:p>
    <w:p w14:paraId="59CF0DBC">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1）、法律法规以及政府主管部门的政策性调整；</w:t>
      </w:r>
    </w:p>
    <w:p w14:paraId="1B7B6ADE">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2）、增加或减少合同中任何工作，或追加额外的工作；</w:t>
      </w:r>
    </w:p>
    <w:p w14:paraId="36DA73D1">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3）、取消合同中任何工作，但转由他人实施的工作除外；</w:t>
      </w:r>
    </w:p>
    <w:p w14:paraId="5D8E0526">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4)、改变合同中任何工作的质量标准或其他特性；</w:t>
      </w:r>
    </w:p>
    <w:p w14:paraId="48CAD0C5">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5)、改变工程的基线、标高、位置和尺寸；</w:t>
      </w:r>
    </w:p>
    <w:p w14:paraId="3F89939A">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6)、改变工程的时间安排或实施顺序。</w:t>
      </w:r>
    </w:p>
    <w:bookmarkEnd w:id="407"/>
    <w:p w14:paraId="0D8EB6CF">
      <w:pPr>
        <w:shd w:val="clear"/>
        <w:spacing w:line="450" w:lineRule="exact"/>
        <w:ind w:firstLine="422" w:firstLineChars="200"/>
        <w:rPr>
          <w:rFonts w:hint="eastAsia" w:ascii="宋体" w:hAnsi="宋体" w:eastAsia="宋体" w:cs="宋体"/>
          <w:b/>
          <w:color w:val="auto"/>
          <w:kern w:val="2"/>
          <w:sz w:val="21"/>
          <w:szCs w:val="21"/>
          <w:highlight w:val="none"/>
          <w:lang w:val="en-US" w:eastAsia="zh-CN" w:bidi="ar-SA"/>
        </w:rPr>
      </w:pPr>
      <w:bookmarkStart w:id="408" w:name="_Toc364853235"/>
      <w:r>
        <w:rPr>
          <w:rFonts w:hint="eastAsia" w:ascii="宋体" w:hAnsi="宋体" w:cs="宋体"/>
          <w:b/>
          <w:color w:val="auto"/>
          <w:kern w:val="2"/>
          <w:sz w:val="21"/>
          <w:szCs w:val="21"/>
          <w:highlight w:val="none"/>
          <w:lang w:val="en-US" w:eastAsia="zh-CN" w:bidi="ar-SA"/>
        </w:rPr>
        <w:t>10.4</w:t>
      </w:r>
      <w:r>
        <w:rPr>
          <w:rFonts w:hint="eastAsia" w:ascii="宋体" w:hAnsi="宋体" w:eastAsia="宋体" w:cs="宋体"/>
          <w:b/>
          <w:color w:val="auto"/>
          <w:kern w:val="2"/>
          <w:sz w:val="21"/>
          <w:szCs w:val="21"/>
          <w:highlight w:val="none"/>
          <w:lang w:val="en-US" w:eastAsia="zh-CN" w:bidi="ar-SA"/>
        </w:rPr>
        <w:t>变更估价</w:t>
      </w:r>
    </w:p>
    <w:p w14:paraId="2D87737E">
      <w:pPr>
        <w:shd w:val="clear"/>
        <w:spacing w:line="45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10.4.1</w:t>
      </w:r>
      <w:r>
        <w:rPr>
          <w:rFonts w:hint="eastAsia" w:ascii="宋体" w:hAnsi="宋体" w:eastAsia="宋体" w:cs="宋体"/>
          <w:color w:val="auto"/>
          <w:kern w:val="0"/>
          <w:szCs w:val="21"/>
          <w:highlight w:val="none"/>
        </w:rPr>
        <w:t>变更估价原则</w:t>
      </w:r>
    </w:p>
    <w:p w14:paraId="782BB3B6">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关于变更估价的约定：</w:t>
      </w:r>
    </w:p>
    <w:p w14:paraId="12977693">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（1）工程预算书有相同项目的，按照相同项目单价结合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认定；</w:t>
      </w:r>
    </w:p>
    <w:p w14:paraId="1855527B">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（2）工程预算书中无相同项目，但有类似项目的，参照类似项目单价结合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5AF7AFE3">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后提出综合单价，经监理人及发包人或其委托的咨询单位工程师确认，作为结算依据。</w:t>
      </w:r>
    </w:p>
    <w:p w14:paraId="37B2CEC0">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提出综合单价，经签证方式确定的材料、设备价格不作下浮。</w:t>
      </w:r>
    </w:p>
    <w:p w14:paraId="741C633F">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.1.2 关于变更措施项目费的约定：</w:t>
      </w:r>
    </w:p>
    <w:p w14:paraId="0BF626F8">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w:t>
      </w: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条款约定原则计算的单价提出措施费；采用以“项”计价的措施项目，根据工程量清单中的措施项目和金额结合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或发承包双方确认调整后的措施项目和金额计算。</w:t>
      </w:r>
    </w:p>
    <w:p w14:paraId="5156CF5C">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（1）原措施项目费中已有的措施项目，按原措施项目费的组价方法调整。</w:t>
      </w:r>
    </w:p>
    <w:p w14:paraId="51454621">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（2）原措施费没有的措施项目，承包人根据实际措施项目内容、规定的工程取费类别、现行计价依据并结合</w:t>
      </w:r>
      <w:r>
        <w:rPr>
          <w:rFonts w:hint="eastAsia" w:ascii="宋体" w:hAnsi="宋体" w:cs="宋体"/>
          <w:b/>
          <w:color w:val="auto"/>
          <w:kern w:val="0"/>
          <w:szCs w:val="21"/>
          <w:highlight w:val="none"/>
        </w:rPr>
        <w:t>综合折扣率</w:t>
      </w:r>
      <w:r>
        <w:rPr>
          <w:rFonts w:hint="eastAsia" w:ascii="宋体" w:hAnsi="宋体" w:cs="宋体"/>
          <w:color w:val="auto"/>
          <w:kern w:val="0"/>
          <w:szCs w:val="21"/>
          <w:highlight w:val="none"/>
        </w:rPr>
        <w:t>后提出措施费。</w:t>
      </w:r>
    </w:p>
    <w:p w14:paraId="24C52326">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10.4.1.3</w:t>
      </w:r>
      <w:r>
        <w:rPr>
          <w:rFonts w:hint="eastAsia" w:ascii="宋体" w:hAnsi="宋体" w:cs="宋体"/>
          <w:color w:val="auto"/>
          <w:kern w:val="0"/>
          <w:szCs w:val="21"/>
          <w:highlight w:val="none"/>
        </w:rPr>
        <w:t>关于其他项目费变更的约定：</w:t>
      </w:r>
    </w:p>
    <w:p w14:paraId="27EEA703">
      <w:pPr>
        <w:numPr>
          <w:ilvl w:val="0"/>
          <w:numId w:val="6"/>
        </w:numPr>
        <w:shd w:val="clear"/>
        <w:spacing w:line="4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293B9CA5">
      <w:pPr>
        <w:shd w:val="clea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2）承包人在施工期间的变更应严格按照《宁波市奉化区政府投资项目变更管理办法（试行）》(奉政办发〔2024〕27号)执行，未按该管理办法实行变更审批的，均为无效变更，变更增加的费用在审核结算时，不得计取。</w:t>
      </w:r>
    </w:p>
    <w:p w14:paraId="0829712D">
      <w:pPr>
        <w:keepNext w:val="0"/>
        <w:keepLines w:val="0"/>
        <w:pageBreakBefore w:val="0"/>
        <w:widowControl w:val="0"/>
        <w:shd w:val="clear"/>
        <w:kinsoku/>
        <w:wordWrap/>
        <w:overflowPunct/>
        <w:topLinePunct w:val="0"/>
        <w:bidi w:val="0"/>
        <w:snapToGrid/>
        <w:spacing w:line="45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lang w:val="en-US" w:eastAsia="zh-CN"/>
        </w:rPr>
        <w:t>10.4.1.4</w:t>
      </w:r>
      <w:r>
        <w:rPr>
          <w:rFonts w:hint="eastAsia" w:ascii="宋体" w:hAnsi="宋体" w:cs="宋体"/>
          <w:color w:val="auto"/>
          <w:szCs w:val="21"/>
          <w:highlight w:val="none"/>
        </w:rPr>
        <w:t>计价依据：</w:t>
      </w:r>
      <w:r>
        <w:rPr>
          <w:rFonts w:hint="eastAsia" w:ascii="宋体" w:hAnsi="宋体" w:cs="宋体"/>
          <w:color w:val="auto"/>
          <w:kern w:val="0"/>
          <w:szCs w:val="21"/>
          <w:highlight w:val="none"/>
        </w:rPr>
        <w:t xml:space="preserve">                                                                                                                                                                                               </w:t>
      </w:r>
    </w:p>
    <w:p w14:paraId="260D2168">
      <w:pPr>
        <w:shd w:val="clear"/>
        <w:spacing w:line="450" w:lineRule="exact"/>
        <w:ind w:firstLine="42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宋体"/>
          <w:color w:val="auto"/>
          <w:kern w:val="0"/>
          <w:szCs w:val="21"/>
          <w:highlight w:val="none"/>
        </w:rPr>
        <w:t>由建设单位提供的由</w:t>
      </w:r>
      <w:r>
        <w:rPr>
          <w:rFonts w:hint="eastAsia" w:ascii="宋体" w:hAnsi="宋体" w:eastAsia="宋体" w:cs="宋体"/>
          <w:color w:val="auto"/>
          <w:kern w:val="0"/>
          <w:szCs w:val="21"/>
          <w:highlight w:val="none"/>
          <w:lang w:eastAsia="zh-CN"/>
        </w:rPr>
        <w:t>宁波恒晨电力建设有限公司</w:t>
      </w:r>
      <w:r>
        <w:rPr>
          <w:rFonts w:hint="eastAsia" w:ascii="宋体" w:hAnsi="宋体" w:eastAsia="宋体" w:cs="宋体"/>
          <w:color w:val="auto"/>
          <w:kern w:val="0"/>
          <w:szCs w:val="21"/>
          <w:highlight w:val="none"/>
        </w:rPr>
        <w:t>负责设计的工程施工图纸及施工标底的情况说明、会议纪要、图纸答疑等相关资料；工程量计算：建设单位提供的施工图纸，施工标底的情况说明、图纸答疑等相关资料；</w:t>
      </w:r>
    </w:p>
    <w:p w14:paraId="59159443">
      <w:pPr>
        <w:keepNext w:val="0"/>
        <w:keepLines w:val="0"/>
        <w:pageBreakBefore w:val="0"/>
        <w:widowControl w:val="0"/>
        <w:numPr>
          <w:ilvl w:val="0"/>
          <w:numId w:val="0"/>
        </w:numPr>
        <w:shd w:val="clear"/>
        <w:kinsoku/>
        <w:wordWrap/>
        <w:overflowPunct/>
        <w:topLinePunct w:val="0"/>
        <w:bidi w:val="0"/>
        <w:snapToGrid/>
        <w:spacing w:line="45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定额采用：</w:t>
      </w:r>
    </w:p>
    <w:p w14:paraId="62C139FD">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1、《建设工程工程量清单计价规范》（GB50500-2013）；</w:t>
      </w:r>
    </w:p>
    <w:p w14:paraId="579A9454">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2、《浙江省市政工程预算定额》（2018版）；</w:t>
      </w:r>
    </w:p>
    <w:p w14:paraId="7C9DBED9">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3、《浙江省建设工程计价规则》（2018版）；</w:t>
      </w:r>
    </w:p>
    <w:p w14:paraId="172C5FC9">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4、《浙江省房屋建筑与装饰工程预算定额》（2018版）；</w:t>
      </w:r>
    </w:p>
    <w:p w14:paraId="0C6BF105">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5、《浙江省通用安装工程预算定额》（2018版）；</w:t>
      </w:r>
    </w:p>
    <w:p w14:paraId="7A272585">
      <w:pPr>
        <w:shd w:val="clear"/>
        <w:autoSpaceDE w:val="0"/>
        <w:autoSpaceDN w:val="0"/>
        <w:adjustRightInd w:val="0"/>
        <w:spacing w:before="9" w:line="450" w:lineRule="exact"/>
        <w:ind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6、浙建建【2018】61号、浙建建发【2019】92号、甬发改投资【2018】601号、浙建建发【2022】37号及省、市有关造价依据。</w:t>
      </w:r>
    </w:p>
    <w:p w14:paraId="34AB29C5">
      <w:pPr>
        <w:shd w:val="clear"/>
        <w:autoSpaceDE w:val="0"/>
        <w:autoSpaceDN w:val="0"/>
        <w:adjustRightInd w:val="0"/>
        <w:spacing w:before="9" w:line="450" w:lineRule="exact"/>
        <w:ind w:right="-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（3）材料信息价：</w:t>
      </w:r>
      <w:r>
        <w:rPr>
          <w:rFonts w:hint="eastAsia" w:ascii="宋体" w:hAnsi="宋体" w:cs="宋体"/>
          <w:color w:val="auto"/>
          <w:kern w:val="0"/>
          <w:szCs w:val="21"/>
          <w:highlight w:val="none"/>
        </w:rPr>
        <w:t>人工及材料市场信息价采用20</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月份《宁波建设工程造价信息》（综合版）。材料市场信息价优先计取顺序为20</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月份的《宁波建设工程造价信息（综合版奉化栏）》、《宁波建设工程造价信息（综合版）》、《浙江造价信息》；无信息价部分结合相关文件并市场询价取定。</w:t>
      </w:r>
    </w:p>
    <w:p w14:paraId="2377FE85">
      <w:pPr>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snapToGrid/>
          <w:color w:val="auto"/>
          <w:kern w:val="0"/>
          <w:sz w:val="21"/>
          <w:szCs w:val="21"/>
          <w:highlight w:val="none"/>
          <w:lang w:val="en-US" w:eastAsia="zh-CN" w:bidi="ar-SA"/>
        </w:rPr>
        <w:t>（4）取费标准:</w:t>
      </w:r>
      <w:r>
        <w:rPr>
          <w:rFonts w:hint="eastAsia" w:ascii="宋体" w:hAnsi="宋体" w:eastAsia="宋体" w:cs="宋体"/>
          <w:color w:val="auto"/>
          <w:kern w:val="0"/>
          <w:szCs w:val="21"/>
          <w:highlight w:val="none"/>
          <w:lang w:val="en-US" w:eastAsia="zh-CN"/>
        </w:rPr>
        <w:t>费用类别按市政安装工程取费，其中：弹性区间费率按中值计取；安全文明施工基本费率按“非市区工程”中值费率计取；关于调整建筑工程安全文明施工费的通知按浙建建发【2022】37号文件计取“智慧工地”增加费、疫情常态化防控费（安全文明施工基本费按照《浙江省建设工程计价规则（2018版）》的费率×1.15系数）；关于增值税调整后我省建设工程计价依据增值税税率及有关计价调整的通知按浙建建发【2019】92号（税率按9%）计取；标化工地增加费、提前竣工增加费、二次搬运费、行车、行人干扰增加费及其他项目费未计取；安全生产责任保险费按市建管【2024】12号文件计取。</w:t>
      </w:r>
    </w:p>
    <w:p w14:paraId="4D58DCA4">
      <w:pPr>
        <w:pStyle w:val="9"/>
        <w:tabs>
          <w:tab w:val="left" w:pos="7755"/>
        </w:tabs>
        <w:spacing w:line="360" w:lineRule="auto"/>
        <w:ind w:firstLine="420" w:firstLineChars="200"/>
        <w:jc w:val="left"/>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（5）规费费率按《浙江省建设工程计价规则（2018版 ）》取费标准的30%计取，当以后规费相关政策发生变化时，可据实调整。</w:t>
      </w:r>
    </w:p>
    <w:p w14:paraId="6CDC3F3E">
      <w:pPr>
        <w:spacing w:line="360" w:lineRule="auto"/>
        <w:ind w:firstLine="420" w:firstLineChars="200"/>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（6）本工程计价方式采用综合单价法。</w:t>
      </w:r>
    </w:p>
    <w:p w14:paraId="2D15CFD7">
      <w:pPr>
        <w:spacing w:line="360" w:lineRule="auto"/>
        <w:ind w:firstLine="420" w:firstLineChars="200"/>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（7）本工程增值税采用一般计税方法。</w:t>
      </w:r>
    </w:p>
    <w:p w14:paraId="632B3ED2">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本项目余土外运运距按20km包干计</w:t>
      </w:r>
      <w:r>
        <w:rPr>
          <w:rFonts w:hint="eastAsia" w:ascii="宋体" w:hAnsi="宋体" w:cs="宋体"/>
          <w:color w:val="auto"/>
          <w:kern w:val="0"/>
          <w:szCs w:val="21"/>
          <w:highlight w:val="none"/>
          <w:lang w:val="en-US" w:eastAsia="zh-CN"/>
        </w:rPr>
        <w:t>，处置费不计，结算时不作调整</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严禁承包人在施工期间偷倒、乱倒等行为，否则引起的一切责任均由承包人承担。</w:t>
      </w:r>
    </w:p>
    <w:p w14:paraId="448DAAEE">
      <w:pPr>
        <w:keepNext w:val="0"/>
        <w:keepLines w:val="0"/>
        <w:pageBreakBefore w:val="0"/>
        <w:widowControl w:val="0"/>
        <w:shd w:val="clear"/>
        <w:kinsoku/>
        <w:wordWrap/>
        <w:overflowPunct/>
        <w:topLinePunct w:val="0"/>
        <w:autoSpaceDE w:val="0"/>
        <w:autoSpaceDN w:val="0"/>
        <w:bidi w:val="0"/>
        <w:adjustRightInd w:val="0"/>
        <w:snapToGrid/>
        <w:spacing w:before="9" w:line="450" w:lineRule="exact"/>
        <w:ind w:right="-20" w:firstLine="723" w:firstLineChars="300"/>
        <w:textAlignment w:val="auto"/>
        <w:rPr>
          <w:rFonts w:hint="eastAsia" w:ascii="宋体" w:hAnsi="宋体"/>
          <w:b/>
          <w:color w:val="auto"/>
          <w:sz w:val="24"/>
          <w:highlight w:val="none"/>
        </w:rPr>
      </w:pPr>
      <w:r>
        <w:rPr>
          <w:rFonts w:hint="eastAsia" w:ascii="宋体" w:hAnsi="宋体"/>
          <w:b/>
          <w:color w:val="auto"/>
          <w:sz w:val="24"/>
          <w:highlight w:val="none"/>
        </w:rPr>
        <w:t>本项目综合折扣率为</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7FE45693">
      <w:pPr>
        <w:pStyle w:val="4"/>
        <w:pageBreakBefore w:val="0"/>
        <w:widowControl w:val="0"/>
        <w:kinsoku/>
        <w:wordWrap/>
        <w:overflowPunct/>
        <w:topLinePunct w:val="0"/>
        <w:autoSpaceDE/>
        <w:autoSpaceDN/>
        <w:bidi w:val="0"/>
        <w:snapToGrid/>
        <w:spacing w:before="120" w:after="120"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10.7暂估价</w:t>
      </w:r>
    </w:p>
    <w:p w14:paraId="60188942">
      <w:pPr>
        <w:numPr>
          <w:ilvl w:val="0"/>
          <w:numId w:val="0"/>
        </w:numPr>
        <w:spacing w:line="430" w:lineRule="exact"/>
        <w:ind w:firstLine="420" w:firstLineChars="200"/>
      </w:pPr>
      <w:r>
        <w:rPr>
          <w:rFonts w:hint="eastAsia" w:ascii="宋体" w:hAnsi="宋体" w:eastAsia="宋体" w:cs="宋体"/>
          <w:b w:val="0"/>
          <w:bCs w:val="0"/>
          <w:color w:val="auto"/>
          <w:kern w:val="0"/>
          <w:sz w:val="21"/>
          <w:szCs w:val="21"/>
          <w:highlight w:val="none"/>
          <w:lang w:eastAsia="zh-CN" w:bidi="ar"/>
        </w:rPr>
        <w:t>暂估金额单价的确定按10.4.1条款规定进行结算。</w:t>
      </w:r>
    </w:p>
    <w:p w14:paraId="5AB2CF71">
      <w:pPr>
        <w:pStyle w:val="5"/>
        <w:spacing w:line="450" w:lineRule="exact"/>
        <w:rPr>
          <w:rFonts w:hint="eastAsia" w:ascii="宋体" w:hAnsi="宋体" w:cs="宋体"/>
          <w:sz w:val="21"/>
          <w:szCs w:val="21"/>
        </w:rPr>
      </w:pPr>
      <w:r>
        <w:rPr>
          <w:rFonts w:hint="eastAsia" w:ascii="宋体" w:hAnsi="宋体" w:cs="宋体"/>
          <w:sz w:val="21"/>
          <w:szCs w:val="21"/>
        </w:rPr>
        <w:t>11. 价格调整</w:t>
      </w:r>
    </w:p>
    <w:p w14:paraId="636E774E">
      <w:pPr>
        <w:spacing w:line="450" w:lineRule="exact"/>
        <w:ind w:firstLine="422" w:firstLineChars="200"/>
        <w:rPr>
          <w:rFonts w:hint="eastAsia" w:ascii="宋体" w:hAnsi="宋体" w:cs="宋体"/>
          <w:b/>
          <w:sz w:val="21"/>
          <w:szCs w:val="21"/>
        </w:rPr>
      </w:pPr>
      <w:r>
        <w:rPr>
          <w:rFonts w:hint="eastAsia" w:ascii="宋体" w:hAnsi="宋体" w:cs="宋体"/>
          <w:b/>
          <w:sz w:val="21"/>
          <w:szCs w:val="21"/>
        </w:rPr>
        <w:t>11.1 市场价格波动引起的调整</w:t>
      </w:r>
    </w:p>
    <w:p w14:paraId="77BDB6AB">
      <w:pPr>
        <w:pStyle w:val="67"/>
        <w:spacing w:line="450" w:lineRule="exact"/>
        <w:ind w:firstLine="401" w:firstLineChars="190"/>
        <w:rPr>
          <w:rFonts w:hint="eastAsia" w:hAnsi="宋体" w:cs="宋体"/>
          <w:sz w:val="21"/>
          <w:szCs w:val="21"/>
          <w:highlight w:val="none"/>
        </w:rPr>
      </w:pPr>
      <w:r>
        <w:rPr>
          <w:rFonts w:hint="eastAsia" w:hAnsi="宋体" w:cs="宋体"/>
          <w:sz w:val="21"/>
          <w:szCs w:val="21"/>
          <w:highlight w:val="none"/>
        </w:rPr>
        <w:t>11.1.1 合同当事人约定：</w:t>
      </w:r>
      <w:r>
        <w:rPr>
          <w:rFonts w:hint="eastAsia" w:hAnsi="宋体" w:cs="宋体"/>
          <w:sz w:val="21"/>
          <w:szCs w:val="21"/>
          <w:highlight w:val="none"/>
          <w:lang w:val="en-US" w:eastAsia="zh-CN"/>
        </w:rPr>
        <w:t>/</w:t>
      </w:r>
      <w:r>
        <w:rPr>
          <w:rFonts w:hint="eastAsia" w:hAnsi="宋体" w:cs="宋体"/>
          <w:sz w:val="21"/>
          <w:szCs w:val="21"/>
          <w:highlight w:val="none"/>
        </w:rPr>
        <w:t>。</w:t>
      </w:r>
    </w:p>
    <w:p w14:paraId="41EB2284">
      <w:pPr>
        <w:pStyle w:val="67"/>
        <w:spacing w:before="120" w:line="450" w:lineRule="exact"/>
        <w:ind w:firstLine="401" w:firstLineChars="190"/>
        <w:rPr>
          <w:rFonts w:hint="eastAsia" w:hAnsi="宋体" w:cs="宋体"/>
          <w:sz w:val="21"/>
          <w:szCs w:val="21"/>
        </w:rPr>
      </w:pPr>
      <w:r>
        <w:rPr>
          <w:rFonts w:hint="eastAsia" w:hAnsi="宋体" w:cs="宋体"/>
          <w:sz w:val="21"/>
          <w:szCs w:val="21"/>
        </w:rPr>
        <w:t>11.2 法律变化引起的调整</w:t>
      </w:r>
    </w:p>
    <w:p w14:paraId="1989F1B0">
      <w:pPr>
        <w:spacing w:line="450" w:lineRule="exact"/>
        <w:ind w:firstLine="420" w:firstLineChars="200"/>
        <w:rPr>
          <w:rFonts w:hint="eastAsia" w:ascii="宋体" w:hAnsi="宋体" w:cs="宋体"/>
          <w:sz w:val="21"/>
          <w:szCs w:val="21"/>
        </w:rPr>
      </w:pPr>
      <w:bookmarkStart w:id="409" w:name="_Toc364853234"/>
      <w:r>
        <w:rPr>
          <w:rFonts w:hint="eastAsia" w:ascii="宋体" w:hAnsi="宋体" w:cs="宋体"/>
          <w:sz w:val="21"/>
          <w:szCs w:val="21"/>
        </w:rPr>
        <w:t>合同当事人关于本条的补充约定：</w:t>
      </w:r>
    </w:p>
    <w:p w14:paraId="48277765">
      <w:pPr>
        <w:spacing w:line="450" w:lineRule="exact"/>
        <w:ind w:firstLine="420" w:firstLineChars="200"/>
        <w:rPr>
          <w:rFonts w:hint="eastAsia" w:ascii="宋体" w:hAnsi="宋体" w:cs="宋体"/>
          <w:sz w:val="21"/>
          <w:szCs w:val="21"/>
        </w:rPr>
      </w:pPr>
      <w:r>
        <w:rPr>
          <w:rFonts w:hint="eastAsia" w:ascii="宋体" w:hAnsi="宋体" w:cs="宋体"/>
          <w:sz w:val="21"/>
          <w:szCs w:val="21"/>
        </w:rPr>
        <w:t>（1）本条所称的法律包括法律、法规、规章及规范性文件。</w:t>
      </w:r>
    </w:p>
    <w:p w14:paraId="1333F75A">
      <w:pPr>
        <w:spacing w:line="450" w:lineRule="exact"/>
        <w:ind w:firstLine="420" w:firstLineChars="200"/>
        <w:rPr>
          <w:rFonts w:hint="eastAsia" w:ascii="宋体" w:hAnsi="宋体" w:cs="宋体"/>
          <w:sz w:val="21"/>
          <w:szCs w:val="21"/>
        </w:rPr>
      </w:pPr>
      <w:r>
        <w:rPr>
          <w:rFonts w:hint="eastAsia" w:ascii="宋体" w:hAnsi="宋体" w:cs="宋体"/>
          <w:sz w:val="21"/>
          <w:szCs w:val="21"/>
        </w:rPr>
        <w:t>（2）国有投资项目应按本省建设行政主管部门或其授权工程造价管理机构发布的规定调整合同价款。</w:t>
      </w:r>
    </w:p>
    <w:p w14:paraId="69620677">
      <w:pPr>
        <w:pStyle w:val="5"/>
        <w:spacing w:line="450" w:lineRule="exact"/>
        <w:rPr>
          <w:rFonts w:hint="eastAsia" w:ascii="宋体" w:hAnsi="宋体" w:cs="宋体"/>
          <w:sz w:val="21"/>
          <w:szCs w:val="21"/>
        </w:rPr>
      </w:pPr>
      <w:r>
        <w:rPr>
          <w:rFonts w:hint="eastAsia" w:ascii="宋体" w:hAnsi="宋体" w:cs="宋体"/>
          <w:sz w:val="21"/>
          <w:szCs w:val="21"/>
        </w:rPr>
        <w:t>12. 合同价格、计量与支付</w:t>
      </w:r>
      <w:bookmarkEnd w:id="409"/>
    </w:p>
    <w:p w14:paraId="388E3E3A">
      <w:pPr>
        <w:pStyle w:val="67"/>
        <w:spacing w:before="120" w:line="450" w:lineRule="exact"/>
        <w:ind w:firstLine="401" w:firstLineChars="190"/>
        <w:rPr>
          <w:rFonts w:hint="eastAsia" w:hAnsi="宋体" w:cs="宋体"/>
          <w:sz w:val="21"/>
          <w:szCs w:val="21"/>
        </w:rPr>
      </w:pPr>
      <w:bookmarkStart w:id="410" w:name="_Toc292559411"/>
      <w:bookmarkStart w:id="411" w:name="_Toc267251461"/>
      <w:bookmarkStart w:id="412" w:name="_Toc292559916"/>
      <w:bookmarkStart w:id="413" w:name="_Toc296346707"/>
      <w:bookmarkStart w:id="414" w:name="_Toc296944545"/>
      <w:bookmarkStart w:id="415" w:name="_Toc296347205"/>
      <w:bookmarkStart w:id="416" w:name="_Toc296891034"/>
      <w:bookmarkStart w:id="417" w:name="_Toc297048392"/>
      <w:bookmarkStart w:id="418" w:name="_Toc296503206"/>
      <w:bookmarkStart w:id="419" w:name="_Toc296891246"/>
      <w:bookmarkStart w:id="420" w:name="_Toc297120506"/>
      <w:bookmarkStart w:id="421" w:name="_Toc297123553"/>
      <w:bookmarkStart w:id="422" w:name="_Toc304295580"/>
      <w:bookmarkStart w:id="423" w:name="_Toc312678041"/>
      <w:bookmarkStart w:id="424" w:name="_Toc303539160"/>
      <w:bookmarkStart w:id="425" w:name="_Toc297216212"/>
      <w:bookmarkStart w:id="426" w:name="_Toc300935003"/>
      <w:r>
        <w:rPr>
          <w:rFonts w:hint="eastAsia" w:hAnsi="宋体" w:cs="宋体"/>
          <w:sz w:val="21"/>
          <w:szCs w:val="21"/>
        </w:rPr>
        <w:t>12.1 合</w:t>
      </w:r>
      <w:bookmarkEnd w:id="410"/>
      <w:bookmarkEnd w:id="411"/>
      <w:bookmarkEnd w:id="412"/>
      <w:r>
        <w:rPr>
          <w:rFonts w:hint="eastAsia" w:hAnsi="宋体" w:cs="宋体"/>
          <w:sz w:val="21"/>
          <w:szCs w:val="21"/>
        </w:rPr>
        <w:t>同价</w:t>
      </w:r>
      <w:bookmarkEnd w:id="413"/>
      <w:bookmarkEnd w:id="414"/>
      <w:bookmarkEnd w:id="415"/>
      <w:bookmarkEnd w:id="416"/>
      <w:bookmarkEnd w:id="417"/>
      <w:bookmarkEnd w:id="418"/>
      <w:bookmarkEnd w:id="419"/>
      <w:bookmarkEnd w:id="420"/>
      <w:r>
        <w:rPr>
          <w:rFonts w:hint="eastAsia" w:hAnsi="宋体" w:cs="宋体"/>
          <w:sz w:val="21"/>
          <w:szCs w:val="21"/>
        </w:rPr>
        <w:t>格形式</w:t>
      </w:r>
    </w:p>
    <w:bookmarkEnd w:id="421"/>
    <w:bookmarkEnd w:id="422"/>
    <w:bookmarkEnd w:id="423"/>
    <w:bookmarkEnd w:id="424"/>
    <w:bookmarkEnd w:id="425"/>
    <w:bookmarkEnd w:id="426"/>
    <w:p w14:paraId="7D9178C6">
      <w:pPr>
        <w:spacing w:line="450" w:lineRule="exact"/>
        <w:ind w:firstLine="422" w:firstLineChars="200"/>
        <w:rPr>
          <w:rFonts w:hint="eastAsia" w:hAnsi="宋体" w:cs="宋体"/>
          <w:sz w:val="21"/>
          <w:szCs w:val="21"/>
        </w:rPr>
      </w:pPr>
      <w:r>
        <w:rPr>
          <w:rFonts w:hint="eastAsia" w:ascii="宋体" w:hAnsi="宋体" w:cs="宋体"/>
          <w:b/>
          <w:kern w:val="0"/>
          <w:sz w:val="21"/>
          <w:szCs w:val="21"/>
        </w:rPr>
        <w:t>本合同采用合同当事人签订的合同协议书中约定的价格形式，即：</w:t>
      </w:r>
      <w:r>
        <w:rPr>
          <w:rFonts w:hint="eastAsia" w:ascii="宋体" w:hAnsi="宋体" w:cs="宋体"/>
          <w:b/>
          <w:kern w:val="0"/>
          <w:sz w:val="21"/>
          <w:szCs w:val="21"/>
          <w:lang w:val="en-US" w:eastAsia="zh-CN"/>
        </w:rPr>
        <w:t>单价</w:t>
      </w:r>
      <w:r>
        <w:rPr>
          <w:rFonts w:hint="eastAsia" w:ascii="宋体" w:hAnsi="宋体" w:eastAsia="宋体" w:cs="宋体"/>
          <w:b/>
          <w:kern w:val="0"/>
          <w:sz w:val="21"/>
          <w:szCs w:val="21"/>
        </w:rPr>
        <w:t>合同。</w:t>
      </w:r>
      <w:r>
        <w:rPr>
          <w:rFonts w:hint="eastAsia" w:ascii="宋体" w:hAnsi="宋体" w:cs="宋体"/>
          <w:kern w:val="0"/>
          <w:sz w:val="21"/>
          <w:szCs w:val="21"/>
        </w:rPr>
        <w:t xml:space="preserve"> </w:t>
      </w:r>
      <w:r>
        <w:rPr>
          <w:rFonts w:hint="eastAsia" w:hAnsi="宋体" w:cs="宋体"/>
          <w:sz w:val="21"/>
          <w:szCs w:val="21"/>
        </w:rPr>
        <w:t xml:space="preserve">  </w:t>
      </w:r>
    </w:p>
    <w:p w14:paraId="3188934F">
      <w:pPr>
        <w:pStyle w:val="67"/>
        <w:spacing w:before="120" w:line="450" w:lineRule="exact"/>
        <w:ind w:firstLine="401" w:firstLineChars="190"/>
        <w:rPr>
          <w:rFonts w:hint="eastAsia" w:hAnsi="宋体" w:cs="宋体"/>
          <w:sz w:val="21"/>
          <w:szCs w:val="21"/>
          <w:highlight w:val="none"/>
        </w:rPr>
      </w:pPr>
      <w:r>
        <w:rPr>
          <w:rFonts w:hint="eastAsia" w:hAnsi="宋体" w:cs="宋体"/>
          <w:sz w:val="21"/>
          <w:szCs w:val="21"/>
          <w:highlight w:val="none"/>
        </w:rPr>
        <w:t>12.2 预付款</w:t>
      </w:r>
    </w:p>
    <w:p w14:paraId="3EB94FD0">
      <w:pPr>
        <w:pStyle w:val="12"/>
        <w:spacing w:line="45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 xml:space="preserve">12.2.1 </w:t>
      </w:r>
      <w:r>
        <w:rPr>
          <w:rFonts w:hint="eastAsia" w:ascii="宋体" w:hAnsi="宋体" w:eastAsia="宋体" w:cs="宋体"/>
          <w:sz w:val="21"/>
          <w:szCs w:val="21"/>
          <w:lang w:val="en-US" w:eastAsia="zh-CN"/>
        </w:rPr>
        <w:t>预付款的支付和扣回的方式：</w:t>
      </w:r>
      <w:r>
        <w:rPr>
          <w:rFonts w:hint="eastAsia" w:ascii="宋体" w:hAnsi="宋体" w:eastAsia="宋体" w:cs="宋体"/>
          <w:b/>
          <w:bCs/>
          <w:sz w:val="21"/>
          <w:szCs w:val="21"/>
          <w:u w:val="single"/>
          <w:lang w:val="en-US" w:eastAsia="zh-CN"/>
        </w:rPr>
        <w:t>在合同签订生效后一周内，支付合同价款的20%。预付款扣回的方式：在前2次工程进度款支付时各扣回预付款的50%。</w:t>
      </w:r>
    </w:p>
    <w:p w14:paraId="638C6709">
      <w:pPr>
        <w:pStyle w:val="67"/>
        <w:spacing w:before="120" w:line="450" w:lineRule="exact"/>
        <w:ind w:firstLine="310" w:firstLineChars="147"/>
        <w:rPr>
          <w:rFonts w:hint="eastAsia" w:hAnsi="宋体" w:cs="宋体"/>
          <w:sz w:val="21"/>
          <w:szCs w:val="21"/>
        </w:rPr>
      </w:pPr>
      <w:r>
        <w:rPr>
          <w:rFonts w:hint="eastAsia" w:hAnsi="宋体" w:cs="宋体"/>
          <w:sz w:val="21"/>
          <w:szCs w:val="21"/>
        </w:rPr>
        <w:t>12.3 计量</w:t>
      </w:r>
    </w:p>
    <w:p w14:paraId="19155B21">
      <w:pPr>
        <w:pStyle w:val="12"/>
        <w:spacing w:line="450" w:lineRule="exact"/>
        <w:ind w:firstLine="420" w:firstLineChars="200"/>
        <w:rPr>
          <w:rFonts w:hint="eastAsia" w:hAnsi="宋体" w:cs="宋体"/>
          <w:sz w:val="21"/>
          <w:szCs w:val="21"/>
        </w:rPr>
      </w:pPr>
      <w:r>
        <w:rPr>
          <w:rFonts w:hint="eastAsia" w:hAnsi="宋体" w:cs="宋体"/>
          <w:sz w:val="21"/>
          <w:szCs w:val="21"/>
        </w:rPr>
        <w:t>关于工程量计算原则约定：按现行的工程量计算规则执行。</w:t>
      </w:r>
    </w:p>
    <w:p w14:paraId="2E0CA745">
      <w:pPr>
        <w:pStyle w:val="12"/>
        <w:spacing w:line="450" w:lineRule="exact"/>
        <w:ind w:firstLine="420" w:firstLineChars="200"/>
        <w:rPr>
          <w:rFonts w:hint="eastAsia" w:hAnsi="宋体" w:cs="宋体"/>
          <w:sz w:val="21"/>
          <w:szCs w:val="21"/>
        </w:rPr>
      </w:pPr>
      <w:r>
        <w:rPr>
          <w:rFonts w:hint="eastAsia" w:hAnsi="宋体" w:cs="宋体"/>
          <w:sz w:val="21"/>
          <w:szCs w:val="21"/>
        </w:rPr>
        <w:t>关于计量周期及本合同计量方式和程序的约定：执行通用条款。</w:t>
      </w:r>
    </w:p>
    <w:p w14:paraId="6EF8453A">
      <w:pPr>
        <w:pStyle w:val="67"/>
        <w:spacing w:before="120" w:line="450" w:lineRule="exact"/>
        <w:ind w:firstLine="401" w:firstLineChars="190"/>
        <w:rPr>
          <w:rFonts w:hint="eastAsia" w:hAnsi="宋体" w:cs="宋体"/>
          <w:sz w:val="21"/>
          <w:szCs w:val="21"/>
        </w:rPr>
      </w:pPr>
      <w:r>
        <w:rPr>
          <w:rFonts w:hint="eastAsia" w:hAnsi="宋体" w:cs="宋体"/>
          <w:sz w:val="21"/>
          <w:szCs w:val="21"/>
        </w:rPr>
        <w:t>12.4 工程进度款支付</w:t>
      </w:r>
    </w:p>
    <w:p w14:paraId="773C58B4">
      <w:pPr>
        <w:pStyle w:val="67"/>
        <w:spacing w:before="120" w:line="450" w:lineRule="exact"/>
        <w:ind w:firstLine="310" w:firstLineChars="147"/>
        <w:rPr>
          <w:rFonts w:hint="eastAsia" w:ascii="宋体" w:hAnsi="宋体" w:eastAsia="宋体" w:cs="宋体"/>
          <w:color w:val="auto"/>
          <w:sz w:val="21"/>
          <w:szCs w:val="21"/>
          <w:highlight w:val="yellow"/>
          <w:u w:val="single"/>
          <w:lang w:val="en-US" w:eastAsia="zh-CN"/>
        </w:rPr>
      </w:pPr>
      <w:r>
        <w:rPr>
          <w:rFonts w:hint="eastAsia" w:ascii="宋体" w:hAnsi="宋体" w:eastAsia="宋体" w:cs="宋体"/>
          <w:color w:val="auto"/>
          <w:sz w:val="21"/>
          <w:szCs w:val="21"/>
          <w:highlight w:val="none"/>
          <w:u w:val="none"/>
          <w:lang w:val="en-US" w:eastAsia="zh-CN"/>
        </w:rPr>
        <w:t>关于付款周期、进度款支付程序和方法的约定</w:t>
      </w:r>
      <w:r>
        <w:rPr>
          <w:rFonts w:hint="eastAsia" w:ascii="宋体" w:hAnsi="宋体" w:cs="宋体"/>
          <w:sz w:val="24"/>
          <w:szCs w:val="24"/>
        </w:rPr>
        <w:t>：</w:t>
      </w:r>
      <w:r>
        <w:rPr>
          <w:rFonts w:hint="eastAsia" w:ascii="宋体" w:hAnsi="宋体" w:eastAsia="宋体" w:cs="宋体"/>
          <w:color w:val="auto"/>
          <w:sz w:val="21"/>
          <w:szCs w:val="21"/>
          <w:highlight w:val="none"/>
          <w:u w:val="single"/>
          <w:lang w:val="en-US" w:eastAsia="zh-CN"/>
        </w:rPr>
        <w:t>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p w14:paraId="797BD39C">
      <w:pPr>
        <w:spacing w:line="45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以上付款，发包人在收到承包人开具的相应等额票据后，发包人在28日内向承包人支付相应款项（自发包人收到相应票据之日起计算）；如承包人未及时提供或提供的相应等额票据不符合发包人要求，发包人有权拒绝或延迟支付此笔款项，且不承担延迟付款的违约责任。</w:t>
      </w:r>
    </w:p>
    <w:p w14:paraId="09F3B631">
      <w:pPr>
        <w:snapToGrid w:val="0"/>
        <w:spacing w:line="450" w:lineRule="exact"/>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 xml:space="preserve"> 验收和工程试车</w:t>
      </w:r>
      <w:bookmarkEnd w:id="408"/>
    </w:p>
    <w:p w14:paraId="45650E9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分部分项工程验收</w:t>
      </w:r>
    </w:p>
    <w:p w14:paraId="29F8EDA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.1.2 监理人不能按时进行验收时，应提前</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小时提交书面延期要求，但延期不能超过48小时。</w:t>
      </w:r>
    </w:p>
    <w:p w14:paraId="6B70E0C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 竣工验收</w:t>
      </w:r>
    </w:p>
    <w:p w14:paraId="287C03FD">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.2.2 竣工验收程序</w:t>
      </w:r>
    </w:p>
    <w:p w14:paraId="52248A08">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关于竣工验收程序的约定：执行通用条款。</w:t>
      </w:r>
    </w:p>
    <w:p w14:paraId="46814FD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发包人不按照本项约定组织竣工验收、颁发工程接收证书的违约金的计算方法：执行通用条款。</w:t>
      </w:r>
    </w:p>
    <w:p w14:paraId="3DD1FAC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.2.5　移交、接收全部与部分工程</w:t>
      </w:r>
    </w:p>
    <w:p w14:paraId="2F79B851">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承包人向发包人移交工程的期限：在颁发工程接收证书后</w:t>
      </w:r>
      <w:r>
        <w:rPr>
          <w:rFonts w:hint="eastAsia" w:ascii="宋体" w:hAnsi="宋体" w:cs="宋体"/>
          <w:color w:val="auto"/>
          <w:sz w:val="21"/>
          <w:szCs w:val="21"/>
          <w:highlight w:val="none"/>
          <w:u w:val="single"/>
        </w:rPr>
        <w:t xml:space="preserve">7 </w:t>
      </w:r>
      <w:r>
        <w:rPr>
          <w:rFonts w:hint="eastAsia" w:ascii="宋体" w:hAnsi="宋体" w:cs="宋体"/>
          <w:color w:val="auto"/>
          <w:sz w:val="21"/>
          <w:szCs w:val="21"/>
          <w:highlight w:val="none"/>
        </w:rPr>
        <w:t>天内完成工程的移交。</w:t>
      </w:r>
    </w:p>
    <w:p w14:paraId="7C7000D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发包人无正当理由未按本合同约定接收全部或部分工程的，除承担自应接收工程</w:t>
      </w:r>
      <w:r>
        <w:rPr>
          <w:rFonts w:hint="eastAsia" w:ascii="宋体" w:hAnsi="宋体" w:cs="宋体"/>
          <w:color w:val="auto"/>
          <w:sz w:val="21"/>
          <w:szCs w:val="21"/>
          <w:highlight w:val="none"/>
        </w:rPr>
        <w:t>之日起的工程照管、成本保护、保管等与工程有关的各项费用外，应当按本专用条款约定的</w:t>
      </w:r>
      <w:r>
        <w:rPr>
          <w:rFonts w:hint="eastAsia" w:ascii="宋体" w:hAnsi="宋体" w:cs="宋体"/>
          <w:color w:val="auto"/>
          <w:kern w:val="0"/>
          <w:sz w:val="21"/>
          <w:szCs w:val="21"/>
          <w:highlight w:val="none"/>
        </w:rPr>
        <w:t>提前竣工奖励的5倍标准</w:t>
      </w:r>
      <w:r>
        <w:rPr>
          <w:rFonts w:hint="eastAsia" w:ascii="宋体" w:hAnsi="宋体" w:cs="宋体"/>
          <w:color w:val="auto"/>
          <w:sz w:val="21"/>
          <w:szCs w:val="21"/>
          <w:highlight w:val="none"/>
        </w:rPr>
        <w:t>向承包人支付逾期接收工程的违约金。</w:t>
      </w:r>
    </w:p>
    <w:p w14:paraId="4A0801BB">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1"/>
          <w:szCs w:val="21"/>
          <w:highlight w:val="none"/>
        </w:rPr>
        <w:t>包人支付逾期移交工程的违约金。</w:t>
      </w:r>
    </w:p>
    <w:p w14:paraId="228FEE8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.3 工程试车</w:t>
      </w:r>
    </w:p>
    <w:p w14:paraId="7161BB9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.3.1 关于试车程序及费用的约定：执行通用条款。</w:t>
      </w:r>
    </w:p>
    <w:p w14:paraId="41679FD3">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.3.3　关于投料试车相关事项的约定：执行通用条款。</w:t>
      </w:r>
    </w:p>
    <w:p w14:paraId="5C1C922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 xml:space="preserve"> 竣工退场</w:t>
      </w:r>
    </w:p>
    <w:p w14:paraId="1CDE2390">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 竣工退场</w:t>
      </w:r>
    </w:p>
    <w:p w14:paraId="689D9EBD">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承包人应当在发包人颁发工程接收证书后</w:t>
      </w:r>
      <w:r>
        <w:rPr>
          <w:rFonts w:hint="eastAsia" w:ascii="宋体" w:hAnsi="宋体" w:cs="宋体"/>
          <w:color w:val="auto"/>
          <w:sz w:val="21"/>
          <w:szCs w:val="21"/>
          <w:highlight w:val="none"/>
          <w:u w:val="single"/>
        </w:rPr>
        <w:t xml:space="preserve">  14</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内完成竣工退场，逾期未完成的，按通用条款执行。</w:t>
      </w:r>
    </w:p>
    <w:p w14:paraId="03316CDE">
      <w:pPr>
        <w:pStyle w:val="5"/>
        <w:spacing w:line="450" w:lineRule="exact"/>
        <w:rPr>
          <w:rFonts w:hint="eastAsia" w:ascii="宋体" w:hAnsi="宋体" w:cs="宋体"/>
          <w:color w:val="auto"/>
          <w:sz w:val="21"/>
          <w:szCs w:val="21"/>
          <w:highlight w:val="none"/>
        </w:rPr>
      </w:pPr>
      <w:bookmarkStart w:id="427" w:name="_Toc36485323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xml:space="preserve"> 竣工结算</w:t>
      </w:r>
      <w:bookmarkEnd w:id="427"/>
    </w:p>
    <w:p w14:paraId="35024F0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w:t>
      </w:r>
      <w:r>
        <w:rPr>
          <w:rFonts w:hint="eastAsia" w:hAnsi="宋体" w:cs="宋体"/>
          <w:color w:val="auto"/>
          <w:sz w:val="21"/>
          <w:szCs w:val="21"/>
          <w:highlight w:val="none"/>
        </w:rPr>
        <w:t>.1 竣工结算申请</w:t>
      </w:r>
    </w:p>
    <w:p w14:paraId="5EA2FBF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承包人应当在工程竣工验收合格后</w:t>
      </w:r>
      <w:r>
        <w:rPr>
          <w:rFonts w:hint="eastAsia" w:ascii="宋体" w:hAnsi="宋体" w:cs="宋体"/>
          <w:color w:val="auto"/>
          <w:sz w:val="21"/>
          <w:szCs w:val="21"/>
          <w:highlight w:val="none"/>
          <w:u w:val="single"/>
        </w:rPr>
        <w:t>　28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内向发包人或其委托的工程造价咨询人提交竣工结算申请单及其完整的结算资料3份。</w:t>
      </w:r>
    </w:p>
    <w:p w14:paraId="77461A8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376953CB">
      <w:pPr>
        <w:autoSpaceDE w:val="0"/>
        <w:autoSpaceDN w:val="0"/>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竣工结算申请单应包括的内容：按通用条款执行。</w:t>
      </w:r>
    </w:p>
    <w:p w14:paraId="2B3E976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.2 竣工结算审核</w:t>
      </w:r>
    </w:p>
    <w:p w14:paraId="40A43042">
      <w:pPr>
        <w:pStyle w:val="68"/>
        <w:adjustRightInd w:val="0"/>
        <w:spacing w:line="45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14.</w:t>
      </w:r>
      <w:r>
        <w:rPr>
          <w:rFonts w:hint="eastAsia" w:hAnsi="宋体" w:eastAsia="宋体" w:cs="宋体"/>
          <w:color w:val="auto"/>
          <w:sz w:val="21"/>
          <w:szCs w:val="21"/>
          <w:highlight w:val="none"/>
        </w:rPr>
        <w:t>2.1 竣工结算审核</w:t>
      </w:r>
    </w:p>
    <w:p w14:paraId="1BC10C2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（1）发包人在收到承包人完整的竣工结算审核申请资料后，应在28天内及时提交财政或审计部门审核，财政或审计部门出具结算审核报告后，发包人应在14天内签发竣工付款证书。</w:t>
      </w:r>
    </w:p>
    <w:p w14:paraId="5FAF907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发包人在收到承包人提交的竣工结算申请单后</w:t>
      </w:r>
      <w:r>
        <w:rPr>
          <w:rFonts w:hint="eastAsia" w:ascii="宋体" w:hAnsi="宋体" w:cs="宋体"/>
          <w:color w:val="auto"/>
          <w:sz w:val="21"/>
          <w:szCs w:val="21"/>
          <w:highlight w:val="none"/>
          <w:u w:val="single"/>
        </w:rPr>
        <w:t>　28　</w:t>
      </w:r>
      <w:r>
        <w:rPr>
          <w:rFonts w:hint="eastAsia" w:ascii="宋体" w:hAnsi="宋体" w:cs="宋体"/>
          <w:color w:val="auto"/>
          <w:sz w:val="21"/>
          <w:szCs w:val="21"/>
          <w:highlight w:val="none"/>
        </w:rPr>
        <w:t>天未提出异议或者未出具结算报告的，视为发包人认可承包人提交的竣工结算申请单，逾期，视为已</w:t>
      </w:r>
    </w:p>
    <w:p w14:paraId="27AFB3C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签发竣工付款证书。</w:t>
      </w:r>
    </w:p>
    <w:p w14:paraId="2F3238B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（2）发包人应在签发竣工付款证书后</w:t>
      </w:r>
      <w:r>
        <w:rPr>
          <w:rFonts w:hint="eastAsia" w:ascii="宋体" w:hAnsi="宋体" w:cs="宋体"/>
          <w:color w:val="auto"/>
          <w:sz w:val="21"/>
          <w:szCs w:val="21"/>
          <w:highlight w:val="none"/>
          <w:u w:val="single"/>
        </w:rPr>
        <w:t>　7　</w:t>
      </w:r>
      <w:r>
        <w:rPr>
          <w:rFonts w:hint="eastAsia" w:ascii="宋体" w:hAnsi="宋体" w:cs="宋体"/>
          <w:color w:val="auto"/>
          <w:sz w:val="21"/>
          <w:szCs w:val="21"/>
          <w:highlight w:val="none"/>
        </w:rPr>
        <w:t>天内，完成对承包人的竣工付款。发包人逾期支付的违约责任按通用条款执行。</w:t>
      </w:r>
    </w:p>
    <w:p w14:paraId="5C9F537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1E113D9C">
      <w:pPr>
        <w:spacing w:line="45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（4）委托中介机构进行竣工结算审核时发生追加费，其费用由承包方承担。结算追加费执行浙价服【2009】84号标准，结合奉化财政局规定执行。</w:t>
      </w:r>
    </w:p>
    <w:p w14:paraId="61943C3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（5）关于承包人收款账户的约定：执行通用条款。</w:t>
      </w:r>
    </w:p>
    <w:p w14:paraId="37A09F7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14.4</w:t>
      </w:r>
      <w:r>
        <w:rPr>
          <w:rFonts w:hint="eastAsia" w:hAnsi="宋体" w:cs="宋体"/>
          <w:color w:val="auto"/>
          <w:sz w:val="21"/>
          <w:szCs w:val="21"/>
          <w:highlight w:val="none"/>
        </w:rPr>
        <w:t>最终结清</w:t>
      </w:r>
    </w:p>
    <w:p w14:paraId="2DB021D6">
      <w:pPr>
        <w:spacing w:line="450" w:lineRule="exact"/>
        <w:ind w:firstLine="420" w:firstLineChars="200"/>
        <w:rPr>
          <w:rFonts w:hint="eastAsia" w:ascii="宋体" w:hAnsi="宋体" w:cs="宋体"/>
          <w:color w:val="auto"/>
          <w:sz w:val="21"/>
          <w:szCs w:val="21"/>
          <w:highlight w:val="none"/>
        </w:rPr>
      </w:pPr>
      <w:bookmarkStart w:id="428" w:name="_Toc364853237"/>
      <w:r>
        <w:rPr>
          <w:rFonts w:hint="eastAsia" w:ascii="宋体" w:hAnsi="宋体" w:cs="宋体"/>
          <w:color w:val="auto"/>
          <w:sz w:val="21"/>
          <w:szCs w:val="21"/>
          <w:highlight w:val="none"/>
          <w:lang w:val="en-US" w:eastAsia="zh-CN"/>
        </w:rPr>
        <w:t>14.4.1</w:t>
      </w:r>
      <w:r>
        <w:rPr>
          <w:rFonts w:hint="eastAsia" w:ascii="宋体" w:hAnsi="宋体" w:cs="宋体"/>
          <w:color w:val="auto"/>
          <w:sz w:val="21"/>
          <w:szCs w:val="21"/>
          <w:highlight w:val="none"/>
        </w:rPr>
        <w:t xml:space="preserve"> 最终结清申请单</w:t>
      </w:r>
    </w:p>
    <w:p w14:paraId="7DAC476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14:paraId="16907F7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14:paraId="2E93C9A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14.4.2</w:t>
      </w:r>
      <w:r>
        <w:rPr>
          <w:rFonts w:hint="eastAsia" w:ascii="宋体" w:hAnsi="宋体" w:cs="宋体"/>
          <w:color w:val="auto"/>
          <w:sz w:val="21"/>
          <w:szCs w:val="21"/>
          <w:highlight w:val="none"/>
        </w:rPr>
        <w:t xml:space="preserve"> 最终结清证书和支付</w:t>
      </w:r>
    </w:p>
    <w:p w14:paraId="69286B4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（1）发包人应在收到承包人提交的最终结清申请单后</w:t>
      </w:r>
      <w:r>
        <w:rPr>
          <w:rFonts w:hint="eastAsia" w:ascii="宋体" w:hAnsi="宋体" w:cs="宋体"/>
          <w:color w:val="auto"/>
          <w:sz w:val="21"/>
          <w:szCs w:val="21"/>
          <w:highlight w:val="none"/>
          <w:u w:val="single"/>
        </w:rPr>
        <w:t>14</w:t>
      </w:r>
      <w:r>
        <w:rPr>
          <w:rFonts w:hint="eastAsia" w:ascii="宋体" w:hAnsi="宋体" w:cs="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14:paraId="108012A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（2）发包人应在颁发最终结清证书后</w:t>
      </w:r>
      <w:r>
        <w:rPr>
          <w:rFonts w:hint="eastAsia" w:ascii="宋体" w:hAnsi="宋体" w:cs="宋体"/>
          <w:color w:val="auto"/>
          <w:sz w:val="21"/>
          <w:szCs w:val="21"/>
          <w:highlight w:val="none"/>
          <w:u w:val="single"/>
        </w:rPr>
        <w:t>　7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内完成支付。发包人逾期支付的违约责任按通用条款执行。</w:t>
      </w:r>
    </w:p>
    <w:p w14:paraId="7F4C7867">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缺陷责任期与保修</w:t>
      </w:r>
      <w:bookmarkEnd w:id="428"/>
    </w:p>
    <w:p w14:paraId="1A09569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15.2</w:t>
      </w:r>
      <w:r>
        <w:rPr>
          <w:rFonts w:hint="eastAsia" w:hAnsi="宋体" w:cs="宋体"/>
          <w:color w:val="auto"/>
          <w:sz w:val="21"/>
          <w:szCs w:val="21"/>
          <w:highlight w:val="none"/>
        </w:rPr>
        <w:t>缺陷责任期</w:t>
      </w:r>
    </w:p>
    <w:p w14:paraId="2C0A574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15.2.1</w:t>
      </w:r>
      <w:r>
        <w:rPr>
          <w:rFonts w:hint="eastAsia" w:ascii="宋体" w:hAnsi="宋体" w:cs="宋体"/>
          <w:color w:val="auto"/>
          <w:sz w:val="21"/>
          <w:szCs w:val="21"/>
          <w:highlight w:val="none"/>
        </w:rPr>
        <w:t>本合同缺陷责任期为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u w:val="single"/>
          <w:lang w:val="en-US" w:eastAsia="zh-CN"/>
        </w:rPr>
        <w:t xml:space="preserve">12 </w:t>
      </w:r>
      <w:r>
        <w:rPr>
          <w:rFonts w:hint="eastAsia" w:ascii="宋体" w:hAnsi="宋体" w:cs="宋体"/>
          <w:color w:val="auto"/>
          <w:sz w:val="21"/>
          <w:szCs w:val="21"/>
          <w:highlight w:val="none"/>
        </w:rPr>
        <w:t>个月。</w:t>
      </w:r>
    </w:p>
    <w:p w14:paraId="42AE178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1"/>
          <w:szCs w:val="21"/>
          <w:highlight w:val="none"/>
          <w:u w:val="single"/>
        </w:rPr>
        <w:t xml:space="preserve">　12  </w:t>
      </w:r>
      <w:r>
        <w:rPr>
          <w:rFonts w:hint="eastAsia" w:ascii="宋体" w:hAnsi="宋体" w:cs="宋体"/>
          <w:color w:val="auto"/>
          <w:sz w:val="21"/>
          <w:szCs w:val="21"/>
          <w:highlight w:val="none"/>
        </w:rPr>
        <w:t>个月。</w:t>
      </w:r>
    </w:p>
    <w:p w14:paraId="1AD38D4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15.3</w:t>
      </w:r>
      <w:r>
        <w:rPr>
          <w:rFonts w:hint="eastAsia" w:hAnsi="宋体" w:cs="宋体"/>
          <w:color w:val="auto"/>
          <w:sz w:val="21"/>
          <w:szCs w:val="21"/>
          <w:highlight w:val="none"/>
        </w:rPr>
        <w:t>质量保证担保</w:t>
      </w:r>
    </w:p>
    <w:p w14:paraId="3F0B5C09">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kern w:val="2"/>
          <w:sz w:val="21"/>
          <w:szCs w:val="21"/>
          <w:highlight w:val="none"/>
          <w:lang w:val="en-US" w:eastAsia="zh-CN" w:bidi="ar-SA"/>
        </w:rPr>
        <w:t>15.3.1</w:t>
      </w:r>
      <w:r>
        <w:rPr>
          <w:rFonts w:hint="eastAsia" w:ascii="宋体" w:hAnsi="宋体" w:eastAsia="宋体" w:cs="宋体"/>
          <w:b w:val="0"/>
          <w:color w:val="auto"/>
          <w:kern w:val="2"/>
          <w:sz w:val="21"/>
          <w:szCs w:val="21"/>
          <w:highlight w:val="none"/>
          <w:lang w:val="en-US" w:eastAsia="zh-CN" w:bidi="ar-SA"/>
        </w:rPr>
        <w:t>质量保证期：质量保证期：自实际竣工日期起计算</w:t>
      </w:r>
      <w:r>
        <w:rPr>
          <w:rFonts w:hint="eastAsia" w:hAnsi="宋体" w:cs="宋体"/>
          <w:b w:val="0"/>
          <w:color w:val="auto"/>
          <w:kern w:val="2"/>
          <w:sz w:val="21"/>
          <w:szCs w:val="21"/>
          <w:highlight w:val="none"/>
          <w:lang w:val="en-US" w:eastAsia="zh-CN" w:bidi="ar-SA"/>
        </w:rPr>
        <w:t>12</w:t>
      </w:r>
      <w:r>
        <w:rPr>
          <w:rFonts w:hint="eastAsia" w:ascii="宋体" w:hAnsi="宋体" w:eastAsia="宋体" w:cs="宋体"/>
          <w:b w:val="0"/>
          <w:color w:val="auto"/>
          <w:kern w:val="2"/>
          <w:sz w:val="21"/>
          <w:szCs w:val="21"/>
          <w:highlight w:val="none"/>
          <w:lang w:val="en-US" w:eastAsia="zh-CN" w:bidi="ar-SA"/>
        </w:rPr>
        <w:t>个月。</w:t>
      </w:r>
      <w:r>
        <w:rPr>
          <w:rFonts w:hint="eastAsia" w:hAnsi="宋体" w:cs="宋体"/>
          <w:color w:val="auto"/>
          <w:sz w:val="21"/>
          <w:szCs w:val="21"/>
          <w:highlight w:val="none"/>
        </w:rPr>
        <w:t xml:space="preserve"> </w:t>
      </w:r>
    </w:p>
    <w:p w14:paraId="3EED8BD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15.3.2</w:t>
      </w:r>
      <w:r>
        <w:rPr>
          <w:rFonts w:hint="eastAsia" w:ascii="宋体" w:hAnsi="宋体" w:cs="宋体"/>
          <w:color w:val="auto"/>
          <w:sz w:val="21"/>
          <w:szCs w:val="21"/>
          <w:highlight w:val="none"/>
        </w:rPr>
        <w:t>承包人与质量保证担保有关的任何利息或其它类似的费用或者收益由承包人承担；因承包人原因导致缺陷责任期延长的，继续提供质量保证担保所增加的费用由承包人承担。</w:t>
      </w:r>
    </w:p>
    <w:p w14:paraId="387865F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15.4</w:t>
      </w:r>
      <w:r>
        <w:rPr>
          <w:rFonts w:hint="eastAsia" w:hAnsi="宋体" w:cs="宋体"/>
          <w:color w:val="auto"/>
          <w:sz w:val="21"/>
          <w:szCs w:val="21"/>
          <w:highlight w:val="none"/>
        </w:rPr>
        <w:t>保修</w:t>
      </w:r>
    </w:p>
    <w:p w14:paraId="2214048C">
      <w:pPr>
        <w:spacing w:line="450" w:lineRule="exact"/>
        <w:ind w:firstLine="420" w:firstLineChars="200"/>
        <w:rPr>
          <w:rFonts w:hint="eastAsia" w:ascii="宋体" w:hAnsi="宋体" w:cs="宋体"/>
          <w:color w:val="auto"/>
          <w:kern w:val="0"/>
          <w:sz w:val="21"/>
          <w:szCs w:val="21"/>
          <w:highlight w:val="none"/>
        </w:rPr>
      </w:pPr>
      <w:bookmarkStart w:id="429" w:name="_Toc364853238"/>
      <w:r>
        <w:rPr>
          <w:rFonts w:hint="eastAsia" w:ascii="宋体" w:hAnsi="宋体" w:cs="宋体"/>
          <w:color w:val="auto"/>
          <w:kern w:val="0"/>
          <w:sz w:val="21"/>
          <w:szCs w:val="21"/>
          <w:highlight w:val="none"/>
          <w:lang w:val="en-US" w:eastAsia="zh-CN"/>
        </w:rPr>
        <w:t>15.4.1</w:t>
      </w:r>
      <w:r>
        <w:rPr>
          <w:rFonts w:hint="eastAsia" w:ascii="宋体" w:hAnsi="宋体" w:cs="宋体"/>
          <w:color w:val="auto"/>
          <w:kern w:val="0"/>
          <w:sz w:val="21"/>
          <w:szCs w:val="21"/>
          <w:highlight w:val="none"/>
        </w:rPr>
        <w:t xml:space="preserve"> 保修责任</w:t>
      </w:r>
    </w:p>
    <w:p w14:paraId="5927D0C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工程保修期为：</w:t>
      </w:r>
      <w:r>
        <w:rPr>
          <w:rFonts w:hint="eastAsia" w:ascii="宋体" w:hAnsi="宋体" w:cs="宋体"/>
          <w:color w:val="auto"/>
          <w:sz w:val="21"/>
          <w:szCs w:val="21"/>
          <w:highlight w:val="none"/>
          <w:lang w:val="en-US" w:eastAsia="zh-CN"/>
        </w:rPr>
        <w:t>1年</w:t>
      </w:r>
      <w:r>
        <w:rPr>
          <w:rFonts w:hint="eastAsia" w:ascii="宋体" w:hAnsi="宋体" w:cs="宋体"/>
          <w:color w:val="auto"/>
          <w:sz w:val="21"/>
          <w:szCs w:val="21"/>
          <w:highlight w:val="none"/>
        </w:rPr>
        <w:t>。</w:t>
      </w:r>
    </w:p>
    <w:p w14:paraId="10A79D6C">
      <w:pPr>
        <w:spacing w:line="45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15.4.2质量保修金比例为结算价款的1.5%。</w:t>
      </w:r>
    </w:p>
    <w:p w14:paraId="72C46B5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15.4.3</w:t>
      </w:r>
      <w:r>
        <w:rPr>
          <w:rFonts w:hint="eastAsia" w:ascii="宋体" w:hAnsi="宋体" w:cs="宋体"/>
          <w:color w:val="auto"/>
          <w:sz w:val="21"/>
          <w:szCs w:val="21"/>
          <w:highlight w:val="none"/>
        </w:rPr>
        <w:t xml:space="preserve"> 修复通知</w:t>
      </w:r>
    </w:p>
    <w:p w14:paraId="05742DF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合同当事人约定：承包人收到保修通知并到达工程现场的合理时间为48小时内（含48小时）。</w:t>
      </w:r>
    </w:p>
    <w:p w14:paraId="3C121C83">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违约</w:t>
      </w:r>
      <w:bookmarkEnd w:id="429"/>
    </w:p>
    <w:p w14:paraId="6F50673A">
      <w:pPr>
        <w:pStyle w:val="67"/>
        <w:spacing w:before="120" w:line="450" w:lineRule="exact"/>
        <w:ind w:firstLine="401" w:firstLineChars="190"/>
        <w:rPr>
          <w:rFonts w:hint="eastAsia" w:hAnsi="宋体" w:cs="宋体"/>
          <w:color w:val="auto"/>
          <w:sz w:val="21"/>
          <w:szCs w:val="21"/>
          <w:highlight w:val="none"/>
        </w:rPr>
      </w:pPr>
      <w:bookmarkStart w:id="430" w:name="_Toc364853239"/>
      <w:r>
        <w:rPr>
          <w:rFonts w:hint="eastAsia" w:hAnsi="宋体" w:cs="宋体"/>
          <w:color w:val="auto"/>
          <w:sz w:val="21"/>
          <w:szCs w:val="21"/>
          <w:highlight w:val="none"/>
          <w:lang w:val="en-US" w:eastAsia="zh-CN"/>
        </w:rPr>
        <w:t>16.1</w:t>
      </w:r>
      <w:r>
        <w:rPr>
          <w:rFonts w:hint="eastAsia" w:hAnsi="宋体" w:cs="宋体"/>
          <w:color w:val="auto"/>
          <w:sz w:val="21"/>
          <w:szCs w:val="21"/>
          <w:highlight w:val="none"/>
        </w:rPr>
        <w:t xml:space="preserve"> 发包人违约</w:t>
      </w:r>
    </w:p>
    <w:p w14:paraId="3E03326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.1.1发包人违约的情形按通用条款确定。</w:t>
      </w:r>
    </w:p>
    <w:p w14:paraId="356BB27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.1.2 发包人违约的责任</w:t>
      </w:r>
    </w:p>
    <w:p w14:paraId="70684114">
      <w:pPr>
        <w:spacing w:line="450" w:lineRule="exact"/>
        <w:ind w:firstLine="420" w:firstLineChars="200"/>
        <w:rPr>
          <w:rFonts w:hint="eastAsia" w:ascii="宋体" w:hAnsi="宋体" w:cs="宋体"/>
          <w:color w:val="auto"/>
          <w:sz w:val="21"/>
          <w:szCs w:val="21"/>
          <w:highlight w:val="yellow"/>
        </w:rPr>
      </w:pPr>
      <w:r>
        <w:rPr>
          <w:rFonts w:hint="eastAsia" w:ascii="宋体" w:hAnsi="宋体" w:cs="宋体"/>
          <w:color w:val="auto"/>
          <w:sz w:val="21"/>
          <w:szCs w:val="21"/>
          <w:highlight w:val="none"/>
        </w:rPr>
        <w:t>发包人应承担其违约承包人增加的费用和（或）延误工期，并支付承包人合理的利润。</w:t>
      </w:r>
    </w:p>
    <w:p w14:paraId="1D67A83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.1.3  关于发包人违约解除合同的约定：执行通用条款。</w:t>
      </w:r>
    </w:p>
    <w:p w14:paraId="504A531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16.2</w:t>
      </w:r>
      <w:r>
        <w:rPr>
          <w:rFonts w:hint="eastAsia" w:hAnsi="宋体" w:cs="宋体"/>
          <w:color w:val="auto"/>
          <w:sz w:val="21"/>
          <w:szCs w:val="21"/>
          <w:highlight w:val="none"/>
        </w:rPr>
        <w:t>承包人违约</w:t>
      </w:r>
    </w:p>
    <w:p w14:paraId="6A17FFC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16.2.1</w:t>
      </w:r>
      <w:r>
        <w:rPr>
          <w:rFonts w:hint="eastAsia" w:ascii="宋体" w:hAnsi="宋体" w:cs="宋体"/>
          <w:color w:val="auto"/>
          <w:sz w:val="21"/>
          <w:szCs w:val="21"/>
          <w:highlight w:val="none"/>
        </w:rPr>
        <w:t>承包人违约的情形按通用条款确定。</w:t>
      </w:r>
    </w:p>
    <w:p w14:paraId="6307212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16.2.2</w:t>
      </w:r>
      <w:r>
        <w:rPr>
          <w:rFonts w:hint="eastAsia" w:ascii="宋体" w:hAnsi="宋体" w:cs="宋体"/>
          <w:color w:val="auto"/>
          <w:sz w:val="21"/>
          <w:szCs w:val="21"/>
          <w:highlight w:val="none"/>
        </w:rPr>
        <w:t>承包人违约的责任</w:t>
      </w:r>
    </w:p>
    <w:p w14:paraId="06323990">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承包人应承担其违约行为及纠正其违约行为而增加的费用和（或）延误的工期。延误工期的，</w:t>
      </w:r>
      <w:r>
        <w:rPr>
          <w:rFonts w:hint="eastAsia" w:ascii="宋体" w:hAnsi="宋体" w:cs="宋体"/>
          <w:color w:val="auto"/>
          <w:kern w:val="0"/>
          <w:sz w:val="21"/>
          <w:szCs w:val="21"/>
          <w:highlight w:val="none"/>
        </w:rPr>
        <w:t>根据实际延误的时间，按本合同约定的工期延误赔偿标准向发包人支付违约金；延误超过56天的，按本合同约定的工期延误赔偿标准两倍支付违约金；逾期竣工违约金的限额不足时，发包人有权向承包人追偿。</w:t>
      </w:r>
    </w:p>
    <w:p w14:paraId="1F6024B0">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16.2.3</w:t>
      </w:r>
      <w:r>
        <w:rPr>
          <w:rFonts w:hint="eastAsia" w:ascii="宋体" w:hAnsi="宋体" w:cs="宋体"/>
          <w:color w:val="auto"/>
          <w:kern w:val="0"/>
          <w:sz w:val="21"/>
          <w:szCs w:val="21"/>
          <w:highlight w:val="none"/>
        </w:rPr>
        <w:t xml:space="preserve"> 关于因承包人违约解除合同的约定：执行通用条款。</w:t>
      </w:r>
    </w:p>
    <w:p w14:paraId="6CDBCBF8">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311D36C2">
      <w:pPr>
        <w:adjustRightInd w:val="0"/>
        <w:spacing w:line="45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16.2.4</w:t>
      </w:r>
      <w:r>
        <w:rPr>
          <w:rFonts w:hint="eastAsia" w:ascii="宋体" w:hAnsi="宋体" w:eastAsia="宋体" w:cs="宋体"/>
          <w:color w:val="auto"/>
          <w:sz w:val="21"/>
          <w:szCs w:val="21"/>
          <w:highlight w:val="none"/>
        </w:rPr>
        <w:t>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0E1DFFF8">
      <w:pPr>
        <w:adjustRightInd w:val="0"/>
        <w:spacing w:line="45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赔偿款在工程进度款中扣除。</w:t>
      </w:r>
    </w:p>
    <w:p w14:paraId="0E34E9EE">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17. 不可抗力</w:t>
      </w:r>
      <w:bookmarkEnd w:id="430"/>
      <w:r>
        <w:rPr>
          <w:rFonts w:hint="eastAsia" w:ascii="宋体" w:hAnsi="宋体" w:cs="宋体"/>
          <w:color w:val="auto"/>
          <w:sz w:val="21"/>
          <w:szCs w:val="21"/>
          <w:highlight w:val="none"/>
        </w:rPr>
        <w:t xml:space="preserve"> </w:t>
      </w:r>
    </w:p>
    <w:p w14:paraId="685E0B0E">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17.1 不可抗力的确认</w:t>
      </w:r>
    </w:p>
    <w:p w14:paraId="44401CE4">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除通用合同条款约定的不可抗力事件之外，视为不可抗力的其他情形：火灾、洪水、罢工、政府征用、政府禁止令等。</w:t>
      </w:r>
    </w:p>
    <w:p w14:paraId="1EC2EEE5">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因不可抗力解除合同</w:t>
      </w:r>
    </w:p>
    <w:p w14:paraId="0C8FDEC5">
      <w:pPr>
        <w:adjustRightInd w:val="0"/>
        <w:spacing w:line="450" w:lineRule="exact"/>
        <w:ind w:firstLine="420" w:firstLineChars="200"/>
        <w:rPr>
          <w:rFonts w:hint="eastAsia" w:ascii="宋体" w:hAnsi="宋体" w:cs="宋体"/>
          <w:color w:val="auto"/>
          <w:kern w:val="0"/>
          <w:sz w:val="21"/>
          <w:szCs w:val="21"/>
          <w:highlight w:val="none"/>
        </w:rPr>
      </w:pPr>
      <w:bookmarkStart w:id="431" w:name="_Toc364853240"/>
      <w:r>
        <w:rPr>
          <w:rFonts w:hint="eastAsia" w:ascii="宋体" w:hAnsi="宋体" w:cs="宋体"/>
          <w:color w:val="auto"/>
          <w:kern w:val="0"/>
          <w:sz w:val="21"/>
          <w:szCs w:val="21"/>
          <w:highlight w:val="none"/>
        </w:rPr>
        <w:t>合同解除后，发包人应在商定或确定发包人应支付款项后28天内完成款项的支付。</w:t>
      </w:r>
    </w:p>
    <w:p w14:paraId="2DDDC828">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18. 保险</w:t>
      </w:r>
      <w:bookmarkEnd w:id="431"/>
    </w:p>
    <w:p w14:paraId="58DD6630">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18.1 工程保险</w:t>
      </w:r>
    </w:p>
    <w:p w14:paraId="6A5B6A6F">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关于工程保险的特别约定：</w:t>
      </w:r>
      <w:r>
        <w:rPr>
          <w:rFonts w:hint="eastAsia" w:ascii="宋体" w:hAnsi="宋体" w:cs="宋体"/>
          <w:color w:val="auto"/>
          <w:sz w:val="21"/>
          <w:szCs w:val="21"/>
          <w:highlight w:val="none"/>
        </w:rPr>
        <w:t>执行通用条款</w:t>
      </w:r>
      <w:r>
        <w:rPr>
          <w:rFonts w:hint="eastAsia" w:ascii="宋体" w:hAnsi="宋体" w:cs="宋体"/>
          <w:color w:val="auto"/>
          <w:kern w:val="0"/>
          <w:sz w:val="21"/>
          <w:szCs w:val="21"/>
          <w:highlight w:val="none"/>
        </w:rPr>
        <w:t>。</w:t>
      </w:r>
    </w:p>
    <w:p w14:paraId="12475D9D">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 xml:space="preserve"> 其他保险</w:t>
      </w:r>
    </w:p>
    <w:p w14:paraId="1601A3FD">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关于其他保险的约定：除第三者责任险外，保险费用由被保险人承担。</w:t>
      </w:r>
    </w:p>
    <w:p w14:paraId="68209D8D">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w:t>
      </w:r>
      <w:r>
        <w:rPr>
          <w:rFonts w:hint="eastAsia" w:ascii="宋体" w:hAnsi="宋体" w:cs="宋体"/>
          <w:color w:val="auto"/>
          <w:kern w:val="0"/>
          <w:sz w:val="21"/>
          <w:szCs w:val="21"/>
          <w:highlight w:val="none"/>
          <w:u w:val="single"/>
        </w:rPr>
        <w:t xml:space="preserve">  应当 </w:t>
      </w:r>
      <w:r>
        <w:rPr>
          <w:rFonts w:hint="eastAsia" w:ascii="宋体" w:hAnsi="宋体" w:cs="宋体"/>
          <w:color w:val="auto"/>
          <w:kern w:val="0"/>
          <w:sz w:val="21"/>
          <w:szCs w:val="21"/>
          <w:highlight w:val="none"/>
        </w:rPr>
        <w:t>为其施工设备等办理财产保险。</w:t>
      </w:r>
    </w:p>
    <w:p w14:paraId="076BB756">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 xml:space="preserve"> 通知义务</w:t>
      </w:r>
    </w:p>
    <w:p w14:paraId="4AB7CD09">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关于变更保险合同时的通知义务的约定：执行通用条款。</w:t>
      </w:r>
      <w:bookmarkStart w:id="432" w:name="_Toc364853241"/>
    </w:p>
    <w:p w14:paraId="27F488A9">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争议解决</w:t>
      </w:r>
      <w:bookmarkEnd w:id="432"/>
    </w:p>
    <w:p w14:paraId="17E957A8">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20.3</w:t>
      </w:r>
      <w:r>
        <w:rPr>
          <w:rFonts w:hint="eastAsia" w:hAnsi="宋体" w:cs="宋体"/>
          <w:color w:val="auto"/>
          <w:sz w:val="21"/>
          <w:szCs w:val="21"/>
          <w:highlight w:val="none"/>
        </w:rPr>
        <w:t xml:space="preserve"> 争议评审</w:t>
      </w:r>
    </w:p>
    <w:p w14:paraId="15D8AB07">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w:t>
      </w:r>
      <w:r>
        <w:rPr>
          <w:rFonts w:hint="eastAsia" w:ascii="宋体" w:hAnsi="宋体" w:cs="宋体"/>
          <w:color w:val="auto"/>
          <w:kern w:val="0"/>
          <w:sz w:val="21"/>
          <w:szCs w:val="21"/>
          <w:highlight w:val="none"/>
          <w:u w:val="single"/>
        </w:rPr>
        <w:t xml:space="preserve">   不同意  </w:t>
      </w:r>
      <w:r>
        <w:rPr>
          <w:rFonts w:hint="eastAsia" w:ascii="宋体" w:hAnsi="宋体" w:cs="宋体"/>
          <w:color w:val="auto"/>
          <w:kern w:val="0"/>
          <w:sz w:val="21"/>
          <w:szCs w:val="21"/>
          <w:highlight w:val="none"/>
        </w:rPr>
        <w:t xml:space="preserve">将工程争议提交争议评审小组决定。  </w:t>
      </w:r>
    </w:p>
    <w:p w14:paraId="118D8BDF">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20.4</w:t>
      </w:r>
      <w:r>
        <w:rPr>
          <w:rFonts w:hint="eastAsia" w:hAnsi="宋体" w:cs="宋体"/>
          <w:color w:val="auto"/>
          <w:sz w:val="21"/>
          <w:szCs w:val="21"/>
          <w:highlight w:val="none"/>
        </w:rPr>
        <w:t>仲裁或诉讼</w:t>
      </w:r>
    </w:p>
    <w:p w14:paraId="1BCB0469">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因合同及合同有关事项发生的争议，向</w:t>
      </w:r>
      <w:r>
        <w:rPr>
          <w:rFonts w:hint="eastAsia" w:ascii="宋体" w:hAnsi="宋体" w:cs="宋体"/>
          <w:color w:val="auto"/>
          <w:kern w:val="0"/>
          <w:sz w:val="21"/>
          <w:szCs w:val="21"/>
          <w:highlight w:val="none"/>
          <w:u w:val="single"/>
        </w:rPr>
        <w:t>宁波市奉化区</w:t>
      </w:r>
      <w:r>
        <w:rPr>
          <w:rFonts w:hint="eastAsia" w:ascii="宋体" w:hAnsi="宋体" w:cs="宋体"/>
          <w:color w:val="auto"/>
          <w:kern w:val="0"/>
          <w:sz w:val="21"/>
          <w:szCs w:val="21"/>
          <w:highlight w:val="none"/>
        </w:rPr>
        <w:t>人民法院起诉。</w:t>
      </w:r>
    </w:p>
    <w:p w14:paraId="366E34A5">
      <w:pPr>
        <w:pStyle w:val="32"/>
        <w:numPr>
          <w:ilvl w:val="0"/>
          <w:numId w:val="0"/>
        </w:numPr>
        <w:shd w:val="clea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21.其他条款</w:t>
      </w:r>
    </w:p>
    <w:p w14:paraId="62D7C4B0">
      <w:pPr>
        <w:shd w:val="clear"/>
        <w:spacing w:line="360" w:lineRule="auto"/>
        <w:ind w:firstLine="422" w:firstLineChars="20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p>
    <w:p w14:paraId="50E1BC2F">
      <w:pPr>
        <w:rPr>
          <w:rFonts w:hint="default" w:eastAsia="宋体"/>
          <w:lang w:val="en-US" w:eastAsia="zh-CN"/>
        </w:rPr>
      </w:pPr>
    </w:p>
    <w:p w14:paraId="3B90BF3E">
      <w:pPr>
        <w:adjustRightInd w:val="0"/>
        <w:spacing w:line="450" w:lineRule="exact"/>
        <w:ind w:firstLine="420" w:firstLineChars="200"/>
        <w:rPr>
          <w:rFonts w:hint="eastAsia" w:ascii="宋体" w:hAnsi="宋体" w:cs="宋体"/>
          <w:color w:val="auto"/>
          <w:kern w:val="0"/>
          <w:sz w:val="21"/>
          <w:szCs w:val="21"/>
          <w:highlight w:val="none"/>
        </w:rPr>
      </w:pPr>
    </w:p>
    <w:p w14:paraId="68EBA238">
      <w:pPr>
        <w:pStyle w:val="32"/>
        <w:keepNext w:val="0"/>
        <w:keepLines w:val="0"/>
        <w:pageBreakBefore w:val="0"/>
        <w:kinsoku/>
        <w:wordWrap/>
        <w:overflowPunct/>
        <w:topLinePunct w:val="0"/>
        <w:bidi w:val="0"/>
        <w:snapToGrid/>
        <w:spacing w:line="440" w:lineRule="exact"/>
        <w:ind w:firstLine="0" w:firstLineChars="0"/>
        <w:textAlignment w:val="auto"/>
        <w:rPr>
          <w:rFonts w:asciiTheme="minorEastAsia" w:hAnsiTheme="minorEastAsia" w:eastAsiaTheme="minorEastAsia" w:cstheme="minorEastAsia"/>
          <w:color w:val="auto"/>
          <w:highlight w:val="none"/>
        </w:rPr>
      </w:pPr>
    </w:p>
    <w:p w14:paraId="24BA02E3">
      <w:pPr>
        <w:spacing w:line="360" w:lineRule="auto"/>
        <w:ind w:firstLine="482" w:firstLineChars="200"/>
        <w:jc w:val="center"/>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4"/>
          <w:highlight w:val="none"/>
        </w:rPr>
        <w:br w:type="page"/>
      </w:r>
      <w:r>
        <w:rPr>
          <w:rFonts w:hint="eastAsia" w:ascii="宋体" w:hAnsi="宋体" w:eastAsia="宋体" w:cs="宋体"/>
          <w:b/>
          <w:bCs/>
          <w:color w:val="auto"/>
          <w:sz w:val="21"/>
          <w:szCs w:val="21"/>
          <w:highlight w:val="none"/>
        </w:rPr>
        <w:t>第四部分  附件</w:t>
      </w:r>
    </w:p>
    <w:p w14:paraId="139E61BE">
      <w:pPr>
        <w:spacing w:line="360" w:lineRule="auto"/>
        <w:ind w:firstLine="420" w:firstLineChars="200"/>
        <w:rPr>
          <w:rFonts w:hint="eastAsia" w:ascii="宋体" w:hAnsi="宋体" w:eastAsia="宋体" w:cs="宋体"/>
          <w:color w:val="auto"/>
          <w:sz w:val="21"/>
          <w:szCs w:val="21"/>
          <w:highlight w:val="none"/>
        </w:rPr>
      </w:pPr>
    </w:p>
    <w:p w14:paraId="05C24CC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764667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0E009F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14:paraId="689A04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附件3：工程项目廉政合同</w:t>
      </w:r>
    </w:p>
    <w:p w14:paraId="3D6F85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附件4：承包人用于本工程施工的机械设备表</w:t>
      </w:r>
    </w:p>
    <w:p w14:paraId="5D78DE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附件5：承包人主要施工管理人员表</w:t>
      </w:r>
    </w:p>
    <w:p w14:paraId="1A085B44">
      <w:pPr>
        <w:spacing w:line="360" w:lineRule="auto"/>
        <w:rPr>
          <w:rFonts w:hint="eastAsia" w:ascii="宋体" w:hAnsi="宋体" w:cs="宋体"/>
          <w:color w:val="auto"/>
          <w:sz w:val="21"/>
          <w:szCs w:val="21"/>
          <w:highlight w:val="none"/>
        </w:rPr>
      </w:pPr>
    </w:p>
    <w:p w14:paraId="62AB1826">
      <w:pPr>
        <w:spacing w:line="360" w:lineRule="auto"/>
        <w:rPr>
          <w:rFonts w:hint="eastAsia" w:ascii="宋体" w:hAnsi="宋体" w:cs="宋体"/>
          <w:color w:val="auto"/>
          <w:sz w:val="21"/>
          <w:szCs w:val="21"/>
          <w:highlight w:val="none"/>
        </w:rPr>
      </w:pPr>
    </w:p>
    <w:p w14:paraId="5FD7F2E9">
      <w:pPr>
        <w:spacing w:line="360" w:lineRule="auto"/>
        <w:rPr>
          <w:rFonts w:hint="eastAsia" w:ascii="宋体" w:hAnsi="宋体" w:cs="宋体"/>
          <w:color w:val="auto"/>
          <w:sz w:val="21"/>
          <w:szCs w:val="21"/>
          <w:highlight w:val="none"/>
        </w:rPr>
      </w:pPr>
    </w:p>
    <w:p w14:paraId="0DF7261A">
      <w:pPr>
        <w:spacing w:line="360" w:lineRule="auto"/>
        <w:rPr>
          <w:rFonts w:hint="eastAsia" w:ascii="宋体" w:hAnsi="宋体" w:cs="宋体"/>
          <w:color w:val="auto"/>
          <w:sz w:val="21"/>
          <w:szCs w:val="21"/>
          <w:highlight w:val="none"/>
        </w:rPr>
      </w:pPr>
    </w:p>
    <w:p w14:paraId="3051838C">
      <w:pPr>
        <w:spacing w:line="360" w:lineRule="auto"/>
        <w:rPr>
          <w:rFonts w:hint="eastAsia" w:ascii="宋体" w:hAnsi="宋体" w:cs="宋体"/>
          <w:color w:val="auto"/>
          <w:sz w:val="21"/>
          <w:szCs w:val="21"/>
          <w:highlight w:val="none"/>
        </w:rPr>
      </w:pPr>
    </w:p>
    <w:p w14:paraId="0A2DB32C">
      <w:pPr>
        <w:spacing w:line="360" w:lineRule="auto"/>
        <w:rPr>
          <w:rFonts w:hint="eastAsia" w:ascii="宋体" w:hAnsi="宋体" w:cs="宋体"/>
          <w:color w:val="auto"/>
          <w:sz w:val="21"/>
          <w:szCs w:val="21"/>
          <w:highlight w:val="none"/>
        </w:rPr>
      </w:pPr>
    </w:p>
    <w:p w14:paraId="2A55A171">
      <w:pPr>
        <w:spacing w:line="360" w:lineRule="auto"/>
        <w:rPr>
          <w:rFonts w:hint="eastAsia" w:ascii="宋体" w:hAnsi="宋体" w:cs="宋体"/>
          <w:color w:val="auto"/>
          <w:sz w:val="21"/>
          <w:szCs w:val="21"/>
          <w:highlight w:val="none"/>
        </w:rPr>
      </w:pPr>
    </w:p>
    <w:p w14:paraId="7ECA0D19">
      <w:pPr>
        <w:spacing w:line="360" w:lineRule="auto"/>
        <w:rPr>
          <w:rFonts w:hint="eastAsia" w:ascii="宋体" w:hAnsi="宋体" w:cs="宋体"/>
          <w:color w:val="auto"/>
          <w:sz w:val="21"/>
          <w:szCs w:val="21"/>
          <w:highlight w:val="none"/>
        </w:rPr>
      </w:pPr>
    </w:p>
    <w:p w14:paraId="55D7B0DF">
      <w:pPr>
        <w:spacing w:line="360" w:lineRule="auto"/>
        <w:rPr>
          <w:rFonts w:hint="eastAsia" w:ascii="宋体" w:hAnsi="宋体" w:cs="宋体"/>
          <w:color w:val="auto"/>
          <w:sz w:val="21"/>
          <w:szCs w:val="21"/>
          <w:highlight w:val="none"/>
        </w:rPr>
      </w:pPr>
    </w:p>
    <w:p w14:paraId="6BEF9289">
      <w:pPr>
        <w:spacing w:line="360" w:lineRule="auto"/>
        <w:rPr>
          <w:rFonts w:hint="eastAsia" w:ascii="宋体" w:hAnsi="宋体" w:cs="宋体"/>
          <w:color w:val="auto"/>
          <w:sz w:val="21"/>
          <w:szCs w:val="21"/>
          <w:highlight w:val="none"/>
        </w:rPr>
      </w:pPr>
    </w:p>
    <w:p w14:paraId="4634675E">
      <w:pPr>
        <w:spacing w:line="360" w:lineRule="auto"/>
        <w:rPr>
          <w:rFonts w:hint="eastAsia" w:ascii="宋体" w:hAnsi="宋体" w:cs="宋体"/>
          <w:color w:val="auto"/>
          <w:sz w:val="21"/>
          <w:szCs w:val="21"/>
          <w:highlight w:val="none"/>
        </w:rPr>
      </w:pPr>
    </w:p>
    <w:p w14:paraId="64E243BF">
      <w:pPr>
        <w:spacing w:line="360" w:lineRule="auto"/>
        <w:rPr>
          <w:rFonts w:hint="eastAsia" w:ascii="宋体" w:hAnsi="宋体" w:cs="宋体"/>
          <w:color w:val="auto"/>
          <w:sz w:val="21"/>
          <w:szCs w:val="21"/>
          <w:highlight w:val="none"/>
        </w:rPr>
      </w:pPr>
    </w:p>
    <w:p w14:paraId="55A9B723">
      <w:pPr>
        <w:spacing w:line="360" w:lineRule="auto"/>
        <w:rPr>
          <w:rFonts w:hint="eastAsia" w:ascii="宋体" w:hAnsi="宋体" w:cs="宋体"/>
          <w:color w:val="auto"/>
          <w:sz w:val="21"/>
          <w:szCs w:val="21"/>
          <w:highlight w:val="none"/>
        </w:rPr>
      </w:pPr>
    </w:p>
    <w:p w14:paraId="401663F3">
      <w:pPr>
        <w:spacing w:line="360" w:lineRule="auto"/>
        <w:rPr>
          <w:rFonts w:hint="eastAsia" w:ascii="宋体" w:hAnsi="宋体" w:cs="宋体"/>
          <w:color w:val="auto"/>
          <w:sz w:val="21"/>
          <w:szCs w:val="21"/>
          <w:highlight w:val="none"/>
        </w:rPr>
      </w:pPr>
    </w:p>
    <w:p w14:paraId="0D93C37C">
      <w:pPr>
        <w:spacing w:line="360" w:lineRule="auto"/>
        <w:rPr>
          <w:rFonts w:hint="eastAsia" w:ascii="宋体" w:hAnsi="宋体" w:cs="宋体"/>
          <w:b/>
          <w:color w:val="auto"/>
          <w:sz w:val="21"/>
          <w:szCs w:val="21"/>
          <w:highlight w:val="none"/>
        </w:rPr>
      </w:pPr>
    </w:p>
    <w:p w14:paraId="159BB73C">
      <w:pPr>
        <w:spacing w:line="360" w:lineRule="auto"/>
        <w:rPr>
          <w:rFonts w:hint="eastAsia" w:ascii="宋体" w:hAnsi="宋体" w:cs="宋体"/>
          <w:b/>
          <w:color w:val="auto"/>
          <w:sz w:val="21"/>
          <w:szCs w:val="21"/>
          <w:highlight w:val="none"/>
        </w:rPr>
      </w:pPr>
    </w:p>
    <w:p w14:paraId="7D5F4528">
      <w:pPr>
        <w:spacing w:line="360" w:lineRule="auto"/>
        <w:rPr>
          <w:rFonts w:hint="eastAsia" w:ascii="宋体" w:hAnsi="宋体" w:cs="宋体"/>
          <w:b/>
          <w:color w:val="auto"/>
          <w:sz w:val="21"/>
          <w:szCs w:val="21"/>
          <w:highlight w:val="none"/>
        </w:rPr>
      </w:pPr>
    </w:p>
    <w:p w14:paraId="04A99BB2">
      <w:pPr>
        <w:spacing w:line="360" w:lineRule="auto"/>
        <w:rPr>
          <w:rFonts w:hint="eastAsia" w:ascii="宋体" w:hAnsi="宋体" w:cs="宋体"/>
          <w:b/>
          <w:color w:val="auto"/>
          <w:sz w:val="21"/>
          <w:szCs w:val="21"/>
          <w:highlight w:val="none"/>
        </w:rPr>
      </w:pPr>
    </w:p>
    <w:p w14:paraId="075765BF">
      <w:pPr>
        <w:spacing w:line="360" w:lineRule="auto"/>
        <w:rPr>
          <w:rFonts w:hint="eastAsia" w:ascii="宋体" w:hAnsi="宋体" w:cs="宋体"/>
          <w:b/>
          <w:color w:val="auto"/>
          <w:sz w:val="21"/>
          <w:szCs w:val="21"/>
          <w:highlight w:val="none"/>
        </w:rPr>
      </w:pPr>
    </w:p>
    <w:p w14:paraId="5680B448">
      <w:pPr>
        <w:spacing w:line="360" w:lineRule="auto"/>
        <w:rPr>
          <w:rFonts w:hint="eastAsia" w:ascii="宋体" w:hAnsi="宋体" w:cs="宋体"/>
          <w:b/>
          <w:color w:val="auto"/>
          <w:sz w:val="21"/>
          <w:szCs w:val="21"/>
          <w:highlight w:val="none"/>
        </w:rPr>
      </w:pPr>
    </w:p>
    <w:p w14:paraId="598D0BAF">
      <w:pPr>
        <w:spacing w:line="360" w:lineRule="auto"/>
        <w:rPr>
          <w:rFonts w:hint="eastAsia" w:ascii="宋体" w:hAnsi="宋体" w:cs="宋体"/>
          <w:b/>
          <w:color w:val="auto"/>
          <w:sz w:val="21"/>
          <w:szCs w:val="21"/>
          <w:highlight w:val="none"/>
        </w:rPr>
      </w:pPr>
    </w:p>
    <w:p w14:paraId="4E339B22">
      <w:pPr>
        <w:spacing w:line="360" w:lineRule="auto"/>
        <w:rPr>
          <w:rFonts w:hint="eastAsia" w:ascii="宋体" w:hAnsi="宋体" w:cs="宋体"/>
          <w:b/>
          <w:color w:val="auto"/>
          <w:sz w:val="21"/>
          <w:szCs w:val="21"/>
          <w:highlight w:val="none"/>
        </w:rPr>
      </w:pPr>
    </w:p>
    <w:p w14:paraId="0F93E107">
      <w:pPr>
        <w:spacing w:line="360" w:lineRule="auto"/>
        <w:rPr>
          <w:rFonts w:hint="eastAsia" w:ascii="宋体" w:hAnsi="宋体" w:cs="宋体"/>
          <w:b/>
          <w:color w:val="auto"/>
          <w:sz w:val="21"/>
          <w:szCs w:val="21"/>
          <w:highlight w:val="none"/>
        </w:rPr>
      </w:pPr>
    </w:p>
    <w:p w14:paraId="71C380AF">
      <w:pPr>
        <w:spacing w:line="360" w:lineRule="auto"/>
        <w:rPr>
          <w:rFonts w:hint="eastAsia" w:ascii="宋体" w:hAnsi="宋体" w:cs="宋体"/>
          <w:b/>
          <w:color w:val="auto"/>
          <w:sz w:val="21"/>
          <w:szCs w:val="21"/>
          <w:highlight w:val="none"/>
        </w:rPr>
      </w:pPr>
    </w:p>
    <w:p w14:paraId="7106AC3D">
      <w:pPr>
        <w:spacing w:line="360" w:lineRule="auto"/>
        <w:rPr>
          <w:rFonts w:hint="eastAsia" w:ascii="宋体" w:hAnsi="宋体" w:cs="宋体"/>
          <w:b/>
          <w:color w:val="auto"/>
          <w:sz w:val="21"/>
          <w:szCs w:val="21"/>
          <w:highlight w:val="none"/>
        </w:rPr>
      </w:pPr>
    </w:p>
    <w:p w14:paraId="620822BB">
      <w:pPr>
        <w:spacing w:line="360" w:lineRule="auto"/>
        <w:rPr>
          <w:rFonts w:hint="eastAsia" w:ascii="宋体" w:hAnsi="宋体" w:cs="宋体"/>
          <w:b/>
          <w:color w:val="auto"/>
          <w:sz w:val="21"/>
          <w:szCs w:val="21"/>
          <w:highlight w:val="none"/>
        </w:rPr>
      </w:pPr>
    </w:p>
    <w:p w14:paraId="67CD2590">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33" w:name="_Toc267261693"/>
      <w:bookmarkStart w:id="434" w:name="_Toc296944565"/>
      <w:bookmarkStart w:id="435" w:name="_Toc296347225"/>
      <w:bookmarkStart w:id="436" w:name="_Toc296891054"/>
      <w:bookmarkStart w:id="437" w:name="_Toc296346727"/>
      <w:bookmarkStart w:id="438" w:name="_Toc296891266"/>
      <w:bookmarkStart w:id="439" w:name="_Toc296503226"/>
      <w:r>
        <w:rPr>
          <w:rFonts w:hint="eastAsia" w:ascii="宋体" w:hAnsi="宋体" w:cs="宋体"/>
          <w:b/>
          <w:color w:val="auto"/>
          <w:sz w:val="21"/>
          <w:szCs w:val="21"/>
          <w:highlight w:val="none"/>
        </w:rPr>
        <w:t>件1：</w:t>
      </w:r>
      <w:bookmarkEnd w:id="433"/>
      <w:bookmarkEnd w:id="434"/>
      <w:bookmarkEnd w:id="435"/>
      <w:bookmarkEnd w:id="436"/>
      <w:bookmarkEnd w:id="437"/>
      <w:bookmarkEnd w:id="438"/>
      <w:bookmarkEnd w:id="439"/>
      <w:r>
        <w:rPr>
          <w:rFonts w:hint="eastAsia" w:ascii="宋体" w:hAnsi="宋体" w:cs="宋体"/>
          <w:b/>
          <w:color w:val="auto"/>
          <w:sz w:val="21"/>
          <w:szCs w:val="21"/>
          <w:highlight w:val="none"/>
        </w:rPr>
        <w:t xml:space="preserve">    </w:t>
      </w:r>
    </w:p>
    <w:p w14:paraId="4F7DFE0A">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工程质量保修书</w:t>
      </w:r>
    </w:p>
    <w:p w14:paraId="002B958C">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发包人（全称）：</w:t>
      </w:r>
      <w:r>
        <w:rPr>
          <w:rFonts w:hint="eastAsia" w:ascii="宋体" w:hAnsi="宋体" w:cs="宋体"/>
          <w:color w:val="auto"/>
          <w:sz w:val="21"/>
          <w:szCs w:val="21"/>
          <w:highlight w:val="none"/>
          <w:u w:val="single"/>
        </w:rPr>
        <w:t>宁波市奉化区惠海地下管线投资有限公司</w:t>
      </w:r>
    </w:p>
    <w:p w14:paraId="342F903B">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p>
    <w:p w14:paraId="3BBAA08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发包人和承包人根据《中华人民共和国建筑法》和《建设工程质量管理条例》，经协商一致就</w:t>
      </w:r>
      <w:r>
        <w:rPr>
          <w:rFonts w:hint="eastAsia" w:ascii="宋体" w:hAnsi="宋体" w:eastAsia="宋体" w:cs="宋体"/>
          <w:color w:val="auto"/>
          <w:sz w:val="21"/>
          <w:szCs w:val="21"/>
          <w:highlight w:val="none"/>
          <w:u w:val="single"/>
          <w:lang w:eastAsia="zh-CN"/>
        </w:rPr>
        <w:t>X306县道（尚岭线）尚界线至葛岙水库段提升改造工程—给水迁改工程工程</w:t>
      </w:r>
      <w:r>
        <w:rPr>
          <w:rFonts w:hint="eastAsia" w:ascii="宋体" w:hAnsi="宋体" w:cs="宋体"/>
          <w:color w:val="auto"/>
          <w:sz w:val="21"/>
          <w:szCs w:val="21"/>
          <w:highlight w:val="none"/>
        </w:rPr>
        <w:t>质量保修书。</w:t>
      </w:r>
    </w:p>
    <w:p w14:paraId="136CA98D">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一、工程质量保修范围和内容</w:t>
      </w:r>
    </w:p>
    <w:p w14:paraId="777DC46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1"/>
          <w:szCs w:val="21"/>
          <w:highlight w:val="none"/>
          <w:u w:val="single"/>
          <w:lang w:val="en-US" w:eastAsia="zh-CN"/>
        </w:rPr>
        <w:t>施工图范围内的给水工程等</w:t>
      </w:r>
      <w:r>
        <w:rPr>
          <w:rFonts w:hint="eastAsia" w:ascii="宋体" w:hAnsi="宋体" w:eastAsia="宋体" w:cs="宋体"/>
          <w:color w:val="auto"/>
          <w:sz w:val="21"/>
          <w:szCs w:val="21"/>
          <w:highlight w:val="none"/>
          <w:lang w:val="en-US" w:eastAsia="zh-CN"/>
        </w:rPr>
        <w:t>。</w:t>
      </w:r>
    </w:p>
    <w:p w14:paraId="5E6D2ACA">
      <w:pPr>
        <w:pStyle w:val="66"/>
        <w:spacing w:line="360" w:lineRule="auto"/>
        <w:ind w:firstLine="422" w:firstLineChars="200"/>
        <w:rPr>
          <w:rFonts w:hint="eastAsia" w:cs="宋体"/>
          <w:b/>
          <w:color w:val="auto"/>
          <w:sz w:val="21"/>
          <w:szCs w:val="21"/>
          <w:highlight w:val="none"/>
        </w:rPr>
      </w:pPr>
      <w:r>
        <w:rPr>
          <w:rFonts w:hint="eastAsia" w:cs="宋体"/>
          <w:b/>
          <w:color w:val="auto"/>
          <w:sz w:val="21"/>
          <w:szCs w:val="21"/>
          <w:highlight w:val="none"/>
        </w:rPr>
        <w:t>二、质量保修期</w:t>
      </w:r>
    </w:p>
    <w:p w14:paraId="7457679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14:paraId="4F0AFD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本工程保修期为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p>
    <w:p w14:paraId="50D6EB46">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　　质量保修期自工程竣工验收合格之日起计算。</w:t>
      </w:r>
    </w:p>
    <w:p w14:paraId="15AE97B8">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三、缺陷责任期</w:t>
      </w:r>
    </w:p>
    <w:p w14:paraId="414AF915">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个月，缺陷责任期自工程竣工验收合格之日起计算。单位工程先于全部工程进行验收，单位工程缺陷责任期自单位工程验收合格之日起算。</w:t>
      </w:r>
    </w:p>
    <w:p w14:paraId="20EB12D6">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缺陷责任期终止后，发包人在完成最终结清后应退还承包人的质量保证金保函或剩余的质量保证金。</w:t>
      </w:r>
    </w:p>
    <w:p w14:paraId="08EF70DA">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四、质量保修责任</w:t>
      </w:r>
    </w:p>
    <w:p w14:paraId="2EC24861">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1D6FCC5D">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14:paraId="6273C354">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11C55C">
      <w:pPr>
        <w:spacing w:line="360" w:lineRule="auto"/>
        <w:ind w:left="105" w:leftChars="5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4．质量保修完成后，由发包人组织验收。</w:t>
      </w:r>
    </w:p>
    <w:p w14:paraId="31CF9CEF">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五、保修费用</w:t>
      </w:r>
    </w:p>
    <w:p w14:paraId="14C8B39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14:paraId="3010F5EB">
      <w:pPr>
        <w:spacing w:line="360" w:lineRule="auto"/>
        <w:ind w:firstLine="413" w:firstLineChars="196"/>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六、双方约定的其他工程质量保修事项：</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14:paraId="057331C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14:paraId="7DBEAF66">
      <w:pPr>
        <w:spacing w:line="360" w:lineRule="auto"/>
        <w:ind w:firstLine="420"/>
        <w:rPr>
          <w:rFonts w:hint="eastAsia" w:ascii="宋体" w:hAnsi="宋体" w:cs="宋体"/>
          <w:color w:val="auto"/>
          <w:sz w:val="21"/>
          <w:szCs w:val="21"/>
          <w:highlight w:val="none"/>
        </w:rPr>
      </w:pPr>
    </w:p>
    <w:p w14:paraId="19480482">
      <w:pPr>
        <w:autoSpaceDE w:val="0"/>
        <w:autoSpaceDN w:val="0"/>
        <w:adjustRightInd w:val="0"/>
        <w:spacing w:line="38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4"/>
          <w:sz w:val="21"/>
          <w:szCs w:val="21"/>
          <w:highlight w:val="none"/>
          <w:u w:val="single"/>
        </w:rPr>
        <w:t>宁波市奉化区惠海</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27ECCEBB">
      <w:pPr>
        <w:spacing w:line="560" w:lineRule="exact"/>
        <w:ind w:firstLine="119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pacing w:val="14"/>
          <w:sz w:val="21"/>
          <w:szCs w:val="21"/>
          <w:highlight w:val="none"/>
          <w:u w:val="single"/>
        </w:rPr>
        <w:t>地下管线投资有限公司</w:t>
      </w:r>
      <w:r>
        <w:rPr>
          <w:rFonts w:hint="eastAsia" w:ascii="宋体" w:hAnsi="宋体" w:eastAsia="宋体" w:cs="宋体"/>
          <w:color w:val="auto"/>
          <w:sz w:val="21"/>
          <w:szCs w:val="21"/>
          <w:highlight w:val="none"/>
          <w:u w:val="single"/>
        </w:rPr>
        <w:t xml:space="preserve"> </w:t>
      </w:r>
    </w:p>
    <w:p w14:paraId="55D524B0">
      <w:pPr>
        <w:spacing w:line="56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pacing w:val="14"/>
          <w:sz w:val="21"/>
          <w:szCs w:val="21"/>
          <w:highlight w:val="none"/>
          <w:u w:val="single"/>
        </w:rPr>
        <w:t>宁波市奉化区岳林街道长汀东路558号</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FB9AC50">
      <w:pPr>
        <w:spacing w:line="560" w:lineRule="exact"/>
        <w:rPr>
          <w:rFonts w:hint="eastAsia" w:ascii="宋体" w:hAnsi="宋体" w:eastAsia="宋体" w:cs="宋体"/>
          <w:color w:val="auto"/>
          <w:spacing w:val="14"/>
          <w:sz w:val="21"/>
          <w:szCs w:val="21"/>
          <w:highlight w:val="none"/>
          <w:u w:val="single"/>
        </w:rPr>
      </w:pPr>
      <w:r>
        <w:rPr>
          <w:rFonts w:hint="eastAsia" w:ascii="宋体" w:hAnsi="宋体" w:eastAsia="宋体" w:cs="宋体"/>
          <w:color w:val="auto"/>
          <w:spacing w:val="14"/>
          <w:sz w:val="21"/>
          <w:szCs w:val="21"/>
          <w:highlight w:val="none"/>
          <w:u w:val="single"/>
        </w:rPr>
        <w:t>（城开大厦3号楼北幢9层</w:t>
      </w:r>
      <w:r>
        <w:rPr>
          <w:rFonts w:hint="eastAsia" w:ascii="宋体" w:hAnsi="宋体" w:eastAsia="宋体" w:cs="宋体"/>
          <w:color w:val="auto"/>
          <w:spacing w:val="14"/>
          <w:sz w:val="21"/>
          <w:szCs w:val="21"/>
          <w:highlight w:val="none"/>
          <w:u w:val="single"/>
          <w:lang w:eastAsia="zh-CN"/>
        </w:rPr>
        <w:t>）</w:t>
      </w:r>
      <w:r>
        <w:rPr>
          <w:rFonts w:hint="eastAsia" w:ascii="宋体" w:hAnsi="宋体" w:eastAsia="宋体" w:cs="宋体"/>
          <w:color w:val="auto"/>
          <w:spacing w:val="14"/>
          <w:sz w:val="21"/>
          <w:szCs w:val="21"/>
          <w:highlight w:val="none"/>
          <w:u w:val="single"/>
        </w:rPr>
        <w:t xml:space="preserve">  </w:t>
      </w:r>
    </w:p>
    <w:p w14:paraId="507D621D">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627D8118">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14:paraId="6009FEB6">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AB1D65">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446BC28">
      <w:pPr>
        <w:autoSpaceDE w:val="0"/>
        <w:autoSpaceDN w:val="0"/>
        <w:adjustRightInd w:val="0"/>
        <w:spacing w:line="4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宁波银行股份有限公司岳林支行</w:t>
      </w:r>
      <w:r>
        <w:rPr>
          <w:rFonts w:hint="eastAsia" w:ascii="宋体" w:hAnsi="宋体" w:eastAsia="宋体" w:cs="宋体"/>
          <w:color w:val="auto"/>
          <w:kern w:val="0"/>
          <w:sz w:val="21"/>
          <w:szCs w:val="21"/>
          <w:highlight w:val="none"/>
          <w:lang w:val="zh-CN"/>
        </w:rPr>
        <w:t xml:space="preserve">   开户银行：</w:t>
      </w:r>
      <w:r>
        <w:rPr>
          <w:rFonts w:hint="eastAsia" w:ascii="宋体" w:hAnsi="宋体" w:eastAsia="宋体" w:cs="宋体"/>
          <w:color w:val="auto"/>
          <w:kern w:val="0"/>
          <w:sz w:val="21"/>
          <w:szCs w:val="21"/>
          <w:highlight w:val="none"/>
          <w:u w:val="single"/>
          <w:lang w:val="en-US" w:eastAsia="zh-CN"/>
        </w:rPr>
        <w:t xml:space="preserve">                       </w:t>
      </w:r>
    </w:p>
    <w:p w14:paraId="38464873">
      <w:pPr>
        <w:spacing w:line="360" w:lineRule="auto"/>
        <w:rPr>
          <w:rFonts w:hint="eastAsia"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val="zh-CN"/>
        </w:rPr>
        <w:t>账号：</w:t>
      </w:r>
      <w:r>
        <w:rPr>
          <w:rFonts w:hint="eastAsia" w:ascii="宋体" w:hAnsi="宋体" w:eastAsia="宋体" w:cs="宋体"/>
          <w:color w:val="auto"/>
          <w:kern w:val="0"/>
          <w:sz w:val="21"/>
          <w:szCs w:val="21"/>
          <w:highlight w:val="none"/>
          <w:u w:val="single"/>
          <w:lang w:val="zh-CN"/>
        </w:rPr>
        <w:t xml:space="preserve">64040122 000030230 </w:t>
      </w:r>
      <w:r>
        <w:rPr>
          <w:rFonts w:hint="eastAsia" w:ascii="宋体" w:hAnsi="宋体" w:eastAsia="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60EA342">
      <w:pPr>
        <w:spacing w:line="360" w:lineRule="auto"/>
        <w:rPr>
          <w:rFonts w:hint="eastAsia" w:ascii="宋体" w:hAnsi="宋体" w:cs="宋体"/>
          <w:color w:val="auto"/>
          <w:sz w:val="21"/>
          <w:szCs w:val="21"/>
          <w:highlight w:val="none"/>
          <w:u w:val="single"/>
        </w:rPr>
      </w:pPr>
    </w:p>
    <w:p w14:paraId="7B9B282E">
      <w:pPr>
        <w:spacing w:line="360" w:lineRule="auto"/>
        <w:rPr>
          <w:rFonts w:hint="eastAsia" w:ascii="宋体" w:hAnsi="宋体" w:cs="宋体"/>
          <w:color w:val="auto"/>
          <w:sz w:val="21"/>
          <w:szCs w:val="21"/>
          <w:highlight w:val="none"/>
          <w:u w:val="single"/>
        </w:rPr>
      </w:pPr>
    </w:p>
    <w:p w14:paraId="34EF9A7B">
      <w:pPr>
        <w:spacing w:line="360" w:lineRule="auto"/>
        <w:rPr>
          <w:rFonts w:hint="eastAsia" w:ascii="宋体" w:hAnsi="宋体" w:cs="宋体"/>
          <w:color w:val="auto"/>
          <w:sz w:val="21"/>
          <w:szCs w:val="21"/>
          <w:highlight w:val="none"/>
          <w:u w:val="single"/>
        </w:rPr>
      </w:pPr>
    </w:p>
    <w:p w14:paraId="77D95A36">
      <w:pPr>
        <w:spacing w:line="360" w:lineRule="auto"/>
        <w:rPr>
          <w:rFonts w:hint="eastAsia" w:ascii="宋体" w:hAnsi="宋体" w:cs="宋体"/>
          <w:color w:val="auto"/>
          <w:sz w:val="21"/>
          <w:szCs w:val="21"/>
          <w:highlight w:val="none"/>
          <w:u w:val="single"/>
        </w:rPr>
      </w:pPr>
    </w:p>
    <w:p w14:paraId="470459FE">
      <w:pPr>
        <w:spacing w:line="360" w:lineRule="auto"/>
        <w:rPr>
          <w:rFonts w:hint="eastAsia" w:ascii="宋体" w:hAnsi="宋体" w:cs="宋体"/>
          <w:color w:val="auto"/>
          <w:sz w:val="21"/>
          <w:szCs w:val="21"/>
          <w:highlight w:val="none"/>
          <w:u w:val="single"/>
        </w:rPr>
      </w:pPr>
    </w:p>
    <w:p w14:paraId="44378B9A">
      <w:pPr>
        <w:spacing w:line="360" w:lineRule="auto"/>
        <w:rPr>
          <w:rFonts w:hint="eastAsia" w:ascii="宋体" w:hAnsi="宋体" w:cs="宋体"/>
          <w:color w:val="auto"/>
          <w:sz w:val="21"/>
          <w:szCs w:val="21"/>
          <w:highlight w:val="none"/>
          <w:u w:val="single"/>
        </w:rPr>
      </w:pPr>
    </w:p>
    <w:p w14:paraId="1C59F768">
      <w:pPr>
        <w:spacing w:line="360" w:lineRule="auto"/>
        <w:rPr>
          <w:rFonts w:hint="eastAsia" w:ascii="宋体" w:hAnsi="宋体" w:cs="宋体"/>
          <w:color w:val="auto"/>
          <w:sz w:val="21"/>
          <w:szCs w:val="21"/>
          <w:highlight w:val="none"/>
          <w:u w:val="single"/>
        </w:rPr>
      </w:pPr>
    </w:p>
    <w:p w14:paraId="6FF7CAF7">
      <w:pPr>
        <w:spacing w:line="360" w:lineRule="auto"/>
        <w:rPr>
          <w:rFonts w:hint="eastAsia" w:ascii="宋体" w:hAnsi="宋体" w:cs="宋体"/>
          <w:color w:val="auto"/>
          <w:sz w:val="21"/>
          <w:szCs w:val="21"/>
          <w:highlight w:val="none"/>
          <w:u w:val="single"/>
        </w:rPr>
      </w:pPr>
    </w:p>
    <w:p w14:paraId="7A9C5E6B">
      <w:pPr>
        <w:spacing w:line="360" w:lineRule="auto"/>
        <w:rPr>
          <w:rFonts w:hint="eastAsia" w:ascii="宋体" w:hAnsi="宋体" w:cs="宋体"/>
          <w:b/>
          <w:bCs/>
          <w:color w:val="auto"/>
          <w:sz w:val="21"/>
          <w:szCs w:val="21"/>
          <w:highlight w:val="none"/>
        </w:rPr>
      </w:pPr>
      <w:bookmarkStart w:id="440" w:name="_Toc359567922"/>
      <w:bookmarkStart w:id="441" w:name="_Toc360114130"/>
      <w:bookmarkStart w:id="442" w:name="_Toc358876721"/>
      <w:bookmarkStart w:id="443" w:name="_Toc315695235"/>
      <w:bookmarkStart w:id="444" w:name="_Toc315695461"/>
    </w:p>
    <w:p w14:paraId="300CA9F5">
      <w:pPr>
        <w:spacing w:line="360" w:lineRule="auto"/>
        <w:rPr>
          <w:rFonts w:hint="eastAsia" w:ascii="宋体" w:hAnsi="宋体" w:cs="宋体"/>
          <w:b/>
          <w:bCs/>
          <w:color w:val="auto"/>
          <w:sz w:val="21"/>
          <w:szCs w:val="21"/>
          <w:highlight w:val="none"/>
        </w:rPr>
      </w:pPr>
    </w:p>
    <w:p w14:paraId="29A57FC1">
      <w:pPr>
        <w:spacing w:line="360" w:lineRule="auto"/>
        <w:rPr>
          <w:rFonts w:hint="eastAsia" w:ascii="宋体" w:hAnsi="宋体" w:cs="宋体"/>
          <w:b/>
          <w:bCs/>
          <w:color w:val="auto"/>
          <w:sz w:val="21"/>
          <w:szCs w:val="21"/>
          <w:highlight w:val="none"/>
        </w:rPr>
      </w:pPr>
    </w:p>
    <w:p w14:paraId="5F47EDE6">
      <w:pPr>
        <w:spacing w:line="360" w:lineRule="auto"/>
        <w:rPr>
          <w:rFonts w:hint="eastAsia" w:ascii="宋体" w:hAnsi="宋体" w:cs="宋体"/>
          <w:b/>
          <w:bCs/>
          <w:color w:val="auto"/>
          <w:sz w:val="21"/>
          <w:szCs w:val="21"/>
          <w:highlight w:val="none"/>
        </w:rPr>
      </w:pPr>
    </w:p>
    <w:p w14:paraId="0A109DB5">
      <w:pPr>
        <w:spacing w:line="360" w:lineRule="auto"/>
        <w:rPr>
          <w:rFonts w:hint="eastAsia" w:ascii="宋体" w:hAnsi="宋体" w:cs="宋体"/>
          <w:b/>
          <w:bCs/>
          <w:color w:val="auto"/>
          <w:sz w:val="21"/>
          <w:szCs w:val="21"/>
          <w:highlight w:val="none"/>
        </w:rPr>
      </w:pPr>
    </w:p>
    <w:p w14:paraId="4F6DEDCD">
      <w:pPr>
        <w:spacing w:line="360" w:lineRule="auto"/>
        <w:rPr>
          <w:rFonts w:hint="eastAsia" w:ascii="宋体" w:hAnsi="宋体" w:cs="宋体"/>
          <w:b/>
          <w:bCs/>
          <w:color w:val="auto"/>
          <w:sz w:val="21"/>
          <w:szCs w:val="21"/>
          <w:highlight w:val="none"/>
        </w:rPr>
      </w:pPr>
    </w:p>
    <w:p w14:paraId="1DF51F8D">
      <w:pPr>
        <w:spacing w:line="360" w:lineRule="auto"/>
        <w:rPr>
          <w:rFonts w:hint="eastAsia" w:ascii="宋体" w:hAnsi="宋体" w:cs="宋体"/>
          <w:b/>
          <w:bCs/>
          <w:color w:val="auto"/>
          <w:sz w:val="21"/>
          <w:szCs w:val="21"/>
          <w:highlight w:val="none"/>
        </w:rPr>
      </w:pPr>
    </w:p>
    <w:p w14:paraId="53E193D0">
      <w:pPr>
        <w:spacing w:line="360" w:lineRule="auto"/>
        <w:rPr>
          <w:rFonts w:hint="eastAsia" w:ascii="宋体" w:hAnsi="宋体" w:cs="宋体"/>
          <w:b/>
          <w:bCs/>
          <w:color w:val="auto"/>
          <w:sz w:val="21"/>
          <w:szCs w:val="21"/>
          <w:highlight w:val="none"/>
        </w:rPr>
      </w:pPr>
    </w:p>
    <w:p w14:paraId="197E3AF1">
      <w:pPr>
        <w:spacing w:line="360" w:lineRule="auto"/>
        <w:rPr>
          <w:rFonts w:hint="eastAsia" w:ascii="宋体" w:hAnsi="宋体" w:cs="宋体"/>
          <w:b/>
          <w:bCs/>
          <w:color w:val="auto"/>
          <w:sz w:val="21"/>
          <w:szCs w:val="21"/>
          <w:highlight w:val="none"/>
        </w:rPr>
      </w:pPr>
    </w:p>
    <w:p w14:paraId="1A38FBFF">
      <w:pPr>
        <w:spacing w:line="360" w:lineRule="auto"/>
        <w:rPr>
          <w:rFonts w:hint="eastAsia" w:ascii="宋体" w:hAnsi="宋体" w:cs="宋体"/>
          <w:b/>
          <w:bCs/>
          <w:color w:val="auto"/>
          <w:sz w:val="21"/>
          <w:szCs w:val="21"/>
          <w:highlight w:val="none"/>
        </w:rPr>
      </w:pPr>
    </w:p>
    <w:p w14:paraId="4E894353">
      <w:pPr>
        <w:spacing w:line="360" w:lineRule="auto"/>
        <w:rPr>
          <w:rFonts w:hint="eastAsia" w:ascii="宋体" w:hAnsi="宋体" w:cs="宋体"/>
          <w:b/>
          <w:bCs/>
          <w:color w:val="auto"/>
          <w:sz w:val="21"/>
          <w:szCs w:val="21"/>
          <w:highlight w:val="none"/>
        </w:rPr>
      </w:pPr>
    </w:p>
    <w:p w14:paraId="643C92A1">
      <w:pPr>
        <w:spacing w:line="360" w:lineRule="auto"/>
        <w:rPr>
          <w:rFonts w:hint="eastAsia" w:ascii="宋体" w:hAnsi="宋体" w:cs="宋体"/>
          <w:b/>
          <w:bCs/>
          <w:color w:val="auto"/>
          <w:sz w:val="21"/>
          <w:szCs w:val="21"/>
          <w:highlight w:val="none"/>
        </w:rPr>
      </w:pPr>
    </w:p>
    <w:p w14:paraId="33E182D9">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附件2：</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rPr>
        <w:t>安全生产合同</w:t>
      </w:r>
    </w:p>
    <w:p w14:paraId="13DB7D12">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为在</w:t>
      </w:r>
      <w:r>
        <w:rPr>
          <w:rFonts w:hint="eastAsia" w:ascii="宋体" w:hAnsi="宋体" w:eastAsia="宋体" w:cs="宋体"/>
          <w:color w:val="auto"/>
          <w:sz w:val="21"/>
          <w:szCs w:val="21"/>
          <w:highlight w:val="none"/>
          <w:u w:val="single"/>
          <w:lang w:eastAsia="zh-CN"/>
        </w:rPr>
        <w:t>X306县道（尚岭线）尚界线至葛岙水库段提升改造工程—给水迁改工程</w:t>
      </w:r>
      <w:r>
        <w:rPr>
          <w:rFonts w:hint="eastAsia" w:ascii="宋体" w:hAnsi="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cs="宋体"/>
          <w:color w:val="auto"/>
          <w:sz w:val="21"/>
          <w:szCs w:val="21"/>
          <w:highlight w:val="none"/>
          <w:u w:val="single"/>
        </w:rPr>
        <w:t>宁波市奉化区惠海地下管线投资有限公司</w:t>
      </w:r>
      <w:r>
        <w:rPr>
          <w:rFonts w:hint="eastAsia" w:ascii="宋体" w:hAnsi="宋体" w:cs="宋体"/>
          <w:color w:val="auto"/>
          <w:sz w:val="21"/>
          <w:szCs w:val="21"/>
          <w:highlight w:val="none"/>
        </w:rPr>
        <w:t>（发包人名称，以下简称“发包人”）与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rPr>
        <w:t>承包人名称，以下简称“承包人”）特此签订安全生产合同：</w:t>
      </w:r>
    </w:p>
    <w:p w14:paraId="2FFF865E">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1.发包人职责</w:t>
      </w:r>
    </w:p>
    <w:p w14:paraId="0A91B8F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14:paraId="31F0433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（2）按照“安全第一、预防为主”和坚持“管生产必须管安全”的原则进行安全生产管理，做到生产与安全工作同时计划、布置、检查、总结和评比。</w:t>
      </w:r>
    </w:p>
    <w:p w14:paraId="5DB6B67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14:paraId="7016911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14:paraId="43DF10B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（5）组织对承包人施工现场安全生产检查，监督承包人及时处理发现的各种安全隐患。</w:t>
      </w:r>
    </w:p>
    <w:p w14:paraId="7AC509C9">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2.承包人职责</w:t>
      </w:r>
    </w:p>
    <w:p w14:paraId="58873D0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14:paraId="15A8AF3C">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F3EAD45">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50AD870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（4）承包人在任何时候都应采取各种合理的预防措施，防止其员工发生任何违法、违禁、暴力或妨碍治安的行为。</w:t>
      </w:r>
    </w:p>
    <w:p w14:paraId="04E8512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82F6EFB">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73FD51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59C3B3E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40336ADC">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14:paraId="333067D8">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485D01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3.违约责任</w:t>
      </w:r>
    </w:p>
    <w:p w14:paraId="6F5A3E14">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14:paraId="22AB07E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4.本合同由双方法定代表人或其授权的代理人签署并加盖单位章后生效，全部工程竣工验收后失效。</w:t>
      </w:r>
    </w:p>
    <w:p w14:paraId="4D6E354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31490134">
      <w:pPr>
        <w:autoSpaceDE w:val="0"/>
        <w:autoSpaceDN w:val="0"/>
        <w:adjustRightInd w:val="0"/>
        <w:spacing w:line="38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宁波市奉化区惠海</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w:t>
      </w:r>
    </w:p>
    <w:p w14:paraId="3E21E732">
      <w:pPr>
        <w:spacing w:line="42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地下管线投资有限公司 </w:t>
      </w:r>
      <w:r>
        <w:rPr>
          <w:rFonts w:hint="eastAsia" w:ascii="宋体" w:hAnsi="宋体" w:cs="宋体"/>
          <w:color w:val="auto"/>
          <w:sz w:val="21"/>
          <w:szCs w:val="21"/>
          <w:highlight w:val="none"/>
        </w:rPr>
        <w:t xml:space="preserve"> </w:t>
      </w:r>
    </w:p>
    <w:p w14:paraId="2DE0A268">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                       法定代表人或</w:t>
      </w:r>
    </w:p>
    <w:p w14:paraId="793DED14">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63668EA5">
      <w:pPr>
        <w:spacing w:line="420" w:lineRule="exact"/>
        <w:ind w:left="840"/>
        <w:rPr>
          <w:rFonts w:hint="eastAsia" w:ascii="宋体" w:hAnsi="宋体" w:cs="宋体"/>
          <w:color w:val="auto"/>
          <w:sz w:val="21"/>
          <w:szCs w:val="21"/>
          <w:highlight w:val="none"/>
        </w:rPr>
      </w:pPr>
    </w:p>
    <w:p w14:paraId="34B34FCB">
      <w:pPr>
        <w:spacing w:line="420" w:lineRule="exact"/>
        <w:ind w:left="840" w:leftChars="40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14:paraId="5D57C889">
      <w:pPr>
        <w:spacing w:line="360" w:lineRule="auto"/>
        <w:rPr>
          <w:rFonts w:hint="eastAsia" w:ascii="宋体" w:hAnsi="宋体" w:cs="宋体"/>
          <w:b/>
          <w:bCs/>
          <w:color w:val="auto"/>
          <w:sz w:val="21"/>
          <w:szCs w:val="21"/>
          <w:highlight w:val="none"/>
        </w:rPr>
      </w:pPr>
    </w:p>
    <w:p w14:paraId="162BE858">
      <w:pPr>
        <w:spacing w:line="360" w:lineRule="auto"/>
        <w:jc w:val="both"/>
        <w:rPr>
          <w:rFonts w:hint="eastAsia" w:ascii="宋体" w:hAnsi="宋体" w:cs="宋体"/>
          <w:b/>
          <w:bCs/>
          <w:color w:val="auto"/>
          <w:sz w:val="21"/>
          <w:szCs w:val="21"/>
          <w:highlight w:val="none"/>
        </w:rPr>
      </w:pPr>
    </w:p>
    <w:p w14:paraId="5498AD80">
      <w:pPr>
        <w:spacing w:line="360" w:lineRule="auto"/>
        <w:jc w:val="both"/>
        <w:rPr>
          <w:rFonts w:hint="eastAsia" w:ascii="宋体" w:hAnsi="宋体" w:cs="宋体"/>
          <w:b/>
          <w:bCs/>
          <w:color w:val="auto"/>
          <w:sz w:val="21"/>
          <w:szCs w:val="21"/>
          <w:highlight w:val="none"/>
        </w:rPr>
      </w:pPr>
    </w:p>
    <w:p w14:paraId="533F0D6E">
      <w:pPr>
        <w:spacing w:line="360" w:lineRule="auto"/>
        <w:jc w:val="both"/>
        <w:rPr>
          <w:rFonts w:hint="eastAsia" w:ascii="宋体" w:hAnsi="宋体" w:cs="宋体"/>
          <w:b/>
          <w:bCs/>
          <w:color w:val="auto"/>
          <w:sz w:val="21"/>
          <w:szCs w:val="21"/>
          <w:highlight w:val="none"/>
        </w:rPr>
      </w:pPr>
    </w:p>
    <w:p w14:paraId="13F260B0">
      <w:pPr>
        <w:spacing w:line="360" w:lineRule="auto"/>
        <w:jc w:val="both"/>
        <w:rPr>
          <w:rFonts w:hint="eastAsia" w:ascii="宋体" w:hAnsi="宋体" w:cs="宋体"/>
          <w:b/>
          <w:bCs/>
          <w:color w:val="auto"/>
          <w:sz w:val="21"/>
          <w:szCs w:val="21"/>
          <w:highlight w:val="none"/>
        </w:rPr>
      </w:pPr>
    </w:p>
    <w:p w14:paraId="75964506">
      <w:pPr>
        <w:spacing w:line="360" w:lineRule="auto"/>
        <w:jc w:val="both"/>
        <w:rPr>
          <w:rFonts w:hint="eastAsia" w:ascii="宋体" w:hAnsi="宋体" w:cs="宋体"/>
          <w:b/>
          <w:bCs/>
          <w:color w:val="auto"/>
          <w:sz w:val="21"/>
          <w:szCs w:val="21"/>
          <w:highlight w:val="none"/>
        </w:rPr>
      </w:pPr>
    </w:p>
    <w:p w14:paraId="4AFBAB41">
      <w:pPr>
        <w:spacing w:line="360" w:lineRule="auto"/>
        <w:jc w:val="both"/>
        <w:rPr>
          <w:rFonts w:hint="eastAsia" w:ascii="宋体" w:hAnsi="宋体" w:cs="宋体"/>
          <w:b/>
          <w:bCs/>
          <w:color w:val="auto"/>
          <w:sz w:val="21"/>
          <w:szCs w:val="21"/>
          <w:highlight w:val="none"/>
        </w:rPr>
      </w:pPr>
    </w:p>
    <w:p w14:paraId="2235A049">
      <w:pPr>
        <w:spacing w:line="360" w:lineRule="auto"/>
        <w:jc w:val="both"/>
        <w:rPr>
          <w:rFonts w:hint="eastAsia" w:ascii="宋体" w:hAnsi="宋体" w:cs="宋体"/>
          <w:b/>
          <w:bCs/>
          <w:color w:val="auto"/>
          <w:sz w:val="21"/>
          <w:szCs w:val="21"/>
          <w:highlight w:val="none"/>
        </w:rPr>
      </w:pPr>
    </w:p>
    <w:p w14:paraId="6FE2B6E9">
      <w:pPr>
        <w:spacing w:line="360" w:lineRule="auto"/>
        <w:jc w:val="both"/>
        <w:rPr>
          <w:rFonts w:hint="eastAsia" w:ascii="宋体" w:hAnsi="宋体" w:cs="宋体"/>
          <w:b/>
          <w:bCs/>
          <w:color w:val="auto"/>
          <w:sz w:val="21"/>
          <w:szCs w:val="21"/>
          <w:highlight w:val="none"/>
        </w:rPr>
      </w:pPr>
    </w:p>
    <w:p w14:paraId="36DB8768">
      <w:pPr>
        <w:pStyle w:val="31"/>
        <w:rPr>
          <w:rFonts w:hint="eastAsia"/>
        </w:rPr>
      </w:pPr>
    </w:p>
    <w:p w14:paraId="083C874C">
      <w:pPr>
        <w:spacing w:line="360" w:lineRule="auto"/>
        <w:jc w:val="both"/>
        <w:rPr>
          <w:rFonts w:hint="eastAsia" w:ascii="宋体" w:hAnsi="宋体" w:cs="宋体"/>
          <w:b/>
          <w:color w:val="auto"/>
          <w:sz w:val="21"/>
          <w:szCs w:val="21"/>
          <w:highlight w:val="none"/>
          <w:lang w:val="zh-CN"/>
        </w:rPr>
      </w:pPr>
      <w:r>
        <w:rPr>
          <w:rFonts w:hint="eastAsia" w:ascii="宋体" w:hAnsi="宋体" w:cs="宋体"/>
          <w:b/>
          <w:bCs/>
          <w:color w:val="auto"/>
          <w:sz w:val="21"/>
          <w:szCs w:val="21"/>
          <w:highlight w:val="none"/>
        </w:rPr>
        <w:t>附件3：</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lang w:val="zh-CN"/>
        </w:rPr>
        <w:t>工程项目廉政合同</w:t>
      </w:r>
      <w:bookmarkEnd w:id="440"/>
      <w:bookmarkEnd w:id="441"/>
      <w:bookmarkEnd w:id="442"/>
      <w:bookmarkEnd w:id="443"/>
      <w:bookmarkEnd w:id="444"/>
    </w:p>
    <w:p w14:paraId="19F04E4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zh-CN"/>
        </w:rPr>
        <w:t>工程项目名称：</w:t>
      </w:r>
      <w:r>
        <w:rPr>
          <w:rFonts w:hint="eastAsia" w:ascii="宋体" w:hAnsi="宋体" w:eastAsia="宋体" w:cs="宋体"/>
          <w:color w:val="auto"/>
          <w:kern w:val="0"/>
          <w:sz w:val="21"/>
          <w:szCs w:val="21"/>
          <w:highlight w:val="none"/>
          <w:u w:val="single"/>
          <w:lang w:val="zh-CN" w:eastAsia="zh-CN"/>
        </w:rPr>
        <w:t>X306县道（尚岭线）尚界线至葛岙水库段提升改造工程—给水迁改工程</w:t>
      </w:r>
    </w:p>
    <w:p w14:paraId="4B064B1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exact"/>
        <w:ind w:firstLine="420" w:firstLineChars="200"/>
        <w:jc w:val="left"/>
        <w:textAlignment w:val="auto"/>
        <w:outlineLvl w:val="0"/>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发包人名称(以下称甲方)：</w:t>
      </w:r>
      <w:r>
        <w:rPr>
          <w:rFonts w:hint="eastAsia" w:ascii="宋体" w:hAnsi="宋体" w:cs="宋体"/>
          <w:color w:val="auto"/>
          <w:kern w:val="0"/>
          <w:sz w:val="21"/>
          <w:szCs w:val="21"/>
          <w:highlight w:val="none"/>
          <w:u w:val="single"/>
          <w:lang w:val="zh-CN"/>
        </w:rPr>
        <w:t xml:space="preserve">宁波市奉化区惠海地下管线投资有限公司 </w:t>
      </w:r>
    </w:p>
    <w:p w14:paraId="402F0073">
      <w:pPr>
        <w:keepNext w:val="0"/>
        <w:keepLines w:val="0"/>
        <w:pageBreakBefore w:val="0"/>
        <w:widowControl w:val="0"/>
        <w:kinsoku/>
        <w:wordWrap/>
        <w:overflowPunct/>
        <w:topLinePunct w:val="0"/>
        <w:autoSpaceDE w:val="0"/>
        <w:autoSpaceDN w:val="0"/>
        <w:bidi w:val="0"/>
        <w:adjustRightInd w:val="0"/>
        <w:snapToGrid/>
        <w:spacing w:line="240" w:lineRule="exact"/>
        <w:ind w:firstLine="420" w:firstLineChars="200"/>
        <w:jc w:val="left"/>
        <w:textAlignment w:val="auto"/>
        <w:outlineLvl w:val="9"/>
        <w:rPr>
          <w:rFonts w:hint="default" w:ascii="宋体" w:hAnsi="宋体" w:eastAsia="宋体" w:cs="宋体"/>
          <w:color w:val="auto"/>
          <w:kern w:val="0"/>
          <w:sz w:val="21"/>
          <w:szCs w:val="21"/>
          <w:highlight w:val="none"/>
          <w:u w:val="single"/>
          <w:lang w:val="en-US"/>
        </w:rPr>
      </w:pPr>
      <w:r>
        <w:rPr>
          <w:rFonts w:hint="eastAsia" w:ascii="宋体" w:hAnsi="宋体" w:cs="宋体"/>
          <w:color w:val="auto"/>
          <w:kern w:val="0"/>
          <w:sz w:val="21"/>
          <w:szCs w:val="21"/>
          <w:highlight w:val="none"/>
          <w:lang w:val="zh-CN"/>
        </w:rPr>
        <w:t>承包人名称(以下称乙方)：</w:t>
      </w:r>
      <w:r>
        <w:rPr>
          <w:rFonts w:hint="eastAsia" w:ascii="宋体" w:hAnsi="宋体" w:eastAsia="宋体" w:cs="宋体"/>
          <w:color w:val="auto"/>
          <w:sz w:val="21"/>
          <w:szCs w:val="21"/>
          <w:highlight w:val="none"/>
          <w:u w:val="single"/>
          <w:lang w:val="en-US" w:eastAsia="zh-CN"/>
        </w:rPr>
        <w:t xml:space="preserve">                                 </w:t>
      </w:r>
    </w:p>
    <w:p w14:paraId="0318AD0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6D42934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第一条  甲乙双方的权利和义务    </w:t>
      </w:r>
    </w:p>
    <w:p w14:paraId="155DA35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5C336EC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(二)严格执行本项目发包承包双方签订的 (施工合同、监理合同、勘测设计合同、采购合同、代理合同等)合同，自觉按合同办事。    </w:t>
      </w:r>
    </w:p>
    <w:p w14:paraId="74252FB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595FE61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BCE2A3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第二条  甲方的责任    </w:t>
      </w:r>
    </w:p>
    <w:p w14:paraId="5D397FD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甲方的负责人和从事该工程项目的工作人员，在工程项目的事前、事中、事后应遵守以下规定：    </w:t>
      </w:r>
    </w:p>
    <w:p w14:paraId="03CA721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14:paraId="43996DCC">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(二)不参加乙方安排的宴请及其他消费活动；不接受乙方提供的通讯工具、交通工具、高档办公用品等。    </w:t>
      </w:r>
    </w:p>
    <w:p w14:paraId="045AE1F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(三)不要求、暗示和接受乙方为个人装修住房、为配偶子女的工作安排以及本人或亲属旅游、出国(境)等提供方便。    </w:t>
      </w:r>
    </w:p>
    <w:p w14:paraId="43BF4CE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(四)配偶、子女不得从事与乙方承包工程有关的设备材料供应、工程分包、劳务等经济活动。    </w:t>
      </w:r>
    </w:p>
    <w:p w14:paraId="416665A9">
      <w:pPr>
        <w:keepNext w:val="0"/>
        <w:keepLines w:val="0"/>
        <w:pageBreakBefore w:val="0"/>
        <w:widowControl w:val="0"/>
        <w:kinsoku/>
        <w:wordWrap/>
        <w:overflowPunct/>
        <w:topLinePunct w:val="0"/>
        <w:autoSpaceDE w:val="0"/>
        <w:autoSpaceDN w:val="0"/>
        <w:bidi w:val="0"/>
        <w:adjustRightInd w:val="0"/>
        <w:snapToGrid/>
        <w:spacing w:line="380" w:lineRule="exact"/>
        <w:ind w:firstLine="315" w:firstLineChars="15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（五)不以任何理由向乙方推荐分包人或要求乙方购买项目合同规定以外的材料、设备和服务等。</w:t>
      </w:r>
    </w:p>
    <w:p w14:paraId="728F6CE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第三条  乙方的责任</w:t>
      </w:r>
    </w:p>
    <w:p w14:paraId="0F3F424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乙方应与甲方保持正常的业务交往，按照有关法律法规和程序开展业务活动，严格执行工程建设的有关方针、政策，尤其是有关强制性标准和规范，并遵守以下规定：    </w:t>
      </w:r>
    </w:p>
    <w:p w14:paraId="3E8E90B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(一)不以任何理由向甲方及其工作人员行贿或赠送礼金、有价证券、贵重物品。    </w:t>
      </w:r>
    </w:p>
    <w:p w14:paraId="217495B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(二)不以任何名义为甲方及其工作人员报销应由对方支付的费用。    </w:t>
      </w:r>
    </w:p>
    <w:p w14:paraId="1B3F628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(三)不以任何理由宴请甲方工作人员或安排其他消费活动。    </w:t>
      </w:r>
    </w:p>
    <w:p w14:paraId="153CEF0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(四)不为甲方和工作人员购置或提供通讯工具、交通工具、高档办公用品和装修住房等。 </w:t>
      </w:r>
    </w:p>
    <w:p w14:paraId="775AA67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第四条  违约责任 </w:t>
      </w:r>
    </w:p>
    <w:p w14:paraId="6636539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522ED4F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5897D4F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2070587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第五条  双方约定：在自觉履行合同的同时，由甲、乙双方的监督单位负责对本合同履行情况进行监督检查。</w:t>
      </w:r>
    </w:p>
    <w:p w14:paraId="3BD4DB17">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第六条  本合同作为</w:t>
      </w:r>
      <w:r>
        <w:rPr>
          <w:rFonts w:hint="eastAsia" w:ascii="宋体" w:hAnsi="宋体" w:eastAsia="宋体" w:cs="宋体"/>
          <w:color w:val="auto"/>
          <w:kern w:val="0"/>
          <w:sz w:val="21"/>
          <w:szCs w:val="21"/>
          <w:highlight w:val="none"/>
          <w:u w:val="single"/>
          <w:lang w:val="zh-CN" w:eastAsia="zh-CN"/>
        </w:rPr>
        <w:t>X306县道（尚岭线）尚界线至葛岙水库段提升改造工程—给水迁改工程</w:t>
      </w:r>
      <w:r>
        <w:rPr>
          <w:rFonts w:hint="eastAsia" w:ascii="宋体" w:hAnsi="宋体" w:eastAsia="宋体" w:cs="宋体"/>
          <w:color w:val="auto"/>
          <w:kern w:val="0"/>
          <w:sz w:val="21"/>
          <w:szCs w:val="21"/>
          <w:highlight w:val="none"/>
          <w:lang w:val="zh-CN"/>
        </w:rPr>
        <w:t>签订工程施工合同的附件，与主合同具有同等法律效力。</w:t>
      </w:r>
    </w:p>
    <w:p w14:paraId="277F291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甲乙双方签署后立即生效。</w:t>
      </w:r>
    </w:p>
    <w:p w14:paraId="769BED1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第七条  本合同的有效期为双方签署之日起至该工程项目竣工验收合格时止。  </w:t>
      </w:r>
      <w:r>
        <w:rPr>
          <w:rFonts w:hint="eastAsia" w:ascii="宋体" w:hAnsi="宋体" w:cs="宋体"/>
          <w:color w:val="auto"/>
          <w:kern w:val="0"/>
          <w:sz w:val="21"/>
          <w:szCs w:val="21"/>
          <w:highlight w:val="none"/>
          <w:lang w:val="zh-CN"/>
        </w:rPr>
        <w:t xml:space="preserve">  </w:t>
      </w:r>
    </w:p>
    <w:p w14:paraId="303DAF4F">
      <w:pPr>
        <w:keepNext w:val="0"/>
        <w:keepLines w:val="0"/>
        <w:pageBreakBefore w:val="0"/>
        <w:widowControl w:val="0"/>
        <w:kinsoku/>
        <w:wordWrap/>
        <w:overflowPunct/>
        <w:topLinePunct w:val="0"/>
        <w:bidi w:val="0"/>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第八条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7906EDB0">
      <w:pPr>
        <w:autoSpaceDE w:val="0"/>
        <w:autoSpaceDN w:val="0"/>
        <w:adjustRightIn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14:paraId="16CCB307">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p>
    <w:p w14:paraId="50C570E1">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rPr>
        <w:t>宁波市奉化区岳林街道长汀东路558号</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p>
    <w:p w14:paraId="0EAD7BC1">
      <w:pPr>
        <w:autoSpaceDE w:val="0"/>
        <w:autoSpaceDN w:val="0"/>
        <w:adjustRightInd w:val="0"/>
        <w:spacing w:line="380" w:lineRule="exact"/>
        <w:ind w:left="521" w:leftChars="248"/>
        <w:jc w:val="left"/>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cs="宋体"/>
          <w:color w:val="auto"/>
          <w:sz w:val="21"/>
          <w:szCs w:val="21"/>
          <w:highlight w:val="none"/>
        </w:rPr>
        <w:t>（城开大厦3号楼北幢9层</w:t>
      </w:r>
      <w:r>
        <w:rPr>
          <w:rFonts w:hint="eastAsia" w:ascii="宋体" w:hAnsi="宋体" w:cs="宋体"/>
          <w:color w:val="auto"/>
          <w:sz w:val="21"/>
          <w:szCs w:val="21"/>
          <w:highlight w:val="none"/>
          <w:lang w:eastAsia="zh-CN"/>
        </w:rPr>
        <w:t>）</w:t>
      </w:r>
    </w:p>
    <w:p w14:paraId="610C6CD4">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电话：</w:t>
      </w:r>
    </w:p>
    <w:p w14:paraId="5668339D">
      <w:pPr>
        <w:tabs>
          <w:tab w:val="left" w:pos="4962"/>
        </w:tabs>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 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6BF384C0">
      <w:pPr>
        <w:spacing w:line="360" w:lineRule="auto"/>
        <w:rPr>
          <w:rFonts w:hint="eastAsia" w:ascii="宋体" w:hAnsi="宋体" w:cs="宋体"/>
          <w:b/>
          <w:color w:val="auto"/>
          <w:sz w:val="21"/>
          <w:szCs w:val="21"/>
          <w:highlight w:val="none"/>
        </w:rPr>
      </w:pPr>
    </w:p>
    <w:p w14:paraId="4ADA3636">
      <w:pPr>
        <w:spacing w:line="360" w:lineRule="auto"/>
        <w:rPr>
          <w:rFonts w:hint="eastAsia" w:ascii="宋体" w:hAnsi="宋体" w:cs="宋体"/>
          <w:b/>
          <w:color w:val="auto"/>
          <w:sz w:val="21"/>
          <w:szCs w:val="21"/>
          <w:highlight w:val="none"/>
        </w:rPr>
      </w:pPr>
    </w:p>
    <w:p w14:paraId="56C0886F">
      <w:pPr>
        <w:spacing w:line="360" w:lineRule="auto"/>
        <w:rPr>
          <w:rFonts w:hint="eastAsia" w:ascii="宋体" w:hAnsi="宋体" w:cs="宋体"/>
          <w:b/>
          <w:color w:val="auto"/>
          <w:sz w:val="21"/>
          <w:szCs w:val="21"/>
          <w:highlight w:val="none"/>
        </w:rPr>
      </w:pPr>
    </w:p>
    <w:p w14:paraId="39A558C8">
      <w:pPr>
        <w:spacing w:line="360" w:lineRule="auto"/>
        <w:rPr>
          <w:rFonts w:hint="eastAsia" w:ascii="宋体" w:hAnsi="宋体" w:cs="宋体"/>
          <w:b/>
          <w:color w:val="auto"/>
          <w:sz w:val="21"/>
          <w:szCs w:val="21"/>
          <w:highlight w:val="none"/>
        </w:rPr>
      </w:pPr>
    </w:p>
    <w:p w14:paraId="6A675A3C">
      <w:pPr>
        <w:spacing w:line="360" w:lineRule="auto"/>
        <w:rPr>
          <w:rFonts w:hint="eastAsia" w:ascii="宋体" w:hAnsi="宋体" w:cs="宋体"/>
          <w:b/>
          <w:color w:val="auto"/>
          <w:sz w:val="21"/>
          <w:szCs w:val="21"/>
          <w:highlight w:val="none"/>
        </w:rPr>
      </w:pPr>
    </w:p>
    <w:p w14:paraId="0D06A927">
      <w:pPr>
        <w:spacing w:line="360" w:lineRule="auto"/>
        <w:rPr>
          <w:rFonts w:hint="eastAsia" w:ascii="宋体" w:hAnsi="宋体" w:cs="宋体"/>
          <w:b/>
          <w:color w:val="auto"/>
          <w:sz w:val="21"/>
          <w:szCs w:val="21"/>
          <w:highlight w:val="none"/>
        </w:rPr>
      </w:pPr>
    </w:p>
    <w:p w14:paraId="064327A7">
      <w:pPr>
        <w:spacing w:line="360" w:lineRule="auto"/>
        <w:rPr>
          <w:rFonts w:hint="eastAsia" w:ascii="宋体" w:hAnsi="宋体" w:cs="宋体"/>
          <w:b/>
          <w:color w:val="auto"/>
          <w:sz w:val="21"/>
          <w:szCs w:val="21"/>
          <w:highlight w:val="none"/>
        </w:rPr>
      </w:pPr>
    </w:p>
    <w:p w14:paraId="64946CF8">
      <w:pPr>
        <w:spacing w:line="360" w:lineRule="auto"/>
        <w:rPr>
          <w:rFonts w:hint="eastAsia" w:ascii="宋体" w:hAnsi="宋体" w:cs="宋体"/>
          <w:b/>
          <w:color w:val="auto"/>
          <w:sz w:val="21"/>
          <w:szCs w:val="21"/>
          <w:highlight w:val="none"/>
        </w:rPr>
      </w:pPr>
    </w:p>
    <w:p w14:paraId="72B89259">
      <w:pPr>
        <w:spacing w:line="360" w:lineRule="auto"/>
        <w:rPr>
          <w:rFonts w:hint="eastAsia" w:ascii="宋体" w:hAnsi="宋体" w:cs="宋体"/>
          <w:b/>
          <w:color w:val="auto"/>
          <w:sz w:val="21"/>
          <w:szCs w:val="21"/>
          <w:highlight w:val="none"/>
        </w:rPr>
      </w:pPr>
    </w:p>
    <w:p w14:paraId="29EB7617">
      <w:pPr>
        <w:spacing w:line="360" w:lineRule="auto"/>
        <w:rPr>
          <w:rFonts w:hint="eastAsia" w:ascii="宋体" w:hAnsi="宋体" w:cs="宋体"/>
          <w:b/>
          <w:color w:val="auto"/>
          <w:sz w:val="21"/>
          <w:szCs w:val="21"/>
          <w:highlight w:val="none"/>
        </w:rPr>
      </w:pPr>
    </w:p>
    <w:p w14:paraId="2C380CAD">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45" w:name="_Toc296346728"/>
      <w:bookmarkStart w:id="446" w:name="_Toc296891055"/>
      <w:bookmarkStart w:id="447" w:name="_Toc296503227"/>
      <w:bookmarkStart w:id="448" w:name="_Toc296347226"/>
      <w:bookmarkStart w:id="449" w:name="_Toc296891267"/>
      <w:bookmarkStart w:id="450" w:name="_Toc267261698"/>
      <w:bookmarkStart w:id="451" w:name="_Toc296944566"/>
      <w:r>
        <w:rPr>
          <w:rFonts w:hint="eastAsia" w:ascii="宋体" w:hAnsi="宋体" w:cs="宋体"/>
          <w:b/>
          <w:color w:val="auto"/>
          <w:sz w:val="21"/>
          <w:szCs w:val="21"/>
          <w:highlight w:val="none"/>
        </w:rPr>
        <w:t>件4：</w:t>
      </w:r>
    </w:p>
    <w:bookmarkEnd w:id="445"/>
    <w:bookmarkEnd w:id="446"/>
    <w:bookmarkEnd w:id="447"/>
    <w:bookmarkEnd w:id="448"/>
    <w:bookmarkEnd w:id="449"/>
    <w:bookmarkEnd w:id="450"/>
    <w:bookmarkEnd w:id="451"/>
    <w:p w14:paraId="0D99D552">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承包人用于本工程施工的机械设备表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08189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noWrap w:val="0"/>
            <w:vAlign w:val="center"/>
          </w:tcPr>
          <w:p w14:paraId="19FD84D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序号</w:t>
            </w:r>
          </w:p>
        </w:tc>
        <w:tc>
          <w:tcPr>
            <w:tcW w:w="1549" w:type="dxa"/>
            <w:tcBorders>
              <w:top w:val="single" w:color="auto" w:sz="12" w:space="0"/>
              <w:bottom w:val="double" w:color="auto" w:sz="6" w:space="0"/>
            </w:tcBorders>
            <w:noWrap w:val="0"/>
            <w:vAlign w:val="center"/>
          </w:tcPr>
          <w:p w14:paraId="27B8258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机械或</w:t>
            </w:r>
          </w:p>
          <w:p w14:paraId="159BE83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设备名称</w:t>
            </w:r>
          </w:p>
        </w:tc>
        <w:tc>
          <w:tcPr>
            <w:tcW w:w="1001" w:type="dxa"/>
            <w:tcBorders>
              <w:top w:val="single" w:color="auto" w:sz="12" w:space="0"/>
              <w:bottom w:val="double" w:color="auto" w:sz="6" w:space="0"/>
            </w:tcBorders>
            <w:noWrap w:val="0"/>
            <w:vAlign w:val="center"/>
          </w:tcPr>
          <w:p w14:paraId="7D7AADF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规格</w:t>
            </w:r>
          </w:p>
          <w:p w14:paraId="39367BC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型号</w:t>
            </w:r>
          </w:p>
        </w:tc>
        <w:tc>
          <w:tcPr>
            <w:tcW w:w="718" w:type="dxa"/>
            <w:tcBorders>
              <w:top w:val="single" w:color="auto" w:sz="12" w:space="0"/>
              <w:bottom w:val="double" w:color="auto" w:sz="6" w:space="0"/>
            </w:tcBorders>
            <w:noWrap w:val="0"/>
            <w:vAlign w:val="center"/>
          </w:tcPr>
          <w:p w14:paraId="4230E9D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数量</w:t>
            </w:r>
          </w:p>
        </w:tc>
        <w:tc>
          <w:tcPr>
            <w:tcW w:w="794" w:type="dxa"/>
            <w:tcBorders>
              <w:top w:val="single" w:color="auto" w:sz="12" w:space="0"/>
              <w:bottom w:val="double" w:color="auto" w:sz="6" w:space="0"/>
            </w:tcBorders>
            <w:noWrap w:val="0"/>
            <w:vAlign w:val="center"/>
          </w:tcPr>
          <w:p w14:paraId="3D1F28C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产地</w:t>
            </w:r>
          </w:p>
        </w:tc>
        <w:tc>
          <w:tcPr>
            <w:tcW w:w="920" w:type="dxa"/>
            <w:tcBorders>
              <w:top w:val="single" w:color="auto" w:sz="12" w:space="0"/>
              <w:bottom w:val="double" w:color="auto" w:sz="6" w:space="0"/>
            </w:tcBorders>
            <w:noWrap w:val="0"/>
            <w:vAlign w:val="center"/>
          </w:tcPr>
          <w:p w14:paraId="5C6B095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制造</w:t>
            </w:r>
          </w:p>
          <w:p w14:paraId="3CCB10B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年份</w:t>
            </w:r>
          </w:p>
        </w:tc>
        <w:tc>
          <w:tcPr>
            <w:tcW w:w="1334" w:type="dxa"/>
            <w:tcBorders>
              <w:top w:val="single" w:color="auto" w:sz="12" w:space="0"/>
              <w:bottom w:val="double" w:color="auto" w:sz="6" w:space="0"/>
            </w:tcBorders>
            <w:noWrap w:val="0"/>
            <w:vAlign w:val="center"/>
          </w:tcPr>
          <w:p w14:paraId="3CC94F7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额定功率(kW)</w:t>
            </w:r>
          </w:p>
        </w:tc>
        <w:tc>
          <w:tcPr>
            <w:tcW w:w="920" w:type="dxa"/>
            <w:tcBorders>
              <w:top w:val="single" w:color="auto" w:sz="12" w:space="0"/>
              <w:bottom w:val="double" w:color="auto" w:sz="6" w:space="0"/>
            </w:tcBorders>
            <w:noWrap w:val="0"/>
            <w:vAlign w:val="center"/>
          </w:tcPr>
          <w:p w14:paraId="402D36C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生产</w:t>
            </w:r>
          </w:p>
          <w:p w14:paraId="4DFBD8F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能力</w:t>
            </w:r>
          </w:p>
        </w:tc>
        <w:tc>
          <w:tcPr>
            <w:tcW w:w="828" w:type="dxa"/>
            <w:tcBorders>
              <w:top w:val="single" w:color="auto" w:sz="12" w:space="0"/>
              <w:bottom w:val="double" w:color="auto" w:sz="6" w:space="0"/>
            </w:tcBorders>
            <w:noWrap w:val="0"/>
            <w:vAlign w:val="center"/>
          </w:tcPr>
          <w:p w14:paraId="7661EAC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备注</w:t>
            </w:r>
          </w:p>
        </w:tc>
      </w:tr>
      <w:tr w14:paraId="28898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noWrap w:val="0"/>
            <w:vAlign w:val="center"/>
          </w:tcPr>
          <w:p w14:paraId="27CC24C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w:t>
            </w:r>
          </w:p>
        </w:tc>
        <w:tc>
          <w:tcPr>
            <w:tcW w:w="1549" w:type="dxa"/>
            <w:tcBorders>
              <w:top w:val="double" w:color="auto" w:sz="6" w:space="0"/>
              <w:bottom w:val="single" w:color="auto" w:sz="6" w:space="0"/>
            </w:tcBorders>
            <w:noWrap w:val="0"/>
            <w:vAlign w:val="center"/>
          </w:tcPr>
          <w:p w14:paraId="5C09F580">
            <w:pPr>
              <w:jc w:val="center"/>
              <w:rPr>
                <w:rFonts w:hint="eastAsia" w:ascii="仿宋_GB2312" w:eastAsia="仿宋_GB2312"/>
                <w:color w:val="auto"/>
                <w:kern w:val="2"/>
                <w:sz w:val="21"/>
                <w:szCs w:val="21"/>
                <w:highlight w:val="none"/>
                <w:lang w:val="en-US" w:eastAsia="zh-CN" w:bidi="ar-SA"/>
              </w:rPr>
            </w:pPr>
          </w:p>
        </w:tc>
        <w:tc>
          <w:tcPr>
            <w:tcW w:w="1001" w:type="dxa"/>
            <w:tcBorders>
              <w:top w:val="double" w:color="auto" w:sz="6" w:space="0"/>
              <w:bottom w:val="single" w:color="auto" w:sz="6" w:space="0"/>
            </w:tcBorders>
            <w:noWrap w:val="0"/>
            <w:vAlign w:val="center"/>
          </w:tcPr>
          <w:p w14:paraId="40FEC9B5">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double" w:color="auto" w:sz="6" w:space="0"/>
              <w:bottom w:val="single" w:color="auto" w:sz="6" w:space="0"/>
            </w:tcBorders>
            <w:noWrap w:val="0"/>
            <w:vAlign w:val="bottom"/>
          </w:tcPr>
          <w:p w14:paraId="0A029C43">
            <w:pPr>
              <w:jc w:val="center"/>
              <w:rPr>
                <w:rFonts w:hint="eastAsia" w:ascii="仿宋_GB2312" w:eastAsia="仿宋_GB2312"/>
                <w:color w:val="auto"/>
                <w:kern w:val="2"/>
                <w:sz w:val="21"/>
                <w:szCs w:val="21"/>
                <w:highlight w:val="none"/>
                <w:lang w:val="en-US" w:eastAsia="zh-CN" w:bidi="ar-SA"/>
              </w:rPr>
            </w:pPr>
          </w:p>
        </w:tc>
        <w:tc>
          <w:tcPr>
            <w:tcW w:w="794" w:type="dxa"/>
            <w:tcBorders>
              <w:top w:val="double" w:color="auto" w:sz="6" w:space="0"/>
              <w:bottom w:val="single" w:color="auto" w:sz="6" w:space="0"/>
            </w:tcBorders>
            <w:noWrap w:val="0"/>
            <w:vAlign w:val="center"/>
          </w:tcPr>
          <w:p w14:paraId="2BD71394">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165F8A49">
            <w:pPr>
              <w:jc w:val="center"/>
              <w:rPr>
                <w:rFonts w:hint="eastAsia" w:ascii="仿宋_GB2312" w:hAnsi="宋体" w:eastAsia="仿宋_GB2312"/>
                <w:color w:val="auto"/>
                <w:kern w:val="2"/>
                <w:sz w:val="21"/>
                <w:szCs w:val="21"/>
                <w:highlight w:val="none"/>
                <w:lang w:val="en-US" w:eastAsia="zh-CN" w:bidi="ar-SA"/>
              </w:rPr>
            </w:pPr>
          </w:p>
        </w:tc>
        <w:tc>
          <w:tcPr>
            <w:tcW w:w="1334" w:type="dxa"/>
            <w:tcBorders>
              <w:top w:val="double" w:color="auto" w:sz="6" w:space="0"/>
              <w:bottom w:val="single" w:color="auto" w:sz="6" w:space="0"/>
            </w:tcBorders>
            <w:noWrap w:val="0"/>
            <w:vAlign w:val="bottom"/>
          </w:tcPr>
          <w:p w14:paraId="3A504BD9">
            <w:pPr>
              <w:jc w:val="center"/>
              <w:rPr>
                <w:rFonts w:hint="eastAsia" w:ascii="仿宋_GB2312" w:eastAsia="仿宋_GB2312"/>
                <w:color w:val="auto"/>
                <w:kern w:val="2"/>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07BA944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double" w:color="auto" w:sz="6" w:space="0"/>
              <w:bottom w:val="single" w:color="auto" w:sz="6" w:space="0"/>
            </w:tcBorders>
            <w:noWrap w:val="0"/>
            <w:vAlign w:val="center"/>
          </w:tcPr>
          <w:p w14:paraId="5D50556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253DE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noWrap w:val="0"/>
            <w:vAlign w:val="center"/>
          </w:tcPr>
          <w:p w14:paraId="59F6739E">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w:t>
            </w:r>
          </w:p>
        </w:tc>
        <w:tc>
          <w:tcPr>
            <w:tcW w:w="1549" w:type="dxa"/>
            <w:tcBorders>
              <w:top w:val="nil"/>
            </w:tcBorders>
            <w:noWrap w:val="0"/>
            <w:vAlign w:val="center"/>
          </w:tcPr>
          <w:p w14:paraId="2752EF06">
            <w:pPr>
              <w:jc w:val="center"/>
              <w:rPr>
                <w:rFonts w:hint="eastAsia" w:ascii="仿宋_GB2312" w:eastAsia="仿宋_GB2312"/>
                <w:color w:val="auto"/>
                <w:kern w:val="2"/>
                <w:sz w:val="21"/>
                <w:szCs w:val="21"/>
                <w:highlight w:val="none"/>
                <w:lang w:val="en-US" w:eastAsia="zh-CN" w:bidi="ar-SA"/>
              </w:rPr>
            </w:pPr>
          </w:p>
        </w:tc>
        <w:tc>
          <w:tcPr>
            <w:tcW w:w="1001" w:type="dxa"/>
            <w:tcBorders>
              <w:top w:val="nil"/>
            </w:tcBorders>
            <w:noWrap w:val="0"/>
            <w:vAlign w:val="center"/>
          </w:tcPr>
          <w:p w14:paraId="70620AD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nil"/>
            </w:tcBorders>
            <w:noWrap w:val="0"/>
            <w:vAlign w:val="bottom"/>
          </w:tcPr>
          <w:p w14:paraId="2E60C836">
            <w:pPr>
              <w:jc w:val="center"/>
              <w:rPr>
                <w:rFonts w:hint="eastAsia" w:ascii="仿宋_GB2312" w:eastAsia="仿宋_GB2312"/>
                <w:color w:val="auto"/>
                <w:kern w:val="2"/>
                <w:sz w:val="21"/>
                <w:szCs w:val="21"/>
                <w:highlight w:val="none"/>
                <w:lang w:val="en-US" w:eastAsia="zh-CN" w:bidi="ar-SA"/>
              </w:rPr>
            </w:pPr>
          </w:p>
        </w:tc>
        <w:tc>
          <w:tcPr>
            <w:tcW w:w="794" w:type="dxa"/>
            <w:tcBorders>
              <w:top w:val="nil"/>
            </w:tcBorders>
            <w:noWrap w:val="0"/>
            <w:vAlign w:val="center"/>
          </w:tcPr>
          <w:p w14:paraId="127ECBC3">
            <w:pPr>
              <w:jc w:val="center"/>
              <w:rPr>
                <w:rFonts w:hint="eastAsia" w:ascii="仿宋_GB2312" w:hAnsi="宋体" w:eastAsia="仿宋_GB2312"/>
                <w:color w:val="auto"/>
                <w:kern w:val="2"/>
                <w:sz w:val="21"/>
                <w:szCs w:val="21"/>
                <w:highlight w:val="none"/>
                <w:lang w:val="en-US" w:eastAsia="zh-CN" w:bidi="ar-SA"/>
              </w:rPr>
            </w:pPr>
          </w:p>
        </w:tc>
        <w:tc>
          <w:tcPr>
            <w:tcW w:w="920" w:type="dxa"/>
            <w:tcBorders>
              <w:top w:val="nil"/>
            </w:tcBorders>
            <w:noWrap w:val="0"/>
            <w:vAlign w:val="center"/>
          </w:tcPr>
          <w:p w14:paraId="0A193381">
            <w:pPr>
              <w:jc w:val="center"/>
              <w:rPr>
                <w:rFonts w:hint="eastAsia" w:ascii="仿宋_GB2312" w:hAnsi="宋体" w:eastAsia="仿宋_GB2312"/>
                <w:b/>
                <w:color w:val="auto"/>
                <w:kern w:val="2"/>
                <w:sz w:val="21"/>
                <w:szCs w:val="21"/>
                <w:highlight w:val="none"/>
                <w:lang w:val="en-US" w:eastAsia="zh-CN" w:bidi="ar-SA"/>
              </w:rPr>
            </w:pPr>
          </w:p>
        </w:tc>
        <w:tc>
          <w:tcPr>
            <w:tcW w:w="1334" w:type="dxa"/>
            <w:tcBorders>
              <w:top w:val="nil"/>
            </w:tcBorders>
            <w:noWrap w:val="0"/>
            <w:vAlign w:val="bottom"/>
          </w:tcPr>
          <w:p w14:paraId="19979C6D">
            <w:pPr>
              <w:jc w:val="center"/>
              <w:rPr>
                <w:rFonts w:hint="eastAsia" w:ascii="仿宋_GB2312" w:eastAsia="仿宋_GB2312"/>
                <w:color w:val="auto"/>
                <w:kern w:val="2"/>
                <w:sz w:val="21"/>
                <w:szCs w:val="21"/>
                <w:highlight w:val="none"/>
                <w:lang w:val="en-US" w:eastAsia="zh-CN" w:bidi="ar-SA"/>
              </w:rPr>
            </w:pPr>
          </w:p>
        </w:tc>
        <w:tc>
          <w:tcPr>
            <w:tcW w:w="920" w:type="dxa"/>
            <w:tcBorders>
              <w:top w:val="nil"/>
            </w:tcBorders>
            <w:noWrap w:val="0"/>
            <w:vAlign w:val="center"/>
          </w:tcPr>
          <w:p w14:paraId="7484E20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nil"/>
            </w:tcBorders>
            <w:noWrap w:val="0"/>
            <w:vAlign w:val="center"/>
          </w:tcPr>
          <w:p w14:paraId="70196FE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37B9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D7000F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3</w:t>
            </w:r>
          </w:p>
        </w:tc>
        <w:tc>
          <w:tcPr>
            <w:tcW w:w="1549" w:type="dxa"/>
            <w:noWrap w:val="0"/>
            <w:vAlign w:val="center"/>
          </w:tcPr>
          <w:p w14:paraId="3AE59B2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8F67677">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CD183D9">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0E7EF83">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21D3FAC">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132FDD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281EA7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472DEB92">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755E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85F0AC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4</w:t>
            </w:r>
          </w:p>
        </w:tc>
        <w:tc>
          <w:tcPr>
            <w:tcW w:w="1549" w:type="dxa"/>
            <w:noWrap w:val="0"/>
            <w:vAlign w:val="center"/>
          </w:tcPr>
          <w:p w14:paraId="22A7131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E450D1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ADE340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EDA8E60">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9FF05D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213102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6C1D5D9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7A54964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8CD6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237A5B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5</w:t>
            </w:r>
          </w:p>
        </w:tc>
        <w:tc>
          <w:tcPr>
            <w:tcW w:w="1549" w:type="dxa"/>
            <w:noWrap w:val="0"/>
            <w:vAlign w:val="center"/>
          </w:tcPr>
          <w:p w14:paraId="6F7F83F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25BEBD1">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6CC2D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2C1AC7C">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6A1B8B6">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1876D9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8BDD07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6D5C556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0F7C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C6336B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6</w:t>
            </w:r>
          </w:p>
        </w:tc>
        <w:tc>
          <w:tcPr>
            <w:tcW w:w="1549" w:type="dxa"/>
            <w:noWrap w:val="0"/>
            <w:vAlign w:val="center"/>
          </w:tcPr>
          <w:p w14:paraId="0BC51D4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871ECB3">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E93E67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C4D9E12">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DD5B9D4">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3811CF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C0992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F294BEB">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E526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3B1D46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7</w:t>
            </w:r>
          </w:p>
        </w:tc>
        <w:tc>
          <w:tcPr>
            <w:tcW w:w="1549" w:type="dxa"/>
            <w:noWrap w:val="0"/>
            <w:vAlign w:val="center"/>
          </w:tcPr>
          <w:p w14:paraId="2345561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E19846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713F3E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EB922D5">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6E5032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8131B3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601076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30FB951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ECD8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51DA03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8</w:t>
            </w:r>
          </w:p>
        </w:tc>
        <w:tc>
          <w:tcPr>
            <w:tcW w:w="1549" w:type="dxa"/>
            <w:noWrap w:val="0"/>
            <w:vAlign w:val="center"/>
          </w:tcPr>
          <w:p w14:paraId="194A96A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62FD17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7F733B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6C6255B">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C2D215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1CDECE23">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DCFD3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08A812A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D920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C7902D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9</w:t>
            </w:r>
          </w:p>
        </w:tc>
        <w:tc>
          <w:tcPr>
            <w:tcW w:w="1549" w:type="dxa"/>
            <w:noWrap w:val="0"/>
            <w:vAlign w:val="center"/>
          </w:tcPr>
          <w:p w14:paraId="468900D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8A02BBE">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2BAB000">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C84C7D2">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0A8C1F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F61517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9AD0E8C">
            <w:pPr>
              <w:spacing w:line="360" w:lineRule="auto"/>
              <w:rPr>
                <w:rFonts w:hint="eastAsia" w:ascii="宋体" w:hAnsi="宋体" w:cs="宋体"/>
                <w:color w:val="auto"/>
                <w:sz w:val="21"/>
                <w:szCs w:val="21"/>
                <w:highlight w:val="none"/>
              </w:rPr>
            </w:pPr>
          </w:p>
        </w:tc>
        <w:tc>
          <w:tcPr>
            <w:tcW w:w="828" w:type="dxa"/>
            <w:noWrap w:val="0"/>
            <w:vAlign w:val="top"/>
          </w:tcPr>
          <w:p w14:paraId="2DBB46B0">
            <w:pPr>
              <w:spacing w:line="360" w:lineRule="auto"/>
              <w:rPr>
                <w:rFonts w:hint="eastAsia" w:ascii="宋体" w:hAnsi="宋体" w:cs="宋体"/>
                <w:color w:val="auto"/>
                <w:sz w:val="21"/>
                <w:szCs w:val="21"/>
                <w:highlight w:val="none"/>
              </w:rPr>
            </w:pPr>
          </w:p>
        </w:tc>
      </w:tr>
      <w:tr w14:paraId="5D44A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16AA6C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10</w:t>
            </w:r>
          </w:p>
        </w:tc>
        <w:tc>
          <w:tcPr>
            <w:tcW w:w="1549" w:type="dxa"/>
            <w:noWrap w:val="0"/>
            <w:vAlign w:val="center"/>
          </w:tcPr>
          <w:p w14:paraId="4120503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0ED022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EAA512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231591E">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2BF516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10D006E">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6E99331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4D98A7C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E0BF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52B0BA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11</w:t>
            </w:r>
          </w:p>
        </w:tc>
        <w:tc>
          <w:tcPr>
            <w:tcW w:w="1549" w:type="dxa"/>
            <w:noWrap w:val="0"/>
            <w:vAlign w:val="center"/>
          </w:tcPr>
          <w:p w14:paraId="7698487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EA402E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FFE85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813939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2E358BA">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5B6581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1F750E">
            <w:pPr>
              <w:spacing w:line="360" w:lineRule="auto"/>
              <w:rPr>
                <w:rFonts w:hint="eastAsia" w:ascii="宋体" w:hAnsi="宋体" w:cs="宋体"/>
                <w:color w:val="auto"/>
                <w:sz w:val="21"/>
                <w:szCs w:val="21"/>
                <w:highlight w:val="none"/>
              </w:rPr>
            </w:pPr>
          </w:p>
        </w:tc>
        <w:tc>
          <w:tcPr>
            <w:tcW w:w="828" w:type="dxa"/>
            <w:noWrap w:val="0"/>
            <w:vAlign w:val="top"/>
          </w:tcPr>
          <w:p w14:paraId="3D69ECDA">
            <w:pPr>
              <w:spacing w:line="360" w:lineRule="auto"/>
              <w:rPr>
                <w:rFonts w:hint="eastAsia" w:ascii="宋体" w:hAnsi="宋体" w:cs="宋体"/>
                <w:color w:val="auto"/>
                <w:sz w:val="21"/>
                <w:szCs w:val="21"/>
                <w:highlight w:val="none"/>
              </w:rPr>
            </w:pPr>
          </w:p>
        </w:tc>
      </w:tr>
      <w:tr w14:paraId="60F03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E9CD25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12</w:t>
            </w:r>
          </w:p>
        </w:tc>
        <w:tc>
          <w:tcPr>
            <w:tcW w:w="1549" w:type="dxa"/>
            <w:noWrap w:val="0"/>
            <w:vAlign w:val="center"/>
          </w:tcPr>
          <w:p w14:paraId="7C7F16D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F18A49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212CCA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A5B0104">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A9AB3E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FB11002">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1EE2D245">
            <w:pPr>
              <w:spacing w:line="360" w:lineRule="auto"/>
              <w:rPr>
                <w:rFonts w:hint="eastAsia" w:ascii="宋体" w:hAnsi="宋体" w:cs="宋体"/>
                <w:color w:val="auto"/>
                <w:sz w:val="21"/>
                <w:szCs w:val="21"/>
                <w:highlight w:val="none"/>
              </w:rPr>
            </w:pPr>
          </w:p>
        </w:tc>
        <w:tc>
          <w:tcPr>
            <w:tcW w:w="828" w:type="dxa"/>
            <w:noWrap w:val="0"/>
            <w:vAlign w:val="top"/>
          </w:tcPr>
          <w:p w14:paraId="2FF345F0">
            <w:pPr>
              <w:spacing w:line="360" w:lineRule="auto"/>
              <w:rPr>
                <w:rFonts w:hint="eastAsia" w:ascii="宋体" w:hAnsi="宋体" w:cs="宋体"/>
                <w:color w:val="auto"/>
                <w:sz w:val="21"/>
                <w:szCs w:val="21"/>
                <w:highlight w:val="none"/>
              </w:rPr>
            </w:pPr>
          </w:p>
        </w:tc>
      </w:tr>
      <w:tr w14:paraId="263A3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AD3B821">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13</w:t>
            </w:r>
          </w:p>
        </w:tc>
        <w:tc>
          <w:tcPr>
            <w:tcW w:w="1549" w:type="dxa"/>
            <w:noWrap w:val="0"/>
            <w:vAlign w:val="center"/>
          </w:tcPr>
          <w:p w14:paraId="79C33E79">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8589A8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56238D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7A7F8E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B6F8B8F">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57DBDD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EDF92F4">
            <w:pPr>
              <w:spacing w:line="360" w:lineRule="auto"/>
              <w:rPr>
                <w:rFonts w:hint="eastAsia" w:ascii="宋体" w:hAnsi="宋体" w:cs="宋体"/>
                <w:color w:val="auto"/>
                <w:sz w:val="21"/>
                <w:szCs w:val="21"/>
                <w:highlight w:val="none"/>
              </w:rPr>
            </w:pPr>
          </w:p>
        </w:tc>
        <w:tc>
          <w:tcPr>
            <w:tcW w:w="828" w:type="dxa"/>
            <w:noWrap w:val="0"/>
            <w:vAlign w:val="top"/>
          </w:tcPr>
          <w:p w14:paraId="3BAC74A8">
            <w:pPr>
              <w:spacing w:line="360" w:lineRule="auto"/>
              <w:rPr>
                <w:rFonts w:hint="eastAsia" w:ascii="宋体" w:hAnsi="宋体" w:cs="宋体"/>
                <w:color w:val="auto"/>
                <w:sz w:val="21"/>
                <w:szCs w:val="21"/>
                <w:highlight w:val="none"/>
              </w:rPr>
            </w:pPr>
          </w:p>
        </w:tc>
      </w:tr>
      <w:tr w14:paraId="00A1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7E21EB6">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14</w:t>
            </w:r>
          </w:p>
        </w:tc>
        <w:tc>
          <w:tcPr>
            <w:tcW w:w="1549" w:type="dxa"/>
            <w:noWrap w:val="0"/>
            <w:vAlign w:val="center"/>
          </w:tcPr>
          <w:p w14:paraId="5EA91367">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FD870A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9B5064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3DE52F8">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BC809D9">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2646BDD">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441B5F3B">
            <w:pPr>
              <w:spacing w:line="360" w:lineRule="auto"/>
              <w:rPr>
                <w:rFonts w:hint="eastAsia" w:ascii="宋体" w:hAnsi="宋体" w:cs="宋体"/>
                <w:color w:val="auto"/>
                <w:sz w:val="21"/>
                <w:szCs w:val="21"/>
                <w:highlight w:val="none"/>
              </w:rPr>
            </w:pPr>
          </w:p>
        </w:tc>
        <w:tc>
          <w:tcPr>
            <w:tcW w:w="828" w:type="dxa"/>
            <w:noWrap w:val="0"/>
            <w:vAlign w:val="top"/>
          </w:tcPr>
          <w:p w14:paraId="39F2E9F6">
            <w:pPr>
              <w:spacing w:line="360" w:lineRule="auto"/>
              <w:rPr>
                <w:rFonts w:hint="eastAsia" w:ascii="宋体" w:hAnsi="宋体" w:cs="宋体"/>
                <w:color w:val="auto"/>
                <w:sz w:val="21"/>
                <w:szCs w:val="21"/>
                <w:highlight w:val="none"/>
              </w:rPr>
            </w:pPr>
          </w:p>
        </w:tc>
      </w:tr>
      <w:tr w14:paraId="77CC9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4381A7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15</w:t>
            </w:r>
          </w:p>
        </w:tc>
        <w:tc>
          <w:tcPr>
            <w:tcW w:w="1549" w:type="dxa"/>
            <w:noWrap w:val="0"/>
            <w:vAlign w:val="center"/>
          </w:tcPr>
          <w:p w14:paraId="228BEC3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767651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1205CF9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6EAFBA8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D492DA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48D478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B133B58">
            <w:pPr>
              <w:spacing w:line="360" w:lineRule="auto"/>
              <w:rPr>
                <w:rFonts w:hint="eastAsia" w:ascii="宋体" w:hAnsi="宋体" w:cs="宋体"/>
                <w:color w:val="auto"/>
                <w:sz w:val="21"/>
                <w:szCs w:val="21"/>
                <w:highlight w:val="none"/>
              </w:rPr>
            </w:pPr>
          </w:p>
        </w:tc>
        <w:tc>
          <w:tcPr>
            <w:tcW w:w="828" w:type="dxa"/>
            <w:noWrap w:val="0"/>
            <w:vAlign w:val="top"/>
          </w:tcPr>
          <w:p w14:paraId="1D2515D0">
            <w:pPr>
              <w:spacing w:line="360" w:lineRule="auto"/>
              <w:rPr>
                <w:rFonts w:hint="eastAsia" w:ascii="宋体" w:hAnsi="宋体" w:cs="宋体"/>
                <w:color w:val="auto"/>
                <w:sz w:val="21"/>
                <w:szCs w:val="21"/>
                <w:highlight w:val="none"/>
              </w:rPr>
            </w:pPr>
          </w:p>
        </w:tc>
      </w:tr>
      <w:tr w14:paraId="5FA44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A2AD18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16</w:t>
            </w:r>
          </w:p>
        </w:tc>
        <w:tc>
          <w:tcPr>
            <w:tcW w:w="1549" w:type="dxa"/>
            <w:noWrap w:val="0"/>
            <w:vAlign w:val="center"/>
          </w:tcPr>
          <w:p w14:paraId="58367A1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EEF0A3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D5B71E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ECAD364">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noWrap w:val="0"/>
            <w:vAlign w:val="center"/>
          </w:tcPr>
          <w:p w14:paraId="26C67DA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FCC44A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A0D8DB">
            <w:pPr>
              <w:spacing w:line="360" w:lineRule="auto"/>
              <w:rPr>
                <w:rFonts w:hint="eastAsia" w:ascii="宋体" w:hAnsi="宋体" w:cs="宋体"/>
                <w:color w:val="auto"/>
                <w:sz w:val="21"/>
                <w:szCs w:val="21"/>
                <w:highlight w:val="none"/>
              </w:rPr>
            </w:pPr>
          </w:p>
        </w:tc>
        <w:tc>
          <w:tcPr>
            <w:tcW w:w="828" w:type="dxa"/>
            <w:noWrap w:val="0"/>
            <w:vAlign w:val="top"/>
          </w:tcPr>
          <w:p w14:paraId="4BCB02CF">
            <w:pPr>
              <w:spacing w:line="360" w:lineRule="auto"/>
              <w:rPr>
                <w:rFonts w:hint="eastAsia" w:ascii="宋体" w:hAnsi="宋体" w:cs="宋体"/>
                <w:color w:val="auto"/>
                <w:sz w:val="21"/>
                <w:szCs w:val="21"/>
                <w:highlight w:val="none"/>
              </w:rPr>
            </w:pPr>
          </w:p>
        </w:tc>
      </w:tr>
      <w:tr w14:paraId="7438E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203103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17</w:t>
            </w:r>
          </w:p>
        </w:tc>
        <w:tc>
          <w:tcPr>
            <w:tcW w:w="1549" w:type="dxa"/>
            <w:noWrap w:val="0"/>
            <w:vAlign w:val="center"/>
          </w:tcPr>
          <w:p w14:paraId="69F022C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128E94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1725F45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65A296B">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81D7686">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E873956">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61C5B96">
            <w:pPr>
              <w:spacing w:line="360" w:lineRule="auto"/>
              <w:rPr>
                <w:rFonts w:hint="eastAsia" w:ascii="宋体" w:hAnsi="宋体" w:cs="宋体"/>
                <w:color w:val="auto"/>
                <w:sz w:val="21"/>
                <w:szCs w:val="21"/>
                <w:highlight w:val="none"/>
              </w:rPr>
            </w:pPr>
          </w:p>
        </w:tc>
        <w:tc>
          <w:tcPr>
            <w:tcW w:w="828" w:type="dxa"/>
            <w:noWrap w:val="0"/>
            <w:vAlign w:val="top"/>
          </w:tcPr>
          <w:p w14:paraId="2114073F">
            <w:pPr>
              <w:spacing w:line="360" w:lineRule="auto"/>
              <w:rPr>
                <w:rFonts w:hint="eastAsia" w:ascii="宋体" w:hAnsi="宋体" w:cs="宋体"/>
                <w:color w:val="auto"/>
                <w:sz w:val="21"/>
                <w:szCs w:val="21"/>
                <w:highlight w:val="none"/>
              </w:rPr>
            </w:pPr>
          </w:p>
        </w:tc>
      </w:tr>
      <w:tr w14:paraId="69B47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14CFBE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18</w:t>
            </w:r>
          </w:p>
        </w:tc>
        <w:tc>
          <w:tcPr>
            <w:tcW w:w="1549" w:type="dxa"/>
            <w:noWrap w:val="0"/>
            <w:vAlign w:val="center"/>
          </w:tcPr>
          <w:p w14:paraId="38CC384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96B1F7B">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7B060A9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BB9C575">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215C9CE8">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81D6CD0">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1A6E781">
            <w:pPr>
              <w:spacing w:line="360" w:lineRule="auto"/>
              <w:rPr>
                <w:rFonts w:hint="eastAsia" w:ascii="宋体" w:hAnsi="宋体" w:cs="宋体"/>
                <w:color w:val="auto"/>
                <w:sz w:val="21"/>
                <w:szCs w:val="21"/>
                <w:highlight w:val="none"/>
              </w:rPr>
            </w:pPr>
          </w:p>
        </w:tc>
        <w:tc>
          <w:tcPr>
            <w:tcW w:w="828" w:type="dxa"/>
            <w:noWrap w:val="0"/>
            <w:vAlign w:val="top"/>
          </w:tcPr>
          <w:p w14:paraId="2C4D39B5">
            <w:pPr>
              <w:spacing w:line="360" w:lineRule="auto"/>
              <w:rPr>
                <w:rFonts w:hint="eastAsia" w:ascii="宋体" w:hAnsi="宋体" w:cs="宋体"/>
                <w:color w:val="auto"/>
                <w:sz w:val="21"/>
                <w:szCs w:val="21"/>
                <w:highlight w:val="none"/>
              </w:rPr>
            </w:pPr>
          </w:p>
        </w:tc>
      </w:tr>
      <w:tr w14:paraId="42E21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A72BDF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19</w:t>
            </w:r>
          </w:p>
        </w:tc>
        <w:tc>
          <w:tcPr>
            <w:tcW w:w="1549" w:type="dxa"/>
            <w:noWrap w:val="0"/>
            <w:vAlign w:val="center"/>
          </w:tcPr>
          <w:p w14:paraId="1AE8179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92D0CC4">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09DA30D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8E2B604">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81E4C44">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56CB23A9">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52BA3568">
            <w:pPr>
              <w:spacing w:line="360" w:lineRule="auto"/>
              <w:rPr>
                <w:rFonts w:hint="eastAsia" w:ascii="宋体" w:hAnsi="宋体" w:cs="宋体"/>
                <w:color w:val="auto"/>
                <w:sz w:val="21"/>
                <w:szCs w:val="21"/>
                <w:highlight w:val="none"/>
              </w:rPr>
            </w:pPr>
          </w:p>
        </w:tc>
        <w:tc>
          <w:tcPr>
            <w:tcW w:w="828" w:type="dxa"/>
            <w:noWrap w:val="0"/>
            <w:vAlign w:val="top"/>
          </w:tcPr>
          <w:p w14:paraId="1D848DD2">
            <w:pPr>
              <w:spacing w:line="360" w:lineRule="auto"/>
              <w:rPr>
                <w:rFonts w:hint="eastAsia" w:ascii="宋体" w:hAnsi="宋体" w:cs="宋体"/>
                <w:color w:val="auto"/>
                <w:sz w:val="21"/>
                <w:szCs w:val="21"/>
                <w:highlight w:val="none"/>
              </w:rPr>
            </w:pPr>
          </w:p>
        </w:tc>
      </w:tr>
      <w:tr w14:paraId="4C244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AEAC1F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20</w:t>
            </w:r>
          </w:p>
        </w:tc>
        <w:tc>
          <w:tcPr>
            <w:tcW w:w="1549" w:type="dxa"/>
            <w:noWrap w:val="0"/>
            <w:vAlign w:val="center"/>
          </w:tcPr>
          <w:p w14:paraId="05083F7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196B161">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6A3DA20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A13EF15">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86D26D4">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EB41DE7">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6664696B">
            <w:pPr>
              <w:spacing w:line="360" w:lineRule="auto"/>
              <w:rPr>
                <w:rFonts w:hint="eastAsia" w:ascii="宋体" w:hAnsi="宋体" w:cs="宋体"/>
                <w:color w:val="auto"/>
                <w:sz w:val="21"/>
                <w:szCs w:val="21"/>
                <w:highlight w:val="none"/>
              </w:rPr>
            </w:pPr>
          </w:p>
        </w:tc>
        <w:tc>
          <w:tcPr>
            <w:tcW w:w="828" w:type="dxa"/>
            <w:noWrap w:val="0"/>
            <w:vAlign w:val="top"/>
          </w:tcPr>
          <w:p w14:paraId="34F07DD6">
            <w:pPr>
              <w:spacing w:line="360" w:lineRule="auto"/>
              <w:rPr>
                <w:rFonts w:hint="eastAsia" w:ascii="宋体" w:hAnsi="宋体" w:cs="宋体"/>
                <w:color w:val="auto"/>
                <w:sz w:val="21"/>
                <w:szCs w:val="21"/>
                <w:highlight w:val="none"/>
              </w:rPr>
            </w:pPr>
          </w:p>
        </w:tc>
      </w:tr>
    </w:tbl>
    <w:p w14:paraId="15134FCF">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52" w:name="_Toc296891268"/>
      <w:bookmarkStart w:id="453" w:name="_Toc267261699"/>
      <w:bookmarkStart w:id="454" w:name="_Toc296347227"/>
      <w:bookmarkStart w:id="455" w:name="_Toc296891056"/>
      <w:bookmarkStart w:id="456" w:name="_Toc296944567"/>
      <w:bookmarkStart w:id="457" w:name="_Toc296503228"/>
      <w:bookmarkStart w:id="458" w:name="_Toc296346729"/>
      <w:r>
        <w:rPr>
          <w:rFonts w:hint="eastAsia" w:ascii="宋体" w:hAnsi="宋体" w:cs="宋体"/>
          <w:b/>
          <w:color w:val="auto"/>
          <w:sz w:val="21"/>
          <w:szCs w:val="21"/>
          <w:highlight w:val="none"/>
        </w:rPr>
        <w:t>件5：</w:t>
      </w:r>
    </w:p>
    <w:bookmarkEnd w:id="452"/>
    <w:bookmarkEnd w:id="453"/>
    <w:bookmarkEnd w:id="454"/>
    <w:bookmarkEnd w:id="455"/>
    <w:bookmarkEnd w:id="456"/>
    <w:bookmarkEnd w:id="457"/>
    <w:bookmarkEnd w:id="458"/>
    <w:p w14:paraId="46CB3013">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承包人主要施工管理人员表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7CB87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noWrap w:val="0"/>
            <w:vAlign w:val="center"/>
          </w:tcPr>
          <w:p w14:paraId="3B94CD9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名    称</w:t>
            </w:r>
          </w:p>
        </w:tc>
        <w:tc>
          <w:tcPr>
            <w:tcW w:w="1279" w:type="dxa"/>
            <w:tcBorders>
              <w:top w:val="single" w:color="auto" w:sz="12" w:space="0"/>
              <w:bottom w:val="double" w:color="auto" w:sz="6" w:space="0"/>
            </w:tcBorders>
            <w:noWrap w:val="0"/>
            <w:vAlign w:val="center"/>
          </w:tcPr>
          <w:p w14:paraId="26AB25C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姓名</w:t>
            </w:r>
          </w:p>
        </w:tc>
        <w:tc>
          <w:tcPr>
            <w:tcW w:w="1022" w:type="dxa"/>
            <w:tcBorders>
              <w:top w:val="single" w:color="auto" w:sz="12" w:space="0"/>
              <w:bottom w:val="double" w:color="auto" w:sz="6" w:space="0"/>
            </w:tcBorders>
            <w:noWrap w:val="0"/>
            <w:vAlign w:val="center"/>
          </w:tcPr>
          <w:p w14:paraId="1FB4C86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职务</w:t>
            </w:r>
          </w:p>
        </w:tc>
        <w:tc>
          <w:tcPr>
            <w:tcW w:w="1022" w:type="dxa"/>
            <w:tcBorders>
              <w:top w:val="single" w:color="auto" w:sz="12" w:space="0"/>
              <w:bottom w:val="double" w:color="auto" w:sz="6" w:space="0"/>
            </w:tcBorders>
            <w:noWrap w:val="0"/>
            <w:vAlign w:val="center"/>
          </w:tcPr>
          <w:p w14:paraId="659FC1E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w:t>
            </w:r>
          </w:p>
        </w:tc>
        <w:tc>
          <w:tcPr>
            <w:tcW w:w="3833" w:type="dxa"/>
            <w:tcBorders>
              <w:top w:val="single" w:color="auto" w:sz="12" w:space="0"/>
              <w:bottom w:val="double" w:color="auto" w:sz="6" w:space="0"/>
            </w:tcBorders>
            <w:noWrap w:val="0"/>
            <w:vAlign w:val="center"/>
          </w:tcPr>
          <w:p w14:paraId="5187ED3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主要资历、经验及承担过的项目</w:t>
            </w:r>
          </w:p>
        </w:tc>
      </w:tr>
      <w:tr w14:paraId="58862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noWrap w:val="0"/>
            <w:vAlign w:val="center"/>
          </w:tcPr>
          <w:p w14:paraId="77280F06">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一、总部人员</w:t>
            </w:r>
          </w:p>
        </w:tc>
      </w:tr>
      <w:tr w14:paraId="1B313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20B8915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项目主管</w:t>
            </w:r>
          </w:p>
        </w:tc>
        <w:tc>
          <w:tcPr>
            <w:tcW w:w="1279" w:type="dxa"/>
            <w:tcBorders>
              <w:top w:val="nil"/>
            </w:tcBorders>
            <w:noWrap w:val="0"/>
            <w:vAlign w:val="center"/>
          </w:tcPr>
          <w:p w14:paraId="2E51CD9A">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2B053003">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1D6BE56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top w:val="nil"/>
            </w:tcBorders>
            <w:noWrap w:val="0"/>
            <w:vAlign w:val="center"/>
          </w:tcPr>
          <w:p w14:paraId="6972FCB4">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C6F3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noWrap w:val="0"/>
            <w:vAlign w:val="center"/>
          </w:tcPr>
          <w:p w14:paraId="7EBB877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43641B7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1E52D3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4A7E19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89778E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2B0D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601CED1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434A32A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2A0A6D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4A16A3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4CC122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CF5D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noWrap w:val="0"/>
            <w:vAlign w:val="center"/>
          </w:tcPr>
          <w:p w14:paraId="56EF810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3E9630A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47F482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5CF5CB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8A59B83">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7D6D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noWrap w:val="0"/>
            <w:vAlign w:val="center"/>
          </w:tcPr>
          <w:p w14:paraId="6DC40CD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二、现场人员</w:t>
            </w:r>
          </w:p>
        </w:tc>
      </w:tr>
      <w:tr w14:paraId="1B5A7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6C8E102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项目经理</w:t>
            </w:r>
          </w:p>
        </w:tc>
        <w:tc>
          <w:tcPr>
            <w:tcW w:w="1279" w:type="dxa"/>
            <w:noWrap w:val="0"/>
            <w:vAlign w:val="center"/>
          </w:tcPr>
          <w:p w14:paraId="2031C5D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3A7CCA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2087DBA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2FD1610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2B64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noWrap w:val="0"/>
            <w:vAlign w:val="center"/>
          </w:tcPr>
          <w:p w14:paraId="696FF2F5">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技术负责人</w:t>
            </w:r>
          </w:p>
        </w:tc>
        <w:tc>
          <w:tcPr>
            <w:tcW w:w="1279" w:type="dxa"/>
            <w:noWrap w:val="0"/>
            <w:vAlign w:val="center"/>
          </w:tcPr>
          <w:p w14:paraId="6F36FDC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5EF083D">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908F15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BA79C3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4568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4A1347CF">
            <w:pPr>
              <w:pStyle w:val="9"/>
              <w:keepNext/>
              <w:spacing w:after="0" w:line="360" w:lineRule="auto"/>
              <w:ind w:left="63" w:right="63"/>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施工管理</w:t>
            </w:r>
          </w:p>
        </w:tc>
        <w:tc>
          <w:tcPr>
            <w:tcW w:w="1279" w:type="dxa"/>
            <w:noWrap w:val="0"/>
            <w:vAlign w:val="center"/>
          </w:tcPr>
          <w:p w14:paraId="4463A559">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0846A1A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A5D7BEF">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03B8FA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29DC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5405C1E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质量管理</w:t>
            </w:r>
          </w:p>
        </w:tc>
        <w:tc>
          <w:tcPr>
            <w:tcW w:w="1279" w:type="dxa"/>
            <w:noWrap w:val="0"/>
            <w:vAlign w:val="center"/>
          </w:tcPr>
          <w:p w14:paraId="579D199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EBBB463">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381567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124DF99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2DC4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2DAC27F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安全管理</w:t>
            </w:r>
          </w:p>
        </w:tc>
        <w:tc>
          <w:tcPr>
            <w:tcW w:w="1279" w:type="dxa"/>
            <w:noWrap w:val="0"/>
            <w:vAlign w:val="center"/>
          </w:tcPr>
          <w:p w14:paraId="1537A51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34655BA">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96D2DD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2200848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F7C3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14CF410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24D53EB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AB1FF9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C9DE7B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C2B3A4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168C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5531CAE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5284ED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10FFF6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A20297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AE55A9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C80B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309414B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347118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CD17D6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F25510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4D8345B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A5DA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noWrap w:val="0"/>
            <w:vAlign w:val="center"/>
          </w:tcPr>
          <w:p w14:paraId="0820CA16">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1ECD0D9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7B8A84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435FCA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6C6866AF">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8244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466A1C3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nil"/>
            </w:tcBorders>
            <w:noWrap w:val="0"/>
            <w:vAlign w:val="center"/>
          </w:tcPr>
          <w:p w14:paraId="7757941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244A3A8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4583DF9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nil"/>
            </w:tcBorders>
            <w:noWrap w:val="0"/>
            <w:vAlign w:val="center"/>
          </w:tcPr>
          <w:p w14:paraId="22DF980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6937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6194B4C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1D76346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51CEE0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2E996C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774ABB5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D44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7D3AE15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BAA0E7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22EC93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3348DA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2AB65A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E51D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301E69F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C3FF24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7BA90C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DCBED4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ABDC88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2E5E1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noWrap w:val="0"/>
            <w:vAlign w:val="center"/>
          </w:tcPr>
          <w:p w14:paraId="50DD61C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single" w:color="auto" w:sz="12" w:space="0"/>
            </w:tcBorders>
            <w:noWrap w:val="0"/>
            <w:vAlign w:val="center"/>
          </w:tcPr>
          <w:p w14:paraId="6E01B16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3BC58FA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0664FEA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single" w:color="auto" w:sz="12" w:space="0"/>
            </w:tcBorders>
            <w:noWrap w:val="0"/>
            <w:vAlign w:val="center"/>
          </w:tcPr>
          <w:p w14:paraId="6AC5D0A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bl>
    <w:p w14:paraId="781CC90E">
      <w:pPr>
        <w:rPr>
          <w:rFonts w:asciiTheme="minorEastAsia" w:hAnsiTheme="minorEastAsia" w:eastAsiaTheme="minorEastAsia" w:cstheme="minorEastAsia"/>
          <w:b/>
          <w:color w:val="auto"/>
          <w:sz w:val="24"/>
          <w:highlight w:val="none"/>
        </w:rPr>
      </w:pPr>
    </w:p>
    <w:p w14:paraId="546CBB68">
      <w:pPr>
        <w:spacing w:line="360" w:lineRule="auto"/>
        <w:jc w:val="center"/>
        <w:rPr>
          <w:rFonts w:asciiTheme="minorEastAsia" w:hAnsiTheme="minorEastAsia" w:eastAsiaTheme="minorEastAsia" w:cstheme="minorEastAsia"/>
          <w:b/>
          <w:color w:val="auto"/>
          <w:sz w:val="24"/>
          <w:highlight w:val="none"/>
        </w:rPr>
      </w:pPr>
    </w:p>
    <w:p w14:paraId="36258794">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14:paraId="6207E3BF">
      <w:pPr>
        <w:spacing w:line="360" w:lineRule="auto"/>
        <w:ind w:left="720" w:firstLine="1084" w:firstLineChars="3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14:paraId="38AAB778">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7BBEDAF5">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1861ED3B">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7CD55EA7">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091B3296">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14:paraId="58B70C38">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符合参加政府采购活动应当具备的一般条件的承诺函；</w:t>
      </w:r>
    </w:p>
    <w:p w14:paraId="0A471512">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14:paraId="3ACF99DB">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本项目的特定资格要求（如有）。</w:t>
      </w:r>
    </w:p>
    <w:p w14:paraId="4E7916AF">
      <w:pPr>
        <w:pStyle w:val="32"/>
        <w:spacing w:line="360" w:lineRule="auto"/>
        <w:ind w:firstLine="480"/>
        <w:rPr>
          <w:rFonts w:asciiTheme="minorEastAsia" w:hAnsiTheme="minorEastAsia" w:eastAsiaTheme="minorEastAsia" w:cstheme="minorEastAsia"/>
          <w:color w:val="auto"/>
          <w:sz w:val="24"/>
          <w:highlight w:val="none"/>
        </w:rPr>
      </w:pPr>
    </w:p>
    <w:p w14:paraId="1BDE9ADE">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A66008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14:paraId="35E9CA84">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757A430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政府采购活动，郑重承诺：</w:t>
      </w:r>
    </w:p>
    <w:p w14:paraId="3EBC1DB9">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4633B55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具有独立承担民事责任的能力；</w:t>
      </w:r>
    </w:p>
    <w:p w14:paraId="3A4522E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具有良好的商业信誉和健全的财务会计制度； </w:t>
      </w:r>
    </w:p>
    <w:p w14:paraId="64B025C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具有履行合同所必需的设备和专业技术能力；</w:t>
      </w:r>
    </w:p>
    <w:p w14:paraId="51FE8A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有依法缴纳税收和社会保障资金的良好记录；</w:t>
      </w:r>
    </w:p>
    <w:p w14:paraId="29794C2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参加政府采购活动前三年内，在经营活动中没有重大违法记录；</w:t>
      </w:r>
    </w:p>
    <w:p w14:paraId="1E56977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具有法律、行政法规规定的其他条件。</w:t>
      </w:r>
    </w:p>
    <w:p w14:paraId="4C1B23A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7D4715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DC08B3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单位负责人为同一人或者存在直接控股、管理关系的不同供应商参加同一合同项下的政府采购活动的；</w:t>
      </w:r>
    </w:p>
    <w:p w14:paraId="4CC2D3A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为采购项目提供整体设计、规范编制或者项目管理、监理、检测等服务后再参加该采购项目的其他采购活动的。</w:t>
      </w:r>
    </w:p>
    <w:p w14:paraId="7D8F5E61">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5AC1303C">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7B364BA4">
      <w:pP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14:paraId="0AE1A1F8">
      <w:pP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14:paraId="39AD6CE7">
      <w:pP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14:paraId="7BA4892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7A84C30">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389F1B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14:paraId="7D8C147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27C5CFD1">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72F43DD">
      <w:pPr>
        <w:widowControl/>
        <w:spacing w:line="360" w:lineRule="auto"/>
        <w:ind w:firstLine="480"/>
        <w:jc w:val="left"/>
        <w:rPr>
          <w:rFonts w:asciiTheme="minorEastAsia" w:hAnsiTheme="minorEastAsia" w:eastAsiaTheme="minorEastAsia" w:cstheme="minorEastAsia"/>
          <w:color w:val="auto"/>
          <w:sz w:val="24"/>
          <w:highlight w:val="none"/>
        </w:rPr>
      </w:pPr>
    </w:p>
    <w:p w14:paraId="3AF5D417">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4278D40F">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4EBD966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46F9DF04">
      <w:pPr>
        <w:spacing w:line="360" w:lineRule="auto"/>
        <w:rPr>
          <w:rFonts w:asciiTheme="minorEastAsia" w:hAnsiTheme="minorEastAsia" w:eastAsiaTheme="minorEastAsia" w:cstheme="minorEastAsia"/>
          <w:color w:val="auto"/>
          <w:highlight w:val="none"/>
        </w:rPr>
      </w:pPr>
    </w:p>
    <w:p w14:paraId="50BA447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66748D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34B552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CCB77C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5E211B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CEC8B8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12DAA56">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EA970C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694571B">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1E60817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4398039">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1559F449">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1EDA4413">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72DC0830">
      <w:pPr>
        <w:spacing w:line="360" w:lineRule="auto"/>
        <w:jc w:val="center"/>
        <w:outlineLvl w:val="0"/>
        <w:rPr>
          <w:rFonts w:asciiTheme="minorEastAsia" w:hAnsiTheme="minorEastAsia" w:eastAsiaTheme="minorEastAsia" w:cstheme="minorEastAsia"/>
          <w:b/>
          <w:color w:val="auto"/>
          <w:kern w:val="0"/>
          <w:sz w:val="24"/>
          <w:highlight w:val="none"/>
        </w:rPr>
      </w:pPr>
    </w:p>
    <w:p w14:paraId="3BA277A0">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27C8E848">
      <w:pPr>
        <w:snapToGrid w:val="0"/>
        <w:spacing w:line="360" w:lineRule="auto"/>
        <w:ind w:firstLine="960" w:firstLineChars="400"/>
        <w:rPr>
          <w:rFonts w:asciiTheme="minorEastAsia" w:hAnsiTheme="minorEastAsia" w:eastAsiaTheme="minorEastAsia" w:cstheme="minorEastAsia"/>
          <w:color w:val="auto"/>
          <w:sz w:val="24"/>
          <w:highlight w:val="none"/>
        </w:rPr>
      </w:pPr>
    </w:p>
    <w:p w14:paraId="3008F2D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符合性自查表；</w:t>
      </w:r>
    </w:p>
    <w:p w14:paraId="77D837E9">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磋商函；</w:t>
      </w:r>
      <w:r>
        <w:rPr>
          <w:rFonts w:hint="eastAsia" w:asciiTheme="minorEastAsia" w:hAnsiTheme="minorEastAsia" w:eastAsiaTheme="minorEastAsia" w:cstheme="minorEastAsia"/>
          <w:color w:val="auto"/>
          <w:sz w:val="28"/>
          <w:szCs w:val="28"/>
          <w:highlight w:val="none"/>
          <w:lang w:val="zh-CN"/>
        </w:rPr>
        <w:t xml:space="preserve"> </w:t>
      </w:r>
    </w:p>
    <w:p w14:paraId="2636F37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授权委托书；</w:t>
      </w:r>
    </w:p>
    <w:p w14:paraId="74C115A5">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供应商情况表；</w:t>
      </w:r>
    </w:p>
    <w:p w14:paraId="068D969B">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距采购人最近或者能为本项目提供最优服务的网点情况表；</w:t>
      </w:r>
    </w:p>
    <w:p w14:paraId="785C7596">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评审标准相应的商务技术资料；</w:t>
      </w:r>
    </w:p>
    <w:p w14:paraId="281436A6">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商务偏离表；</w:t>
      </w:r>
    </w:p>
    <w:p w14:paraId="5D8A5607">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技术偏离表；</w:t>
      </w:r>
    </w:p>
    <w:p w14:paraId="6925679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同类业绩情况一览表；</w:t>
      </w:r>
    </w:p>
    <w:p w14:paraId="1BBB07E2">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10 </w:t>
      </w:r>
      <w:r>
        <w:rPr>
          <w:rFonts w:hint="eastAsia" w:asciiTheme="minorEastAsia" w:hAnsiTheme="minorEastAsia" w:eastAsiaTheme="minorEastAsia" w:cstheme="minorEastAsia"/>
          <w:color w:val="auto"/>
          <w:sz w:val="28"/>
          <w:szCs w:val="28"/>
          <w:highlight w:val="none"/>
          <w:lang w:val="zh-CN"/>
        </w:rPr>
        <w:t>政府采购供应商廉洁自律承诺书；</w:t>
      </w:r>
    </w:p>
    <w:p w14:paraId="563516D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其他资料。</w:t>
      </w:r>
    </w:p>
    <w:p w14:paraId="76C7D96B">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14:paraId="50D78245">
      <w:pPr>
        <w:numPr>
          <w:ilvl w:val="0"/>
          <w:numId w:val="7"/>
        </w:numPr>
        <w:snapToGrid w:val="0"/>
        <w:spacing w:line="360" w:lineRule="auto"/>
        <w:ind w:left="420" w:leftChars="0" w:firstLineChars="0"/>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5415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04624843">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33CE47ED">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259C4DCC">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35BBD2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748A7352">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395A5BE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7F1C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24ADA67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34B81E6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3AE472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4D13E33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7C327FD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25E44A7B">
            <w:pPr>
              <w:spacing w:line="360" w:lineRule="auto"/>
              <w:rPr>
                <w:rFonts w:asciiTheme="minorEastAsia" w:hAnsiTheme="minorEastAsia" w:eastAsiaTheme="minorEastAsia" w:cstheme="minorEastAsia"/>
                <w:color w:val="auto"/>
                <w:sz w:val="24"/>
                <w:highlight w:val="none"/>
              </w:rPr>
            </w:pPr>
          </w:p>
          <w:p w14:paraId="41A9F59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152D0C4E">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7FC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5FED9B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76DAC42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588FEFF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40CBA87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4A8375B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4CA2794C">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CDF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3BFA06E7">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378CD7E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27DC48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14:paraId="21065A8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7A8278B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DDDBD75">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900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FDD51A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50D0E0F0">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20586ED7">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72C6C6B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51454E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18DE17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874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7169F74F">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48B65985">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3E58C5EE">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1BE954D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65F1D26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4E7DE2F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37037079">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17C94631">
      <w:pPr>
        <w:numPr>
          <w:ilvl w:val="0"/>
          <w:numId w:val="7"/>
        </w:numPr>
        <w:snapToGrid w:val="0"/>
        <w:spacing w:line="360" w:lineRule="auto"/>
        <w:ind w:left="420" w:leftChars="0" w:firstLineChars="0"/>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14:paraId="6ED48FD0">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28CEBA7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采购活动，并对此项目进行磋商响应。为此：</w:t>
      </w:r>
    </w:p>
    <w:p w14:paraId="53ED16B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14:paraId="27FBCBF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我方的响应文件包括以下内容：</w:t>
      </w:r>
    </w:p>
    <w:p w14:paraId="0413A746">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FD63DF4">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14:paraId="11B4BE4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2.1.2符合参加政府采购活动应当具备的一般条件的承诺函；</w:t>
      </w:r>
    </w:p>
    <w:p w14:paraId="488C45C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823AD1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D6E109C">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7CED018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符合性自查表；</w:t>
      </w:r>
    </w:p>
    <w:p w14:paraId="6926CE74">
      <w:pPr>
        <w:snapToGrid w:val="0"/>
        <w:spacing w:line="360" w:lineRule="auto"/>
        <w:ind w:left="420" w:leftChars="200" w:firstLine="48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rPr>
        <w:t>2.2.2 磋商函；</w:t>
      </w:r>
      <w:r>
        <w:rPr>
          <w:rFonts w:hint="eastAsia" w:asciiTheme="minorEastAsia" w:hAnsiTheme="minorEastAsia" w:eastAsiaTheme="minorEastAsia" w:cstheme="minorEastAsia"/>
          <w:color w:val="auto"/>
          <w:sz w:val="24"/>
          <w:highlight w:val="none"/>
          <w:lang w:val="zh-CN"/>
        </w:rPr>
        <w:t xml:space="preserve"> </w:t>
      </w:r>
    </w:p>
    <w:p w14:paraId="460D7E51">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授权委托书；</w:t>
      </w:r>
    </w:p>
    <w:p w14:paraId="3463398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供应商情况表；</w:t>
      </w:r>
    </w:p>
    <w:p w14:paraId="7E499A6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距采购人最近或者能为本项目提供最优服务的网点情况表；</w:t>
      </w:r>
    </w:p>
    <w:p w14:paraId="78D26B69">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评审标准相应的商务技术资料；</w:t>
      </w:r>
    </w:p>
    <w:p w14:paraId="095E6FF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 商务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668634DA">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技术</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6E0D2EEB">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同类业绩情况一览表；</w:t>
      </w:r>
    </w:p>
    <w:p w14:paraId="0220D153">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2.2.10 </w:t>
      </w:r>
      <w:r>
        <w:rPr>
          <w:rFonts w:hint="eastAsia" w:asciiTheme="minorEastAsia" w:hAnsiTheme="minorEastAsia" w:eastAsiaTheme="minorEastAsia" w:cstheme="minorEastAsia"/>
          <w:color w:val="auto"/>
          <w:sz w:val="24"/>
          <w:highlight w:val="none"/>
          <w:lang w:val="zh-CN"/>
        </w:rPr>
        <w:t>政府采购供应商廉洁自律承诺书；</w:t>
      </w:r>
    </w:p>
    <w:p w14:paraId="6C846055">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其他资料。</w:t>
      </w:r>
    </w:p>
    <w:p w14:paraId="6B6F11BD">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050027CE">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14:paraId="306EA8B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2.3.2中小企业声明函（如有）；</w:t>
      </w:r>
    </w:p>
    <w:p w14:paraId="56305DE9">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14:paraId="2FF47F02">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14:paraId="3DDF904B">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政府采购统计基础信息表。</w:t>
      </w:r>
    </w:p>
    <w:p w14:paraId="019B1E8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我方承诺除商务技术偏离表列出的偏离外，我方响应采购文件的全部要求。</w:t>
      </w:r>
    </w:p>
    <w:p w14:paraId="701C9EF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如我方成交，我方承诺：</w:t>
      </w:r>
    </w:p>
    <w:p w14:paraId="34F55C28">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066CEF1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3837630">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1216EF1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3106E53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77F60A41">
      <w:pPr>
        <w:spacing w:line="360" w:lineRule="auto"/>
        <w:ind w:firstLine="3600" w:firstLineChars="1500"/>
        <w:rPr>
          <w:rFonts w:asciiTheme="minorEastAsia" w:hAnsiTheme="minorEastAsia" w:eastAsiaTheme="minorEastAsia" w:cstheme="minorEastAsia"/>
          <w:color w:val="auto"/>
          <w:sz w:val="24"/>
          <w:highlight w:val="none"/>
        </w:rPr>
      </w:pPr>
    </w:p>
    <w:p w14:paraId="5F02E8BA">
      <w:pPr>
        <w:spacing w:line="360" w:lineRule="auto"/>
        <w:ind w:firstLine="3600" w:firstLineChars="1500"/>
        <w:rPr>
          <w:rFonts w:asciiTheme="minorEastAsia" w:hAnsiTheme="minorEastAsia" w:eastAsiaTheme="minorEastAsia" w:cstheme="minorEastAsia"/>
          <w:color w:val="auto"/>
          <w:sz w:val="24"/>
          <w:highlight w:val="none"/>
        </w:rPr>
      </w:pPr>
    </w:p>
    <w:p w14:paraId="71B1D14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6B2196A9">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7366C0B5">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0C3CFA30">
      <w:pPr>
        <w:spacing w:line="360" w:lineRule="auto"/>
        <w:jc w:val="center"/>
        <w:rPr>
          <w:rFonts w:asciiTheme="minorEastAsia" w:hAnsiTheme="minorEastAsia" w:eastAsiaTheme="minorEastAsia" w:cstheme="minorEastAsia"/>
          <w:b/>
          <w:color w:val="auto"/>
          <w:kern w:val="0"/>
          <w:sz w:val="32"/>
          <w:szCs w:val="32"/>
          <w:highlight w:val="none"/>
        </w:rPr>
      </w:pPr>
    </w:p>
    <w:p w14:paraId="43B86DCE">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1C53E9BF">
      <w:pPr>
        <w:spacing w:line="360" w:lineRule="auto"/>
        <w:rPr>
          <w:rFonts w:asciiTheme="minorEastAsia" w:hAnsiTheme="minorEastAsia" w:eastAsiaTheme="minorEastAsia" w:cstheme="minorEastAsia"/>
          <w:b/>
          <w:color w:val="auto"/>
          <w:sz w:val="32"/>
          <w:szCs w:val="32"/>
          <w:highlight w:val="none"/>
        </w:rPr>
      </w:pPr>
      <w:bookmarkStart w:id="459" w:name="_Toc110393361"/>
      <w:bookmarkStart w:id="460" w:name="_Toc479927873"/>
      <w:bookmarkStart w:id="461" w:name="_Toc14746861"/>
      <w:bookmarkStart w:id="462" w:name="_Toc225223761"/>
      <w:bookmarkStart w:id="463" w:name="_Toc488936100"/>
      <w:bookmarkStart w:id="464" w:name="_Toc483379796"/>
    </w:p>
    <w:p w14:paraId="26638480">
      <w:pPr>
        <w:numPr>
          <w:ilvl w:val="0"/>
          <w:numId w:val="7"/>
        </w:numPr>
        <w:snapToGrid w:val="0"/>
        <w:spacing w:line="360" w:lineRule="auto"/>
        <w:ind w:left="420" w:leftChars="0" w:firstLineChars="0"/>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zh-CN"/>
        </w:rPr>
        <w:t>授权委托书</w:t>
      </w:r>
    </w:p>
    <w:p w14:paraId="7BCE5D95">
      <w:pPr>
        <w:spacing w:line="440" w:lineRule="exact"/>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32"/>
          <w:szCs w:val="32"/>
          <w:highlight w:val="none"/>
        </w:rPr>
        <w:t>法定代表人授权委托书</w:t>
      </w:r>
    </w:p>
    <w:p w14:paraId="4D8CE035">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56C5E4C1">
      <w:pPr>
        <w:snapToGrid w:val="0"/>
        <w:spacing w:line="360" w:lineRule="auto"/>
        <w:rPr>
          <w:rFonts w:asciiTheme="minorEastAsia" w:hAnsiTheme="minorEastAsia" w:eastAsiaTheme="minorEastAsia" w:cstheme="minorEastAsia"/>
          <w:bCs/>
          <w:color w:val="auto"/>
          <w:sz w:val="24"/>
          <w:highlight w:val="none"/>
        </w:rPr>
      </w:pPr>
    </w:p>
    <w:p w14:paraId="6AC172BD">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（采购单位名称）</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w:t>
      </w:r>
    </w:p>
    <w:p w14:paraId="37C3750A">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政府采购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14:paraId="07D215C6">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14:paraId="0C630BD5">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14:paraId="5FE2B6F8">
      <w:pPr>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4C988985">
      <w:pPr>
        <w:snapToGrid w:val="0"/>
        <w:spacing w:line="360" w:lineRule="auto"/>
        <w:rPr>
          <w:rFonts w:asciiTheme="minorEastAsia" w:hAnsiTheme="minorEastAsia" w:eastAsiaTheme="minorEastAsia" w:cstheme="minorEastAsia"/>
          <w:color w:val="auto"/>
          <w:szCs w:val="21"/>
          <w:highlight w:val="none"/>
        </w:rPr>
      </w:pPr>
    </w:p>
    <w:p w14:paraId="57FC83C1">
      <w:pPr>
        <w:snapToGrid w:val="0"/>
        <w:spacing w:line="360" w:lineRule="auto"/>
        <w:rPr>
          <w:rFonts w:asciiTheme="minorEastAsia" w:hAnsiTheme="minorEastAsia" w:eastAsiaTheme="minorEastAsia" w:cstheme="minorEastAsia"/>
          <w:color w:val="auto"/>
          <w:szCs w:val="21"/>
          <w:highlight w:val="none"/>
        </w:rPr>
      </w:pPr>
    </w:p>
    <w:p w14:paraId="37CCA1D0">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14:paraId="7F0F4602">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0020D82E">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BA0B669">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5B6E3644">
      <w:pPr>
        <w:snapToGrid w:val="0"/>
        <w:spacing w:line="360" w:lineRule="auto"/>
        <w:rPr>
          <w:rFonts w:asciiTheme="minorEastAsia" w:hAnsiTheme="minorEastAsia" w:eastAsiaTheme="minorEastAsia" w:cstheme="minorEastAsia"/>
          <w:color w:val="auto"/>
          <w:szCs w:val="21"/>
          <w:highlight w:val="none"/>
        </w:rPr>
      </w:pPr>
    </w:p>
    <w:p w14:paraId="122D9382">
      <w:pP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14:paraId="16DE94E8">
      <w:pP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14:paraId="667D70D9">
      <w:pPr>
        <w:spacing w:line="360" w:lineRule="auto"/>
        <w:rPr>
          <w:rFonts w:asciiTheme="minorEastAsia" w:hAnsiTheme="minorEastAsia" w:eastAsiaTheme="minorEastAsia" w:cstheme="minorEastAsia"/>
          <w:b/>
          <w:color w:val="auto"/>
          <w:szCs w:val="21"/>
          <w:highlight w:val="none"/>
        </w:rPr>
      </w:pPr>
    </w:p>
    <w:p w14:paraId="1FE22D0F">
      <w:pPr>
        <w:spacing w:line="360" w:lineRule="auto"/>
        <w:rPr>
          <w:rFonts w:asciiTheme="minorEastAsia" w:hAnsiTheme="minorEastAsia" w:eastAsiaTheme="minorEastAsia" w:cstheme="minorEastAsia"/>
          <w:b/>
          <w:color w:val="auto"/>
          <w:szCs w:val="21"/>
          <w:highlight w:val="none"/>
        </w:rPr>
      </w:pPr>
    </w:p>
    <w:p w14:paraId="7F50F94E">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14:paraId="1C62CFBA">
      <w:pPr>
        <w:snapToGrid w:val="0"/>
        <w:spacing w:line="360" w:lineRule="auto"/>
        <w:rPr>
          <w:rFonts w:asciiTheme="minorEastAsia" w:hAnsiTheme="minorEastAsia" w:eastAsiaTheme="minorEastAsia" w:cstheme="minorEastAsia"/>
          <w:color w:val="auto"/>
          <w:sz w:val="24"/>
          <w:highlight w:val="none"/>
        </w:rPr>
      </w:pPr>
    </w:p>
    <w:p w14:paraId="3DF05F3C">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14:paraId="66FD5FF0">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供应商基本情况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zh-CN"/>
        </w:rPr>
        <w:t>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9D5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8DD45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37EF2C0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58D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45FC2B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248C094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3029A0C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2FF681A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51A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F82A2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6E62AE4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63DA2A5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01895CF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E20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AF3550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6FBD5BD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358ED22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6A7F720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329A216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293403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2C8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14D0A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34C4DBD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209D437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49F4BE3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07EEDE5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583735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3E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57E53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0242BDA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318E726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7DF184E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72CEFF9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7E20464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9C7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6C4A48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3005B0B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3F6D9F0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7381ADA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271742A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8C9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73D1B2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30D4420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2D673F7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EE0345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674A05B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B53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600AF7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6AB1E53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103484F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2F7ECAD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124FFC9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6A2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E4401E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7FFCB36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584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4DF25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0854AA2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B11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F8D5DC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7870002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018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92EC7D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34246B3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6C8FA7A4">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73AEB8A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14:paraId="40DBF0CE">
      <w:pPr>
        <w:pStyle w:val="32"/>
        <w:spacing w:line="360" w:lineRule="auto"/>
        <w:ind w:firstLine="560"/>
        <w:rPr>
          <w:rFonts w:asciiTheme="minorEastAsia" w:hAnsiTheme="minorEastAsia" w:eastAsiaTheme="minorEastAsia" w:cstheme="minorEastAsia"/>
          <w:color w:val="auto"/>
          <w:highlight w:val="none"/>
          <w:lang w:val="zh-CN"/>
        </w:rPr>
      </w:pPr>
    </w:p>
    <w:p w14:paraId="6D90EFC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3708A7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1797696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A72B688">
      <w:pPr>
        <w:numPr>
          <w:ilvl w:val="0"/>
          <w:numId w:val="0"/>
        </w:numPr>
        <w:snapToGrid w:val="0"/>
        <w:spacing w:line="360" w:lineRule="auto"/>
        <w:ind w:left="420" w:leftChars="0"/>
        <w:jc w:val="both"/>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tbl>
      <w:tblPr>
        <w:tblStyle w:val="24"/>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46D25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2B7191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910B92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B482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F8155C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4D3C66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0765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91FD62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2338286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19621D7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4076B34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3664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231E8F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574AA19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5B797D5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5F7BA04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C8F5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EF1C44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3BFCC3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D2FE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59DAAF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89BDFA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ECE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E14A4F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442968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A6E7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834A7F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115468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47F8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7825A6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B08E4F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6A35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861B14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65049F0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518547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3EDAA9B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479B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EB1EFE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2B3921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1D24017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51249B0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2976B646">
      <w:pPr>
        <w:spacing w:line="360" w:lineRule="auto"/>
        <w:rPr>
          <w:rFonts w:asciiTheme="minorEastAsia" w:hAnsiTheme="minorEastAsia" w:eastAsiaTheme="minorEastAsia" w:cstheme="minorEastAsia"/>
          <w:color w:val="auto"/>
          <w:highlight w:val="none"/>
        </w:rPr>
      </w:pPr>
    </w:p>
    <w:p w14:paraId="231C249D">
      <w:pPr>
        <w:spacing w:line="360" w:lineRule="auto"/>
        <w:rPr>
          <w:rFonts w:asciiTheme="minorEastAsia" w:hAnsiTheme="minorEastAsia" w:eastAsiaTheme="minorEastAsia" w:cstheme="minorEastAsia"/>
          <w:color w:val="auto"/>
          <w:highlight w:val="none"/>
        </w:rPr>
      </w:pPr>
    </w:p>
    <w:p w14:paraId="732D9A8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7D8A310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1F512F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0042BB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57D6553A">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1093E684">
      <w:pPr>
        <w:snapToGrid w:val="0"/>
        <w:spacing w:line="360" w:lineRule="auto"/>
        <w:jc w:val="left"/>
        <w:rPr>
          <w:rFonts w:hint="eastAsia"/>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16C5D1AE">
      <w:pPr>
        <w:numPr>
          <w:ilvl w:val="0"/>
          <w:numId w:val="8"/>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5"/>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14:paraId="46F1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36BF30F">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042" w:type="dxa"/>
            <w:vAlign w:val="center"/>
          </w:tcPr>
          <w:p w14:paraId="73E4BFC3">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c>
          <w:tcPr>
            <w:tcW w:w="1166" w:type="dxa"/>
            <w:vAlign w:val="center"/>
          </w:tcPr>
          <w:p w14:paraId="1B6FDD16">
            <w:pPr>
              <w:numPr>
                <w:ilvl w:val="0"/>
                <w:numId w:val="0"/>
              </w:numPr>
              <w:spacing w:before="156" w:beforeLines="50" w:line="240" w:lineRule="auto"/>
              <w:ind w:left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是否响应</w:t>
            </w:r>
          </w:p>
        </w:tc>
        <w:tc>
          <w:tcPr>
            <w:tcW w:w="1414" w:type="dxa"/>
            <w:vAlign w:val="center"/>
          </w:tcPr>
          <w:p w14:paraId="76ED8388">
            <w:pPr>
              <w:numPr>
                <w:ilvl w:val="0"/>
                <w:numId w:val="0"/>
              </w:numPr>
              <w:spacing w:before="156" w:beforeLines="50" w:line="240" w:lineRule="auto"/>
              <w:ind w:left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投标人承诺或说明</w:t>
            </w:r>
          </w:p>
        </w:tc>
      </w:tr>
      <w:tr w14:paraId="6D60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05E72CB">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1</w:t>
            </w:r>
          </w:p>
        </w:tc>
        <w:tc>
          <w:tcPr>
            <w:tcW w:w="6042" w:type="dxa"/>
            <w:vAlign w:val="center"/>
          </w:tcPr>
          <w:p w14:paraId="5BC9136E">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c>
          <w:tcPr>
            <w:tcW w:w="1166" w:type="dxa"/>
          </w:tcPr>
          <w:p w14:paraId="1CEADD24">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7F4C9F4C">
            <w:pPr>
              <w:spacing w:line="360" w:lineRule="auto"/>
              <w:jc w:val="center"/>
              <w:rPr>
                <w:rFonts w:asciiTheme="minorEastAsia" w:hAnsiTheme="minorEastAsia" w:eastAsiaTheme="minorEastAsia" w:cstheme="minorEastAsia"/>
                <w:b/>
                <w:color w:val="auto"/>
                <w:kern w:val="0"/>
                <w:sz w:val="32"/>
                <w:szCs w:val="32"/>
                <w:highlight w:val="none"/>
              </w:rPr>
            </w:pPr>
          </w:p>
        </w:tc>
      </w:tr>
      <w:tr w14:paraId="54F8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1E08D57">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2</w:t>
            </w:r>
          </w:p>
        </w:tc>
        <w:tc>
          <w:tcPr>
            <w:tcW w:w="6042" w:type="dxa"/>
            <w:vAlign w:val="center"/>
          </w:tcPr>
          <w:p w14:paraId="385195F9">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17AE5743">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安全等级要求：合格</w:t>
            </w:r>
          </w:p>
        </w:tc>
        <w:tc>
          <w:tcPr>
            <w:tcW w:w="1166" w:type="dxa"/>
          </w:tcPr>
          <w:p w14:paraId="546AA6D2">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7500AC6">
            <w:pPr>
              <w:spacing w:line="360" w:lineRule="auto"/>
              <w:jc w:val="center"/>
              <w:rPr>
                <w:rFonts w:asciiTheme="minorEastAsia" w:hAnsiTheme="minorEastAsia" w:eastAsiaTheme="minorEastAsia" w:cstheme="minorEastAsia"/>
                <w:b/>
                <w:color w:val="auto"/>
                <w:kern w:val="0"/>
                <w:sz w:val="32"/>
                <w:szCs w:val="32"/>
                <w:highlight w:val="none"/>
              </w:rPr>
            </w:pPr>
          </w:p>
        </w:tc>
      </w:tr>
      <w:tr w14:paraId="3387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758C6DA">
            <w:pPr>
              <w:spacing w:before="156" w:beforeLines="50" w:line="24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宋体" w:hAnsi="宋体" w:eastAsia="宋体" w:cs="宋体"/>
                <w:b w:val="0"/>
                <w:bCs/>
                <w:color w:val="auto"/>
                <w:sz w:val="21"/>
                <w:szCs w:val="21"/>
                <w:highlight w:val="none"/>
                <w:lang w:val="en-US" w:eastAsia="zh-CN"/>
              </w:rPr>
              <w:t>3</w:t>
            </w:r>
          </w:p>
        </w:tc>
        <w:tc>
          <w:tcPr>
            <w:tcW w:w="6042" w:type="dxa"/>
            <w:vAlign w:val="center"/>
          </w:tcPr>
          <w:p w14:paraId="1237FE67">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c>
          <w:tcPr>
            <w:tcW w:w="1166" w:type="dxa"/>
          </w:tcPr>
          <w:p w14:paraId="7307955C">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F8E0DA6">
            <w:pPr>
              <w:spacing w:line="360" w:lineRule="auto"/>
              <w:jc w:val="center"/>
              <w:rPr>
                <w:rFonts w:asciiTheme="minorEastAsia" w:hAnsiTheme="minorEastAsia" w:eastAsiaTheme="minorEastAsia" w:cstheme="minorEastAsia"/>
                <w:b/>
                <w:color w:val="auto"/>
                <w:kern w:val="0"/>
                <w:sz w:val="32"/>
                <w:szCs w:val="32"/>
                <w:highlight w:val="none"/>
              </w:rPr>
            </w:pPr>
          </w:p>
        </w:tc>
      </w:tr>
      <w:tr w14:paraId="4F3C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E43045A">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5</w:t>
            </w:r>
          </w:p>
        </w:tc>
        <w:tc>
          <w:tcPr>
            <w:tcW w:w="6042" w:type="dxa"/>
            <w:vAlign w:val="center"/>
          </w:tcPr>
          <w:p w14:paraId="17647062">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付清。每次付款前，承包人需提供全额增值税专用发票，否则发包人有权延期付款且不承担违约责任。</w:t>
            </w:r>
          </w:p>
        </w:tc>
        <w:tc>
          <w:tcPr>
            <w:tcW w:w="1166" w:type="dxa"/>
          </w:tcPr>
          <w:p w14:paraId="4136CF3B">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542108A8">
            <w:pPr>
              <w:spacing w:line="360" w:lineRule="auto"/>
              <w:jc w:val="center"/>
              <w:rPr>
                <w:rFonts w:asciiTheme="minorEastAsia" w:hAnsiTheme="minorEastAsia" w:eastAsiaTheme="minorEastAsia" w:cstheme="minorEastAsia"/>
                <w:b/>
                <w:color w:val="auto"/>
                <w:kern w:val="0"/>
                <w:sz w:val="32"/>
                <w:szCs w:val="32"/>
                <w:highlight w:val="none"/>
              </w:rPr>
            </w:pPr>
          </w:p>
        </w:tc>
      </w:tr>
      <w:tr w14:paraId="275F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CEDD939">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6</w:t>
            </w:r>
          </w:p>
        </w:tc>
        <w:tc>
          <w:tcPr>
            <w:tcW w:w="6042" w:type="dxa"/>
            <w:vAlign w:val="center"/>
          </w:tcPr>
          <w:p w14:paraId="2E8B83F6">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500</w:t>
            </w:r>
            <w:r>
              <w:rPr>
                <w:rFonts w:hint="eastAsia" w:ascii="宋体" w:hAnsi="宋体" w:eastAsia="宋体" w:cs="宋体"/>
                <w:b w:val="0"/>
                <w:bCs/>
                <w:color w:val="auto"/>
                <w:sz w:val="21"/>
                <w:szCs w:val="21"/>
                <w:highlight w:val="none"/>
                <w:lang w:val="en-US" w:eastAsia="zh-CN"/>
              </w:rPr>
              <w:t>日历天内完工</w:t>
            </w:r>
          </w:p>
          <w:p w14:paraId="7D9DC0FF">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施工地点：</w:t>
            </w:r>
            <w:r>
              <w:rPr>
                <w:rFonts w:hint="eastAsia" w:ascii="宋体" w:hAnsi="宋体" w:cs="宋体"/>
                <w:b w:val="0"/>
                <w:bCs/>
                <w:color w:val="auto"/>
                <w:sz w:val="21"/>
                <w:szCs w:val="21"/>
                <w:highlight w:val="none"/>
                <w:lang w:val="en-US" w:eastAsia="zh-CN"/>
              </w:rPr>
              <w:t>业主指定地点</w:t>
            </w:r>
            <w:r>
              <w:rPr>
                <w:rFonts w:hint="eastAsia" w:ascii="宋体" w:hAnsi="宋体" w:eastAsia="宋体" w:cs="宋体"/>
                <w:b w:val="0"/>
                <w:bCs/>
                <w:color w:val="auto"/>
                <w:sz w:val="21"/>
                <w:szCs w:val="21"/>
                <w:highlight w:val="none"/>
                <w:lang w:val="en-US" w:eastAsia="zh-CN"/>
              </w:rPr>
              <w:t>。</w:t>
            </w:r>
          </w:p>
        </w:tc>
        <w:tc>
          <w:tcPr>
            <w:tcW w:w="1166" w:type="dxa"/>
          </w:tcPr>
          <w:p w14:paraId="2309B675">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32E6A361">
            <w:pPr>
              <w:spacing w:line="360" w:lineRule="auto"/>
              <w:jc w:val="center"/>
              <w:rPr>
                <w:rFonts w:asciiTheme="minorEastAsia" w:hAnsiTheme="minorEastAsia" w:eastAsiaTheme="minorEastAsia" w:cstheme="minorEastAsia"/>
                <w:b/>
                <w:color w:val="auto"/>
                <w:kern w:val="0"/>
                <w:sz w:val="32"/>
                <w:szCs w:val="32"/>
                <w:highlight w:val="none"/>
              </w:rPr>
            </w:pPr>
          </w:p>
        </w:tc>
      </w:tr>
      <w:tr w14:paraId="6AE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39FA33A">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7</w:t>
            </w:r>
          </w:p>
        </w:tc>
        <w:tc>
          <w:tcPr>
            <w:tcW w:w="6042" w:type="dxa"/>
            <w:vAlign w:val="center"/>
          </w:tcPr>
          <w:p w14:paraId="7DFAD44E">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619CF3BB">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本项目为可调价格合同，工程量按实结算</w:t>
            </w:r>
          </w:p>
        </w:tc>
        <w:tc>
          <w:tcPr>
            <w:tcW w:w="1166" w:type="dxa"/>
          </w:tcPr>
          <w:p w14:paraId="00FC53CC">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23285CEA">
            <w:pPr>
              <w:spacing w:line="360" w:lineRule="auto"/>
              <w:jc w:val="center"/>
              <w:rPr>
                <w:rFonts w:asciiTheme="minorEastAsia" w:hAnsiTheme="minorEastAsia" w:eastAsiaTheme="minorEastAsia" w:cstheme="minorEastAsia"/>
                <w:b/>
                <w:color w:val="auto"/>
                <w:kern w:val="0"/>
                <w:sz w:val="32"/>
                <w:szCs w:val="32"/>
                <w:highlight w:val="none"/>
              </w:rPr>
            </w:pPr>
          </w:p>
        </w:tc>
      </w:tr>
      <w:tr w14:paraId="6D6F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AEDFC05">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8</w:t>
            </w:r>
          </w:p>
        </w:tc>
        <w:tc>
          <w:tcPr>
            <w:tcW w:w="6042" w:type="dxa"/>
            <w:vAlign w:val="center"/>
          </w:tcPr>
          <w:p w14:paraId="021C78EA">
            <w:pPr>
              <w:spacing w:before="156" w:beforeLines="50" w:line="240" w:lineRule="auto"/>
              <w:rPr>
                <w:rFonts w:hint="default" w:asciiTheme="minorEastAsia" w:hAnsiTheme="minorEastAsia" w:eastAsiaTheme="minorEastAsia" w:cstheme="minorEastAsia"/>
                <w:b/>
                <w:color w:val="auto"/>
                <w:kern w:val="0"/>
                <w:sz w:val="32"/>
                <w:szCs w:val="32"/>
                <w:highlight w:val="none"/>
                <w:lang w:val="en-US"/>
              </w:rPr>
            </w:pPr>
            <w:r>
              <w:rPr>
                <w:rFonts w:hint="eastAsia" w:ascii="宋体" w:hAnsi="宋体" w:eastAsia="宋体" w:cs="宋体"/>
                <w:b w:val="0"/>
                <w:bCs/>
                <w:color w:val="auto"/>
                <w:sz w:val="21"/>
                <w:szCs w:val="21"/>
                <w:highlight w:val="none"/>
                <w:lang w:val="en-US" w:eastAsia="zh-CN"/>
              </w:rPr>
              <w:t>本项目签约合同价计算公式：</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预算金额</w:t>
            </w:r>
            <w:r>
              <w:rPr>
                <w:rFonts w:hint="eastAsia" w:ascii="宋体" w:hAnsi="宋体" w:cs="宋体"/>
                <w:b w:val="0"/>
                <w:bCs/>
                <w:color w:val="auto"/>
                <w:sz w:val="21"/>
                <w:szCs w:val="21"/>
                <w:highlight w:val="none"/>
                <w:lang w:val="en-US" w:eastAsia="zh-CN"/>
              </w:rPr>
              <w:t>-暂估价62000元）</w:t>
            </w:r>
            <w:r>
              <w:rPr>
                <w:rFonts w:hint="eastAsia" w:ascii="宋体" w:hAnsi="宋体" w:eastAsia="宋体" w:cs="宋体"/>
                <w:b w:val="0"/>
                <w:bCs/>
                <w:color w:val="auto"/>
                <w:sz w:val="21"/>
                <w:szCs w:val="21"/>
                <w:highlight w:val="none"/>
                <w:lang w:val="en-US" w:eastAsia="zh-CN"/>
              </w:rPr>
              <w:t>*中标综合折扣</w:t>
            </w:r>
            <w:r>
              <w:rPr>
                <w:rFonts w:hint="eastAsia" w:ascii="宋体" w:hAnsi="宋体" w:cs="宋体"/>
                <w:b w:val="0"/>
                <w:bCs/>
                <w:color w:val="auto"/>
                <w:sz w:val="21"/>
                <w:szCs w:val="21"/>
                <w:highlight w:val="none"/>
                <w:lang w:val="en-US" w:eastAsia="zh-CN"/>
              </w:rPr>
              <w:t>+暂估价62000元</w:t>
            </w:r>
          </w:p>
        </w:tc>
        <w:tc>
          <w:tcPr>
            <w:tcW w:w="1166" w:type="dxa"/>
          </w:tcPr>
          <w:p w14:paraId="09EBE03F">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4241B376">
            <w:pPr>
              <w:spacing w:line="360" w:lineRule="auto"/>
              <w:jc w:val="center"/>
              <w:rPr>
                <w:rFonts w:asciiTheme="minorEastAsia" w:hAnsiTheme="minorEastAsia" w:eastAsiaTheme="minorEastAsia" w:cstheme="minorEastAsia"/>
                <w:b/>
                <w:color w:val="auto"/>
                <w:kern w:val="0"/>
                <w:sz w:val="32"/>
                <w:szCs w:val="32"/>
                <w:highlight w:val="none"/>
              </w:rPr>
            </w:pPr>
          </w:p>
        </w:tc>
      </w:tr>
    </w:tbl>
    <w:p w14:paraId="05124ADF">
      <w:pPr>
        <w:spacing w:line="240" w:lineRule="auto"/>
        <w:ind w:firstLine="420" w:firstLineChars="200"/>
        <w:jc w:val="left"/>
        <w:rPr>
          <w:rFonts w:hint="eastAsia" w:asciiTheme="minorEastAsia" w:hAnsiTheme="minorEastAsia" w:eastAsiaTheme="minorEastAsia" w:cstheme="minorEastAsia"/>
          <w:b/>
          <w:bCs/>
          <w:color w:val="0000FF"/>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供应商保证：除商务响应表列出的偏离外，供应商响应采购文件的全部商务要求。供应商需完全响应以上商务条款要求并在“是否响应”一栏里明确，未明确响应的作无效标处理。如有优于的，可以在“投标人承诺或说明”一栏里详细说明。</w:t>
      </w:r>
    </w:p>
    <w:p w14:paraId="68C1A154">
      <w:pPr>
        <w:pStyle w:val="32"/>
        <w:ind w:left="0" w:leftChars="0" w:firstLine="0" w:firstLineChars="0"/>
        <w:rPr>
          <w:rFonts w:asciiTheme="minorEastAsia" w:hAnsiTheme="minorEastAsia" w:eastAsiaTheme="minorEastAsia" w:cstheme="minorEastAsia"/>
          <w:color w:val="auto"/>
          <w:kern w:val="0"/>
          <w:sz w:val="24"/>
          <w:highlight w:val="none"/>
          <w:lang w:val="zh-CN"/>
        </w:rPr>
      </w:pPr>
    </w:p>
    <w:p w14:paraId="231BDAB6">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0B28F6AD">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9D131F3">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1E2C955B">
      <w:pPr>
        <w:widowControl/>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八、</w:t>
      </w:r>
      <w:r>
        <w:rPr>
          <w:rFonts w:hint="eastAsia" w:asciiTheme="minorEastAsia" w:hAnsiTheme="minorEastAsia" w:eastAsiaTheme="minorEastAsia" w:cstheme="minorEastAsia"/>
          <w:b/>
          <w:color w:val="auto"/>
          <w:kern w:val="0"/>
          <w:sz w:val="32"/>
          <w:szCs w:val="32"/>
          <w:highlight w:val="none"/>
          <w:lang w:val="zh-CN"/>
        </w:rPr>
        <w:t>技术</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14:paraId="312DBA52">
      <w:pPr>
        <w:pStyle w:val="35"/>
        <w:rPr>
          <w:rFonts w:hint="default"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1、技术响应表</w:t>
      </w:r>
    </w:p>
    <w:tbl>
      <w:tblPr>
        <w:tblStyle w:val="25"/>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193"/>
        <w:gridCol w:w="1551"/>
        <w:gridCol w:w="1072"/>
      </w:tblGrid>
      <w:tr w14:paraId="2D8E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vAlign w:val="center"/>
          </w:tcPr>
          <w:p w14:paraId="0082AE9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序号</w:t>
            </w:r>
          </w:p>
        </w:tc>
        <w:tc>
          <w:tcPr>
            <w:tcW w:w="6193" w:type="dxa"/>
            <w:vAlign w:val="center"/>
          </w:tcPr>
          <w:p w14:paraId="34A41604">
            <w:pPr>
              <w:spacing w:line="240" w:lineRule="auto"/>
              <w:jc w:val="both"/>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具体内容</w:t>
            </w:r>
          </w:p>
        </w:tc>
        <w:tc>
          <w:tcPr>
            <w:tcW w:w="1551" w:type="dxa"/>
            <w:vAlign w:val="center"/>
          </w:tcPr>
          <w:p w14:paraId="015AE219">
            <w:pPr>
              <w:spacing w:line="240" w:lineRule="auto"/>
              <w:jc w:val="center"/>
              <w:rPr>
                <w:rFonts w:hint="eastAsia" w:cs="宋体"/>
                <w:color w:val="auto"/>
                <w:kern w:val="2"/>
                <w:sz w:val="21"/>
                <w:szCs w:val="21"/>
                <w:lang w:val="en-US" w:eastAsia="zh-CN" w:bidi="ar-SA"/>
              </w:rPr>
            </w:pPr>
            <w:r>
              <w:rPr>
                <w:rFonts w:hint="eastAsia" w:cs="宋体"/>
                <w:color w:val="auto"/>
                <w:kern w:val="2"/>
                <w:sz w:val="21"/>
                <w:szCs w:val="21"/>
                <w:lang w:val="en-US" w:eastAsia="zh-CN" w:bidi="ar-SA"/>
              </w:rPr>
              <w:t>投标人</w:t>
            </w:r>
          </w:p>
          <w:p w14:paraId="38A99C86">
            <w:pPr>
              <w:spacing w:line="240" w:lineRule="auto"/>
              <w:jc w:val="center"/>
              <w:rPr>
                <w:rFonts w:hint="eastAsia" w:ascii="Calibri" w:hAnsi="Calibri" w:eastAsia="宋体" w:cs="宋体"/>
                <w:color w:val="auto"/>
                <w:kern w:val="2"/>
                <w:sz w:val="21"/>
                <w:szCs w:val="21"/>
                <w:lang w:val="en-US" w:eastAsia="zh-CN" w:bidi="ar-SA"/>
              </w:rPr>
            </w:pPr>
            <w:r>
              <w:rPr>
                <w:rFonts w:hint="eastAsia" w:cs="宋体"/>
                <w:color w:val="auto"/>
                <w:kern w:val="2"/>
                <w:sz w:val="21"/>
                <w:szCs w:val="21"/>
                <w:lang w:val="en-US" w:eastAsia="zh-CN" w:bidi="ar-SA"/>
              </w:rPr>
              <w:t>响应描述</w:t>
            </w:r>
          </w:p>
        </w:tc>
        <w:tc>
          <w:tcPr>
            <w:tcW w:w="1072" w:type="dxa"/>
            <w:vAlign w:val="center"/>
          </w:tcPr>
          <w:p w14:paraId="621AFD3F">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响应或偏离说明</w:t>
            </w:r>
          </w:p>
        </w:tc>
      </w:tr>
      <w:tr w14:paraId="6416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83" w:type="dxa"/>
            <w:vAlign w:val="center"/>
          </w:tcPr>
          <w:p w14:paraId="396FD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w:t>
            </w:r>
          </w:p>
        </w:tc>
        <w:tc>
          <w:tcPr>
            <w:tcW w:w="6193" w:type="dxa"/>
            <w:vAlign w:val="center"/>
          </w:tcPr>
          <w:p w14:paraId="20C81ADD">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default"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（一）采购范围</w:t>
            </w:r>
          </w:p>
          <w:p w14:paraId="5B4219AC">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施工图范围内的</w:t>
            </w:r>
            <w:r>
              <w:rPr>
                <w:rFonts w:hint="eastAsia" w:cs="宋体"/>
                <w:color w:val="auto"/>
                <w:kern w:val="2"/>
                <w:sz w:val="21"/>
                <w:szCs w:val="21"/>
                <w:lang w:val="en-US" w:eastAsia="zh-CN" w:bidi="ar-SA"/>
              </w:rPr>
              <w:t>给水工程</w:t>
            </w:r>
            <w:r>
              <w:rPr>
                <w:rFonts w:hint="eastAsia" w:ascii="Calibri" w:hAnsi="Calibri" w:eastAsia="宋体" w:cs="宋体"/>
                <w:color w:val="auto"/>
                <w:kern w:val="2"/>
                <w:sz w:val="21"/>
                <w:szCs w:val="21"/>
                <w:lang w:val="en-US" w:eastAsia="zh-CN" w:bidi="ar-SA"/>
              </w:rPr>
              <w:t>等。</w:t>
            </w:r>
          </w:p>
          <w:p w14:paraId="6BBB750A">
            <w:pPr>
              <w:keepNext w:val="0"/>
              <w:keepLines w:val="0"/>
              <w:pageBreakBefore w:val="0"/>
              <w:widowControl w:val="0"/>
              <w:kinsoku/>
              <w:wordWrap/>
              <w:overflowPunct/>
              <w:topLinePunct w:val="0"/>
              <w:autoSpaceDE/>
              <w:autoSpaceDN/>
              <w:bidi w:val="0"/>
              <w:adjustRightInd/>
              <w:snapToGrid/>
              <w:spacing w:before="156" w:beforeLines="50" w:line="240" w:lineRule="exact"/>
              <w:ind w:left="420" w:leftChars="200" w:firstLine="0" w:firstLineChars="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（二）施工图设计情况：</w:t>
            </w:r>
          </w:p>
          <w:p w14:paraId="3E69C745">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敷设DN400球墨管约700m，敷设DN300球墨管约1794m，敷设DN200球墨管约1835m，敷设D426*10螺旋焊接钢管约7m，敷设D219*8螺旋焊接钢管约66m，敷设D159*6直缝钢管约197m，敷设D108*6直缝钢管约47m，敷设D57*4直缝钢管约113m，PE实壁管dn32约78m，PE实壁管dn100约120m，与现状给水支管的连接，上述管线上的附属设施包括排污排气阀、阀门井、水泵房一座等。</w:t>
            </w:r>
          </w:p>
          <w:p w14:paraId="6956E329">
            <w:pPr>
              <w:keepNext w:val="0"/>
              <w:keepLines w:val="0"/>
              <w:pageBreakBefore w:val="0"/>
              <w:widowControl w:val="0"/>
              <w:kinsoku/>
              <w:wordWrap/>
              <w:overflowPunct/>
              <w:topLinePunct w:val="0"/>
              <w:autoSpaceDE/>
              <w:autoSpaceDN/>
              <w:bidi w:val="0"/>
              <w:adjustRightInd/>
              <w:snapToGrid/>
              <w:spacing w:before="156" w:beforeLines="50" w:line="240" w:lineRule="exact"/>
              <w:ind w:left="420" w:leftChars="200" w:firstLine="0" w:firstLineChars="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（四）工程量清单、图纸</w:t>
            </w:r>
          </w:p>
          <w:p w14:paraId="69A65CC9">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详见采购文件附件：工程造价咨询报告书、图纸</w:t>
            </w:r>
          </w:p>
          <w:p w14:paraId="1A9DC306">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1、工程量清单说明</w:t>
            </w:r>
          </w:p>
          <w:p w14:paraId="6707EEEC">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1.1本工程量清单应与采购文件中的竞争性磋商须知、合同条款、技术标准和要求及图纸（如有）等一起阅读和理解。</w:t>
            </w:r>
          </w:p>
          <w:p w14:paraId="23C93339">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0F7101DD">
            <w:pPr>
              <w:keepNext w:val="0"/>
              <w:keepLines w:val="0"/>
              <w:pageBreakBefore w:val="0"/>
              <w:widowControl w:val="0"/>
              <w:kinsoku/>
              <w:wordWrap/>
              <w:overflowPunct/>
              <w:topLinePunct w:val="0"/>
              <w:autoSpaceDE/>
              <w:autoSpaceDN/>
              <w:bidi w:val="0"/>
              <w:adjustRightInd/>
              <w:snapToGrid/>
              <w:spacing w:before="156" w:beforeLines="50" w:line="320" w:lineRule="exact"/>
              <w:ind w:firstLine="420" w:firstLineChars="200"/>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1527229F">
            <w:pPr>
              <w:keepNext w:val="0"/>
              <w:keepLines w:val="0"/>
              <w:pageBreakBefore w:val="0"/>
              <w:widowControl w:val="0"/>
              <w:kinsoku/>
              <w:wordWrap/>
              <w:overflowPunct/>
              <w:topLinePunct w:val="0"/>
              <w:autoSpaceDE/>
              <w:autoSpaceDN/>
              <w:bidi w:val="0"/>
              <w:adjustRightInd/>
              <w:snapToGrid/>
              <w:spacing w:before="156" w:beforeLines="50" w:line="320" w:lineRule="exact"/>
              <w:ind w:firstLine="422" w:firstLineChars="200"/>
              <w:jc w:val="both"/>
              <w:textAlignment w:val="auto"/>
              <w:rPr>
                <w:rFonts w:hint="eastAsia" w:ascii="Calibri" w:hAnsi="Calibri" w:eastAsia="宋体" w:cs="宋体"/>
                <w:color w:val="auto"/>
                <w:kern w:val="2"/>
                <w:sz w:val="21"/>
                <w:szCs w:val="21"/>
                <w:lang w:val="en-US" w:eastAsia="zh-CN" w:bidi="ar-SA"/>
              </w:rPr>
            </w:pPr>
            <w:r>
              <w:rPr>
                <w:rFonts w:hint="eastAsia" w:ascii="宋体" w:hAnsi="宋体" w:cs="宋体"/>
                <w:b/>
                <w:color w:val="auto"/>
                <w:sz w:val="21"/>
                <w:szCs w:val="21"/>
                <w:highlight w:val="none"/>
                <w:lang w:val="en-US" w:eastAsia="zh-CN"/>
              </w:rPr>
              <w:t>（六）系统设计说明：详见图纸</w:t>
            </w:r>
          </w:p>
        </w:tc>
        <w:tc>
          <w:tcPr>
            <w:tcW w:w="1551" w:type="dxa"/>
            <w:vAlign w:val="center"/>
          </w:tcPr>
          <w:p w14:paraId="4BD9234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p>
        </w:tc>
        <w:tc>
          <w:tcPr>
            <w:tcW w:w="1072" w:type="dxa"/>
            <w:vAlign w:val="center"/>
          </w:tcPr>
          <w:p w14:paraId="7C36FEB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p>
        </w:tc>
      </w:tr>
    </w:tbl>
    <w:p w14:paraId="4C608549">
      <w:pPr>
        <w:spacing w:line="360" w:lineRule="auto"/>
        <w:ind w:firstLine="211" w:firstLineChars="100"/>
        <w:jc w:val="left"/>
        <w:rPr>
          <w:rFonts w:hint="eastAsia" w:ascii="Calibri" w:hAnsi="Calibri" w:eastAsia="宋体" w:cs="宋体"/>
          <w:color w:val="auto"/>
          <w:kern w:val="2"/>
          <w:sz w:val="24"/>
          <w:szCs w:val="24"/>
          <w:lang w:val="en-US" w:eastAsia="zh-CN" w:bidi="ar-SA"/>
        </w:rPr>
      </w:pPr>
      <w:r>
        <w:rPr>
          <w:rFonts w:hint="eastAsia" w:ascii="宋体" w:hAnsi="宋体" w:cs="宋体"/>
          <w:b/>
          <w:bCs/>
          <w:color w:val="auto"/>
          <w:highlight w:val="none"/>
          <w:lang w:val="en-US" w:eastAsia="zh-CN"/>
        </w:rPr>
        <w:t>注：供应商需完全响应“技术响应表 具体内容”并在“响应或偏离说明”一栏里明确，未明确响应的作扣分处理。如有优于的，可以在“投标人响应描述”一栏里详细说明。</w:t>
      </w:r>
    </w:p>
    <w:p w14:paraId="4757217C">
      <w:pPr>
        <w:spacing w:line="360" w:lineRule="auto"/>
        <w:jc w:val="left"/>
        <w:rPr>
          <w:rFonts w:hint="eastAsia" w:ascii="Calibri" w:hAnsi="Calibri" w:eastAsia="宋体" w:cs="宋体"/>
          <w:color w:val="auto"/>
          <w:kern w:val="2"/>
          <w:sz w:val="24"/>
          <w:szCs w:val="24"/>
          <w:lang w:val="en-US" w:eastAsia="zh-CN" w:bidi="ar-SA"/>
        </w:rPr>
      </w:pPr>
    </w:p>
    <w:p w14:paraId="6EFE8A0D">
      <w:pPr>
        <w:spacing w:line="360" w:lineRule="auto"/>
        <w:ind w:firstLine="720" w:firstLineChars="300"/>
        <w:jc w:val="left"/>
        <w:rPr>
          <w:rFonts w:hint="eastAsia"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2、带▲条款技术响应表</w:t>
      </w:r>
    </w:p>
    <w:tbl>
      <w:tblPr>
        <w:tblStyle w:val="24"/>
        <w:tblW w:w="97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20"/>
        <w:gridCol w:w="1557"/>
        <w:gridCol w:w="1126"/>
      </w:tblGrid>
      <w:tr w14:paraId="0F5A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1" w:type="dxa"/>
            <w:noWrap w:val="0"/>
            <w:vAlign w:val="center"/>
          </w:tcPr>
          <w:p w14:paraId="6201D5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序号</w:t>
            </w:r>
          </w:p>
        </w:tc>
        <w:tc>
          <w:tcPr>
            <w:tcW w:w="6320" w:type="dxa"/>
            <w:noWrap w:val="0"/>
            <w:vAlign w:val="center"/>
          </w:tcPr>
          <w:p w14:paraId="02FD5BB2">
            <w:pPr>
              <w:spacing w:line="240" w:lineRule="auto"/>
              <w:jc w:val="both"/>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具体内容</w:t>
            </w:r>
          </w:p>
        </w:tc>
        <w:tc>
          <w:tcPr>
            <w:tcW w:w="1557" w:type="dxa"/>
            <w:noWrap w:val="0"/>
            <w:vAlign w:val="center"/>
          </w:tcPr>
          <w:p w14:paraId="09B3E993">
            <w:pPr>
              <w:spacing w:line="240" w:lineRule="auto"/>
              <w:jc w:val="center"/>
              <w:rPr>
                <w:rFonts w:hint="eastAsia" w:cs="宋体"/>
                <w:color w:val="auto"/>
                <w:kern w:val="2"/>
                <w:sz w:val="21"/>
                <w:szCs w:val="21"/>
                <w:lang w:val="en-US" w:eastAsia="zh-CN" w:bidi="ar-SA"/>
              </w:rPr>
            </w:pPr>
            <w:r>
              <w:rPr>
                <w:rFonts w:hint="eastAsia" w:cs="宋体"/>
                <w:color w:val="auto"/>
                <w:kern w:val="2"/>
                <w:sz w:val="21"/>
                <w:szCs w:val="21"/>
                <w:lang w:val="en-US" w:eastAsia="zh-CN" w:bidi="ar-SA"/>
              </w:rPr>
              <w:t>投标人</w:t>
            </w:r>
          </w:p>
          <w:p w14:paraId="084CEE54">
            <w:pPr>
              <w:spacing w:line="240" w:lineRule="auto"/>
              <w:jc w:val="center"/>
              <w:rPr>
                <w:rFonts w:hint="eastAsia" w:ascii="Calibri" w:hAnsi="Calibri" w:eastAsia="宋体" w:cs="宋体"/>
                <w:color w:val="auto"/>
                <w:kern w:val="2"/>
                <w:sz w:val="21"/>
                <w:szCs w:val="21"/>
                <w:lang w:val="en-US" w:eastAsia="zh-CN" w:bidi="ar-SA"/>
              </w:rPr>
            </w:pPr>
            <w:r>
              <w:rPr>
                <w:rFonts w:hint="eastAsia" w:cs="宋体"/>
                <w:color w:val="auto"/>
                <w:kern w:val="2"/>
                <w:sz w:val="21"/>
                <w:szCs w:val="21"/>
                <w:lang w:val="en-US" w:eastAsia="zh-CN" w:bidi="ar-SA"/>
              </w:rPr>
              <w:t>响应描述</w:t>
            </w:r>
          </w:p>
        </w:tc>
        <w:tc>
          <w:tcPr>
            <w:tcW w:w="1126" w:type="dxa"/>
            <w:noWrap w:val="0"/>
            <w:vAlign w:val="center"/>
          </w:tcPr>
          <w:p w14:paraId="1D10FD5F">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响应或偏离说明</w:t>
            </w:r>
          </w:p>
        </w:tc>
      </w:tr>
      <w:tr w14:paraId="037D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1" w:type="dxa"/>
            <w:noWrap w:val="0"/>
            <w:vAlign w:val="center"/>
          </w:tcPr>
          <w:p w14:paraId="027231A8">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1</w:t>
            </w:r>
          </w:p>
        </w:tc>
        <w:tc>
          <w:tcPr>
            <w:tcW w:w="6320" w:type="dxa"/>
            <w:noWrap w:val="0"/>
            <w:vAlign w:val="center"/>
          </w:tcPr>
          <w:p w14:paraId="53E9CB8E">
            <w:pPr>
              <w:shd w:val="clear"/>
              <w:tabs>
                <w:tab w:val="left" w:pos="4915"/>
              </w:tabs>
              <w:spacing w:line="360" w:lineRule="auto"/>
              <w:ind w:firstLine="420"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▲5.1项目经理：市政公用工程专业注册建造师贰级及以上，并</w:t>
            </w:r>
            <w:r>
              <w:rPr>
                <w:rFonts w:hint="eastAsia" w:ascii="宋体" w:hAnsi="宋体" w:cs="宋体"/>
                <w:szCs w:val="21"/>
                <w:highlight w:val="none"/>
              </w:rPr>
              <w:t>具有建设主管部门颁发</w:t>
            </w:r>
            <w:r>
              <w:rPr>
                <w:rFonts w:hint="eastAsia" w:ascii="宋体" w:hAnsi="宋体" w:cs="宋体"/>
                <w:szCs w:val="21"/>
                <w:highlight w:val="none"/>
                <w:lang w:val="en-US" w:eastAsia="zh-CN"/>
              </w:rPr>
              <w:t>的有效</w:t>
            </w:r>
            <w:r>
              <w:rPr>
                <w:rFonts w:hint="eastAsia" w:ascii="宋体" w:hAnsi="宋体" w:cs="宋体"/>
                <w:b w:val="0"/>
                <w:bCs/>
                <w:color w:val="auto"/>
                <w:sz w:val="21"/>
                <w:szCs w:val="21"/>
                <w:highlight w:val="none"/>
                <w:lang w:val="en-US" w:eastAsia="zh-CN"/>
              </w:rPr>
              <w:t>《安全生产考核合格证书》（B类）</w:t>
            </w:r>
            <w:r>
              <w:rPr>
                <w:rFonts w:hint="eastAsia"/>
                <w:color w:val="auto"/>
                <w:highlight w:val="none"/>
                <w:lang w:eastAsia="zh-CN"/>
              </w:rPr>
              <w:t>；</w:t>
            </w:r>
            <w:r>
              <w:rPr>
                <w:rFonts w:hint="eastAsia" w:ascii="宋体" w:hAnsi="宋体" w:cs="宋体"/>
                <w:b w:val="0"/>
                <w:bCs/>
                <w:color w:val="auto"/>
                <w:sz w:val="21"/>
                <w:szCs w:val="21"/>
                <w:highlight w:val="none"/>
                <w:lang w:val="en-US" w:eastAsia="zh-CN"/>
              </w:rPr>
              <w:t>（投标文件中提供相关证书证明资料）</w:t>
            </w:r>
          </w:p>
        </w:tc>
        <w:tc>
          <w:tcPr>
            <w:tcW w:w="1557" w:type="dxa"/>
            <w:noWrap w:val="0"/>
            <w:vAlign w:val="center"/>
          </w:tcPr>
          <w:p w14:paraId="2B4E212D">
            <w:pPr>
              <w:spacing w:line="240" w:lineRule="auto"/>
              <w:jc w:val="both"/>
              <w:rPr>
                <w:rFonts w:hint="eastAsia" w:ascii="Calibri" w:hAnsi="Calibri" w:eastAsia="宋体" w:cs="宋体"/>
                <w:color w:val="auto"/>
                <w:kern w:val="2"/>
                <w:sz w:val="21"/>
                <w:szCs w:val="21"/>
                <w:lang w:val="en-US" w:eastAsia="zh-CN" w:bidi="ar-SA"/>
              </w:rPr>
            </w:pPr>
          </w:p>
        </w:tc>
        <w:tc>
          <w:tcPr>
            <w:tcW w:w="1126" w:type="dxa"/>
            <w:noWrap w:val="0"/>
            <w:vAlign w:val="center"/>
          </w:tcPr>
          <w:p w14:paraId="4C578DA2">
            <w:pPr>
              <w:spacing w:line="240" w:lineRule="auto"/>
              <w:jc w:val="both"/>
              <w:rPr>
                <w:rFonts w:hint="eastAsia" w:ascii="Calibri" w:hAnsi="Calibri" w:eastAsia="宋体" w:cs="宋体"/>
                <w:color w:val="auto"/>
                <w:kern w:val="2"/>
                <w:sz w:val="21"/>
                <w:szCs w:val="21"/>
                <w:lang w:val="en-US" w:eastAsia="zh-CN" w:bidi="ar-SA"/>
              </w:rPr>
            </w:pPr>
          </w:p>
        </w:tc>
      </w:tr>
      <w:tr w14:paraId="35E7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1" w:type="dxa"/>
            <w:noWrap w:val="0"/>
            <w:vAlign w:val="center"/>
          </w:tcPr>
          <w:p w14:paraId="43483129">
            <w:pPr>
              <w:spacing w:line="240" w:lineRule="auto"/>
              <w:jc w:val="center"/>
              <w:rPr>
                <w:rFonts w:hint="eastAsia" w:ascii="Calibri" w:hAnsi="Calibri" w:eastAsia="宋体" w:cs="宋体"/>
                <w:color w:val="auto"/>
                <w:kern w:val="2"/>
                <w:sz w:val="21"/>
                <w:szCs w:val="21"/>
                <w:lang w:val="en-US" w:eastAsia="zh-CN" w:bidi="ar-SA"/>
              </w:rPr>
            </w:pPr>
            <w:r>
              <w:rPr>
                <w:rFonts w:hint="eastAsia" w:ascii="Calibri" w:hAnsi="Calibri" w:eastAsia="宋体" w:cs="宋体"/>
                <w:color w:val="auto"/>
                <w:kern w:val="2"/>
                <w:sz w:val="21"/>
                <w:szCs w:val="21"/>
                <w:lang w:val="en-US" w:eastAsia="zh-CN" w:bidi="ar-SA"/>
              </w:rPr>
              <w:t>2</w:t>
            </w:r>
          </w:p>
        </w:tc>
        <w:tc>
          <w:tcPr>
            <w:tcW w:w="6320" w:type="dxa"/>
            <w:noWrap w:val="0"/>
            <w:vAlign w:val="center"/>
          </w:tcPr>
          <w:p w14:paraId="01451AF0">
            <w:pPr>
              <w:spacing w:line="360" w:lineRule="auto"/>
              <w:ind w:firstLine="420"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▲5.2项目专职安全员1名，</w:t>
            </w:r>
            <w:r>
              <w:rPr>
                <w:rFonts w:hint="eastAsia" w:ascii="宋体" w:hAnsi="宋体" w:cs="宋体"/>
                <w:szCs w:val="21"/>
                <w:highlight w:val="none"/>
              </w:rPr>
              <w:t>具有建设主管部门颁发</w:t>
            </w:r>
            <w:r>
              <w:rPr>
                <w:rFonts w:hint="eastAsia" w:ascii="宋体" w:hAnsi="宋体" w:cs="宋体"/>
                <w:szCs w:val="21"/>
                <w:highlight w:val="none"/>
                <w:lang w:val="en-US" w:eastAsia="zh-CN"/>
              </w:rPr>
              <w:t>的有效</w:t>
            </w:r>
            <w:r>
              <w:rPr>
                <w:rFonts w:hint="eastAsia" w:ascii="宋体" w:hAnsi="宋体" w:cs="宋体"/>
                <w:b w:val="0"/>
                <w:bCs/>
                <w:color w:val="auto"/>
                <w:sz w:val="21"/>
                <w:szCs w:val="21"/>
                <w:highlight w:val="none"/>
                <w:lang w:val="en-US" w:eastAsia="zh-CN"/>
              </w:rPr>
              <w:t>《安全生产考核合格证书》（C类）</w:t>
            </w:r>
            <w:r>
              <w:rPr>
                <w:rFonts w:hint="eastAsia"/>
                <w:color w:val="auto"/>
                <w:highlight w:val="none"/>
                <w:lang w:eastAsia="zh-CN"/>
              </w:rPr>
              <w:t>；</w:t>
            </w:r>
            <w:r>
              <w:rPr>
                <w:rFonts w:hint="eastAsia" w:ascii="宋体" w:hAnsi="宋体" w:cs="宋体"/>
                <w:b w:val="0"/>
                <w:bCs/>
                <w:color w:val="auto"/>
                <w:sz w:val="21"/>
                <w:szCs w:val="21"/>
                <w:highlight w:val="none"/>
                <w:lang w:val="en-US" w:eastAsia="zh-CN"/>
              </w:rPr>
              <w:t>（投标文件中提供相关证书证明资料）</w:t>
            </w:r>
          </w:p>
        </w:tc>
        <w:tc>
          <w:tcPr>
            <w:tcW w:w="1557" w:type="dxa"/>
            <w:noWrap w:val="0"/>
            <w:vAlign w:val="center"/>
          </w:tcPr>
          <w:p w14:paraId="6137F9DA">
            <w:pPr>
              <w:spacing w:line="240" w:lineRule="auto"/>
              <w:jc w:val="both"/>
              <w:rPr>
                <w:rFonts w:hint="eastAsia" w:ascii="Calibri" w:hAnsi="Calibri" w:eastAsia="宋体" w:cs="宋体"/>
                <w:color w:val="auto"/>
                <w:kern w:val="2"/>
                <w:sz w:val="21"/>
                <w:szCs w:val="21"/>
                <w:lang w:val="en-US" w:eastAsia="zh-CN" w:bidi="ar-SA"/>
              </w:rPr>
            </w:pPr>
          </w:p>
        </w:tc>
        <w:tc>
          <w:tcPr>
            <w:tcW w:w="1126" w:type="dxa"/>
            <w:noWrap w:val="0"/>
            <w:vAlign w:val="center"/>
          </w:tcPr>
          <w:p w14:paraId="5E8A0708">
            <w:pPr>
              <w:spacing w:line="240" w:lineRule="auto"/>
              <w:jc w:val="both"/>
              <w:rPr>
                <w:rFonts w:hint="eastAsia" w:ascii="Calibri" w:hAnsi="Calibri" w:eastAsia="宋体" w:cs="宋体"/>
                <w:color w:val="auto"/>
                <w:kern w:val="2"/>
                <w:sz w:val="21"/>
                <w:szCs w:val="21"/>
                <w:lang w:val="en-US" w:eastAsia="zh-CN" w:bidi="ar-SA"/>
              </w:rPr>
            </w:pPr>
          </w:p>
        </w:tc>
      </w:tr>
    </w:tbl>
    <w:p w14:paraId="6F310352">
      <w:pPr>
        <w:spacing w:line="360" w:lineRule="auto"/>
        <w:ind w:firstLine="420" w:firstLineChars="200"/>
        <w:rPr>
          <w:rFonts w:hint="eastAsia" w:ascii="宋体" w:hAnsi="宋体" w:cs="宋体"/>
          <w:color w:val="auto"/>
        </w:rPr>
      </w:pPr>
      <w:r>
        <w:rPr>
          <w:rFonts w:hint="eastAsia" w:ascii="宋体" w:hAnsi="宋体" w:cs="宋体"/>
          <w:color w:val="auto"/>
        </w:rPr>
        <w:t>说明：</w:t>
      </w:r>
      <w:r>
        <w:rPr>
          <w:rFonts w:hint="eastAsia" w:ascii="宋体" w:hAnsi="宋体" w:cs="宋体"/>
          <w:color w:val="auto"/>
          <w:lang w:val="en-US" w:eastAsia="zh-CN"/>
        </w:rPr>
        <w:t>采购文件中</w:t>
      </w:r>
      <w:r>
        <w:rPr>
          <w:rFonts w:hint="eastAsia" w:ascii="宋体" w:hAnsi="宋体" w:cs="宋体"/>
          <w:color w:val="auto"/>
          <w:lang w:eastAsia="zh-CN"/>
        </w:rPr>
        <w:t>“</w:t>
      </w:r>
      <w:r>
        <w:rPr>
          <w:rFonts w:hint="eastAsia" w:ascii="宋体" w:hAnsi="宋体" w:cs="宋体"/>
          <w:color w:val="auto"/>
          <w:lang w:val="en-US" w:eastAsia="zh-CN"/>
        </w:rPr>
        <w:t>第三部分 采购需求</w:t>
      </w:r>
      <w:r>
        <w:rPr>
          <w:rFonts w:hint="eastAsia" w:ascii="宋体" w:hAnsi="宋体" w:cs="宋体"/>
          <w:color w:val="auto"/>
          <w:lang w:eastAsia="zh-CN"/>
        </w:rPr>
        <w:t>”</w:t>
      </w:r>
      <w:r>
        <w:rPr>
          <w:rFonts w:hint="eastAsia" w:ascii="宋体" w:hAnsi="宋体" w:cs="宋体"/>
          <w:color w:val="auto"/>
        </w:rPr>
        <w:t>带“</w:t>
      </w:r>
      <w:r>
        <w:rPr>
          <w:rFonts w:hint="eastAsia" w:ascii="宋体" w:hAnsi="宋体" w:eastAsia="宋体" w:cs="宋体"/>
          <w:color w:val="auto"/>
          <w:szCs w:val="21"/>
        </w:rPr>
        <w:t>▲</w:t>
      </w:r>
      <w:r>
        <w:rPr>
          <w:rFonts w:hint="eastAsia" w:ascii="宋体" w:hAnsi="宋体" w:cs="宋体"/>
          <w:color w:val="auto"/>
        </w:rPr>
        <w:t>”的条款要求提供相关证明资料</w:t>
      </w:r>
      <w:r>
        <w:rPr>
          <w:rFonts w:hint="eastAsia" w:ascii="宋体" w:hAnsi="宋体" w:cs="宋体"/>
          <w:color w:val="auto"/>
          <w:lang w:eastAsia="zh-CN"/>
        </w:rPr>
        <w:t>的</w:t>
      </w:r>
      <w:r>
        <w:rPr>
          <w:rFonts w:hint="eastAsia" w:ascii="宋体" w:hAnsi="宋体" w:cs="宋体"/>
          <w:color w:val="auto"/>
        </w:rPr>
        <w:t>必须一并提供，否则视为</w:t>
      </w:r>
      <w:r>
        <w:rPr>
          <w:rFonts w:hint="eastAsia" w:ascii="宋体" w:hAnsi="宋体" w:cs="宋体"/>
          <w:color w:val="auto"/>
          <w:lang w:val="en-US" w:eastAsia="zh-CN"/>
        </w:rPr>
        <w:t>未实质性响应</w:t>
      </w:r>
      <w:r>
        <w:rPr>
          <w:rFonts w:hint="eastAsia" w:ascii="宋体" w:hAnsi="宋体" w:cs="宋体"/>
          <w:color w:val="auto"/>
        </w:rPr>
        <w:t>。</w:t>
      </w:r>
      <w:r>
        <w:rPr>
          <w:rFonts w:hint="eastAsia" w:ascii="宋体" w:hAnsi="宋体" w:cs="宋体"/>
          <w:b w:val="0"/>
          <w:bCs/>
          <w:color w:val="auto"/>
          <w:sz w:val="21"/>
          <w:szCs w:val="21"/>
          <w:highlight w:val="none"/>
          <w:lang w:val="en-US" w:eastAsia="zh-CN"/>
        </w:rPr>
        <w:t xml:space="preserve"> </w:t>
      </w:r>
    </w:p>
    <w:p w14:paraId="70CC351C">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11BE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3FB03B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0FFEDBB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3A1DC4A5">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161DAE29">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12F7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3A704C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16BE7C8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17A48CB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7F10587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1D5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F79A21D">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2D24A45A">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1F0B66E0">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0DEB9B9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4D64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BCFEFD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44FAFB36">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0A582715">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23E4A162">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6FE3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043EC27">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52F3CBC9">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20B334F2">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48C617A2">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0901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82FC9F2">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5382ED6A">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2BFCDC12">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5BAD4CE8">
            <w:pPr>
              <w:pageBreakBefore w:val="0"/>
              <w:kinsoku/>
              <w:wordWrap/>
              <w:overflowPunct/>
              <w:topLinePunct w:val="0"/>
              <w:bidi w:val="0"/>
              <w:spacing w:line="360" w:lineRule="auto"/>
              <w:jc w:val="center"/>
              <w:rPr>
                <w:rFonts w:hint="eastAsia" w:ascii="宋体" w:hAnsi="宋体" w:cs="宋体"/>
                <w:b w:val="0"/>
                <w:bCs w:val="0"/>
                <w:color w:val="FF0000"/>
                <w:sz w:val="21"/>
                <w:szCs w:val="21"/>
                <w:highlight w:val="yellow"/>
                <w:vertAlign w:val="baseline"/>
                <w:lang w:val="en-US" w:eastAsia="zh-CN"/>
              </w:rPr>
            </w:pPr>
          </w:p>
        </w:tc>
      </w:tr>
      <w:tr w14:paraId="7F69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D22E2F5">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38599C5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56FCE2A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5DC452E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6A9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E2822FC">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tcPr>
          <w:p w14:paraId="46F0922F">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tcPr>
          <w:p w14:paraId="4EBF0914">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tcPr>
          <w:p w14:paraId="3FE70410">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p>
        </w:tc>
      </w:tr>
      <w:tr w14:paraId="1D19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51A1E3A">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tcPr>
          <w:p w14:paraId="32F3988E">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是否同意合同条款及合同附件格式</w:t>
            </w:r>
          </w:p>
        </w:tc>
        <w:tc>
          <w:tcPr>
            <w:tcW w:w="3103" w:type="dxa"/>
            <w:vAlign w:val="top"/>
          </w:tcPr>
          <w:p w14:paraId="03AA9F48">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143F4ACE">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1718C1FB">
      <w:pPr>
        <w:spacing w:before="156" w:beforeLines="50" w:line="360" w:lineRule="auto"/>
        <w:ind w:firstLine="422"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2B9F5746">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8ABF80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F283B39">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637BD6F">
      <w:pPr>
        <w:pStyle w:val="32"/>
        <w:ind w:firstLine="560"/>
        <w:rPr>
          <w:rFonts w:asciiTheme="minorEastAsia" w:hAnsiTheme="minorEastAsia" w:eastAsiaTheme="minorEastAsia" w:cstheme="minorEastAsia"/>
          <w:color w:val="auto"/>
          <w:highlight w:val="none"/>
        </w:rPr>
      </w:pPr>
    </w:p>
    <w:p w14:paraId="6A943CB3">
      <w:pPr>
        <w:numPr>
          <w:ilvl w:val="0"/>
          <w:numId w:val="0"/>
        </w:numPr>
        <w:snapToGrid w:val="0"/>
        <w:spacing w:line="360" w:lineRule="auto"/>
        <w:ind w:firstLine="2570" w:firstLineChars="8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0440F2DA">
      <w:pPr>
        <w:numPr>
          <w:ilvl w:val="0"/>
          <w:numId w:val="0"/>
        </w:numPr>
        <w:snapToGrid w:val="0"/>
        <w:spacing w:line="360" w:lineRule="auto"/>
        <w:ind w:firstLine="2570" w:firstLineChars="8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31CCBB24">
      <w:pPr>
        <w:numPr>
          <w:ilvl w:val="0"/>
          <w:numId w:val="0"/>
        </w:numPr>
        <w:snapToGrid w:val="0"/>
        <w:spacing w:line="360" w:lineRule="auto"/>
        <w:ind w:firstLine="2570" w:firstLineChars="8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21782830">
      <w:pPr>
        <w:numPr>
          <w:ilvl w:val="0"/>
          <w:numId w:val="0"/>
        </w:numPr>
        <w:snapToGrid w:val="0"/>
        <w:spacing w:line="360" w:lineRule="auto"/>
        <w:ind w:firstLine="2570" w:firstLineChars="8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715B6A90">
      <w:pPr>
        <w:numPr>
          <w:ilvl w:val="0"/>
          <w:numId w:val="0"/>
        </w:numPr>
        <w:snapToGrid w:val="0"/>
        <w:spacing w:line="360" w:lineRule="auto"/>
        <w:ind w:firstLine="2570" w:firstLineChars="80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九、</w:t>
      </w:r>
      <w:r>
        <w:rPr>
          <w:rFonts w:hint="eastAsia" w:asciiTheme="minorEastAsia" w:hAnsiTheme="minorEastAsia" w:eastAsiaTheme="minorEastAsia" w:cstheme="minorEastAsia"/>
          <w:b/>
          <w:color w:val="auto"/>
          <w:kern w:val="0"/>
          <w:sz w:val="32"/>
          <w:szCs w:val="32"/>
          <w:highlight w:val="none"/>
        </w:rPr>
        <w:t>同类业绩情况一览表</w:t>
      </w:r>
    </w:p>
    <w:p w14:paraId="29DB2FB7">
      <w:pPr>
        <w:spacing w:line="360" w:lineRule="auto"/>
        <w:jc w:val="center"/>
        <w:rPr>
          <w:rFonts w:asciiTheme="minorEastAsia" w:hAnsiTheme="minorEastAsia" w:eastAsiaTheme="minorEastAsia" w:cstheme="minorEastAsia"/>
          <w:color w:val="auto"/>
          <w:highlight w:val="none"/>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7C45B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0ECF231">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5E4BAF8D">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651040E8">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168897B6">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7645A0A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DA25921">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6175A518">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3A551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CB35BDD">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47A340EA">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19B2E3F">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06358AC">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7C1DE36">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B0CF9A6">
            <w:pPr>
              <w:spacing w:line="360" w:lineRule="auto"/>
              <w:jc w:val="left"/>
              <w:rPr>
                <w:rFonts w:asciiTheme="minorEastAsia" w:hAnsiTheme="minorEastAsia" w:eastAsiaTheme="minorEastAsia" w:cstheme="minorEastAsia"/>
                <w:color w:val="auto"/>
                <w:kern w:val="0"/>
                <w:sz w:val="24"/>
                <w:highlight w:val="none"/>
              </w:rPr>
            </w:pPr>
          </w:p>
        </w:tc>
      </w:tr>
      <w:tr w14:paraId="596F0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23A2FE1">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5314FB5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69A624B">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7967E25">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86BDF1B">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593C059">
            <w:pPr>
              <w:spacing w:line="360" w:lineRule="auto"/>
              <w:jc w:val="left"/>
              <w:rPr>
                <w:rFonts w:asciiTheme="minorEastAsia" w:hAnsiTheme="minorEastAsia" w:eastAsiaTheme="minorEastAsia" w:cstheme="minorEastAsia"/>
                <w:color w:val="auto"/>
                <w:kern w:val="0"/>
                <w:sz w:val="24"/>
                <w:highlight w:val="none"/>
              </w:rPr>
            </w:pPr>
          </w:p>
        </w:tc>
      </w:tr>
      <w:tr w14:paraId="31B49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46B654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1DCFD49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82A9856">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C123A46">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7D92BB0">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E8D177B">
            <w:pPr>
              <w:spacing w:line="360" w:lineRule="auto"/>
              <w:jc w:val="left"/>
              <w:rPr>
                <w:rFonts w:asciiTheme="minorEastAsia" w:hAnsiTheme="minorEastAsia" w:eastAsiaTheme="minorEastAsia" w:cstheme="minorEastAsia"/>
                <w:color w:val="auto"/>
                <w:kern w:val="0"/>
                <w:sz w:val="24"/>
                <w:highlight w:val="none"/>
              </w:rPr>
            </w:pPr>
          </w:p>
        </w:tc>
      </w:tr>
      <w:tr w14:paraId="6155E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F284BDB">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084F8764">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7F8CD7E">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94BC22D">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F087F18">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9B5888C">
            <w:pPr>
              <w:spacing w:line="360" w:lineRule="auto"/>
              <w:jc w:val="left"/>
              <w:rPr>
                <w:rFonts w:asciiTheme="minorEastAsia" w:hAnsiTheme="minorEastAsia" w:eastAsiaTheme="minorEastAsia" w:cstheme="minorEastAsia"/>
                <w:color w:val="auto"/>
                <w:kern w:val="0"/>
                <w:sz w:val="24"/>
                <w:highlight w:val="none"/>
              </w:rPr>
            </w:pPr>
          </w:p>
        </w:tc>
      </w:tr>
      <w:tr w14:paraId="22F5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7CEBF714">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46CA1413">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F7380FF">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56EADEAD">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71EB83B">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5597A60">
            <w:pPr>
              <w:spacing w:line="360" w:lineRule="auto"/>
              <w:jc w:val="left"/>
              <w:rPr>
                <w:rFonts w:asciiTheme="minorEastAsia" w:hAnsiTheme="minorEastAsia" w:eastAsiaTheme="minorEastAsia" w:cstheme="minorEastAsia"/>
                <w:color w:val="auto"/>
                <w:kern w:val="0"/>
                <w:sz w:val="24"/>
                <w:highlight w:val="none"/>
              </w:rPr>
            </w:pPr>
          </w:p>
        </w:tc>
      </w:tr>
    </w:tbl>
    <w:p w14:paraId="15A8F11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08F1B11F">
      <w:pPr>
        <w:spacing w:line="360" w:lineRule="auto"/>
        <w:jc w:val="left"/>
        <w:rPr>
          <w:rFonts w:asciiTheme="minorEastAsia" w:hAnsiTheme="minorEastAsia" w:eastAsiaTheme="minorEastAsia" w:cstheme="minorEastAsia"/>
          <w:color w:val="auto"/>
          <w:kern w:val="0"/>
          <w:sz w:val="24"/>
          <w:highlight w:val="none"/>
        </w:rPr>
      </w:pPr>
    </w:p>
    <w:p w14:paraId="38E96F73">
      <w:pPr>
        <w:spacing w:line="360" w:lineRule="auto"/>
        <w:jc w:val="left"/>
        <w:rPr>
          <w:rFonts w:asciiTheme="minorEastAsia" w:hAnsiTheme="minorEastAsia" w:eastAsiaTheme="minorEastAsia" w:cstheme="minorEastAsia"/>
          <w:color w:val="auto"/>
          <w:kern w:val="0"/>
          <w:sz w:val="24"/>
          <w:highlight w:val="none"/>
        </w:rPr>
      </w:pPr>
    </w:p>
    <w:p w14:paraId="0A57FF4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D0AA51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C8EA27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42357193">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14:paraId="55F8A66F">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4B6C6076">
      <w:pPr>
        <w:snapToGrid w:val="0"/>
        <w:spacing w:line="360" w:lineRule="auto"/>
        <w:rPr>
          <w:rFonts w:asciiTheme="minorEastAsia" w:hAnsiTheme="minorEastAsia" w:eastAsiaTheme="minorEastAsia" w:cstheme="minorEastAsia"/>
          <w:color w:val="auto"/>
          <w:sz w:val="24"/>
          <w:highlight w:val="none"/>
        </w:rPr>
      </w:pPr>
    </w:p>
    <w:p w14:paraId="0ED6575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14:paraId="278396D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2FC521F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6256DC07">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5337B32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4E1260AD">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1340A677">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75FE6365">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544BD4C3">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676BF11B">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54F172A3">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14:paraId="4F6F784E">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02B0F24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5624E9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BCA7D6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78F5913A">
      <w:pPr>
        <w:spacing w:line="360" w:lineRule="auto"/>
        <w:ind w:left="4620" w:leftChars="2200"/>
        <w:rPr>
          <w:rFonts w:asciiTheme="minorEastAsia" w:hAnsiTheme="minorEastAsia" w:eastAsiaTheme="minorEastAsia" w:cstheme="minorEastAsia"/>
          <w:color w:val="auto"/>
          <w:sz w:val="24"/>
          <w:highlight w:val="none"/>
        </w:rPr>
      </w:pPr>
    </w:p>
    <w:p w14:paraId="3EC408D4">
      <w:pPr>
        <w:spacing w:line="360" w:lineRule="auto"/>
        <w:jc w:val="center"/>
        <w:rPr>
          <w:rFonts w:asciiTheme="minorEastAsia" w:hAnsiTheme="minorEastAsia" w:eastAsiaTheme="minorEastAsia" w:cstheme="minorEastAsia"/>
          <w:b/>
          <w:bCs/>
          <w:color w:val="auto"/>
          <w:sz w:val="24"/>
          <w:highlight w:val="none"/>
        </w:rPr>
      </w:pPr>
    </w:p>
    <w:p w14:paraId="2945C582">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4561D52">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5D50BBF3">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791A6C91">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5BB47666">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592F46A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1BE17A86">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14:paraId="7834C168">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14:paraId="694DE40F">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14:paraId="4E943F58">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14:paraId="71A00C7D">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14:paraId="121904F3">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0891CB2F">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CDF9AAA">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14:paraId="3AF3E259">
      <w:pPr>
        <w:snapToGrid w:val="0"/>
        <w:spacing w:line="360" w:lineRule="auto"/>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 xml:space="preserve">                                     </w:t>
      </w:r>
    </w:p>
    <w:p w14:paraId="6343750F">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lang w:val="en-US" w:eastAsia="zh-CN"/>
        </w:rPr>
        <w:t>本项目的实施</w:t>
      </w:r>
      <w:r>
        <w:rPr>
          <w:rFonts w:hint="eastAsia" w:asciiTheme="minorEastAsia" w:hAnsiTheme="minorEastAsia" w:eastAsiaTheme="minorEastAsia" w:cstheme="minorEastAsia"/>
          <w:color w:val="auto"/>
          <w:kern w:val="0"/>
          <w:sz w:val="24"/>
          <w:highlight w:val="none"/>
          <w:lang w:val="zh-CN"/>
        </w:rPr>
        <w:t>。</w:t>
      </w:r>
    </w:p>
    <w:p w14:paraId="5352BAA1">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报价一览表（初次报价表）(单位均为人民币元)</w:t>
      </w:r>
    </w:p>
    <w:tbl>
      <w:tblPr>
        <w:tblStyle w:val="24"/>
        <w:tblpPr w:leftFromText="180" w:rightFromText="180" w:vertAnchor="text" w:horzAnchor="margin" w:tblpX="1" w:tblpY="19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6"/>
        <w:gridCol w:w="2942"/>
        <w:gridCol w:w="1961"/>
      </w:tblGrid>
      <w:tr w14:paraId="7331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926" w:type="dxa"/>
            <w:tcBorders>
              <w:top w:val="single" w:color="auto" w:sz="4" w:space="0"/>
              <w:left w:val="single" w:color="auto" w:sz="4" w:space="0"/>
              <w:bottom w:val="single" w:color="auto" w:sz="4" w:space="0"/>
              <w:right w:val="single" w:color="auto" w:sz="4" w:space="0"/>
            </w:tcBorders>
            <w:noWrap w:val="0"/>
            <w:vAlign w:val="center"/>
          </w:tcPr>
          <w:p w14:paraId="7F09B893">
            <w:pPr>
              <w:pStyle w:val="10"/>
              <w:pageBreakBefore w:val="0"/>
              <w:kinsoku/>
              <w:wordWrap/>
              <w:overflowPunct/>
              <w:topLinePunct w:val="0"/>
              <w:bidi w:val="0"/>
              <w:spacing w:line="360" w:lineRule="auto"/>
              <w:ind w:firstLine="0"/>
              <w:jc w:val="center"/>
              <w:rPr>
                <w:color w:val="auto"/>
                <w:szCs w:val="24"/>
                <w:highlight w:val="none"/>
              </w:rPr>
            </w:pPr>
            <w:r>
              <w:rPr>
                <w:rFonts w:hint="eastAsia"/>
                <w:color w:val="auto"/>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14DB6578">
            <w:pPr>
              <w:pStyle w:val="10"/>
              <w:pageBreakBefore w:val="0"/>
              <w:kinsoku/>
              <w:wordWrap/>
              <w:overflowPunct/>
              <w:topLinePunct w:val="0"/>
              <w:bidi w:val="0"/>
              <w:spacing w:line="360" w:lineRule="auto"/>
              <w:ind w:left="0" w:leftChars="0" w:firstLine="0" w:firstLineChars="0"/>
              <w:jc w:val="center"/>
              <w:rPr>
                <w:rFonts w:hint="eastAsia" w:eastAsia="方正书宋简体"/>
                <w:color w:val="auto"/>
                <w:szCs w:val="24"/>
                <w:highlight w:val="none"/>
                <w:lang w:eastAsia="zh-CN"/>
              </w:rPr>
            </w:pPr>
            <w:r>
              <w:rPr>
                <w:rFonts w:hint="eastAsia"/>
                <w:color w:val="auto"/>
                <w:szCs w:val="24"/>
                <w:highlight w:val="none"/>
              </w:rPr>
              <w:t>投标报价</w:t>
            </w:r>
            <w:r>
              <w:rPr>
                <w:color w:val="auto"/>
                <w:szCs w:val="24"/>
                <w:highlight w:val="none"/>
              </w:rPr>
              <w:t>（</w:t>
            </w:r>
            <w:r>
              <w:rPr>
                <w:rFonts w:hint="eastAsia"/>
                <w:color w:val="auto"/>
                <w:szCs w:val="24"/>
                <w:highlight w:val="none"/>
                <w:lang w:val="en-US" w:eastAsia="zh-CN"/>
              </w:rPr>
              <w:t>综合折扣</w:t>
            </w:r>
            <w:r>
              <w:rPr>
                <w:rFonts w:hint="eastAsia"/>
                <w:color w:val="auto"/>
                <w:szCs w:val="24"/>
                <w:highlight w:val="none"/>
              </w:rPr>
              <w:t>%</w:t>
            </w:r>
            <w:r>
              <w:rPr>
                <w:color w:val="auto"/>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29BB2B99">
            <w:pPr>
              <w:pStyle w:val="10"/>
              <w:pageBreakBefore w:val="0"/>
              <w:kinsoku/>
              <w:wordWrap/>
              <w:overflowPunct/>
              <w:topLinePunct w:val="0"/>
              <w:bidi w:val="0"/>
              <w:spacing w:line="360" w:lineRule="auto"/>
              <w:ind w:firstLine="0"/>
              <w:jc w:val="both"/>
              <w:rPr>
                <w:rFonts w:hint="default" w:eastAsia="方正书宋简体"/>
                <w:color w:val="auto"/>
                <w:szCs w:val="24"/>
                <w:highlight w:val="none"/>
                <w:lang w:val="en-US" w:eastAsia="zh-CN"/>
              </w:rPr>
            </w:pPr>
            <w:r>
              <w:rPr>
                <w:rFonts w:hint="eastAsia" w:eastAsia="方正书宋简体"/>
                <w:color w:val="auto"/>
                <w:szCs w:val="24"/>
                <w:highlight w:val="none"/>
                <w:lang w:val="en-US" w:eastAsia="zh-CN"/>
              </w:rPr>
              <w:t>备注</w:t>
            </w:r>
          </w:p>
        </w:tc>
      </w:tr>
      <w:tr w14:paraId="5E63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926" w:type="dxa"/>
            <w:tcBorders>
              <w:top w:val="single" w:color="auto" w:sz="4" w:space="0"/>
              <w:left w:val="single" w:color="auto" w:sz="4" w:space="0"/>
              <w:bottom w:val="single" w:color="auto" w:sz="4" w:space="0"/>
              <w:right w:val="single" w:color="auto" w:sz="4" w:space="0"/>
            </w:tcBorders>
            <w:noWrap w:val="0"/>
            <w:vAlign w:val="center"/>
          </w:tcPr>
          <w:p w14:paraId="4C4164CD">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r>
              <w:rPr>
                <w:rFonts w:hint="eastAsia" w:ascii="宋体" w:hAnsi="宋体" w:eastAsia="宋体" w:cs="Times New Roman"/>
                <w:color w:val="auto"/>
                <w:szCs w:val="24"/>
                <w:highlight w:val="none"/>
                <w:lang w:val="en-US" w:eastAsia="zh-CN"/>
              </w:rPr>
              <w:t>X306县道（尚岭线）尚界线至葛岙水库段提升改造工程—给水迁改工程</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597458AE">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综合折扣</w:t>
            </w:r>
            <w:r>
              <w:rPr>
                <w:rFonts w:hint="eastAsia" w:ascii="宋体" w:hAnsi="宋体" w:eastAsia="宋体" w:cs="Times New Roman"/>
                <w:color w:val="auto"/>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72B994AE">
            <w:pPr>
              <w:pStyle w:val="10"/>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p>
        </w:tc>
      </w:tr>
    </w:tbl>
    <w:p w14:paraId="1F4A7FE5">
      <w:pPr>
        <w:shd w:val="clear"/>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r>
        <w:rPr>
          <w:rFonts w:hint="eastAsia" w:ascii="宋体" w:hAnsi="宋体" w:eastAsia="宋体" w:cs="Times New Roman"/>
          <w:b/>
          <w:color w:val="auto"/>
          <w:sz w:val="24"/>
          <w:highlight w:val="none"/>
          <w:u w:val="single"/>
          <w:lang w:val="zh-CN"/>
        </w:rPr>
        <w:t>1、磋商</w:t>
      </w:r>
      <w:r>
        <w:rPr>
          <w:rFonts w:hint="eastAsia" w:ascii="宋体" w:hAnsi="宋体" w:eastAsia="宋体" w:cs="Times New Roman"/>
          <w:b/>
          <w:color w:val="auto"/>
          <w:sz w:val="24"/>
          <w:highlight w:val="none"/>
          <w:u w:val="single"/>
        </w:rPr>
        <w:t>报价</w:t>
      </w:r>
      <w:r>
        <w:rPr>
          <w:rFonts w:hint="eastAsia" w:ascii="宋体" w:hAnsi="宋体"/>
          <w:b/>
          <w:color w:val="auto"/>
          <w:sz w:val="24"/>
          <w:highlight w:val="none"/>
          <w:u w:val="single"/>
        </w:rPr>
        <w:t>折</w:t>
      </w:r>
      <w:r>
        <w:rPr>
          <w:rFonts w:ascii="宋体" w:hAnsi="宋体"/>
          <w:b/>
          <w:color w:val="auto"/>
          <w:sz w:val="24"/>
          <w:highlight w:val="none"/>
          <w:u w:val="single"/>
        </w:rPr>
        <w:t>扣</w:t>
      </w:r>
      <w:r>
        <w:rPr>
          <w:rFonts w:hint="eastAsia" w:ascii="宋体" w:hAnsi="宋体"/>
          <w:b/>
          <w:color w:val="auto"/>
          <w:sz w:val="24"/>
          <w:highlight w:val="none"/>
          <w:u w:val="single"/>
        </w:rPr>
        <w:t>以“%”的形式填写。</w:t>
      </w:r>
      <w:r>
        <w:rPr>
          <w:rFonts w:hint="eastAsia"/>
          <w:b/>
          <w:color w:val="auto"/>
          <w:sz w:val="24"/>
          <w:highlight w:val="none"/>
          <w:u w:val="single"/>
        </w:rPr>
        <w:t>本次项目设有最高折扣（94%），未按折扣进行报价或超过最高综合折扣进行报价的磋商响应文件作无效处理。</w:t>
      </w:r>
    </w:p>
    <w:p w14:paraId="23EE1026">
      <w:pPr>
        <w:snapToGrid w:val="0"/>
        <w:spacing w:line="360" w:lineRule="auto"/>
        <w:ind w:left="48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2、报价一经涂改，应在涂改处加盖单位公章或者由法定代表人或授权委托人签名或盖章，否则其投标作无效标处理。</w:t>
      </w:r>
    </w:p>
    <w:p w14:paraId="51DCD216">
      <w:pPr>
        <w:snapToGrid w:val="0"/>
        <w:spacing w:line="360" w:lineRule="auto"/>
        <w:ind w:left="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供应商需按本表格式填写，不得自行更改。</w:t>
      </w:r>
    </w:p>
    <w:p w14:paraId="6AC8F8B4">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响应文件含有采购人不能接受的附加条件的，</w:t>
      </w: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b/>
          <w:color w:val="auto"/>
          <w:kern w:val="0"/>
          <w:sz w:val="24"/>
          <w:highlight w:val="none"/>
          <w:lang w:val="zh-CN"/>
        </w:rPr>
        <w:t>。</w:t>
      </w:r>
    </w:p>
    <w:p w14:paraId="66BB9E23">
      <w:pPr>
        <w:spacing w:line="360" w:lineRule="auto"/>
        <w:rPr>
          <w:rFonts w:hint="eastAsia" w:asciiTheme="minorEastAsia" w:hAnsiTheme="minorEastAsia" w:eastAsiaTheme="minorEastAsia" w:cstheme="minorEastAsia"/>
          <w:color w:val="auto"/>
          <w:sz w:val="24"/>
          <w:highlight w:val="none"/>
        </w:rPr>
      </w:pPr>
    </w:p>
    <w:p w14:paraId="1FD849E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定代表人或其授权委托人（签名或印章）：  </w:t>
      </w:r>
    </w:p>
    <w:p w14:paraId="29434C2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14:paraId="16F9CF1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14:paraId="25F12156">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15AA0F30">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236BD98F">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7252666">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6614B6E9">
      <w:pPr>
        <w:spacing w:line="360" w:lineRule="auto"/>
        <w:rPr>
          <w:rFonts w:asciiTheme="minorEastAsia" w:hAnsiTheme="minorEastAsia" w:eastAsiaTheme="minorEastAsia" w:cstheme="minorEastAsia"/>
          <w:color w:val="auto"/>
          <w:highlight w:val="none"/>
        </w:rPr>
      </w:pPr>
    </w:p>
    <w:p w14:paraId="7A31C3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highlight w:val="none"/>
          <w:u w:val="single"/>
          <w:lang w:eastAsia="zh-CN"/>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宁波市奉化区惠海地下管线投资有限公司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b/>
          <w:bCs/>
          <w:color w:val="auto"/>
          <w:sz w:val="24"/>
          <w:highlight w:val="none"/>
          <w:u w:val="single"/>
          <w:lang w:val="en-US" w:eastAsia="zh-CN"/>
        </w:rPr>
        <w:t xml:space="preserve"> X306县道（尚岭线）尚界线至葛岙水库段提升改造工程—给水迁改工程</w:t>
      </w:r>
      <w:r>
        <w:rPr>
          <w:rFonts w:hint="eastAsia" w:asciiTheme="minorEastAsia" w:hAnsiTheme="minorEastAsia" w:eastAsiaTheme="minorEastAsia" w:cstheme="minorEastAsia"/>
          <w:color w:val="auto"/>
          <w:sz w:val="24"/>
          <w:highlight w:val="none"/>
        </w:rPr>
        <w:t>采购活动，</w:t>
      </w:r>
      <w:r>
        <w:rPr>
          <w:rFonts w:hint="eastAsia" w:asciiTheme="minorEastAsia" w:hAnsiTheme="minorEastAsia" w:eastAsiaTheme="minorEastAsia" w:cstheme="minorEastAsia"/>
          <w:color w:val="auto"/>
          <w:sz w:val="24"/>
          <w:highlight w:val="none"/>
          <w:lang w:val="en-US" w:eastAsia="zh-CN"/>
        </w:rPr>
        <w:t>工程</w:t>
      </w:r>
      <w:r>
        <w:rPr>
          <w:rFonts w:hint="eastAsia" w:asciiTheme="minorEastAsia" w:hAnsiTheme="minorEastAsia" w:eastAsiaTheme="minorEastAsia" w:cstheme="minorEastAsia"/>
          <w:color w:val="auto"/>
          <w:sz w:val="24"/>
          <w:highlight w:val="none"/>
        </w:rPr>
        <w:t>全部由符合政策要求的中小企业承接。相关企业的具体情况如下：</w:t>
      </w:r>
    </w:p>
    <w:p w14:paraId="126961A6">
      <w:pPr>
        <w:spacing w:line="360" w:lineRule="auto"/>
        <w:ind w:firstLine="482"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val="en-US" w:eastAsia="zh-CN"/>
        </w:rPr>
        <w:t>X306县道（尚岭线）尚界线至葛岙水库段提升改造工程—给水迁改工程</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val="en-US" w:eastAsia="zh-CN"/>
        </w:rPr>
        <w:t>建筑</w:t>
      </w:r>
      <w:r>
        <w:rPr>
          <w:rFonts w:hint="eastAsia" w:asciiTheme="minorEastAsia" w:hAnsiTheme="minorEastAsia" w:eastAsiaTheme="minorEastAsia" w:cstheme="minorEastAsia"/>
          <w:color w:val="auto"/>
          <w:sz w:val="24"/>
          <w:highlight w:val="none"/>
          <w:u w:val="single"/>
        </w:rPr>
        <w:t>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191E1574">
      <w:pPr>
        <w:spacing w:line="360" w:lineRule="auto"/>
        <w:jc w:val="left"/>
        <w:rPr>
          <w:rFonts w:asciiTheme="minorEastAsia" w:hAnsiTheme="minorEastAsia" w:eastAsiaTheme="minorEastAsia" w:cstheme="minorEastAsia"/>
          <w:color w:val="auto"/>
          <w:sz w:val="24"/>
          <w:highlight w:val="none"/>
        </w:rPr>
      </w:pPr>
    </w:p>
    <w:p w14:paraId="60D37F2A">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49B594A">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3E0A5A75">
      <w:pPr>
        <w:spacing w:line="360" w:lineRule="auto"/>
        <w:ind w:right="1760"/>
        <w:jc w:val="right"/>
        <w:rPr>
          <w:rFonts w:asciiTheme="minorEastAsia" w:hAnsiTheme="minorEastAsia" w:eastAsiaTheme="minorEastAsia" w:cstheme="minorEastAsia"/>
          <w:color w:val="auto"/>
          <w:sz w:val="24"/>
          <w:highlight w:val="none"/>
        </w:rPr>
      </w:pPr>
    </w:p>
    <w:p w14:paraId="2AE4A831">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供应商名称（电子签名）：</w:t>
      </w:r>
    </w:p>
    <w:p w14:paraId="6EFE7E76">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715427FE">
      <w:pPr>
        <w:spacing w:line="360" w:lineRule="auto"/>
        <w:ind w:firstLine="310" w:firstLineChars="14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6E8E33A7">
      <w:pPr>
        <w:spacing w:line="360" w:lineRule="auto"/>
        <w:ind w:right="-28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687B9A4">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07013213">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四、残疾人福利性单位声明函</w:t>
      </w:r>
    </w:p>
    <w:p w14:paraId="48835239">
      <w:pPr>
        <w:spacing w:line="360" w:lineRule="auto"/>
        <w:rPr>
          <w:rFonts w:asciiTheme="minorEastAsia" w:hAnsiTheme="minorEastAsia" w:eastAsiaTheme="minorEastAsia" w:cstheme="minorEastAsia"/>
          <w:b/>
          <w:color w:val="auto"/>
          <w:spacing w:val="6"/>
          <w:sz w:val="30"/>
          <w:szCs w:val="30"/>
          <w:highlight w:val="none"/>
        </w:rPr>
      </w:pPr>
    </w:p>
    <w:p w14:paraId="491755A4">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68D279">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573D9385">
      <w:pPr>
        <w:spacing w:line="360" w:lineRule="auto"/>
        <w:ind w:firstLine="480" w:firstLineChars="200"/>
        <w:jc w:val="left"/>
        <w:rPr>
          <w:rFonts w:asciiTheme="minorEastAsia" w:hAnsiTheme="minorEastAsia" w:eastAsiaTheme="minorEastAsia" w:cstheme="minorEastAsia"/>
          <w:color w:val="auto"/>
          <w:sz w:val="24"/>
          <w:highlight w:val="none"/>
        </w:rPr>
      </w:pPr>
    </w:p>
    <w:p w14:paraId="734B2BB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15A6639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0210B7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0B2D959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60D4900">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1E5F4C87">
      <w:pPr>
        <w:spacing w:line="360" w:lineRule="auto"/>
        <w:rPr>
          <w:rFonts w:asciiTheme="minorEastAsia" w:hAnsiTheme="minorEastAsia" w:eastAsiaTheme="minorEastAsia" w:cstheme="minorEastAsia"/>
          <w:b/>
          <w:color w:val="auto"/>
          <w:sz w:val="32"/>
          <w:szCs w:val="32"/>
          <w:highlight w:val="none"/>
        </w:rPr>
      </w:pPr>
    </w:p>
    <w:p w14:paraId="720D7A8F">
      <w:pPr>
        <w:numPr>
          <w:ilvl w:val="0"/>
          <w:numId w:val="9"/>
        </w:num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政府采购统计基础信息表</w:t>
      </w:r>
    </w:p>
    <w:p w14:paraId="6A91C842">
      <w:pPr>
        <w:pStyle w:val="32"/>
        <w:spacing w:line="360" w:lineRule="auto"/>
        <w:ind w:firstLine="0" w:firstLineChars="0"/>
        <w:rPr>
          <w:rFonts w:asciiTheme="minorEastAsia" w:hAnsiTheme="minorEastAsia" w:eastAsiaTheme="minorEastAsia" w:cstheme="minorEastAsia"/>
          <w:color w:val="auto"/>
          <w:highlight w:val="none"/>
        </w:rPr>
      </w:pPr>
    </w:p>
    <w:tbl>
      <w:tblPr>
        <w:tblStyle w:val="24"/>
        <w:tblW w:w="8537" w:type="dxa"/>
        <w:jc w:val="center"/>
        <w:tblLayout w:type="fixed"/>
        <w:tblCellMar>
          <w:top w:w="0" w:type="dxa"/>
          <w:left w:w="108" w:type="dxa"/>
          <w:bottom w:w="0" w:type="dxa"/>
          <w:right w:w="108" w:type="dxa"/>
        </w:tblCellMar>
      </w:tblPr>
      <w:tblGrid>
        <w:gridCol w:w="4998"/>
        <w:gridCol w:w="3539"/>
      </w:tblGrid>
      <w:tr w14:paraId="60CD428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04FB905">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12090069">
            <w:pPr>
              <w:spacing w:line="360" w:lineRule="auto"/>
              <w:rPr>
                <w:rFonts w:asciiTheme="minorEastAsia" w:hAnsiTheme="minorEastAsia" w:eastAsiaTheme="minorEastAsia" w:cstheme="minorEastAsia"/>
                <w:color w:val="auto"/>
                <w:highlight w:val="none"/>
              </w:rPr>
            </w:pPr>
          </w:p>
        </w:tc>
      </w:tr>
      <w:tr w14:paraId="18145B5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3D587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4A66656E">
            <w:pPr>
              <w:spacing w:line="360" w:lineRule="auto"/>
              <w:rPr>
                <w:rFonts w:asciiTheme="minorEastAsia" w:hAnsiTheme="minorEastAsia" w:eastAsiaTheme="minorEastAsia" w:cstheme="minorEastAsia"/>
                <w:color w:val="auto"/>
                <w:highlight w:val="none"/>
              </w:rPr>
            </w:pPr>
          </w:p>
        </w:tc>
      </w:tr>
      <w:tr w14:paraId="21C8409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D30342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55C1F2D5">
            <w:pPr>
              <w:spacing w:line="360" w:lineRule="auto"/>
              <w:rPr>
                <w:rFonts w:asciiTheme="minorEastAsia" w:hAnsiTheme="minorEastAsia" w:eastAsiaTheme="minorEastAsia" w:cstheme="minorEastAsia"/>
                <w:color w:val="auto"/>
                <w:highlight w:val="none"/>
              </w:rPr>
            </w:pPr>
          </w:p>
        </w:tc>
      </w:tr>
      <w:tr w14:paraId="08718C4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0B9C63">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0DF7EF2A">
            <w:pPr>
              <w:spacing w:line="360" w:lineRule="auto"/>
              <w:rPr>
                <w:rFonts w:asciiTheme="minorEastAsia" w:hAnsiTheme="minorEastAsia" w:eastAsiaTheme="minorEastAsia" w:cstheme="minorEastAsia"/>
                <w:color w:val="auto"/>
                <w:highlight w:val="none"/>
              </w:rPr>
            </w:pPr>
          </w:p>
        </w:tc>
      </w:tr>
      <w:tr w14:paraId="140DFA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3B385E">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E608326">
            <w:pPr>
              <w:spacing w:line="360" w:lineRule="auto"/>
              <w:rPr>
                <w:rFonts w:asciiTheme="minorEastAsia" w:hAnsiTheme="minorEastAsia" w:eastAsiaTheme="minorEastAsia" w:cstheme="minorEastAsia"/>
                <w:color w:val="auto"/>
                <w:highlight w:val="none"/>
              </w:rPr>
            </w:pPr>
          </w:p>
        </w:tc>
      </w:tr>
      <w:tr w14:paraId="4BDC0B5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C7010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776A6929">
            <w:pPr>
              <w:spacing w:line="360" w:lineRule="auto"/>
              <w:rPr>
                <w:rFonts w:asciiTheme="minorEastAsia" w:hAnsiTheme="minorEastAsia" w:eastAsiaTheme="minorEastAsia" w:cstheme="minorEastAsia"/>
                <w:color w:val="auto"/>
                <w:highlight w:val="none"/>
              </w:rPr>
            </w:pPr>
          </w:p>
        </w:tc>
      </w:tr>
      <w:tr w14:paraId="0694D72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96B14B">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12D97890">
            <w:pPr>
              <w:spacing w:line="360" w:lineRule="auto"/>
              <w:rPr>
                <w:rFonts w:asciiTheme="minorEastAsia" w:hAnsiTheme="minorEastAsia" w:eastAsiaTheme="minorEastAsia" w:cstheme="minorEastAsia"/>
                <w:color w:val="auto"/>
                <w:highlight w:val="none"/>
              </w:rPr>
            </w:pPr>
          </w:p>
        </w:tc>
      </w:tr>
      <w:tr w14:paraId="13955E6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9E5108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A38FA3E">
            <w:pPr>
              <w:spacing w:line="360" w:lineRule="auto"/>
              <w:rPr>
                <w:rFonts w:asciiTheme="minorEastAsia" w:hAnsiTheme="minorEastAsia" w:eastAsiaTheme="minorEastAsia" w:cstheme="minorEastAsia"/>
                <w:color w:val="auto"/>
                <w:highlight w:val="none"/>
              </w:rPr>
            </w:pPr>
          </w:p>
        </w:tc>
      </w:tr>
      <w:tr w14:paraId="7C78DBC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BE5922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DDC60C9">
            <w:pPr>
              <w:spacing w:line="360" w:lineRule="auto"/>
              <w:rPr>
                <w:rFonts w:asciiTheme="minorEastAsia" w:hAnsiTheme="minorEastAsia" w:eastAsiaTheme="minorEastAsia" w:cstheme="minorEastAsia"/>
                <w:color w:val="auto"/>
                <w:highlight w:val="none"/>
              </w:rPr>
            </w:pPr>
          </w:p>
        </w:tc>
      </w:tr>
      <w:tr w14:paraId="57A4E1D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DE11EDB">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74CCEE49">
            <w:pPr>
              <w:spacing w:line="360" w:lineRule="auto"/>
              <w:rPr>
                <w:rFonts w:asciiTheme="minorEastAsia" w:hAnsiTheme="minorEastAsia" w:eastAsiaTheme="minorEastAsia" w:cstheme="minorEastAsia"/>
                <w:color w:val="auto"/>
                <w:highlight w:val="none"/>
              </w:rPr>
            </w:pPr>
          </w:p>
        </w:tc>
      </w:tr>
    </w:tbl>
    <w:p w14:paraId="32A477D2">
      <w:pPr>
        <w:adjustRightInd w:val="0"/>
        <w:spacing w:line="360" w:lineRule="auto"/>
        <w:jc w:val="left"/>
        <w:rPr>
          <w:rFonts w:asciiTheme="minorEastAsia" w:hAnsiTheme="minorEastAsia" w:eastAsiaTheme="minorEastAsia" w:cstheme="minorEastAsia"/>
          <w:color w:val="auto"/>
          <w:sz w:val="24"/>
          <w:highlight w:val="none"/>
        </w:rPr>
      </w:pPr>
    </w:p>
    <w:p w14:paraId="0DF6390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2BA672BA">
      <w:pPr>
        <w:adjustRightInd w:val="0"/>
        <w:spacing w:line="360" w:lineRule="auto"/>
        <w:jc w:val="left"/>
        <w:rPr>
          <w:rFonts w:asciiTheme="minorEastAsia" w:hAnsiTheme="minorEastAsia" w:eastAsiaTheme="minorEastAsia" w:cstheme="minorEastAsia"/>
          <w:color w:val="auto"/>
          <w:sz w:val="24"/>
          <w:highlight w:val="none"/>
        </w:rPr>
      </w:pPr>
    </w:p>
    <w:p w14:paraId="0392971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53300D8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F7BDF2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55B831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12FE">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087A6AA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AE5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4DBF07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301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24C60B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F5EB">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4FF7B2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FDC9">
    <w:pPr>
      <w:pStyle w:val="16"/>
      <w:pBdr>
        <w:bottom w:val="none" w:color="auto" w:sz="0" w:space="0"/>
      </w:pBdr>
      <w:jc w:val="right"/>
      <w:rPr>
        <w:rFonts w:ascii="仿宋_GB2312" w:eastAsia="仿宋_GB2312"/>
        <w:b/>
        <w:i/>
        <w:u w:val="single"/>
      </w:rPr>
    </w:pPr>
    <w:r>
      <w:t></w:t>
    </w:r>
    <w:r>
      <w:rPr>
        <w:rFonts w:hint="eastAsia"/>
      </w:rPr>
      <w:t xml:space="preserve">                                               </w:t>
    </w:r>
  </w:p>
  <w:p w14:paraId="634CE9C8">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38F3">
    <w:pPr>
      <w:pStyle w:val="16"/>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4FC6C">
    <w:pPr>
      <w:pStyle w:val="16"/>
      <w:pBdr>
        <w:bottom w:val="none" w:color="auto" w:sz="0" w:space="1"/>
      </w:pBdr>
      <w:jc w:val="right"/>
      <w:rPr>
        <w:rFonts w:ascii="仿宋_GB2312" w:eastAsia="仿宋_GB2312"/>
        <w:b/>
        <w:i/>
        <w:u w:val="single"/>
      </w:rPr>
    </w:pPr>
    <w:r>
      <w:rPr>
        <w:rFonts w:hint="eastAsia"/>
      </w:rPr>
      <w:t xml:space="preserve">                                 </w:t>
    </w:r>
  </w:p>
  <w:p w14:paraId="0973DA91">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3037B">
    <w:pPr>
      <w:pStyle w:val="16"/>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E809D7E1"/>
    <w:multiLevelType w:val="singleLevel"/>
    <w:tmpl w:val="E809D7E1"/>
    <w:lvl w:ilvl="0" w:tentative="0">
      <w:start w:val="5"/>
      <w:numFmt w:val="chineseCounting"/>
      <w:suff w:val="nothing"/>
      <w:lvlText w:val="（%1）"/>
      <w:lvlJc w:val="left"/>
      <w:rPr>
        <w:rFonts w:hint="eastAsia"/>
      </w:rPr>
    </w:lvl>
  </w:abstractNum>
  <w:abstractNum w:abstractNumId="4">
    <w:nsid w:val="0E9D648E"/>
    <w:multiLevelType w:val="singleLevel"/>
    <w:tmpl w:val="0E9D648E"/>
    <w:lvl w:ilvl="0" w:tentative="0">
      <w:start w:val="1"/>
      <w:numFmt w:val="decimal"/>
      <w:suff w:val="nothing"/>
      <w:lvlText w:val="（%1）"/>
      <w:lvlJc w:val="left"/>
    </w:lvl>
  </w:abstractNum>
  <w:abstractNum w:abstractNumId="5">
    <w:nsid w:val="2DC53F9C"/>
    <w:multiLevelType w:val="singleLevel"/>
    <w:tmpl w:val="2DC53F9C"/>
    <w:lvl w:ilvl="0" w:tentative="0">
      <w:start w:val="5"/>
      <w:numFmt w:val="chineseCounting"/>
      <w:suff w:val="space"/>
      <w:lvlText w:val="第%1部分"/>
      <w:lvlJc w:val="left"/>
      <w:rPr>
        <w:rFonts w:hint="eastAsia"/>
      </w:rPr>
    </w:lvl>
  </w:abstractNum>
  <w:abstractNum w:abstractNumId="6">
    <w:nsid w:val="495C2BCE"/>
    <w:multiLevelType w:val="singleLevel"/>
    <w:tmpl w:val="495C2BCE"/>
    <w:lvl w:ilvl="0" w:tentative="0">
      <w:start w:val="1"/>
      <w:numFmt w:val="chineseCounting"/>
      <w:suff w:val="nothing"/>
      <w:lvlText w:val="%1、"/>
      <w:lvlJc w:val="left"/>
      <w:pPr>
        <w:ind w:left="420"/>
      </w:pPr>
      <w:rPr>
        <w:rFonts w:hint="eastAsia"/>
      </w:rPr>
    </w:lvl>
  </w:abstractNum>
  <w:abstractNum w:abstractNumId="7">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5365A933"/>
    <w:multiLevelType w:val="singleLevel"/>
    <w:tmpl w:val="5365A933"/>
    <w:lvl w:ilvl="0" w:tentative="0">
      <w:start w:val="7"/>
      <w:numFmt w:val="chineseCounting"/>
      <w:suff w:val="nothing"/>
      <w:lvlText w:val="%1、"/>
      <w:lvlJc w:val="left"/>
      <w:rPr>
        <w:rFonts w:hint="eastAsia"/>
      </w:r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Y2FhYTJiZmI4MmJiNjZiMDBjMjQ0N2UwOTBjY2YifQ=="/>
  </w:docVars>
  <w:rsids>
    <w:rsidRoot w:val="004E6532"/>
    <w:rsid w:val="00034901"/>
    <w:rsid w:val="001A0E98"/>
    <w:rsid w:val="004369B5"/>
    <w:rsid w:val="00446CD6"/>
    <w:rsid w:val="00453F9B"/>
    <w:rsid w:val="004E6532"/>
    <w:rsid w:val="00535688"/>
    <w:rsid w:val="0054723B"/>
    <w:rsid w:val="00616EEA"/>
    <w:rsid w:val="00621873"/>
    <w:rsid w:val="00803953"/>
    <w:rsid w:val="00877893"/>
    <w:rsid w:val="008859D0"/>
    <w:rsid w:val="00C14B91"/>
    <w:rsid w:val="00C73030"/>
    <w:rsid w:val="00D43C04"/>
    <w:rsid w:val="00E54D24"/>
    <w:rsid w:val="00E84E4E"/>
    <w:rsid w:val="00EB7E60"/>
    <w:rsid w:val="00F01506"/>
    <w:rsid w:val="00FB3DEC"/>
    <w:rsid w:val="00FC4926"/>
    <w:rsid w:val="01722330"/>
    <w:rsid w:val="017E3702"/>
    <w:rsid w:val="022507A0"/>
    <w:rsid w:val="02974AD8"/>
    <w:rsid w:val="02B40E52"/>
    <w:rsid w:val="02D95BB6"/>
    <w:rsid w:val="02FF0DA1"/>
    <w:rsid w:val="03784E75"/>
    <w:rsid w:val="04133956"/>
    <w:rsid w:val="04207E21"/>
    <w:rsid w:val="04330EDE"/>
    <w:rsid w:val="043F7883"/>
    <w:rsid w:val="046E624C"/>
    <w:rsid w:val="04756284"/>
    <w:rsid w:val="04E6106A"/>
    <w:rsid w:val="0543421B"/>
    <w:rsid w:val="05735A3A"/>
    <w:rsid w:val="05BE57B7"/>
    <w:rsid w:val="05C46291"/>
    <w:rsid w:val="05F31C91"/>
    <w:rsid w:val="06071298"/>
    <w:rsid w:val="06367DD0"/>
    <w:rsid w:val="064C314F"/>
    <w:rsid w:val="06624721"/>
    <w:rsid w:val="067803E8"/>
    <w:rsid w:val="069074E0"/>
    <w:rsid w:val="069D1BFD"/>
    <w:rsid w:val="06BA6D43"/>
    <w:rsid w:val="06D25D4A"/>
    <w:rsid w:val="06FC438C"/>
    <w:rsid w:val="07213690"/>
    <w:rsid w:val="073E518E"/>
    <w:rsid w:val="07453440"/>
    <w:rsid w:val="079A613C"/>
    <w:rsid w:val="079B1B4C"/>
    <w:rsid w:val="07AB20F7"/>
    <w:rsid w:val="08153A45"/>
    <w:rsid w:val="0869623A"/>
    <w:rsid w:val="08874912"/>
    <w:rsid w:val="08BD0ECF"/>
    <w:rsid w:val="08C43072"/>
    <w:rsid w:val="08D31906"/>
    <w:rsid w:val="08DB4458"/>
    <w:rsid w:val="08EC5795"/>
    <w:rsid w:val="08F04266"/>
    <w:rsid w:val="08FC70AE"/>
    <w:rsid w:val="0906084A"/>
    <w:rsid w:val="09565DE8"/>
    <w:rsid w:val="09CB082F"/>
    <w:rsid w:val="0A042457"/>
    <w:rsid w:val="0A0B50CF"/>
    <w:rsid w:val="0A4D50B5"/>
    <w:rsid w:val="0AC534D0"/>
    <w:rsid w:val="0AD019C3"/>
    <w:rsid w:val="0B095AB3"/>
    <w:rsid w:val="0B0A7C7E"/>
    <w:rsid w:val="0B8769D7"/>
    <w:rsid w:val="0BFD6A07"/>
    <w:rsid w:val="0C436DA2"/>
    <w:rsid w:val="0C941F4C"/>
    <w:rsid w:val="0CC2416B"/>
    <w:rsid w:val="0CE64ABC"/>
    <w:rsid w:val="0D014A54"/>
    <w:rsid w:val="0D0504FC"/>
    <w:rsid w:val="0D8B27AF"/>
    <w:rsid w:val="0DCE6B40"/>
    <w:rsid w:val="0DD4721B"/>
    <w:rsid w:val="0DDF6435"/>
    <w:rsid w:val="0E050EED"/>
    <w:rsid w:val="0E0662D9"/>
    <w:rsid w:val="0E2D1AB8"/>
    <w:rsid w:val="0E65475F"/>
    <w:rsid w:val="0E912047"/>
    <w:rsid w:val="0E985C49"/>
    <w:rsid w:val="0E9E4764"/>
    <w:rsid w:val="0EB421D9"/>
    <w:rsid w:val="0ECE36AE"/>
    <w:rsid w:val="0F461684"/>
    <w:rsid w:val="0F580DB7"/>
    <w:rsid w:val="0F6806E9"/>
    <w:rsid w:val="0F855338"/>
    <w:rsid w:val="0FB56209"/>
    <w:rsid w:val="0FDE143F"/>
    <w:rsid w:val="101C0036"/>
    <w:rsid w:val="113E5D8A"/>
    <w:rsid w:val="11C61877"/>
    <w:rsid w:val="11D43722"/>
    <w:rsid w:val="11D70A74"/>
    <w:rsid w:val="11DD727D"/>
    <w:rsid w:val="12477AA1"/>
    <w:rsid w:val="13144FF5"/>
    <w:rsid w:val="131905E4"/>
    <w:rsid w:val="134D79C4"/>
    <w:rsid w:val="13531FC1"/>
    <w:rsid w:val="13651CF4"/>
    <w:rsid w:val="13727710"/>
    <w:rsid w:val="137C74D8"/>
    <w:rsid w:val="13C35A98"/>
    <w:rsid w:val="13CD7831"/>
    <w:rsid w:val="13E72483"/>
    <w:rsid w:val="142B4CEC"/>
    <w:rsid w:val="14635EBD"/>
    <w:rsid w:val="14733F9D"/>
    <w:rsid w:val="147541B9"/>
    <w:rsid w:val="14C021B2"/>
    <w:rsid w:val="14ED768B"/>
    <w:rsid w:val="14F450DE"/>
    <w:rsid w:val="14FB2A5F"/>
    <w:rsid w:val="14FC0436"/>
    <w:rsid w:val="15987341"/>
    <w:rsid w:val="15C56A7A"/>
    <w:rsid w:val="15D1541F"/>
    <w:rsid w:val="15D87EFC"/>
    <w:rsid w:val="15E52C78"/>
    <w:rsid w:val="15FD4466"/>
    <w:rsid w:val="165E2A90"/>
    <w:rsid w:val="165E7BD5"/>
    <w:rsid w:val="166D49F3"/>
    <w:rsid w:val="166E7112"/>
    <w:rsid w:val="167A1613"/>
    <w:rsid w:val="167A5AB7"/>
    <w:rsid w:val="168340B4"/>
    <w:rsid w:val="168E0998"/>
    <w:rsid w:val="16ED47B4"/>
    <w:rsid w:val="17070C1E"/>
    <w:rsid w:val="17075B7B"/>
    <w:rsid w:val="1720040C"/>
    <w:rsid w:val="172F62D6"/>
    <w:rsid w:val="17343EB7"/>
    <w:rsid w:val="17552F75"/>
    <w:rsid w:val="17AC492E"/>
    <w:rsid w:val="17EC672F"/>
    <w:rsid w:val="180814BF"/>
    <w:rsid w:val="181222ED"/>
    <w:rsid w:val="183463C4"/>
    <w:rsid w:val="1867549B"/>
    <w:rsid w:val="18706F9E"/>
    <w:rsid w:val="18CF43F8"/>
    <w:rsid w:val="18DB244F"/>
    <w:rsid w:val="18FE29CF"/>
    <w:rsid w:val="193E2676"/>
    <w:rsid w:val="195645B9"/>
    <w:rsid w:val="19B968F6"/>
    <w:rsid w:val="19E85593"/>
    <w:rsid w:val="1A09162B"/>
    <w:rsid w:val="1A1A55E6"/>
    <w:rsid w:val="1A36522D"/>
    <w:rsid w:val="1A41695D"/>
    <w:rsid w:val="1A892DC6"/>
    <w:rsid w:val="1AB759EF"/>
    <w:rsid w:val="1ABD5311"/>
    <w:rsid w:val="1AEB6F83"/>
    <w:rsid w:val="1AF005C3"/>
    <w:rsid w:val="1B1262BE"/>
    <w:rsid w:val="1B2D0950"/>
    <w:rsid w:val="1B9118D8"/>
    <w:rsid w:val="1BA41091"/>
    <w:rsid w:val="1BA809D0"/>
    <w:rsid w:val="1BD47C9F"/>
    <w:rsid w:val="1BFD0D1C"/>
    <w:rsid w:val="1C752286"/>
    <w:rsid w:val="1CC47A8B"/>
    <w:rsid w:val="1CEA33EA"/>
    <w:rsid w:val="1D4F7E7B"/>
    <w:rsid w:val="1D780306"/>
    <w:rsid w:val="1DA358F3"/>
    <w:rsid w:val="1DB47B11"/>
    <w:rsid w:val="1DDC2BB3"/>
    <w:rsid w:val="1DDC5928"/>
    <w:rsid w:val="1DE35D79"/>
    <w:rsid w:val="1DE75D86"/>
    <w:rsid w:val="1E200A3C"/>
    <w:rsid w:val="1E25455A"/>
    <w:rsid w:val="1E522E75"/>
    <w:rsid w:val="1E8219AC"/>
    <w:rsid w:val="1E85324A"/>
    <w:rsid w:val="1E982F7E"/>
    <w:rsid w:val="1EC0236C"/>
    <w:rsid w:val="1EC30B03"/>
    <w:rsid w:val="1F1D18F8"/>
    <w:rsid w:val="1F4B3E9E"/>
    <w:rsid w:val="1F6D440A"/>
    <w:rsid w:val="2027280B"/>
    <w:rsid w:val="208732AA"/>
    <w:rsid w:val="209669C5"/>
    <w:rsid w:val="20CA763A"/>
    <w:rsid w:val="212A1E87"/>
    <w:rsid w:val="213A06E6"/>
    <w:rsid w:val="214D76C1"/>
    <w:rsid w:val="2155267B"/>
    <w:rsid w:val="219F23DC"/>
    <w:rsid w:val="21B52099"/>
    <w:rsid w:val="21C11D94"/>
    <w:rsid w:val="22543660"/>
    <w:rsid w:val="2299657C"/>
    <w:rsid w:val="22C73E32"/>
    <w:rsid w:val="232F76C9"/>
    <w:rsid w:val="235651B5"/>
    <w:rsid w:val="23590C14"/>
    <w:rsid w:val="238705A1"/>
    <w:rsid w:val="23A710EC"/>
    <w:rsid w:val="23E374FF"/>
    <w:rsid w:val="23F0560A"/>
    <w:rsid w:val="240519D5"/>
    <w:rsid w:val="240E7E40"/>
    <w:rsid w:val="241C63FF"/>
    <w:rsid w:val="2453522D"/>
    <w:rsid w:val="24547947"/>
    <w:rsid w:val="24681644"/>
    <w:rsid w:val="250A26FB"/>
    <w:rsid w:val="251A4EF6"/>
    <w:rsid w:val="253E0A44"/>
    <w:rsid w:val="25B763DF"/>
    <w:rsid w:val="25CB3688"/>
    <w:rsid w:val="25CF1F63"/>
    <w:rsid w:val="25E871FD"/>
    <w:rsid w:val="25EF3DCB"/>
    <w:rsid w:val="25F37999"/>
    <w:rsid w:val="262D0597"/>
    <w:rsid w:val="26AA5F44"/>
    <w:rsid w:val="270B546D"/>
    <w:rsid w:val="272A6E20"/>
    <w:rsid w:val="27545EB0"/>
    <w:rsid w:val="2803474D"/>
    <w:rsid w:val="28060F58"/>
    <w:rsid w:val="281318C7"/>
    <w:rsid w:val="282C43E5"/>
    <w:rsid w:val="286640ED"/>
    <w:rsid w:val="2891704F"/>
    <w:rsid w:val="28957E16"/>
    <w:rsid w:val="28A40E75"/>
    <w:rsid w:val="297E7214"/>
    <w:rsid w:val="298C7B83"/>
    <w:rsid w:val="2A0B7EDE"/>
    <w:rsid w:val="2A4C32D1"/>
    <w:rsid w:val="2A597DE8"/>
    <w:rsid w:val="2A9232F3"/>
    <w:rsid w:val="2ACB541A"/>
    <w:rsid w:val="2B0A1823"/>
    <w:rsid w:val="2B610862"/>
    <w:rsid w:val="2B651CE5"/>
    <w:rsid w:val="2BC76C50"/>
    <w:rsid w:val="2BEB4325"/>
    <w:rsid w:val="2BF808D8"/>
    <w:rsid w:val="2BFC0FF0"/>
    <w:rsid w:val="2C091017"/>
    <w:rsid w:val="2C26606D"/>
    <w:rsid w:val="2C365A9F"/>
    <w:rsid w:val="2CAB0320"/>
    <w:rsid w:val="2CEC262F"/>
    <w:rsid w:val="2E621C43"/>
    <w:rsid w:val="2EE1799F"/>
    <w:rsid w:val="2F195A15"/>
    <w:rsid w:val="2FF5557A"/>
    <w:rsid w:val="2FFF0A63"/>
    <w:rsid w:val="305C2AA5"/>
    <w:rsid w:val="307849BD"/>
    <w:rsid w:val="30847806"/>
    <w:rsid w:val="316A07AA"/>
    <w:rsid w:val="31896816"/>
    <w:rsid w:val="31B61E1E"/>
    <w:rsid w:val="31D42AD9"/>
    <w:rsid w:val="31D651A2"/>
    <w:rsid w:val="3233535A"/>
    <w:rsid w:val="328C0BF4"/>
    <w:rsid w:val="33233306"/>
    <w:rsid w:val="33A61841"/>
    <w:rsid w:val="33C341A1"/>
    <w:rsid w:val="33E74197"/>
    <w:rsid w:val="343B467F"/>
    <w:rsid w:val="34CC177B"/>
    <w:rsid w:val="351F5D4F"/>
    <w:rsid w:val="35415CC5"/>
    <w:rsid w:val="355B0F59"/>
    <w:rsid w:val="356B698C"/>
    <w:rsid w:val="35727C2D"/>
    <w:rsid w:val="359853D9"/>
    <w:rsid w:val="35A16CAA"/>
    <w:rsid w:val="35A66D8A"/>
    <w:rsid w:val="35C62DE0"/>
    <w:rsid w:val="35FC7E3E"/>
    <w:rsid w:val="360C1CB6"/>
    <w:rsid w:val="360C1DD5"/>
    <w:rsid w:val="36201D7F"/>
    <w:rsid w:val="362204FC"/>
    <w:rsid w:val="36CC7811"/>
    <w:rsid w:val="36D93CDC"/>
    <w:rsid w:val="370A0339"/>
    <w:rsid w:val="37265173"/>
    <w:rsid w:val="37E74B44"/>
    <w:rsid w:val="38121F62"/>
    <w:rsid w:val="384F79BE"/>
    <w:rsid w:val="385D6A11"/>
    <w:rsid w:val="38C71695"/>
    <w:rsid w:val="390908A8"/>
    <w:rsid w:val="39737207"/>
    <w:rsid w:val="39B32E3A"/>
    <w:rsid w:val="39CB3DB0"/>
    <w:rsid w:val="3A1C6713"/>
    <w:rsid w:val="3A2B48EB"/>
    <w:rsid w:val="3A404981"/>
    <w:rsid w:val="3A5008E2"/>
    <w:rsid w:val="3AAF36D1"/>
    <w:rsid w:val="3AC52EBA"/>
    <w:rsid w:val="3AC64B87"/>
    <w:rsid w:val="3ACA033D"/>
    <w:rsid w:val="3AF36031"/>
    <w:rsid w:val="3AF47A17"/>
    <w:rsid w:val="3AF77A09"/>
    <w:rsid w:val="3B0500A6"/>
    <w:rsid w:val="3B1217B9"/>
    <w:rsid w:val="3B4958D4"/>
    <w:rsid w:val="3BC136BC"/>
    <w:rsid w:val="3BDA22C2"/>
    <w:rsid w:val="3C033CD5"/>
    <w:rsid w:val="3C3025F0"/>
    <w:rsid w:val="3C3976F6"/>
    <w:rsid w:val="3C432323"/>
    <w:rsid w:val="3C5928B0"/>
    <w:rsid w:val="3C8660E7"/>
    <w:rsid w:val="3C8B7826"/>
    <w:rsid w:val="3C9A4F77"/>
    <w:rsid w:val="3CB7686D"/>
    <w:rsid w:val="3CC813C5"/>
    <w:rsid w:val="3D034FD9"/>
    <w:rsid w:val="3D2708D9"/>
    <w:rsid w:val="3D4852ED"/>
    <w:rsid w:val="3D964084"/>
    <w:rsid w:val="3DE2791A"/>
    <w:rsid w:val="3DF80EEB"/>
    <w:rsid w:val="3E5C4A40"/>
    <w:rsid w:val="3E5F0F6A"/>
    <w:rsid w:val="3E682515"/>
    <w:rsid w:val="3F2226C4"/>
    <w:rsid w:val="3F373C95"/>
    <w:rsid w:val="3FD13644"/>
    <w:rsid w:val="3FF12C21"/>
    <w:rsid w:val="3FFC1167"/>
    <w:rsid w:val="3FFF47B3"/>
    <w:rsid w:val="401D732F"/>
    <w:rsid w:val="404716EC"/>
    <w:rsid w:val="40565930"/>
    <w:rsid w:val="40CA1BEA"/>
    <w:rsid w:val="40E57E4D"/>
    <w:rsid w:val="40E63D94"/>
    <w:rsid w:val="41361759"/>
    <w:rsid w:val="41AE11A5"/>
    <w:rsid w:val="41C317D4"/>
    <w:rsid w:val="41F06AA9"/>
    <w:rsid w:val="420E7D4A"/>
    <w:rsid w:val="42100EF9"/>
    <w:rsid w:val="4259700D"/>
    <w:rsid w:val="42E129D3"/>
    <w:rsid w:val="431421AB"/>
    <w:rsid w:val="436F522F"/>
    <w:rsid w:val="43B753D5"/>
    <w:rsid w:val="441B5933"/>
    <w:rsid w:val="444265B3"/>
    <w:rsid w:val="446B4F27"/>
    <w:rsid w:val="44727C49"/>
    <w:rsid w:val="44A92F3F"/>
    <w:rsid w:val="44CC2054"/>
    <w:rsid w:val="450F36EA"/>
    <w:rsid w:val="4533775E"/>
    <w:rsid w:val="45357EA7"/>
    <w:rsid w:val="4549052D"/>
    <w:rsid w:val="45570BED"/>
    <w:rsid w:val="45576E3F"/>
    <w:rsid w:val="45840DA9"/>
    <w:rsid w:val="45A656D1"/>
    <w:rsid w:val="45BC4EF4"/>
    <w:rsid w:val="45C041D4"/>
    <w:rsid w:val="45F62A2E"/>
    <w:rsid w:val="45F823D0"/>
    <w:rsid w:val="46502789"/>
    <w:rsid w:val="46893028"/>
    <w:rsid w:val="470A75E8"/>
    <w:rsid w:val="47280A93"/>
    <w:rsid w:val="47484C91"/>
    <w:rsid w:val="47AE7265"/>
    <w:rsid w:val="47AF3794"/>
    <w:rsid w:val="480A0199"/>
    <w:rsid w:val="480E2480"/>
    <w:rsid w:val="48236574"/>
    <w:rsid w:val="482D19BF"/>
    <w:rsid w:val="486D24D6"/>
    <w:rsid w:val="488241D3"/>
    <w:rsid w:val="48A04659"/>
    <w:rsid w:val="48BA396D"/>
    <w:rsid w:val="49164517"/>
    <w:rsid w:val="491D1CBF"/>
    <w:rsid w:val="49210164"/>
    <w:rsid w:val="49770DAF"/>
    <w:rsid w:val="49863D09"/>
    <w:rsid w:val="499A554C"/>
    <w:rsid w:val="49DF112C"/>
    <w:rsid w:val="49E2099E"/>
    <w:rsid w:val="4A033F46"/>
    <w:rsid w:val="4A084FAB"/>
    <w:rsid w:val="4A190B67"/>
    <w:rsid w:val="4A356245"/>
    <w:rsid w:val="4A940235"/>
    <w:rsid w:val="4B4B4D50"/>
    <w:rsid w:val="4B616322"/>
    <w:rsid w:val="4BAF77E3"/>
    <w:rsid w:val="4BF74468"/>
    <w:rsid w:val="4C1F68C9"/>
    <w:rsid w:val="4C3E2B07"/>
    <w:rsid w:val="4C5E0AB3"/>
    <w:rsid w:val="4C871DB8"/>
    <w:rsid w:val="4C8F29A0"/>
    <w:rsid w:val="4CE849E2"/>
    <w:rsid w:val="4D05056F"/>
    <w:rsid w:val="4D5D0C62"/>
    <w:rsid w:val="4D6D377D"/>
    <w:rsid w:val="4DA32011"/>
    <w:rsid w:val="4DCB232F"/>
    <w:rsid w:val="4DE566F3"/>
    <w:rsid w:val="4E3A4FCB"/>
    <w:rsid w:val="4E5E123E"/>
    <w:rsid w:val="4EE51018"/>
    <w:rsid w:val="4F006555"/>
    <w:rsid w:val="4F132029"/>
    <w:rsid w:val="4F367AC5"/>
    <w:rsid w:val="4F53497B"/>
    <w:rsid w:val="4FCC73F3"/>
    <w:rsid w:val="4FCF7562"/>
    <w:rsid w:val="4FEE4E74"/>
    <w:rsid w:val="50047BC4"/>
    <w:rsid w:val="50083210"/>
    <w:rsid w:val="50212524"/>
    <w:rsid w:val="502A762A"/>
    <w:rsid w:val="50414974"/>
    <w:rsid w:val="504A7CCC"/>
    <w:rsid w:val="50506965"/>
    <w:rsid w:val="506045A1"/>
    <w:rsid w:val="50BE7D72"/>
    <w:rsid w:val="50DC0D48"/>
    <w:rsid w:val="51B734A5"/>
    <w:rsid w:val="51BC5C4A"/>
    <w:rsid w:val="51E7154B"/>
    <w:rsid w:val="522D3402"/>
    <w:rsid w:val="52841AC9"/>
    <w:rsid w:val="52875411"/>
    <w:rsid w:val="52B6651B"/>
    <w:rsid w:val="52C253C3"/>
    <w:rsid w:val="52C27015"/>
    <w:rsid w:val="52C5188C"/>
    <w:rsid w:val="531D0804"/>
    <w:rsid w:val="53CC27A6"/>
    <w:rsid w:val="53D43F85"/>
    <w:rsid w:val="53DE2B70"/>
    <w:rsid w:val="54014B46"/>
    <w:rsid w:val="54212AF2"/>
    <w:rsid w:val="5459613F"/>
    <w:rsid w:val="54905ECA"/>
    <w:rsid w:val="54C618EB"/>
    <w:rsid w:val="54C75CD2"/>
    <w:rsid w:val="54FE7E42"/>
    <w:rsid w:val="55236F1E"/>
    <w:rsid w:val="55560EC1"/>
    <w:rsid w:val="55B84D61"/>
    <w:rsid w:val="55C776C9"/>
    <w:rsid w:val="55DA73FC"/>
    <w:rsid w:val="561346BC"/>
    <w:rsid w:val="56407A11"/>
    <w:rsid w:val="565F5285"/>
    <w:rsid w:val="566D6A2E"/>
    <w:rsid w:val="56810B43"/>
    <w:rsid w:val="56920EB1"/>
    <w:rsid w:val="570D1A54"/>
    <w:rsid w:val="573265F8"/>
    <w:rsid w:val="578D049F"/>
    <w:rsid w:val="57942791"/>
    <w:rsid w:val="579954F5"/>
    <w:rsid w:val="57F25E45"/>
    <w:rsid w:val="57F64296"/>
    <w:rsid w:val="58615BB3"/>
    <w:rsid w:val="586A1CF4"/>
    <w:rsid w:val="58741EB5"/>
    <w:rsid w:val="58A9755A"/>
    <w:rsid w:val="58BB1103"/>
    <w:rsid w:val="59513E7A"/>
    <w:rsid w:val="59573918"/>
    <w:rsid w:val="59D94D98"/>
    <w:rsid w:val="59DF76D7"/>
    <w:rsid w:val="59F36282"/>
    <w:rsid w:val="59F564AD"/>
    <w:rsid w:val="5A3F4A9C"/>
    <w:rsid w:val="5A581029"/>
    <w:rsid w:val="5A9870AD"/>
    <w:rsid w:val="5ABF6D03"/>
    <w:rsid w:val="5B215ACE"/>
    <w:rsid w:val="5B3B7CC5"/>
    <w:rsid w:val="5B490AD6"/>
    <w:rsid w:val="5B540F34"/>
    <w:rsid w:val="5B7E4CCE"/>
    <w:rsid w:val="5B8B1199"/>
    <w:rsid w:val="5B9F3F13"/>
    <w:rsid w:val="5BCD355F"/>
    <w:rsid w:val="5BEF797A"/>
    <w:rsid w:val="5C1D0043"/>
    <w:rsid w:val="5C593045"/>
    <w:rsid w:val="5C6519EA"/>
    <w:rsid w:val="5C7F2AAC"/>
    <w:rsid w:val="5CD1185B"/>
    <w:rsid w:val="5CF1327E"/>
    <w:rsid w:val="5DE27796"/>
    <w:rsid w:val="5E1B6804"/>
    <w:rsid w:val="5E291DB5"/>
    <w:rsid w:val="5E402EA6"/>
    <w:rsid w:val="5E696B06"/>
    <w:rsid w:val="5E7A7C5D"/>
    <w:rsid w:val="5EC724E8"/>
    <w:rsid w:val="5EEA72F8"/>
    <w:rsid w:val="5EF86B45"/>
    <w:rsid w:val="5F026AF1"/>
    <w:rsid w:val="5F265461"/>
    <w:rsid w:val="5F2F2E7A"/>
    <w:rsid w:val="5F8C3772"/>
    <w:rsid w:val="5F8F1018"/>
    <w:rsid w:val="5FB213EA"/>
    <w:rsid w:val="5FD0361E"/>
    <w:rsid w:val="5FE92E6B"/>
    <w:rsid w:val="60432529"/>
    <w:rsid w:val="606C4BDB"/>
    <w:rsid w:val="60BF5B6D"/>
    <w:rsid w:val="60C562EF"/>
    <w:rsid w:val="61291238"/>
    <w:rsid w:val="612C2AD6"/>
    <w:rsid w:val="61895341"/>
    <w:rsid w:val="619B6500"/>
    <w:rsid w:val="61A5713A"/>
    <w:rsid w:val="624272DA"/>
    <w:rsid w:val="62456545"/>
    <w:rsid w:val="62A4243E"/>
    <w:rsid w:val="634A36E8"/>
    <w:rsid w:val="638E5CCA"/>
    <w:rsid w:val="63AE1B87"/>
    <w:rsid w:val="63C90AB0"/>
    <w:rsid w:val="63DD0CDE"/>
    <w:rsid w:val="63F773CC"/>
    <w:rsid w:val="64005F33"/>
    <w:rsid w:val="64106A0E"/>
    <w:rsid w:val="648D45B2"/>
    <w:rsid w:val="64CF3B8C"/>
    <w:rsid w:val="64D94D23"/>
    <w:rsid w:val="64E5191A"/>
    <w:rsid w:val="64F2458B"/>
    <w:rsid w:val="65322E75"/>
    <w:rsid w:val="653B59DE"/>
    <w:rsid w:val="65BE2AA5"/>
    <w:rsid w:val="65D07CD0"/>
    <w:rsid w:val="65FC7344"/>
    <w:rsid w:val="66597D82"/>
    <w:rsid w:val="66871F4B"/>
    <w:rsid w:val="66A35E0E"/>
    <w:rsid w:val="66E122E4"/>
    <w:rsid w:val="66E8749F"/>
    <w:rsid w:val="67087B42"/>
    <w:rsid w:val="67135CAA"/>
    <w:rsid w:val="67206C39"/>
    <w:rsid w:val="67896ED4"/>
    <w:rsid w:val="67A06958"/>
    <w:rsid w:val="68413EEA"/>
    <w:rsid w:val="68790F37"/>
    <w:rsid w:val="68C34233"/>
    <w:rsid w:val="694A1AEF"/>
    <w:rsid w:val="69761612"/>
    <w:rsid w:val="69A80F39"/>
    <w:rsid w:val="69C75A92"/>
    <w:rsid w:val="69DD66F3"/>
    <w:rsid w:val="6A0D369A"/>
    <w:rsid w:val="6A552E93"/>
    <w:rsid w:val="6A6D3117"/>
    <w:rsid w:val="6B0D0BBE"/>
    <w:rsid w:val="6B3929BF"/>
    <w:rsid w:val="6B40098D"/>
    <w:rsid w:val="6B6F4633"/>
    <w:rsid w:val="6C117498"/>
    <w:rsid w:val="6C333B5C"/>
    <w:rsid w:val="6C6E48EB"/>
    <w:rsid w:val="6C7A7069"/>
    <w:rsid w:val="6D0446EE"/>
    <w:rsid w:val="6D064B23"/>
    <w:rsid w:val="6D2453CF"/>
    <w:rsid w:val="6D54763D"/>
    <w:rsid w:val="6D7777CF"/>
    <w:rsid w:val="6EB42D97"/>
    <w:rsid w:val="6EB94906"/>
    <w:rsid w:val="6EC32E93"/>
    <w:rsid w:val="6EC46A44"/>
    <w:rsid w:val="6ED24445"/>
    <w:rsid w:val="6ED529FF"/>
    <w:rsid w:val="6F6D2C38"/>
    <w:rsid w:val="6F977CB5"/>
    <w:rsid w:val="6FCE7E35"/>
    <w:rsid w:val="6FDD4CA3"/>
    <w:rsid w:val="70156D97"/>
    <w:rsid w:val="70311EB7"/>
    <w:rsid w:val="70B328CC"/>
    <w:rsid w:val="70C943AC"/>
    <w:rsid w:val="70F33611"/>
    <w:rsid w:val="7122081F"/>
    <w:rsid w:val="7146712D"/>
    <w:rsid w:val="71704C61"/>
    <w:rsid w:val="71AB132F"/>
    <w:rsid w:val="71BC17C6"/>
    <w:rsid w:val="71BC1C54"/>
    <w:rsid w:val="71DD3F80"/>
    <w:rsid w:val="7239253B"/>
    <w:rsid w:val="728E539F"/>
    <w:rsid w:val="73592A5F"/>
    <w:rsid w:val="736600CA"/>
    <w:rsid w:val="73785C20"/>
    <w:rsid w:val="73BF0F94"/>
    <w:rsid w:val="73C61DD3"/>
    <w:rsid w:val="74602D6B"/>
    <w:rsid w:val="746622AE"/>
    <w:rsid w:val="747C235C"/>
    <w:rsid w:val="74AC4202"/>
    <w:rsid w:val="74B17B79"/>
    <w:rsid w:val="74B65081"/>
    <w:rsid w:val="74D95234"/>
    <w:rsid w:val="74F47EDD"/>
    <w:rsid w:val="75045DEC"/>
    <w:rsid w:val="75175B20"/>
    <w:rsid w:val="75226272"/>
    <w:rsid w:val="7548217D"/>
    <w:rsid w:val="75947170"/>
    <w:rsid w:val="75BA17BF"/>
    <w:rsid w:val="7654281B"/>
    <w:rsid w:val="76C97F21"/>
    <w:rsid w:val="76CD220E"/>
    <w:rsid w:val="76CF2455"/>
    <w:rsid w:val="76E8442E"/>
    <w:rsid w:val="77101B8D"/>
    <w:rsid w:val="77154C42"/>
    <w:rsid w:val="772A140E"/>
    <w:rsid w:val="77756B2D"/>
    <w:rsid w:val="77A64F39"/>
    <w:rsid w:val="77B5517C"/>
    <w:rsid w:val="77B70EF4"/>
    <w:rsid w:val="78085BF3"/>
    <w:rsid w:val="781212C0"/>
    <w:rsid w:val="78B43685"/>
    <w:rsid w:val="78E8332F"/>
    <w:rsid w:val="78F63C9E"/>
    <w:rsid w:val="790A0589"/>
    <w:rsid w:val="792A3C52"/>
    <w:rsid w:val="795F1843"/>
    <w:rsid w:val="7A0F2BA3"/>
    <w:rsid w:val="7A1E16FE"/>
    <w:rsid w:val="7A5C507C"/>
    <w:rsid w:val="7AA0585A"/>
    <w:rsid w:val="7AB210C4"/>
    <w:rsid w:val="7AF13257"/>
    <w:rsid w:val="7B110F3C"/>
    <w:rsid w:val="7B3960C4"/>
    <w:rsid w:val="7B4B7C01"/>
    <w:rsid w:val="7B8514C1"/>
    <w:rsid w:val="7B9F23CB"/>
    <w:rsid w:val="7CB00608"/>
    <w:rsid w:val="7CD6006E"/>
    <w:rsid w:val="7CE338D3"/>
    <w:rsid w:val="7CFD1A9F"/>
    <w:rsid w:val="7D052701"/>
    <w:rsid w:val="7D130FAD"/>
    <w:rsid w:val="7D59469C"/>
    <w:rsid w:val="7D6B398A"/>
    <w:rsid w:val="7D893EF3"/>
    <w:rsid w:val="7DB55ED6"/>
    <w:rsid w:val="7DB87774"/>
    <w:rsid w:val="7E8A55B4"/>
    <w:rsid w:val="7E996565"/>
    <w:rsid w:val="7E9D3BF1"/>
    <w:rsid w:val="7EA83C8C"/>
    <w:rsid w:val="7EB64B61"/>
    <w:rsid w:val="7EC02D84"/>
    <w:rsid w:val="7EE03426"/>
    <w:rsid w:val="7EF67AE6"/>
    <w:rsid w:val="7F111831"/>
    <w:rsid w:val="7F533BF8"/>
    <w:rsid w:val="7F78540D"/>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ind w:firstLine="425"/>
      <w:outlineLvl w:val="0"/>
    </w:pPr>
    <w:rPr>
      <w:b/>
      <w:bCs/>
      <w:i/>
      <w:iCs/>
      <w:sz w:val="52"/>
      <w:szCs w:val="20"/>
    </w:rPr>
  </w:style>
  <w:style w:type="paragraph" w:styleId="3">
    <w:name w:val="heading 2"/>
    <w:basedOn w:val="1"/>
    <w:next w:val="1"/>
    <w:link w:val="39"/>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autoRedefine/>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60"/>
    <w:autoRedefine/>
    <w:unhideWhenUsed/>
    <w:qFormat/>
    <w:uiPriority w:val="99"/>
    <w:pPr>
      <w:jc w:val="left"/>
    </w:pPr>
  </w:style>
  <w:style w:type="paragraph" w:styleId="9">
    <w:name w:val="Body Text"/>
    <w:basedOn w:val="1"/>
    <w:link w:val="43"/>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Body Text Indent"/>
    <w:basedOn w:val="1"/>
    <w:next w:val="1"/>
    <w:link w:val="40"/>
    <w:autoRedefine/>
    <w:qFormat/>
    <w:uiPriority w:val="0"/>
    <w:pPr>
      <w:spacing w:line="480" w:lineRule="exact"/>
      <w:ind w:firstLine="480" w:firstLineChars="200"/>
    </w:pPr>
    <w:rPr>
      <w:rFonts w:ascii="宋体" w:hAnsi="宋体"/>
      <w:sz w:val="24"/>
    </w:rPr>
  </w:style>
  <w:style w:type="paragraph" w:styleId="11">
    <w:name w:val="toc 3"/>
    <w:basedOn w:val="1"/>
    <w:next w:val="1"/>
    <w:autoRedefine/>
    <w:qFormat/>
    <w:uiPriority w:val="0"/>
    <w:pPr>
      <w:ind w:left="840" w:leftChars="400"/>
    </w:pPr>
    <w:rPr>
      <w:rFonts w:ascii="Times New Roman" w:hAnsi="Times New Roman"/>
    </w:rPr>
  </w:style>
  <w:style w:type="paragraph" w:styleId="12">
    <w:name w:val="Plain Text"/>
    <w:basedOn w:val="1"/>
    <w:next w:val="1"/>
    <w:link w:val="42"/>
    <w:autoRedefine/>
    <w:qFormat/>
    <w:uiPriority w:val="0"/>
    <w:rPr>
      <w:rFonts w:ascii="宋体" w:hAnsi="Courier New" w:cs="Arial"/>
      <w:snapToGrid w:val="0"/>
      <w:szCs w:val="21"/>
    </w:rPr>
  </w:style>
  <w:style w:type="paragraph" w:styleId="13">
    <w:name w:val="Date"/>
    <w:basedOn w:val="1"/>
    <w:next w:val="1"/>
    <w:link w:val="41"/>
    <w:autoRedefine/>
    <w:qFormat/>
    <w:uiPriority w:val="0"/>
    <w:pPr>
      <w:ind w:left="100" w:leftChars="2500"/>
    </w:pPr>
    <w:rPr>
      <w:rFonts w:ascii="宋体"/>
      <w:sz w:val="24"/>
      <w:szCs w:val="21"/>
      <w:lang w:val="zh-CN"/>
    </w:rPr>
  </w:style>
  <w:style w:type="paragraph" w:styleId="14">
    <w:name w:val="Balloon Text"/>
    <w:basedOn w:val="1"/>
    <w:link w:val="56"/>
    <w:autoRedefine/>
    <w:unhideWhenUsed/>
    <w:qFormat/>
    <w:uiPriority w:val="99"/>
    <w:rPr>
      <w:sz w:val="18"/>
      <w:szCs w:val="18"/>
    </w:rPr>
  </w:style>
  <w:style w:type="paragraph" w:styleId="15">
    <w:name w:val="footer"/>
    <w:basedOn w:val="1"/>
    <w:link w:val="38"/>
    <w:autoRedefine/>
    <w:unhideWhenUsed/>
    <w:qFormat/>
    <w:uiPriority w:val="99"/>
    <w:pPr>
      <w:tabs>
        <w:tab w:val="center" w:pos="4153"/>
        <w:tab w:val="right" w:pos="8306"/>
      </w:tabs>
      <w:snapToGrid w:val="0"/>
      <w:jc w:val="left"/>
    </w:pPr>
    <w:rPr>
      <w:sz w:val="18"/>
      <w:szCs w:val="18"/>
    </w:rPr>
  </w:style>
  <w:style w:type="paragraph" w:styleId="16">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autoRedefine/>
    <w:qFormat/>
    <w:uiPriority w:val="39"/>
    <w:pPr>
      <w:ind w:left="1000" w:leftChars="1000"/>
    </w:pPr>
  </w:style>
  <w:style w:type="paragraph" w:styleId="19">
    <w:name w:val="HTML Preformatted"/>
    <w:basedOn w:val="1"/>
    <w:autoRedefine/>
    <w:qFormat/>
    <w:uiPriority w:val="0"/>
    <w:rPr>
      <w:rFonts w:ascii="Courier New" w:hAnsi="Courier New" w:eastAsia="仿宋_GB2312"/>
      <w:b/>
      <w:sz w:val="32"/>
      <w:szCs w:val="32"/>
      <w:lang w:val="en-GB"/>
    </w:rPr>
  </w:style>
  <w:style w:type="paragraph" w:styleId="20">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1">
    <w:name w:val="annotation subject"/>
    <w:basedOn w:val="8"/>
    <w:next w:val="8"/>
    <w:link w:val="61"/>
    <w:autoRedefine/>
    <w:unhideWhenUsed/>
    <w:qFormat/>
    <w:uiPriority w:val="99"/>
    <w:rPr>
      <w:b/>
      <w:bCs/>
    </w:rPr>
  </w:style>
  <w:style w:type="paragraph" w:styleId="22">
    <w:name w:val="Body Text First Indent"/>
    <w:basedOn w:val="9"/>
    <w:next w:val="1"/>
    <w:autoRedefine/>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23">
    <w:name w:val="Body Text First Indent 2"/>
    <w:basedOn w:val="10"/>
    <w:next w:val="1"/>
    <w:autoRedefine/>
    <w:unhideWhenUsed/>
    <w:qFormat/>
    <w:uiPriority w:val="99"/>
    <w:pPr>
      <w:ind w:firstLine="420"/>
    </w:pPr>
  </w:style>
  <w:style w:type="table" w:styleId="25">
    <w:name w:val="Table Grid"/>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rPr>
      <w:rFonts w:ascii="Arial" w:hAnsi="Arial" w:eastAsia="黑体" w:cs="Arial"/>
      <w:snapToGrid w:val="0"/>
      <w:kern w:val="0"/>
      <w:szCs w:val="21"/>
    </w:rPr>
  </w:style>
  <w:style w:type="character" w:styleId="28">
    <w:name w:val="FollowedHyperlink"/>
    <w:basedOn w:val="26"/>
    <w:autoRedefine/>
    <w:semiHidden/>
    <w:unhideWhenUsed/>
    <w:qFormat/>
    <w:uiPriority w:val="99"/>
    <w:rPr>
      <w:color w:val="800080"/>
      <w:u w:val="none"/>
    </w:rPr>
  </w:style>
  <w:style w:type="character" w:styleId="29">
    <w:name w:val="Hyperlink"/>
    <w:autoRedefine/>
    <w:qFormat/>
    <w:uiPriority w:val="99"/>
    <w:rPr>
      <w:rFonts w:ascii="Arial" w:hAnsi="Arial" w:eastAsia="黑体" w:cs="Arial"/>
      <w:snapToGrid w:val="0"/>
      <w:color w:val="000000"/>
      <w:kern w:val="0"/>
      <w:sz w:val="18"/>
      <w:szCs w:val="18"/>
      <w:u w:val="none"/>
    </w:rPr>
  </w:style>
  <w:style w:type="character" w:styleId="30">
    <w:name w:val="annotation reference"/>
    <w:basedOn w:val="26"/>
    <w:autoRedefine/>
    <w:unhideWhenUsed/>
    <w:qFormat/>
    <w:uiPriority w:val="99"/>
    <w:rPr>
      <w:sz w:val="21"/>
      <w:szCs w:val="21"/>
    </w:rPr>
  </w:style>
  <w:style w:type="paragraph" w:customStyle="1" w:styleId="31">
    <w:name w:val="List Paragraph"/>
    <w:basedOn w:val="1"/>
    <w:autoRedefine/>
    <w:qFormat/>
    <w:uiPriority w:val="0"/>
    <w:pPr>
      <w:ind w:firstLine="420" w:firstLineChars="200"/>
    </w:pPr>
    <w:rPr>
      <w:rFonts w:ascii="Calibri" w:hAnsi="Calibri"/>
      <w:szCs w:val="22"/>
    </w:rPr>
  </w:style>
  <w:style w:type="paragraph" w:customStyle="1" w:styleId="32">
    <w:name w:val="_Style 3"/>
    <w:basedOn w:val="1"/>
    <w:autoRedefine/>
    <w:qFormat/>
    <w:uiPriority w:val="0"/>
    <w:pPr>
      <w:ind w:firstLine="420" w:firstLineChars="200"/>
    </w:pPr>
    <w:rPr>
      <w:rFonts w:eastAsia="仿宋_GB2312"/>
      <w:sz w:val="28"/>
    </w:rPr>
  </w:style>
  <w:style w:type="paragraph" w:customStyle="1" w:styleId="33">
    <w:name w:val="BodyText"/>
    <w:basedOn w:val="1"/>
    <w:next w:val="1"/>
    <w:autoRedefine/>
    <w:qFormat/>
    <w:uiPriority w:val="0"/>
    <w:pPr>
      <w:spacing w:before="100" w:beforeAutospacing="1" w:after="120"/>
      <w:jc w:val="both"/>
      <w:textAlignment w:val="baseline"/>
    </w:pPr>
    <w:rPr>
      <w:kern w:val="0"/>
      <w:sz w:val="20"/>
      <w:szCs w:val="21"/>
      <w:lang w:val="en-US" w:eastAsia="zh-CN" w:bidi="ar-SA"/>
    </w:rPr>
  </w:style>
  <w:style w:type="paragraph" w:customStyle="1" w:styleId="3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5">
    <w:name w:val="列出段落1"/>
    <w:basedOn w:val="1"/>
    <w:link w:val="57"/>
    <w:autoRedefine/>
    <w:qFormat/>
    <w:uiPriority w:val="0"/>
    <w:pPr>
      <w:ind w:firstLine="420" w:firstLineChars="200"/>
    </w:pPr>
    <w:rPr>
      <w:rFonts w:ascii="Times New Roman" w:hAnsi="Times New Roman" w:eastAsiaTheme="minorEastAsia" w:cstheme="minorBidi"/>
    </w:rPr>
  </w:style>
  <w:style w:type="paragraph" w:customStyle="1" w:styleId="36">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字符"/>
    <w:basedOn w:val="26"/>
    <w:link w:val="16"/>
    <w:autoRedefine/>
    <w:qFormat/>
    <w:uiPriority w:val="99"/>
    <w:rPr>
      <w:sz w:val="18"/>
      <w:szCs w:val="18"/>
    </w:rPr>
  </w:style>
  <w:style w:type="character" w:customStyle="1" w:styleId="38">
    <w:name w:val="页脚 字符"/>
    <w:basedOn w:val="26"/>
    <w:link w:val="15"/>
    <w:autoRedefine/>
    <w:qFormat/>
    <w:uiPriority w:val="99"/>
    <w:rPr>
      <w:sz w:val="18"/>
      <w:szCs w:val="18"/>
    </w:rPr>
  </w:style>
  <w:style w:type="character" w:customStyle="1" w:styleId="39">
    <w:name w:val="标题 2 字符"/>
    <w:basedOn w:val="26"/>
    <w:link w:val="3"/>
    <w:autoRedefine/>
    <w:qFormat/>
    <w:uiPriority w:val="0"/>
    <w:rPr>
      <w:rFonts w:ascii="仿宋_GB2312" w:hAnsi="仿宋" w:eastAsia="仿宋_GB2312" w:cs="Times New Roman"/>
      <w:b/>
      <w:bCs/>
      <w:sz w:val="32"/>
      <w:szCs w:val="32"/>
      <w:lang w:val="zh-CN"/>
    </w:rPr>
  </w:style>
  <w:style w:type="character" w:customStyle="1" w:styleId="40">
    <w:name w:val="正文文本缩进 字符"/>
    <w:basedOn w:val="26"/>
    <w:link w:val="10"/>
    <w:autoRedefine/>
    <w:qFormat/>
    <w:uiPriority w:val="0"/>
    <w:rPr>
      <w:rFonts w:ascii="宋体" w:hAnsi="宋体" w:eastAsia="宋体" w:cs="Times New Roman"/>
      <w:sz w:val="24"/>
      <w:szCs w:val="24"/>
    </w:rPr>
  </w:style>
  <w:style w:type="character" w:customStyle="1" w:styleId="41">
    <w:name w:val="日期 字符"/>
    <w:basedOn w:val="26"/>
    <w:link w:val="13"/>
    <w:autoRedefine/>
    <w:qFormat/>
    <w:uiPriority w:val="0"/>
    <w:rPr>
      <w:rFonts w:ascii="宋体" w:hAnsi="Calibri" w:eastAsia="宋体" w:cs="Times New Roman"/>
      <w:sz w:val="24"/>
      <w:szCs w:val="21"/>
      <w:lang w:val="zh-CN"/>
    </w:rPr>
  </w:style>
  <w:style w:type="character" w:customStyle="1" w:styleId="42">
    <w:name w:val="纯文本 字符"/>
    <w:basedOn w:val="26"/>
    <w:link w:val="12"/>
    <w:autoRedefine/>
    <w:qFormat/>
    <w:uiPriority w:val="0"/>
    <w:rPr>
      <w:rFonts w:ascii="宋体" w:hAnsi="Courier New" w:eastAsia="宋体" w:cs="Arial"/>
      <w:snapToGrid w:val="0"/>
      <w:szCs w:val="21"/>
    </w:rPr>
  </w:style>
  <w:style w:type="character" w:customStyle="1" w:styleId="43">
    <w:name w:val="正文文本 字符"/>
    <w:basedOn w:val="26"/>
    <w:link w:val="9"/>
    <w:autoRedefine/>
    <w:qFormat/>
    <w:uiPriority w:val="0"/>
    <w:rPr>
      <w:rFonts w:ascii="宋体" w:hAnsi="Arial" w:eastAsia="宋体" w:cs="Arial"/>
      <w:snapToGrid w:val="0"/>
      <w:sz w:val="24"/>
      <w:szCs w:val="21"/>
      <w:lang w:val="zh-CN"/>
    </w:rPr>
  </w:style>
  <w:style w:type="paragraph" w:customStyle="1" w:styleId="44">
    <w:name w:val="索引 11"/>
    <w:basedOn w:val="1"/>
    <w:next w:val="1"/>
    <w:autoRedefine/>
    <w:qFormat/>
    <w:uiPriority w:val="99"/>
    <w:pPr>
      <w:spacing w:line="360" w:lineRule="auto"/>
    </w:pPr>
    <w:rPr>
      <w:rFonts w:ascii="仿宋_GB2312" w:eastAsia="仿宋_GB2312"/>
      <w:sz w:val="24"/>
      <w:szCs w:val="20"/>
    </w:rPr>
  </w:style>
  <w:style w:type="paragraph" w:customStyle="1" w:styleId="4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autoRedefine/>
    <w:qFormat/>
    <w:uiPriority w:val="0"/>
    <w:rPr>
      <w:rFonts w:ascii="宋体" w:hAnsi="Courier New"/>
      <w:kern w:val="0"/>
      <w:sz w:val="20"/>
      <w:szCs w:val="20"/>
    </w:rPr>
  </w:style>
  <w:style w:type="paragraph" w:customStyle="1" w:styleId="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autoRedefine/>
    <w:qFormat/>
    <w:uiPriority w:val="0"/>
    <w:rPr>
      <w:rFonts w:ascii="宋体" w:hAnsi="Courier New"/>
      <w:szCs w:val="21"/>
    </w:rPr>
  </w:style>
  <w:style w:type="paragraph" w:customStyle="1" w:styleId="51">
    <w:name w:val="正文2"/>
    <w:basedOn w:val="1"/>
    <w:autoRedefine/>
    <w:qFormat/>
    <w:uiPriority w:val="0"/>
    <w:pPr>
      <w:spacing w:before="156" w:line="360" w:lineRule="auto"/>
      <w:ind w:firstLine="510" w:firstLineChars="200"/>
    </w:pPr>
    <w:rPr>
      <w:sz w:val="24"/>
      <w:szCs w:val="20"/>
    </w:rPr>
  </w:style>
  <w:style w:type="paragraph" w:customStyle="1" w:styleId="52">
    <w:name w:val="正文缩进1"/>
    <w:basedOn w:val="1"/>
    <w:next w:val="10"/>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字符"/>
    <w:basedOn w:val="26"/>
    <w:link w:val="4"/>
    <w:autoRedefine/>
    <w:semiHidden/>
    <w:qFormat/>
    <w:uiPriority w:val="9"/>
    <w:rPr>
      <w:rFonts w:ascii="Calibri" w:hAnsi="Calibri" w:eastAsia="宋体" w:cs="Times New Roman"/>
      <w:b/>
      <w:bCs/>
      <w:sz w:val="32"/>
      <w:szCs w:val="32"/>
    </w:rPr>
  </w:style>
  <w:style w:type="character" w:customStyle="1" w:styleId="54">
    <w:name w:val="标题 4 字符"/>
    <w:basedOn w:val="26"/>
    <w:link w:val="5"/>
    <w:autoRedefine/>
    <w:semiHidden/>
    <w:qFormat/>
    <w:uiPriority w:val="9"/>
    <w:rPr>
      <w:rFonts w:asciiTheme="majorHAnsi" w:hAnsiTheme="majorHAnsi" w:eastAsiaTheme="majorEastAsia" w:cstheme="majorBidi"/>
      <w:b/>
      <w:bCs/>
      <w:sz w:val="28"/>
      <w:szCs w:val="28"/>
    </w:rPr>
  </w:style>
  <w:style w:type="paragraph" w:customStyle="1" w:styleId="55">
    <w:name w:val="标题4"/>
    <w:basedOn w:val="1"/>
    <w:autoRedefine/>
    <w:qFormat/>
    <w:uiPriority w:val="0"/>
    <w:rPr>
      <w:rFonts w:ascii="Times New Roman" w:hAnsi="Times New Roman" w:eastAsia="仿宋_GB2312"/>
      <w:sz w:val="32"/>
      <w:szCs w:val="20"/>
    </w:rPr>
  </w:style>
  <w:style w:type="character" w:customStyle="1" w:styleId="56">
    <w:name w:val="批注框文本 字符"/>
    <w:basedOn w:val="26"/>
    <w:link w:val="14"/>
    <w:autoRedefine/>
    <w:semiHidden/>
    <w:qFormat/>
    <w:uiPriority w:val="99"/>
    <w:rPr>
      <w:rFonts w:ascii="Calibri" w:hAnsi="Calibri" w:eastAsia="宋体" w:cs="Times New Roman"/>
      <w:sz w:val="18"/>
      <w:szCs w:val="18"/>
    </w:rPr>
  </w:style>
  <w:style w:type="character" w:customStyle="1" w:styleId="57">
    <w:name w:val="List Paragraph Char"/>
    <w:link w:val="35"/>
    <w:autoRedefine/>
    <w:qFormat/>
    <w:locked/>
    <w:uiPriority w:val="0"/>
    <w:rPr>
      <w:rFonts w:ascii="Times New Roman" w:hAnsi="Times New Roman"/>
      <w:szCs w:val="24"/>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字符"/>
    <w:basedOn w:val="26"/>
    <w:link w:val="8"/>
    <w:autoRedefine/>
    <w:semiHidden/>
    <w:qFormat/>
    <w:uiPriority w:val="99"/>
    <w:rPr>
      <w:rFonts w:ascii="Calibri" w:hAnsi="Calibri"/>
      <w:kern w:val="2"/>
      <w:sz w:val="21"/>
      <w:szCs w:val="24"/>
    </w:rPr>
  </w:style>
  <w:style w:type="character" w:customStyle="1" w:styleId="61">
    <w:name w:val="批注主题 字符"/>
    <w:basedOn w:val="60"/>
    <w:link w:val="21"/>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6"/>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Plain Text"/>
    <w:basedOn w:val="1"/>
    <w:autoRedefine/>
    <w:qFormat/>
    <w:uiPriority w:val="0"/>
    <w:rPr>
      <w:rFonts w:ascii="宋体" w:hAnsi="Courier New" w:eastAsia="Times New Roman"/>
      <w:kern w:val="0"/>
      <w:sz w:val="20"/>
      <w:szCs w:val="20"/>
    </w:rPr>
  </w:style>
  <w:style w:type="character" w:customStyle="1" w:styleId="69">
    <w:name w:val="cur"/>
    <w:basedOn w:val="26"/>
    <w:autoRedefine/>
    <w:qFormat/>
    <w:uiPriority w:val="0"/>
  </w:style>
  <w:style w:type="character" w:customStyle="1" w:styleId="70">
    <w:name w:val="layui-laypage-curr"/>
    <w:basedOn w:val="2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13047</Words>
  <Characters>14516</Characters>
  <Lines>245</Lines>
  <Paragraphs>69</Paragraphs>
  <TotalTime>31</TotalTime>
  <ScaleCrop>false</ScaleCrop>
  <LinksUpToDate>false</LinksUpToDate>
  <CharactersWithSpaces>14837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晟</cp:lastModifiedBy>
  <cp:lastPrinted>2025-04-27T01:26:00Z</cp:lastPrinted>
  <dcterms:modified xsi:type="dcterms:W3CDTF">2025-06-30T01:06:48Z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8B5B27000FE445D087EE802C81AAB260_13</vt:lpwstr>
  </property>
  <property fmtid="{D5CDD505-2E9C-101B-9397-08002B2CF9AE}" pid="4" name="KSOTemplateDocerSaveRecord">
    <vt:lpwstr>eyJoZGlkIjoiZGNkY2FhYTJiZmI4MmJiNjZiMDBjMjQ0N2UwOTBjY2YiLCJ1c2VySWQiOiI0Mjk4NjUyNzEifQ==</vt:lpwstr>
  </property>
</Properties>
</file>